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A99" w:rsidRDefault="00C90A99">
      <w:pPr>
        <w:jc w:val="center"/>
        <w:rPr>
          <w:rFonts w:ascii="Arial" w:hAnsi="Arial"/>
          <w:b/>
          <w:bCs/>
          <w:sz w:val="40"/>
          <w:szCs w:val="40"/>
        </w:rPr>
      </w:pPr>
    </w:p>
    <w:p w:rsidR="00C90A99" w:rsidRDefault="00C90A99">
      <w:pPr>
        <w:jc w:val="center"/>
        <w:rPr>
          <w:rFonts w:ascii="Arial" w:hAnsi="Arial"/>
          <w:b/>
          <w:bCs/>
          <w:sz w:val="40"/>
          <w:szCs w:val="40"/>
        </w:rPr>
      </w:pPr>
    </w:p>
    <w:p w:rsidR="00C90A99" w:rsidRDefault="00C90A99">
      <w:pPr>
        <w:jc w:val="center"/>
        <w:rPr>
          <w:rFonts w:ascii="Arial" w:hAnsi="Arial"/>
          <w:b/>
          <w:bCs/>
          <w:sz w:val="40"/>
          <w:szCs w:val="40"/>
        </w:rPr>
      </w:pPr>
    </w:p>
    <w:p w:rsidR="00C90A99" w:rsidRDefault="00C90A99">
      <w:pPr>
        <w:jc w:val="center"/>
        <w:rPr>
          <w:rFonts w:ascii="Arial" w:hAnsi="Arial"/>
          <w:b/>
          <w:bCs/>
          <w:sz w:val="40"/>
          <w:szCs w:val="40"/>
        </w:rPr>
      </w:pPr>
    </w:p>
    <w:p w:rsidR="00C90A99" w:rsidRDefault="00C90A99">
      <w:pPr>
        <w:pStyle w:val="BodyText2"/>
        <w:rPr>
          <w:sz w:val="40"/>
          <w:szCs w:val="40"/>
        </w:rPr>
      </w:pPr>
      <w:r>
        <w:rPr>
          <w:sz w:val="40"/>
          <w:szCs w:val="40"/>
        </w:rPr>
        <w:t xml:space="preserve">CHAPTER </w:t>
      </w:r>
      <w:r w:rsidR="003008D6">
        <w:rPr>
          <w:sz w:val="40"/>
          <w:szCs w:val="40"/>
        </w:rPr>
        <w:t>6</w:t>
      </w:r>
    </w:p>
    <w:p w:rsidR="00C90A99" w:rsidRDefault="00C90A99">
      <w:pPr>
        <w:jc w:val="center"/>
        <w:rPr>
          <w:rFonts w:ascii="Arial" w:hAnsi="Arial"/>
          <w:b/>
          <w:sz w:val="36"/>
          <w:szCs w:val="36"/>
          <w:highlight w:val="yellow"/>
        </w:rPr>
      </w:pPr>
    </w:p>
    <w:p w:rsidR="00C90A99" w:rsidRDefault="00C90A99">
      <w:pPr>
        <w:jc w:val="center"/>
        <w:rPr>
          <w:rFonts w:ascii="Arial" w:hAnsi="Arial"/>
          <w:b/>
          <w:sz w:val="36"/>
          <w:szCs w:val="36"/>
          <w:highlight w:val="yellow"/>
        </w:rPr>
      </w:pPr>
    </w:p>
    <w:p w:rsidR="00C90A99" w:rsidRDefault="00C90A99">
      <w:pPr>
        <w:jc w:val="center"/>
        <w:rPr>
          <w:rFonts w:ascii="Arial" w:hAnsi="Arial"/>
          <w:b/>
          <w:sz w:val="36"/>
          <w:szCs w:val="36"/>
          <w:highlight w:val="yellow"/>
        </w:rPr>
      </w:pPr>
    </w:p>
    <w:p w:rsidR="00C90A99" w:rsidRDefault="00C90A99">
      <w:pPr>
        <w:jc w:val="center"/>
        <w:rPr>
          <w:rFonts w:ascii="Arial" w:hAnsi="Arial"/>
          <w:b/>
          <w:sz w:val="36"/>
          <w:szCs w:val="36"/>
          <w:highlight w:val="yellow"/>
        </w:rPr>
      </w:pPr>
    </w:p>
    <w:p w:rsidR="00C90A99" w:rsidRPr="000F1535" w:rsidRDefault="00380703">
      <w:pPr>
        <w:pStyle w:val="BodyText2"/>
      </w:pPr>
      <w:r>
        <w:t>REVENUE</w:t>
      </w:r>
    </w:p>
    <w:p w:rsidR="00C90A99" w:rsidRDefault="00C90A99">
      <w:pPr>
        <w:rPr>
          <w:rFonts w:ascii="Arial" w:hAnsi="Arial" w:cs="Arial"/>
        </w:rPr>
      </w:pPr>
    </w:p>
    <w:p w:rsidR="00C90A99" w:rsidRDefault="00C90A99">
      <w:pPr>
        <w:rPr>
          <w:rFonts w:ascii="Arial" w:hAnsi="Arial" w:cs="Arial"/>
        </w:rPr>
      </w:pPr>
    </w:p>
    <w:p w:rsidR="00C90A99" w:rsidRDefault="00C90A99">
      <w:pPr>
        <w:rPr>
          <w:rFonts w:ascii="Arial" w:hAnsi="Arial" w:cs="Arial"/>
        </w:rPr>
      </w:pPr>
    </w:p>
    <w:p w:rsidR="00C90A99" w:rsidRDefault="00C90A99">
      <w:pPr>
        <w:rPr>
          <w:rFonts w:ascii="Arial" w:hAnsi="Arial" w:cs="Arial"/>
        </w:rPr>
      </w:pPr>
    </w:p>
    <w:p w:rsidR="00C90A99" w:rsidRDefault="00C90A99">
      <w:pPr>
        <w:rPr>
          <w:rFonts w:ascii="Arial" w:hAnsi="Arial" w:cs="Arial"/>
        </w:rPr>
      </w:pPr>
    </w:p>
    <w:p w:rsidR="00C90A99" w:rsidRDefault="00C90A99">
      <w:pPr>
        <w:rPr>
          <w:rFonts w:ascii="Arial" w:hAnsi="Arial" w:cs="Arial"/>
        </w:rPr>
      </w:pPr>
    </w:p>
    <w:p w:rsidR="00C90A99" w:rsidRDefault="00C90A99">
      <w:pPr>
        <w:rPr>
          <w:rFonts w:ascii="Arial" w:hAnsi="Arial" w:cs="Arial"/>
        </w:rPr>
      </w:pPr>
    </w:p>
    <w:p w:rsidR="00C90A99" w:rsidRDefault="00C90A99">
      <w:pPr>
        <w:pStyle w:val="Chapters"/>
      </w:pPr>
      <w:r>
        <w:t>Chapter</w:t>
      </w:r>
      <w:r>
        <w:tab/>
      </w:r>
      <w:r>
        <w:tab/>
        <w:t>Page</w:t>
      </w:r>
    </w:p>
    <w:p w:rsidR="00C90A99" w:rsidRDefault="00C90A99">
      <w:pPr>
        <w:pStyle w:val="Chapters"/>
      </w:pPr>
    </w:p>
    <w:p w:rsidR="00C90A99" w:rsidRPr="004B6050" w:rsidRDefault="003008D6">
      <w:pPr>
        <w:pStyle w:val="Chapters"/>
        <w:rPr>
          <w:highlight w:val="yellow"/>
        </w:rPr>
      </w:pPr>
      <w:r>
        <w:t>6</w:t>
      </w:r>
      <w:r w:rsidR="00C90A99">
        <w:t>.1</w:t>
      </w:r>
      <w:r w:rsidR="00C90A99">
        <w:tab/>
      </w:r>
      <w:r w:rsidR="00380703">
        <w:t>Revenue and Forward Estimates</w:t>
      </w:r>
      <w:r w:rsidR="00C90A99">
        <w:tab/>
      </w:r>
      <w:r w:rsidR="00C90A99">
        <w:tab/>
      </w:r>
      <w:r w:rsidR="00291C3C">
        <w:t>223</w:t>
      </w:r>
    </w:p>
    <w:p w:rsidR="00C90A99" w:rsidRDefault="00C90A99">
      <w:pPr>
        <w:pStyle w:val="Chapters"/>
      </w:pPr>
    </w:p>
    <w:p w:rsidR="003F7E81" w:rsidRDefault="003008D6">
      <w:pPr>
        <w:pStyle w:val="Chapters"/>
      </w:pPr>
      <w:r>
        <w:t>6</w:t>
      </w:r>
      <w:r w:rsidR="00C90A99">
        <w:t>.</w:t>
      </w:r>
      <w:r w:rsidR="001871D5">
        <w:t>2</w:t>
      </w:r>
      <w:r w:rsidR="00C90A99">
        <w:tab/>
      </w:r>
      <w:r w:rsidR="00380703">
        <w:t>Taxation Reform</w:t>
      </w:r>
      <w:r w:rsidR="00C90A99">
        <w:tab/>
      </w:r>
      <w:r w:rsidR="00C90A99">
        <w:tab/>
      </w:r>
      <w:r w:rsidR="00291C3C">
        <w:t>247</w:t>
      </w:r>
    </w:p>
    <w:p w:rsidR="00C90A99" w:rsidRDefault="00C90A99">
      <w:pPr>
        <w:pStyle w:val="Chapters"/>
      </w:pPr>
    </w:p>
    <w:p w:rsidR="00C90A99" w:rsidRDefault="00C90A99">
      <w:r>
        <w:br w:type="page"/>
      </w:r>
    </w:p>
    <w:p w:rsidR="00B93188" w:rsidRDefault="00B93188">
      <w:pPr>
        <w:pStyle w:val="BodyText"/>
        <w:sectPr w:rsidR="00B93188" w:rsidSect="00291C3C">
          <w:footerReference w:type="default" r:id="rId8"/>
          <w:pgSz w:w="11907" w:h="16840" w:code="9"/>
          <w:pgMar w:top="1151" w:right="1440" w:bottom="1729" w:left="1440" w:header="720" w:footer="720" w:gutter="0"/>
          <w:pgNumType w:start="221"/>
          <w:cols w:space="720"/>
        </w:sectPr>
      </w:pPr>
    </w:p>
    <w:p w:rsidR="00B93188" w:rsidRPr="00B93188" w:rsidRDefault="00B93188" w:rsidP="00B93188">
      <w:pPr>
        <w:keepNext/>
        <w:pBdr>
          <w:bottom w:val="single" w:sz="18" w:space="2" w:color="auto"/>
        </w:pBdr>
        <w:spacing w:after="240"/>
        <w:outlineLvl w:val="0"/>
        <w:rPr>
          <w:rFonts w:ascii="Arial" w:hAnsi="Arial"/>
          <w:b/>
          <w:caps/>
          <w:kern w:val="28"/>
          <w:sz w:val="28"/>
        </w:rPr>
      </w:pPr>
      <w:r w:rsidRPr="00B93188">
        <w:rPr>
          <w:rFonts w:ascii="Arial" w:hAnsi="Arial"/>
          <w:b/>
          <w:caps/>
          <w:kern w:val="28"/>
          <w:sz w:val="28"/>
        </w:rPr>
        <w:lastRenderedPageBreak/>
        <w:t xml:space="preserve">6.1 </w:t>
      </w:r>
      <w:r w:rsidRPr="00B93188">
        <w:rPr>
          <w:rFonts w:ascii="Arial" w:hAnsi="Arial"/>
          <w:b/>
          <w:caps/>
          <w:kern w:val="28"/>
          <w:sz w:val="28"/>
        </w:rPr>
        <w:tab/>
        <w:t>REVENUE AND FORWARD ESTIMATES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Total ACT General Government Sector (GGS) revenue is estimated to be $4.245 billion in 2013</w:t>
      </w:r>
      <w:r w:rsidRPr="00B93188">
        <w:rPr>
          <w:rFonts w:ascii="Calibri" w:hAnsi="Calibri"/>
          <w:sz w:val="24"/>
        </w:rPr>
        <w:noBreakHyphen/>
        <w:t>14 compared with a 2013-14 Budget estimate of $4.237 billion and a 2013-14 Budget Review estimate of $4.228 billion.  This is a marginal increase compared to the 2013</w:t>
      </w:r>
      <w:r w:rsidRPr="00B93188">
        <w:rPr>
          <w:rFonts w:ascii="Calibri" w:hAnsi="Calibri"/>
          <w:sz w:val="24"/>
        </w:rPr>
        <w:noBreakHyphen/>
        <w:t xml:space="preserve">14 Budget Review of $17 million.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Total revenue is expected to increase in 2014-15 by $166.7 million or 4 per cent compared to the 2013-14 estimated outcome.  This largely reflects underlying growth in the Territory’s largest revenue sources, Commonwealth grants and taxation revenue.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2014-15 Budget includes the Government’s decision to accelerate abolition of conveyance duty fees under the Government’s Tax Reform program.  A new threshold will be introduced and take effect from 4 June 2014, which will accelerate the abolition of this inefficient tax.  Revenue lost through this reform will be replaced through the General Rates system.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Aggregate underlying revenue across the estimates period grows at a compound average annual rate of 5.3 per cent, which is marginally above the original planning parameters of 5.25 per cent set as part of the 2009-10 Budget Plan.  </w:t>
      </w:r>
    </w:p>
    <w:p w:rsidR="00B93188" w:rsidRPr="00B93188" w:rsidRDefault="00B93188" w:rsidP="00B93188">
      <w:pPr>
        <w:keepNext/>
        <w:keepLines/>
        <w:spacing w:before="120" w:after="120"/>
        <w:outlineLvl w:val="2"/>
        <w:rPr>
          <w:rFonts w:ascii="Arial" w:hAnsi="Arial"/>
          <w:b/>
          <w:bCs/>
          <w:sz w:val="24"/>
          <w:szCs w:val="26"/>
          <w:lang w:eastAsia="en-AU"/>
        </w:rPr>
      </w:pPr>
      <w:r w:rsidRPr="00B93188">
        <w:rPr>
          <w:rFonts w:ascii="Arial" w:hAnsi="Arial"/>
          <w:b/>
          <w:bCs/>
          <w:sz w:val="24"/>
          <w:szCs w:val="26"/>
          <w:lang w:eastAsia="en-AU"/>
        </w:rPr>
        <w:t xml:space="preserve">2014-15 Budget and Forward Estimates Revenues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Figure 6.1.1 provides an overview of the sources of ACT Government revenue.  </w:t>
      </w:r>
    </w:p>
    <w:p w:rsidR="00B93188" w:rsidRPr="00B93188" w:rsidRDefault="00B93188" w:rsidP="00B93188">
      <w:pPr>
        <w:keepNext/>
        <w:keepLines/>
        <w:spacing w:before="60"/>
        <w:jc w:val="center"/>
        <w:rPr>
          <w:rFonts w:ascii="Arial" w:hAnsi="Arial"/>
          <w:b/>
        </w:rPr>
      </w:pPr>
      <w:r w:rsidRPr="00B93188">
        <w:rPr>
          <w:rFonts w:ascii="Arial" w:hAnsi="Arial"/>
          <w:b/>
        </w:rPr>
        <w:t>Figure 6.1.1</w:t>
      </w:r>
    </w:p>
    <w:p w:rsidR="00B93188" w:rsidRPr="00B93188" w:rsidRDefault="00B93188" w:rsidP="00B93188">
      <w:pPr>
        <w:keepNext/>
        <w:keepLines/>
        <w:spacing w:after="120"/>
        <w:jc w:val="center"/>
        <w:rPr>
          <w:rFonts w:ascii="Arial" w:hAnsi="Arial"/>
          <w:b/>
        </w:rPr>
      </w:pPr>
      <w:r w:rsidRPr="00B93188">
        <w:rPr>
          <w:rFonts w:ascii="Arial" w:hAnsi="Arial"/>
          <w:b/>
        </w:rPr>
        <w:t>Components of 2014-15 General Government Revenue</w:t>
      </w:r>
    </w:p>
    <w:p w:rsidR="00B93188" w:rsidRPr="00B93188" w:rsidRDefault="00663C09" w:rsidP="00B93188">
      <w:pPr>
        <w:keepNext/>
        <w:keepLines/>
        <w:spacing w:before="120" w:after="120"/>
        <w:jc w:val="center"/>
        <w:rPr>
          <w:rFonts w:ascii="Calibri" w:hAnsi="Calibri"/>
          <w:color w:val="FF0000"/>
          <w:sz w:val="24"/>
        </w:rPr>
      </w:pPr>
      <w:r>
        <w:rPr>
          <w:rFonts w:ascii="Calibri" w:hAnsi="Calibri"/>
          <w:noProof/>
          <w:sz w:val="24"/>
          <w:lang w:eastAsia="en-AU"/>
        </w:rPr>
        <w:drawing>
          <wp:inline distT="0" distB="0" distL="0" distR="0">
            <wp:extent cx="5732780" cy="286258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32780" cy="2862580"/>
                    </a:xfrm>
                    <a:prstGeom prst="rect">
                      <a:avLst/>
                    </a:prstGeom>
                    <a:noFill/>
                    <a:ln w="9525">
                      <a:noFill/>
                      <a:miter lim="800000"/>
                      <a:headEnd/>
                      <a:tailEnd/>
                    </a:ln>
                  </pic:spPr>
                </pic:pic>
              </a:graphicData>
            </a:graphic>
          </wp:inline>
        </w:drawing>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br w:type="page"/>
      </w:r>
      <w:r w:rsidRPr="00B93188">
        <w:rPr>
          <w:rFonts w:ascii="Calibri" w:hAnsi="Calibri"/>
          <w:sz w:val="24"/>
        </w:rPr>
        <w:lastRenderedPageBreak/>
        <w:t xml:space="preserve">Table 6.1.1 provides a summary of 2013-14 estimated general government revenue, the 2014-15 Budget forecast and forward estimates by revenue source. </w:t>
      </w:r>
    </w:p>
    <w:p w:rsidR="00B93188" w:rsidRPr="00B93188" w:rsidRDefault="00B93188" w:rsidP="00B93188">
      <w:pPr>
        <w:keepNext/>
        <w:keepLines/>
        <w:spacing w:before="60"/>
        <w:jc w:val="center"/>
        <w:rPr>
          <w:rFonts w:ascii="Arial" w:hAnsi="Arial"/>
          <w:b/>
        </w:rPr>
      </w:pPr>
      <w:r w:rsidRPr="00B93188">
        <w:rPr>
          <w:rFonts w:ascii="Arial" w:hAnsi="Arial"/>
          <w:b/>
        </w:rPr>
        <w:t>Table 6.1.1</w:t>
      </w:r>
    </w:p>
    <w:p w:rsidR="00B93188" w:rsidRPr="00B93188" w:rsidRDefault="00B93188" w:rsidP="00B93188">
      <w:pPr>
        <w:keepNext/>
        <w:keepLines/>
        <w:spacing w:after="120"/>
        <w:jc w:val="center"/>
        <w:rPr>
          <w:rFonts w:ascii="Arial" w:hAnsi="Arial"/>
          <w:b/>
        </w:rPr>
      </w:pPr>
      <w:r w:rsidRPr="00B93188">
        <w:rPr>
          <w:rFonts w:ascii="Arial" w:hAnsi="Arial"/>
          <w:b/>
        </w:rPr>
        <w:t>General Government Revenue</w:t>
      </w:r>
    </w:p>
    <w:tbl>
      <w:tblPr>
        <w:tblW w:w="9221" w:type="dxa"/>
        <w:tblLook w:val="0000"/>
      </w:tblPr>
      <w:tblGrid>
        <w:gridCol w:w="1023"/>
        <w:gridCol w:w="2225"/>
        <w:gridCol w:w="1313"/>
        <w:gridCol w:w="1022"/>
        <w:gridCol w:w="572"/>
        <w:gridCol w:w="1022"/>
        <w:gridCol w:w="1022"/>
        <w:gridCol w:w="1022"/>
      </w:tblGrid>
      <w:tr w:rsidR="00B93188" w:rsidRPr="00B93188" w:rsidTr="00B93188">
        <w:trPr>
          <w:trHeight w:val="172"/>
        </w:trPr>
        <w:tc>
          <w:tcPr>
            <w:tcW w:w="1023"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2225"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13"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22"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572"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022"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22"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22"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2225"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sz w:val="18"/>
                <w:szCs w:val="18"/>
              </w:rPr>
            </w:pPr>
          </w:p>
        </w:tc>
        <w:tc>
          <w:tcPr>
            <w:tcW w:w="1313"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22"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572"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Var</w:t>
            </w:r>
          </w:p>
        </w:tc>
        <w:tc>
          <w:tcPr>
            <w:tcW w:w="1022"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22"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22"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2"/>
        </w:trPr>
        <w:tc>
          <w:tcPr>
            <w:tcW w:w="1023"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2225"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13"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22"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572"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w:t>
            </w:r>
          </w:p>
        </w:tc>
        <w:tc>
          <w:tcPr>
            <w:tcW w:w="1022"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22"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22"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2225"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Revenue</w:t>
            </w:r>
          </w:p>
        </w:tc>
        <w:tc>
          <w:tcPr>
            <w:tcW w:w="1313"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22"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572"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22"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22"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22"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1,298,688</w:t>
            </w:r>
          </w:p>
        </w:tc>
        <w:tc>
          <w:tcPr>
            <w:tcW w:w="2225"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Taxation</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1,310,267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1,390,101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6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1,481,341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1,582,168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1,688,509 </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1,793,539</w:t>
            </w:r>
          </w:p>
        </w:tc>
        <w:tc>
          <w:tcPr>
            <w:tcW w:w="2225"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Commonwealth Grants</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1,814,200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1,892,580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4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1,956,631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2,079,457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2,150,561 </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135,538</w:t>
            </w:r>
          </w:p>
        </w:tc>
        <w:tc>
          <w:tcPr>
            <w:tcW w:w="2225"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Gains from Contributed Assets</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100,878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110,053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9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115,650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125,661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125,671 </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437,792</w:t>
            </w:r>
          </w:p>
        </w:tc>
        <w:tc>
          <w:tcPr>
            <w:tcW w:w="2225"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Sales of Goods and Services</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446,019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468,892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5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483,442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496,566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562,128 </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135,658</w:t>
            </w:r>
          </w:p>
        </w:tc>
        <w:tc>
          <w:tcPr>
            <w:tcW w:w="2225"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Interest Income</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129,046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122,177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-5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127,369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134,776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135,161 </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w:t>
            </w:r>
          </w:p>
        </w:tc>
        <w:tc>
          <w:tcPr>
            <w:tcW w:w="2225"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Distributions from Financial Investments</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96,366</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55,566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-42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61,807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66,406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71,354 </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304,637</w:t>
            </w:r>
          </w:p>
        </w:tc>
        <w:tc>
          <w:tcPr>
            <w:tcW w:w="2225"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Dividend and Tax Equivalents Income</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210,814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237,640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289,678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286,626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300,707 </w:t>
            </w:r>
          </w:p>
        </w:tc>
      </w:tr>
      <w:tr w:rsidR="00B93188" w:rsidRPr="00B93188" w:rsidTr="00B93188">
        <w:trPr>
          <w:trHeight w:val="172"/>
        </w:trPr>
        <w:tc>
          <w:tcPr>
            <w:tcW w:w="102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131,421</w:t>
            </w:r>
          </w:p>
        </w:tc>
        <w:tc>
          <w:tcPr>
            <w:tcW w:w="2225"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Other Revenue</w:t>
            </w:r>
          </w:p>
        </w:tc>
        <w:tc>
          <w:tcPr>
            <w:tcW w:w="131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137,530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134,845 </w:t>
            </w:r>
          </w:p>
        </w:tc>
        <w:tc>
          <w:tcPr>
            <w:tcW w:w="57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137,770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140,426 </w:t>
            </w:r>
          </w:p>
        </w:tc>
        <w:tc>
          <w:tcPr>
            <w:tcW w:w="1022"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143,530 </w:t>
            </w:r>
          </w:p>
        </w:tc>
      </w:tr>
      <w:tr w:rsidR="00B93188" w:rsidRPr="00B93188" w:rsidTr="00B93188">
        <w:trPr>
          <w:trHeight w:val="172"/>
        </w:trPr>
        <w:tc>
          <w:tcPr>
            <w:tcW w:w="1023" w:type="dxa"/>
            <w:tcBorders>
              <w:top w:val="single" w:sz="4" w:space="0" w:color="auto"/>
              <w:left w:val="nil"/>
              <w:bottom w:val="single" w:sz="4" w:space="0" w:color="auto"/>
              <w:right w:val="nil"/>
            </w:tcBorders>
            <w:shd w:val="clear" w:color="auto" w:fill="auto"/>
            <w:noWrap/>
            <w:vAlign w:val="center"/>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4,237,273</w:t>
            </w:r>
          </w:p>
        </w:tc>
        <w:tc>
          <w:tcPr>
            <w:tcW w:w="2225" w:type="dxa"/>
            <w:tcBorders>
              <w:top w:val="single" w:sz="4" w:space="0" w:color="auto"/>
              <w:left w:val="nil"/>
              <w:bottom w:val="single" w:sz="4" w:space="0" w:color="auto"/>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Revenue</w:t>
            </w:r>
          </w:p>
        </w:tc>
        <w:tc>
          <w:tcPr>
            <w:tcW w:w="1313"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4,245,120 </w:t>
            </w:r>
          </w:p>
        </w:tc>
        <w:tc>
          <w:tcPr>
            <w:tcW w:w="1022"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4,411,854 </w:t>
            </w:r>
          </w:p>
        </w:tc>
        <w:tc>
          <w:tcPr>
            <w:tcW w:w="572"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 xml:space="preserve">4 </w:t>
            </w:r>
          </w:p>
        </w:tc>
        <w:tc>
          <w:tcPr>
            <w:tcW w:w="1022"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4,653,688 </w:t>
            </w:r>
          </w:p>
        </w:tc>
        <w:tc>
          <w:tcPr>
            <w:tcW w:w="1022"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4,912,086 </w:t>
            </w:r>
          </w:p>
        </w:tc>
        <w:tc>
          <w:tcPr>
            <w:tcW w:w="1022"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5,177,621 </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As can be seen from this table, the majority of GGS revenue is from grants from the Commonwealth Government (43 per cent) and own source taxation (32 per cent).</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ACT has a number of revenue raising disadvantages in comparison with other jurisdictions, as a significant proportion of the Territory’s economic activity is generated by Commonwealth Government expenditure within the Territory.  Commonwealth employment, which drives much of the Territory’s expenditure, is exempt from payroll tax.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Territory has a moderate private e</w:t>
      </w:r>
      <w:r w:rsidR="00BA59ED">
        <w:rPr>
          <w:rFonts w:ascii="Calibri" w:hAnsi="Calibri"/>
          <w:sz w:val="24"/>
        </w:rPr>
        <w:t>mployment base in the education and</w:t>
      </w:r>
      <w:r w:rsidRPr="00B93188">
        <w:rPr>
          <w:rFonts w:ascii="Calibri" w:hAnsi="Calibri"/>
          <w:sz w:val="24"/>
        </w:rPr>
        <w:t xml:space="preserve"> small scale manufacturing sectors</w:t>
      </w:r>
      <w:r w:rsidR="00BA59ED">
        <w:rPr>
          <w:rFonts w:ascii="Calibri" w:hAnsi="Calibri"/>
          <w:sz w:val="24"/>
        </w:rPr>
        <w:t>,</w:t>
      </w:r>
      <w:r w:rsidRPr="00B93188">
        <w:rPr>
          <w:rFonts w:ascii="Calibri" w:hAnsi="Calibri"/>
          <w:sz w:val="24"/>
        </w:rPr>
        <w:t xml:space="preserve"> and wholesale trade.  Employment in agricultural and mining industries, important contributors to the diversity and growth in other jurisdictions’ payroll tax bases, is small in the ACT.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While the ACT is compensated for these limitations through the Commonwealth Grants Commission’s assessment, it nevertheless has comparatively less capacity and flexibility to raise own source revenue than other jurisdictions.</w:t>
      </w:r>
    </w:p>
    <w:p w:rsidR="00B93188" w:rsidRDefault="00B93188" w:rsidP="00983072">
      <w:pPr>
        <w:keepNext/>
        <w:keepLines/>
        <w:spacing w:before="120" w:after="120"/>
        <w:jc w:val="both"/>
        <w:rPr>
          <w:rFonts w:ascii="Calibri" w:hAnsi="Calibri"/>
          <w:sz w:val="24"/>
        </w:rPr>
      </w:pPr>
      <w:r w:rsidRPr="00B93188">
        <w:rPr>
          <w:rFonts w:ascii="Calibri" w:hAnsi="Calibri"/>
          <w:sz w:val="24"/>
        </w:rPr>
        <w:t>The Territory’s revenue forecasts are based on the continuation of the Government’s Tax Reform program which commenced in 2012-13 and will result in the replacement of conveyance duty with general rates revenue over a 20 year period.  In the 2014-15 Budget, the Government reaffirms the conveyance rate cuts announced in the 2012-13 Budget and announces a further year of rate cuts in 2017-18 as part of a rolling program.  In addition, the Government confirms its commitment to abolish insurance taxes, which will be fully abolished by 1 July 2016.</w:t>
      </w:r>
    </w:p>
    <w:p w:rsidR="00B93188" w:rsidRPr="00B93188" w:rsidRDefault="00B93188" w:rsidP="00983072">
      <w:pPr>
        <w:keepNext/>
        <w:keepLines/>
        <w:spacing w:before="120" w:after="120"/>
        <w:jc w:val="both"/>
        <w:rPr>
          <w:rFonts w:ascii="Calibri" w:hAnsi="Calibri"/>
          <w:sz w:val="24"/>
        </w:rPr>
      </w:pPr>
      <w:r>
        <w:rPr>
          <w:rFonts w:ascii="Calibri" w:hAnsi="Calibri"/>
          <w:sz w:val="24"/>
        </w:rPr>
        <w:br w:type="page"/>
      </w:r>
      <w:r w:rsidRPr="00B93188">
        <w:rPr>
          <w:rFonts w:ascii="Calibri" w:hAnsi="Calibri"/>
          <w:sz w:val="24"/>
        </w:rPr>
        <w:lastRenderedPageBreak/>
        <w:t>The Government has decided to further accelerate the rate of reduction of conveyance duty.  From 4 June 2014, the rate applying to sales of properties above $1.455 million will be set at a flat rate of 5.25 per cent.  These rates are outlined in this chapter.</w:t>
      </w:r>
    </w:p>
    <w:p w:rsidR="00B93188" w:rsidRPr="00B93188" w:rsidRDefault="00B93188" w:rsidP="00983072">
      <w:pPr>
        <w:keepNext/>
        <w:keepLines/>
        <w:spacing w:before="120" w:after="120"/>
        <w:jc w:val="both"/>
        <w:outlineLvl w:val="2"/>
        <w:rPr>
          <w:rFonts w:ascii="Arial" w:hAnsi="Arial"/>
          <w:b/>
          <w:bCs/>
          <w:sz w:val="24"/>
          <w:szCs w:val="26"/>
          <w:lang w:eastAsia="en-AU"/>
        </w:rPr>
      </w:pPr>
      <w:r w:rsidRPr="00B93188">
        <w:rPr>
          <w:rFonts w:ascii="Arial" w:hAnsi="Arial"/>
          <w:b/>
          <w:bCs/>
          <w:sz w:val="24"/>
          <w:szCs w:val="26"/>
          <w:lang w:eastAsia="en-AU"/>
        </w:rPr>
        <w:t>Taxation</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estimated outcome for taxat</w:t>
      </w:r>
      <w:r w:rsidR="0072569F">
        <w:rPr>
          <w:rFonts w:ascii="Calibri" w:hAnsi="Calibri"/>
          <w:sz w:val="24"/>
        </w:rPr>
        <w:t>ion revenue in 2013-14 is $1.3 billion, which is $11.6</w:t>
      </w:r>
      <w:r w:rsidRPr="00B93188">
        <w:rPr>
          <w:rFonts w:ascii="Calibri" w:hAnsi="Calibri"/>
          <w:sz w:val="24"/>
        </w:rPr>
        <w:t> million (0.9 per cent) above the original budget.  The main variances are attributed to higher than anticipated commercial conveyance, partially offset by lower payroll tax collection.</w:t>
      </w:r>
    </w:p>
    <w:p w:rsidR="00B93188" w:rsidRDefault="00B93188" w:rsidP="00983072">
      <w:pPr>
        <w:keepNext/>
        <w:keepLines/>
        <w:spacing w:before="120" w:after="120"/>
        <w:jc w:val="both"/>
        <w:rPr>
          <w:rFonts w:ascii="Calibri" w:hAnsi="Calibri"/>
          <w:sz w:val="24"/>
        </w:rPr>
      </w:pPr>
      <w:r w:rsidRPr="00B93188">
        <w:rPr>
          <w:rFonts w:ascii="Calibri" w:hAnsi="Calibri"/>
          <w:sz w:val="24"/>
        </w:rPr>
        <w:t xml:space="preserve">For 2014-15, taxation revenue is forecast to increase by $79.8 million (6.1 per cent).  This is </w:t>
      </w:r>
      <w:r w:rsidR="00342701">
        <w:rPr>
          <w:rFonts w:ascii="Calibri" w:hAnsi="Calibri"/>
          <w:sz w:val="24"/>
        </w:rPr>
        <w:t xml:space="preserve">largely </w:t>
      </w:r>
      <w:r w:rsidRPr="00B93188">
        <w:rPr>
          <w:rFonts w:ascii="Calibri" w:hAnsi="Calibri"/>
          <w:sz w:val="24"/>
        </w:rPr>
        <w:t>due to both indexation and new initiatives for a number of lines including payroll tax, land tax and Fire and Emergency Service Levy (FESL).</w:t>
      </w:r>
    </w:p>
    <w:p w:rsidR="00342701" w:rsidRPr="00B93188" w:rsidRDefault="00342701" w:rsidP="00983072">
      <w:pPr>
        <w:keepNext/>
        <w:keepLines/>
        <w:spacing w:before="120" w:after="120"/>
        <w:jc w:val="both"/>
        <w:rPr>
          <w:rFonts w:ascii="Calibri" w:hAnsi="Calibri"/>
          <w:sz w:val="24"/>
        </w:rPr>
      </w:pPr>
      <w:r>
        <w:rPr>
          <w:rFonts w:ascii="Calibri" w:hAnsi="Calibri"/>
          <w:sz w:val="24"/>
        </w:rPr>
        <w:t>The Government has revised taxation estimates downwards in response to the measures announced in the Commonwealth Government’s 2014-15 Budget.  In particular, forecasted conveyance revenue has been reduced by around $6 million per annum due to a lowering of expected price growth in the property market.  Payroll tax forecasted revenue has decreased by around $5 million per annum due to a lowering of expected employment growth.  Overall, taxation revenue forecasts have reduced by nearly $50 million over the four year Budget period as a direct result of the Commonwealth Government’s Budget measures.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land tax system is being restructured to introduce a fixed charge and marginal rating factors.  This reform is estimated to raise an additional $10 million per annum in taxation revenue.  The ACT is also amending the </w:t>
      </w:r>
      <w:r w:rsidRPr="00B93188">
        <w:rPr>
          <w:rFonts w:ascii="Calibri" w:hAnsi="Calibri"/>
          <w:i/>
          <w:sz w:val="24"/>
        </w:rPr>
        <w:t>Payroll Tax Act 2011</w:t>
      </w:r>
      <w:r w:rsidRPr="00B93188">
        <w:rPr>
          <w:rFonts w:ascii="Calibri" w:hAnsi="Calibri"/>
          <w:sz w:val="24"/>
        </w:rPr>
        <w:t xml:space="preserve"> to </w:t>
      </w:r>
      <w:r w:rsidR="000D1D97">
        <w:rPr>
          <w:rFonts w:ascii="Calibri" w:hAnsi="Calibri"/>
          <w:sz w:val="24"/>
        </w:rPr>
        <w:t xml:space="preserve">harmonise </w:t>
      </w:r>
      <w:r w:rsidRPr="00B93188">
        <w:rPr>
          <w:rFonts w:ascii="Calibri" w:hAnsi="Calibri"/>
          <w:sz w:val="24"/>
        </w:rPr>
        <w:t xml:space="preserve">the calculation of payroll tax for employment agents.  The reform is estimated to increase payroll tax revenue by around $10 million per annum.  The Government will also increase the Fire and Emergency Services Levy by $4.774 million per annum to recover funding lost through the </w:t>
      </w:r>
      <w:r w:rsidRPr="00B93188">
        <w:rPr>
          <w:rFonts w:ascii="Calibri" w:hAnsi="Calibri"/>
          <w:i/>
          <w:sz w:val="24"/>
        </w:rPr>
        <w:t>Provision of Fire Fighting Services to Commonwealth Buildings National Partnership Payment</w:t>
      </w:r>
      <w:r w:rsidRPr="00B93188">
        <w:rPr>
          <w:rFonts w:ascii="Calibri" w:hAnsi="Calibri"/>
          <w:sz w:val="24"/>
        </w:rPr>
        <w:t>.  Refer to Taxation Reform (Chapter 6.2) for further information on these initiatives.</w:t>
      </w:r>
    </w:p>
    <w:p w:rsidR="00B93188" w:rsidRPr="00B93188" w:rsidRDefault="00B93188" w:rsidP="00B93188">
      <w:pPr>
        <w:jc w:val="center"/>
        <w:rPr>
          <w:rFonts w:ascii="Arial" w:hAnsi="Arial"/>
          <w:b/>
        </w:rPr>
      </w:pPr>
      <w:r w:rsidRPr="00B93188">
        <w:rPr>
          <w:rFonts w:ascii="Calibri" w:hAnsi="Calibri"/>
          <w:sz w:val="24"/>
        </w:rPr>
        <w:br w:type="page"/>
      </w:r>
      <w:r w:rsidRPr="00B93188">
        <w:rPr>
          <w:rFonts w:ascii="Arial" w:hAnsi="Arial"/>
          <w:b/>
        </w:rPr>
        <w:lastRenderedPageBreak/>
        <w:t>Table 6.1.2</w:t>
      </w:r>
    </w:p>
    <w:p w:rsidR="00B93188" w:rsidRPr="00B93188" w:rsidRDefault="00B93188" w:rsidP="00B93188">
      <w:pPr>
        <w:keepNext/>
        <w:keepLines/>
        <w:spacing w:after="120"/>
        <w:jc w:val="center"/>
        <w:rPr>
          <w:rFonts w:ascii="Arial" w:hAnsi="Arial"/>
          <w:b/>
        </w:rPr>
      </w:pPr>
      <w:r w:rsidRPr="00B93188">
        <w:rPr>
          <w:rFonts w:ascii="Arial" w:hAnsi="Arial"/>
          <w:b/>
        </w:rPr>
        <w:t>Taxation</w:t>
      </w:r>
    </w:p>
    <w:tbl>
      <w:tblPr>
        <w:tblW w:w="9328" w:type="dxa"/>
        <w:tblInd w:w="108" w:type="dxa"/>
        <w:tblLook w:val="04A0"/>
      </w:tblPr>
      <w:tblGrid>
        <w:gridCol w:w="1076"/>
        <w:gridCol w:w="2396"/>
        <w:gridCol w:w="1216"/>
        <w:gridCol w:w="1036"/>
        <w:gridCol w:w="516"/>
        <w:gridCol w:w="1016"/>
        <w:gridCol w:w="1016"/>
        <w:gridCol w:w="1056"/>
      </w:tblGrid>
      <w:tr w:rsidR="00B93188" w:rsidRPr="00B93188" w:rsidTr="00B93188">
        <w:trPr>
          <w:trHeight w:val="240"/>
        </w:trPr>
        <w:tc>
          <w:tcPr>
            <w:tcW w:w="1076" w:type="dxa"/>
            <w:tcBorders>
              <w:top w:val="single" w:sz="4" w:space="0" w:color="auto"/>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2013-14</w:t>
            </w:r>
          </w:p>
        </w:tc>
        <w:tc>
          <w:tcPr>
            <w:tcW w:w="2396"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 </w:t>
            </w:r>
          </w:p>
        </w:tc>
        <w:tc>
          <w:tcPr>
            <w:tcW w:w="1216" w:type="dxa"/>
            <w:tcBorders>
              <w:top w:val="single" w:sz="4" w:space="0" w:color="auto"/>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2013-14</w:t>
            </w:r>
          </w:p>
        </w:tc>
        <w:tc>
          <w:tcPr>
            <w:tcW w:w="1036" w:type="dxa"/>
            <w:tcBorders>
              <w:top w:val="single" w:sz="4" w:space="0" w:color="auto"/>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2014-15</w:t>
            </w:r>
          </w:p>
        </w:tc>
        <w:tc>
          <w:tcPr>
            <w:tcW w:w="516" w:type="dxa"/>
            <w:tcBorders>
              <w:top w:val="single" w:sz="4" w:space="0" w:color="auto"/>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 </w:t>
            </w:r>
          </w:p>
        </w:tc>
        <w:tc>
          <w:tcPr>
            <w:tcW w:w="1016" w:type="dxa"/>
            <w:tcBorders>
              <w:top w:val="single" w:sz="4" w:space="0" w:color="auto"/>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2015-16</w:t>
            </w:r>
          </w:p>
        </w:tc>
        <w:tc>
          <w:tcPr>
            <w:tcW w:w="1016" w:type="dxa"/>
            <w:tcBorders>
              <w:top w:val="single" w:sz="4" w:space="0" w:color="auto"/>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2016-17</w:t>
            </w:r>
          </w:p>
        </w:tc>
        <w:tc>
          <w:tcPr>
            <w:tcW w:w="1056" w:type="dxa"/>
            <w:tcBorders>
              <w:top w:val="single" w:sz="4" w:space="0" w:color="auto"/>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2017-18</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Budget</w:t>
            </w:r>
          </w:p>
        </w:tc>
        <w:tc>
          <w:tcPr>
            <w:tcW w:w="2396" w:type="dxa"/>
            <w:tcBorders>
              <w:top w:val="nil"/>
              <w:left w:val="nil"/>
              <w:bottom w:val="nil"/>
              <w:right w:val="nil"/>
            </w:tcBorders>
            <w:shd w:val="clear" w:color="auto" w:fill="auto"/>
            <w:noWrap/>
            <w:vAlign w:val="bottom"/>
            <w:hideMark/>
          </w:tcPr>
          <w:p w:rsidR="00B93188" w:rsidRPr="00B93188" w:rsidRDefault="00B93188" w:rsidP="00B93188">
            <w:pPr>
              <w:rPr>
                <w:rFonts w:ascii="Calibri" w:hAnsi="Calibri" w:cs="Arial"/>
                <w:sz w:val="18"/>
                <w:szCs w:val="18"/>
                <w:lang w:eastAsia="en-AU"/>
              </w:rPr>
            </w:pPr>
          </w:p>
        </w:tc>
        <w:tc>
          <w:tcPr>
            <w:tcW w:w="1216" w:type="dxa"/>
            <w:tcBorders>
              <w:top w:val="nil"/>
              <w:left w:val="nil"/>
              <w:bottom w:val="nil"/>
              <w:right w:val="nil"/>
            </w:tcBorders>
            <w:shd w:val="clear" w:color="auto" w:fill="auto"/>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Est. Outcome</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Budget</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Var</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Estimate</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Estimate</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Estimate</w:t>
            </w:r>
          </w:p>
        </w:tc>
      </w:tr>
      <w:tr w:rsidR="00B93188" w:rsidRPr="00B93188" w:rsidTr="00B93188">
        <w:trPr>
          <w:trHeight w:val="240"/>
        </w:trPr>
        <w:tc>
          <w:tcPr>
            <w:tcW w:w="1076" w:type="dxa"/>
            <w:tcBorders>
              <w:top w:val="nil"/>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$'000</w:t>
            </w:r>
          </w:p>
        </w:tc>
        <w:tc>
          <w:tcPr>
            <w:tcW w:w="2396"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 </w:t>
            </w:r>
          </w:p>
        </w:tc>
        <w:tc>
          <w:tcPr>
            <w:tcW w:w="1216" w:type="dxa"/>
            <w:tcBorders>
              <w:top w:val="nil"/>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$'000</w:t>
            </w:r>
          </w:p>
        </w:tc>
        <w:tc>
          <w:tcPr>
            <w:tcW w:w="1036" w:type="dxa"/>
            <w:tcBorders>
              <w:top w:val="nil"/>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$'000</w:t>
            </w:r>
          </w:p>
        </w:tc>
        <w:tc>
          <w:tcPr>
            <w:tcW w:w="516" w:type="dxa"/>
            <w:tcBorders>
              <w:top w:val="nil"/>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w:t>
            </w:r>
          </w:p>
        </w:tc>
        <w:tc>
          <w:tcPr>
            <w:tcW w:w="1016" w:type="dxa"/>
            <w:tcBorders>
              <w:top w:val="nil"/>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$'000</w:t>
            </w:r>
          </w:p>
        </w:tc>
        <w:tc>
          <w:tcPr>
            <w:tcW w:w="1016" w:type="dxa"/>
            <w:tcBorders>
              <w:top w:val="nil"/>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$'000</w:t>
            </w:r>
          </w:p>
        </w:tc>
        <w:tc>
          <w:tcPr>
            <w:tcW w:w="1056" w:type="dxa"/>
            <w:tcBorders>
              <w:top w:val="nil"/>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$'000</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 </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General Tax</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347,417</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Payroll Tax</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336,746</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363,908</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8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390,491</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418,656</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448,898</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161</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Tax Waivers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161</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165</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2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169</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172</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178</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338,377</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General Rates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337,429</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379,940</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13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424,853</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474,275</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518,978</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72,888</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Land Tax</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75,778</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89,065</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18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93,238</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98,786</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103,970</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758,843</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Total General Tax</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750,114</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833,078</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 xml:space="preserve">11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908,751</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991,889</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1,072,024</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Duties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216,493</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Conveyances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236,339</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226,428</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-4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237,065</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252,644</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263,787</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35,381</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General Insurance</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33,540</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23,478</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-30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12,326</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1,653</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Life Insurance</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2,019</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1,414</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-30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742</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w:t>
            </w:r>
          </w:p>
        </w:tc>
      </w:tr>
      <w:tr w:rsidR="00B93188" w:rsidRPr="00B93188" w:rsidTr="00B93188">
        <w:trPr>
          <w:trHeight w:val="367"/>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29,079</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 xml:space="preserve">Motor Vehicle Registrations </w:t>
            </w:r>
            <w:r w:rsidRPr="00B93188">
              <w:rPr>
                <w:rFonts w:ascii="Calibri" w:hAnsi="Calibri" w:cs="Arial"/>
                <w:sz w:val="18"/>
                <w:szCs w:val="18"/>
                <w:lang w:eastAsia="en-AU"/>
              </w:rPr>
              <w:br/>
              <w:t xml:space="preserve">     and Transfers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29,079</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29,876</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3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30,891</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31,942</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33,028</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282,606</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Total Duties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300,977</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281,196</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 xml:space="preserve">-7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281,024</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284,586</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296,815</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Gambling Taxes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1,859</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ACTTAB Licence Fee</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1,733</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1,757</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1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35,711</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Gaming Tax</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34,000</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34,852</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3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35,723</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36,616</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37,531</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1,943</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Casino Tax</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1,943</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1,992</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3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2,042</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2,093</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2,145</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13,825</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Interstate Lotteries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15,105</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14,710</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-3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15,077</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15,454</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15,841</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53,338</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Total Gambling Taxes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52,781</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53,311</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 xml:space="preserve">1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52,842</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54,163</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55,517</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Other Taxes</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105,141</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Motor Vehicle Registration</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108,824</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113,713</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4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119,734</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126,010</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132,612</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18,275</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Ambulance Levy</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18,275</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19,188</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5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20,148</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21,156</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22,212</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17,674</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Lease Variation Charge</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15,228</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14,580</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-4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16,767</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18,112</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18,710</w:t>
            </w:r>
          </w:p>
        </w:tc>
      </w:tr>
      <w:tr w:rsidR="00B93188" w:rsidRPr="00B93188" w:rsidTr="00B93188">
        <w:trPr>
          <w:trHeight w:val="414"/>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24,402</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 xml:space="preserve">Utilities (Network Facilities) </w:t>
            </w:r>
            <w:r w:rsidRPr="00B93188">
              <w:rPr>
                <w:rFonts w:ascii="Calibri" w:hAnsi="Calibri" w:cs="Arial"/>
                <w:sz w:val="18"/>
                <w:szCs w:val="18"/>
                <w:lang w:eastAsia="en-AU"/>
              </w:rPr>
              <w:br/>
              <w:t xml:space="preserve">     Tax</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24,402</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25,695</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5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27,220</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28,645</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30,156</w:t>
            </w:r>
          </w:p>
        </w:tc>
      </w:tr>
      <w:tr w:rsidR="00B93188" w:rsidRPr="00B93188" w:rsidTr="00B93188">
        <w:trPr>
          <w:trHeight w:val="538"/>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34,407</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 xml:space="preserve">Fire and Emergency Service </w:t>
            </w:r>
            <w:r w:rsidRPr="00B93188">
              <w:rPr>
                <w:rFonts w:ascii="Calibri" w:hAnsi="Calibri" w:cs="Arial"/>
                <w:sz w:val="18"/>
                <w:szCs w:val="18"/>
                <w:lang w:eastAsia="en-AU"/>
              </w:rPr>
              <w:br/>
              <w:t xml:space="preserve">     Levy</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34,407</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44,008</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28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49,445</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52,117</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54,891</w:t>
            </w:r>
          </w:p>
        </w:tc>
      </w:tr>
      <w:tr w:rsidR="00B93188" w:rsidRPr="00B93188" w:rsidTr="00B93188">
        <w:trPr>
          <w:trHeight w:val="534"/>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1,882</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 xml:space="preserve">City Centre Marketing </w:t>
            </w:r>
            <w:r w:rsidRPr="00B93188">
              <w:rPr>
                <w:rFonts w:ascii="Calibri" w:hAnsi="Calibri" w:cs="Arial"/>
                <w:sz w:val="18"/>
                <w:szCs w:val="18"/>
                <w:lang w:eastAsia="en-AU"/>
              </w:rPr>
              <w:br/>
              <w:t xml:space="preserve">     and Improvements Levy</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1,882</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1,871</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-1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1,862</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1,853</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1,844</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2,120</w:t>
            </w:r>
          </w:p>
        </w:tc>
        <w:tc>
          <w:tcPr>
            <w:tcW w:w="2396" w:type="dxa"/>
            <w:tcBorders>
              <w:top w:val="nil"/>
              <w:left w:val="nil"/>
              <w:bottom w:val="nil"/>
              <w:right w:val="nil"/>
            </w:tcBorders>
            <w:shd w:val="clear" w:color="auto" w:fill="auto"/>
            <w:noWrap/>
            <w:hideMark/>
          </w:tcPr>
          <w:p w:rsidR="00B93188" w:rsidRPr="00B93188" w:rsidRDefault="00B93188" w:rsidP="00B93188">
            <w:pPr>
              <w:rPr>
                <w:rFonts w:ascii="Calibri" w:hAnsi="Calibri" w:cs="Arial"/>
                <w:sz w:val="18"/>
                <w:szCs w:val="18"/>
                <w:lang w:eastAsia="en-AU"/>
              </w:rPr>
            </w:pPr>
            <w:r w:rsidRPr="00B93188">
              <w:rPr>
                <w:rFonts w:ascii="Calibri" w:hAnsi="Calibri" w:cs="Arial"/>
                <w:sz w:val="18"/>
                <w:szCs w:val="18"/>
                <w:lang w:eastAsia="en-AU"/>
              </w:rPr>
              <w:t>Energy Industry Levy</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3,377</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3,461</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 xml:space="preserve">2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3,548</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3,637</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sz w:val="18"/>
                <w:szCs w:val="18"/>
                <w:lang w:eastAsia="en-AU"/>
              </w:rPr>
            </w:pPr>
            <w:r w:rsidRPr="00B93188">
              <w:rPr>
                <w:rFonts w:ascii="Calibri" w:hAnsi="Calibri" w:cs="Arial"/>
                <w:sz w:val="18"/>
                <w:szCs w:val="18"/>
                <w:lang w:eastAsia="en-AU"/>
              </w:rPr>
              <w:t>3,728</w:t>
            </w:r>
          </w:p>
        </w:tc>
      </w:tr>
      <w:tr w:rsidR="00B93188" w:rsidRPr="00B93188" w:rsidTr="00B93188">
        <w:trPr>
          <w:trHeight w:val="240"/>
        </w:trPr>
        <w:tc>
          <w:tcPr>
            <w:tcW w:w="107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203,901</w:t>
            </w:r>
          </w:p>
        </w:tc>
        <w:tc>
          <w:tcPr>
            <w:tcW w:w="2396" w:type="dxa"/>
            <w:tcBorders>
              <w:top w:val="nil"/>
              <w:left w:val="nil"/>
              <w:bottom w:val="nil"/>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 xml:space="preserve">Total Other Taxes </w:t>
            </w:r>
          </w:p>
        </w:tc>
        <w:tc>
          <w:tcPr>
            <w:tcW w:w="12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206,395</w:t>
            </w:r>
          </w:p>
        </w:tc>
        <w:tc>
          <w:tcPr>
            <w:tcW w:w="103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222,516</w:t>
            </w:r>
          </w:p>
        </w:tc>
        <w:tc>
          <w:tcPr>
            <w:tcW w:w="5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 xml:space="preserve">8 </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238,724</w:t>
            </w:r>
          </w:p>
        </w:tc>
        <w:tc>
          <w:tcPr>
            <w:tcW w:w="101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251,530</w:t>
            </w:r>
          </w:p>
        </w:tc>
        <w:tc>
          <w:tcPr>
            <w:tcW w:w="1056" w:type="dxa"/>
            <w:tcBorders>
              <w:top w:val="nil"/>
              <w:left w:val="nil"/>
              <w:bottom w:val="nil"/>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264,153</w:t>
            </w:r>
          </w:p>
        </w:tc>
      </w:tr>
      <w:tr w:rsidR="00B93188" w:rsidRPr="00B93188" w:rsidTr="00B93188">
        <w:trPr>
          <w:trHeight w:val="240"/>
        </w:trPr>
        <w:tc>
          <w:tcPr>
            <w:tcW w:w="1076" w:type="dxa"/>
            <w:tcBorders>
              <w:top w:val="single" w:sz="4" w:space="0" w:color="auto"/>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1,298,688</w:t>
            </w:r>
          </w:p>
        </w:tc>
        <w:tc>
          <w:tcPr>
            <w:tcW w:w="2396" w:type="dxa"/>
            <w:tcBorders>
              <w:top w:val="single" w:sz="4" w:space="0" w:color="auto"/>
              <w:left w:val="nil"/>
              <w:bottom w:val="single" w:sz="4" w:space="0" w:color="auto"/>
              <w:right w:val="nil"/>
            </w:tcBorders>
            <w:shd w:val="clear" w:color="auto" w:fill="auto"/>
            <w:hideMark/>
          </w:tcPr>
          <w:p w:rsidR="00B93188" w:rsidRPr="00B93188" w:rsidRDefault="00B93188" w:rsidP="00B93188">
            <w:pPr>
              <w:rPr>
                <w:rFonts w:ascii="Calibri" w:hAnsi="Calibri" w:cs="Arial"/>
                <w:b/>
                <w:bCs/>
                <w:sz w:val="18"/>
                <w:szCs w:val="18"/>
                <w:lang w:eastAsia="en-AU"/>
              </w:rPr>
            </w:pPr>
            <w:r w:rsidRPr="00B93188">
              <w:rPr>
                <w:rFonts w:ascii="Calibri" w:hAnsi="Calibri" w:cs="Arial"/>
                <w:b/>
                <w:bCs/>
                <w:sz w:val="18"/>
                <w:szCs w:val="18"/>
                <w:lang w:eastAsia="en-AU"/>
              </w:rPr>
              <w:t>Total Taxation</w:t>
            </w:r>
          </w:p>
        </w:tc>
        <w:tc>
          <w:tcPr>
            <w:tcW w:w="1216" w:type="dxa"/>
            <w:tcBorders>
              <w:top w:val="single" w:sz="4" w:space="0" w:color="auto"/>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1,310,267</w:t>
            </w:r>
          </w:p>
        </w:tc>
        <w:tc>
          <w:tcPr>
            <w:tcW w:w="1036" w:type="dxa"/>
            <w:tcBorders>
              <w:top w:val="single" w:sz="4" w:space="0" w:color="auto"/>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1,390,101</w:t>
            </w:r>
          </w:p>
        </w:tc>
        <w:tc>
          <w:tcPr>
            <w:tcW w:w="516" w:type="dxa"/>
            <w:tcBorders>
              <w:top w:val="single" w:sz="4" w:space="0" w:color="auto"/>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 xml:space="preserve">6 </w:t>
            </w:r>
          </w:p>
        </w:tc>
        <w:tc>
          <w:tcPr>
            <w:tcW w:w="1016" w:type="dxa"/>
            <w:tcBorders>
              <w:top w:val="single" w:sz="4" w:space="0" w:color="auto"/>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1,481,341</w:t>
            </w:r>
          </w:p>
        </w:tc>
        <w:tc>
          <w:tcPr>
            <w:tcW w:w="1016" w:type="dxa"/>
            <w:tcBorders>
              <w:top w:val="single" w:sz="4" w:space="0" w:color="auto"/>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1,582,168</w:t>
            </w:r>
          </w:p>
        </w:tc>
        <w:tc>
          <w:tcPr>
            <w:tcW w:w="1056" w:type="dxa"/>
            <w:tcBorders>
              <w:top w:val="single" w:sz="4" w:space="0" w:color="auto"/>
              <w:left w:val="nil"/>
              <w:bottom w:val="single" w:sz="4" w:space="0" w:color="auto"/>
              <w:right w:val="nil"/>
            </w:tcBorders>
            <w:shd w:val="clear" w:color="auto" w:fill="auto"/>
            <w:noWrap/>
            <w:hideMark/>
          </w:tcPr>
          <w:p w:rsidR="00B93188" w:rsidRPr="00B93188" w:rsidRDefault="00B93188" w:rsidP="00B93188">
            <w:pPr>
              <w:jc w:val="right"/>
              <w:rPr>
                <w:rFonts w:ascii="Calibri" w:hAnsi="Calibri" w:cs="Arial"/>
                <w:b/>
                <w:bCs/>
                <w:sz w:val="18"/>
                <w:szCs w:val="18"/>
                <w:lang w:eastAsia="en-AU"/>
              </w:rPr>
            </w:pPr>
            <w:r w:rsidRPr="00B93188">
              <w:rPr>
                <w:rFonts w:ascii="Calibri" w:hAnsi="Calibri" w:cs="Arial"/>
                <w:b/>
                <w:bCs/>
                <w:sz w:val="18"/>
                <w:szCs w:val="18"/>
                <w:lang w:eastAsia="en-AU"/>
              </w:rPr>
              <w:t>1,688,509</w:t>
            </w:r>
          </w:p>
        </w:tc>
      </w:tr>
    </w:tbl>
    <w:p w:rsidR="00B93188" w:rsidRPr="00B93188" w:rsidRDefault="00B93188" w:rsidP="00983072">
      <w:pPr>
        <w:keepNext/>
        <w:keepLines/>
        <w:spacing w:before="120" w:after="120"/>
        <w:jc w:val="both"/>
        <w:outlineLvl w:val="3"/>
        <w:rPr>
          <w:rFonts w:ascii="Calibri" w:hAnsi="Calibri"/>
          <w:i/>
          <w:sz w:val="24"/>
        </w:rPr>
      </w:pPr>
      <w:r w:rsidRPr="00B93188">
        <w:rPr>
          <w:rFonts w:ascii="Calibri" w:hAnsi="Calibri"/>
          <w:i/>
          <w:sz w:val="24"/>
        </w:rPr>
        <w:t>Payroll Tax</w:t>
      </w:r>
    </w:p>
    <w:p w:rsidR="00B93188" w:rsidRDefault="00B93188" w:rsidP="00983072">
      <w:pPr>
        <w:keepNext/>
        <w:keepLines/>
        <w:spacing w:before="120" w:after="120"/>
        <w:jc w:val="both"/>
        <w:rPr>
          <w:rFonts w:ascii="Calibri" w:hAnsi="Calibri"/>
          <w:sz w:val="24"/>
        </w:rPr>
      </w:pPr>
      <w:r w:rsidRPr="00B93188">
        <w:rPr>
          <w:rFonts w:ascii="Calibri" w:hAnsi="Calibri"/>
          <w:sz w:val="24"/>
        </w:rPr>
        <w:t>The payroll tax rate in the ACT remains unchanged at 6.85 per cent on wages and other taxable payments made by employers, where the Australia wide wages bill of the employer exceed the threshold.  From 1 July 2014, the threshold of $1.75 million per annum will be increased to $1.85 million per annum as part of the Government’s revenue initiatives in this Budget.  Refer to Taxation Reform (Chapter 6.2) for further information on this initiative.</w:t>
      </w:r>
    </w:p>
    <w:p w:rsidR="00AE4A72" w:rsidRDefault="00B93188" w:rsidP="00983072">
      <w:pPr>
        <w:keepNext/>
        <w:keepLines/>
        <w:spacing w:before="120" w:after="120"/>
        <w:jc w:val="both"/>
        <w:rPr>
          <w:rFonts w:ascii="Calibri" w:hAnsi="Calibri"/>
          <w:sz w:val="24"/>
        </w:rPr>
      </w:pPr>
      <w:r w:rsidRPr="00B93188">
        <w:rPr>
          <w:rFonts w:ascii="Calibri" w:hAnsi="Calibri"/>
          <w:sz w:val="24"/>
        </w:rPr>
        <w:t>The 2013-14 estimated outcome is $336.7 million and the forecast for 2014-15 is $363.</w:t>
      </w:r>
      <w:r w:rsidR="0072569F">
        <w:rPr>
          <w:rFonts w:ascii="Calibri" w:hAnsi="Calibri"/>
          <w:sz w:val="24"/>
        </w:rPr>
        <w:t>9 million.  The expected $27.</w:t>
      </w:r>
      <w:r w:rsidRPr="00B93188">
        <w:rPr>
          <w:rFonts w:ascii="Calibri" w:hAnsi="Calibri"/>
          <w:sz w:val="24"/>
        </w:rPr>
        <w:t xml:space="preserve">2 million increase in 2014-15 </w:t>
      </w:r>
      <w:r w:rsidR="00AE4A72">
        <w:rPr>
          <w:rFonts w:ascii="Calibri" w:hAnsi="Calibri"/>
          <w:sz w:val="24"/>
        </w:rPr>
        <w:t xml:space="preserve">is largely due to the payroll tax harmonisation initiative.  </w:t>
      </w:r>
      <w:r w:rsidR="00421994">
        <w:rPr>
          <w:rFonts w:ascii="Calibri" w:hAnsi="Calibri"/>
          <w:sz w:val="24"/>
        </w:rPr>
        <w:t>M</w:t>
      </w:r>
      <w:r w:rsidR="00AE4A72">
        <w:rPr>
          <w:rFonts w:ascii="Calibri" w:hAnsi="Calibri"/>
          <w:sz w:val="24"/>
        </w:rPr>
        <w:t>odest growth</w:t>
      </w:r>
      <w:r w:rsidR="00421994">
        <w:rPr>
          <w:rFonts w:ascii="Calibri" w:hAnsi="Calibri"/>
          <w:sz w:val="24"/>
        </w:rPr>
        <w:t xml:space="preserve"> is also forecast</w:t>
      </w:r>
      <w:r w:rsidR="00AE4A72">
        <w:rPr>
          <w:rFonts w:ascii="Calibri" w:hAnsi="Calibri"/>
          <w:sz w:val="24"/>
        </w:rPr>
        <w:t xml:space="preserve"> in employment and wages </w:t>
      </w:r>
      <w:r w:rsidRPr="00B93188">
        <w:rPr>
          <w:rFonts w:ascii="Calibri" w:hAnsi="Calibri"/>
          <w:sz w:val="24"/>
        </w:rPr>
        <w:t>in relevant sectors of the ACT economy</w:t>
      </w:r>
      <w:r w:rsidR="00AE4A72">
        <w:rPr>
          <w:rFonts w:ascii="Calibri" w:hAnsi="Calibri"/>
          <w:sz w:val="24"/>
        </w:rPr>
        <w:t>,</w:t>
      </w:r>
      <w:r w:rsidRPr="00B93188">
        <w:rPr>
          <w:rFonts w:ascii="Calibri" w:hAnsi="Calibri"/>
          <w:sz w:val="24"/>
        </w:rPr>
        <w:t xml:space="preserve"> offset by the increasing of the thr</w:t>
      </w:r>
      <w:r w:rsidR="00AE4A72">
        <w:rPr>
          <w:rFonts w:ascii="Calibri" w:hAnsi="Calibri"/>
          <w:sz w:val="24"/>
        </w:rPr>
        <w:t>eshold.</w:t>
      </w:r>
    </w:p>
    <w:p w:rsidR="00B93188" w:rsidRPr="00B93188" w:rsidRDefault="00AE4A72" w:rsidP="00983072">
      <w:pPr>
        <w:keepNext/>
        <w:keepLines/>
        <w:spacing w:before="120" w:after="120"/>
        <w:jc w:val="both"/>
        <w:rPr>
          <w:rFonts w:ascii="Calibri" w:hAnsi="Calibri"/>
          <w:i/>
          <w:sz w:val="24"/>
        </w:rPr>
      </w:pPr>
      <w:r>
        <w:rPr>
          <w:rFonts w:ascii="Calibri" w:hAnsi="Calibri"/>
          <w:sz w:val="24"/>
        </w:rPr>
        <w:br w:type="page"/>
      </w:r>
      <w:r w:rsidR="00B93188" w:rsidRPr="00B93188">
        <w:rPr>
          <w:rFonts w:ascii="Calibri" w:hAnsi="Calibri"/>
          <w:i/>
          <w:sz w:val="24"/>
        </w:rPr>
        <w:lastRenderedPageBreak/>
        <w:t>Tax Waivers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Tax waivers represent the amount of revenue that has been waived.  The revenue forgone generally relates to payroll tax, general rates and duties.  The estimated value of waivers is also reflected in expenses.  The grossing up of revenue and expenses enables tax treatments to be transparent.</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estimated outcome for 2013-14 is $0.161 million.  The forecast for 2014-15 is $0.165 million.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General Rates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General rates are levied on commercial and residential property owners to provide funding for a wide range of services for the ACT community.</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2013-14 estimated outcome for rates revenue is $337.4 million.  This is expected to increase to $379.9 million in 2014-15.  General rates revenue from existing properties will increase in 2014-15 by WPI and revenue replacement from taxation reforms.  These factors will result in an average annual general rates increase of around 10 per cent for both residential and commercial properties.</w:t>
      </w:r>
    </w:p>
    <w:p w:rsidR="00BA59ED" w:rsidRDefault="00B93188" w:rsidP="00983072">
      <w:pPr>
        <w:keepNext/>
        <w:keepLines/>
        <w:spacing w:before="120" w:after="120"/>
        <w:jc w:val="both"/>
        <w:rPr>
          <w:rFonts w:ascii="Calibri" w:hAnsi="Calibri"/>
          <w:sz w:val="24"/>
        </w:rPr>
      </w:pPr>
      <w:r w:rsidRPr="00B93188">
        <w:rPr>
          <w:rFonts w:ascii="Calibri" w:hAnsi="Calibri"/>
          <w:sz w:val="24"/>
        </w:rPr>
        <w:t>General rates revenue estimates also include expected revenue for new properties.  An adjustment for the estimated amount of pensioner rebates and discounts for ea</w:t>
      </w:r>
      <w:r w:rsidR="00BA59ED">
        <w:rPr>
          <w:rFonts w:ascii="Calibri" w:hAnsi="Calibri"/>
          <w:sz w:val="24"/>
        </w:rPr>
        <w:t>rly payment is made.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rating system in 2014-15 will have the following elements:</w:t>
      </w:r>
    </w:p>
    <w:p w:rsidR="00B93188" w:rsidRPr="00B93188" w:rsidRDefault="00B93188" w:rsidP="00983072">
      <w:pPr>
        <w:keepNext/>
        <w:keepLines/>
        <w:numPr>
          <w:ilvl w:val="0"/>
          <w:numId w:val="1"/>
        </w:numPr>
        <w:spacing w:after="120"/>
        <w:jc w:val="both"/>
        <w:rPr>
          <w:rFonts w:ascii="Calibri" w:hAnsi="Calibri"/>
          <w:sz w:val="24"/>
          <w:szCs w:val="24"/>
        </w:rPr>
      </w:pPr>
      <w:r w:rsidRPr="00B93188">
        <w:rPr>
          <w:rFonts w:ascii="Calibri" w:hAnsi="Calibri"/>
          <w:sz w:val="24"/>
          <w:szCs w:val="24"/>
        </w:rPr>
        <w:t>a fixed charge of:</w:t>
      </w:r>
    </w:p>
    <w:p w:rsidR="00B93188" w:rsidRPr="000453BB" w:rsidRDefault="00B93188" w:rsidP="00983072">
      <w:pPr>
        <w:pStyle w:val="NumberedNotes"/>
        <w:tabs>
          <w:tab w:val="clear" w:pos="782"/>
          <w:tab w:val="num" w:pos="567"/>
        </w:tabs>
        <w:spacing w:after="120"/>
        <w:ind w:left="567" w:hanging="283"/>
        <w:rPr>
          <w:sz w:val="24"/>
          <w:szCs w:val="24"/>
        </w:rPr>
      </w:pPr>
      <w:r w:rsidRPr="000453BB">
        <w:rPr>
          <w:sz w:val="24"/>
          <w:szCs w:val="24"/>
        </w:rPr>
        <w:t>$675 for residential properties;</w:t>
      </w:r>
    </w:p>
    <w:p w:rsidR="00B93188" w:rsidRPr="000453BB" w:rsidRDefault="00B93188" w:rsidP="00983072">
      <w:pPr>
        <w:pStyle w:val="NumberedNotes"/>
        <w:tabs>
          <w:tab w:val="clear" w:pos="782"/>
          <w:tab w:val="num" w:pos="567"/>
        </w:tabs>
        <w:spacing w:after="120"/>
        <w:ind w:left="567" w:hanging="283"/>
        <w:rPr>
          <w:sz w:val="24"/>
          <w:szCs w:val="24"/>
        </w:rPr>
      </w:pPr>
      <w:r w:rsidRPr="000453BB">
        <w:rPr>
          <w:sz w:val="24"/>
          <w:szCs w:val="24"/>
        </w:rPr>
        <w:t>$145 for rural properties; and</w:t>
      </w:r>
    </w:p>
    <w:p w:rsidR="00B93188" w:rsidRPr="000453BB" w:rsidRDefault="00B93188" w:rsidP="00983072">
      <w:pPr>
        <w:pStyle w:val="NumberedNotes"/>
        <w:tabs>
          <w:tab w:val="clear" w:pos="782"/>
          <w:tab w:val="num" w:pos="567"/>
        </w:tabs>
        <w:spacing w:after="120"/>
        <w:ind w:left="567" w:hanging="283"/>
        <w:rPr>
          <w:sz w:val="24"/>
          <w:szCs w:val="24"/>
        </w:rPr>
      </w:pPr>
      <w:r w:rsidRPr="000453BB">
        <w:rPr>
          <w:sz w:val="24"/>
          <w:szCs w:val="24"/>
        </w:rPr>
        <w:t>$1,915 for commercial properties.</w:t>
      </w:r>
    </w:p>
    <w:p w:rsidR="00B93188" w:rsidRPr="00B93188" w:rsidRDefault="00B93188" w:rsidP="00983072">
      <w:pPr>
        <w:keepNext/>
        <w:keepLines/>
        <w:numPr>
          <w:ilvl w:val="0"/>
          <w:numId w:val="1"/>
        </w:numPr>
        <w:spacing w:after="120"/>
        <w:jc w:val="both"/>
        <w:rPr>
          <w:rFonts w:ascii="Calibri" w:hAnsi="Calibri"/>
          <w:sz w:val="24"/>
          <w:szCs w:val="24"/>
        </w:rPr>
      </w:pPr>
      <w:r w:rsidRPr="00B93188">
        <w:rPr>
          <w:rFonts w:ascii="Calibri" w:hAnsi="Calibri"/>
          <w:sz w:val="24"/>
          <w:szCs w:val="24"/>
        </w:rPr>
        <w:t>a valuation based charge on the Average Unimproved Land Value (AUV) for 2014 (which is the average of 2012, 2013 and 2014 land values);</w:t>
      </w:r>
    </w:p>
    <w:p w:rsidR="00B93188" w:rsidRPr="00B93188" w:rsidRDefault="00B93188" w:rsidP="00983072">
      <w:pPr>
        <w:keepNext/>
        <w:keepLines/>
        <w:numPr>
          <w:ilvl w:val="0"/>
          <w:numId w:val="1"/>
        </w:numPr>
        <w:spacing w:after="120"/>
        <w:ind w:left="357" w:hanging="357"/>
        <w:jc w:val="both"/>
        <w:rPr>
          <w:rFonts w:ascii="Calibri" w:hAnsi="Calibri"/>
          <w:sz w:val="24"/>
          <w:szCs w:val="24"/>
        </w:rPr>
      </w:pPr>
      <w:r w:rsidRPr="00B93188">
        <w:rPr>
          <w:rFonts w:ascii="Calibri" w:hAnsi="Calibri"/>
          <w:sz w:val="24"/>
          <w:szCs w:val="24"/>
        </w:rPr>
        <w:t>marginal rating factors applied to the AUV of residential properties (Table 6.1.3):</w:t>
      </w:r>
    </w:p>
    <w:p w:rsidR="00B93188" w:rsidRPr="00B93188" w:rsidRDefault="00B93188" w:rsidP="00B93188">
      <w:pPr>
        <w:keepNext/>
        <w:keepLines/>
        <w:spacing w:before="60"/>
        <w:jc w:val="center"/>
        <w:rPr>
          <w:rFonts w:ascii="Arial" w:hAnsi="Arial"/>
          <w:b/>
        </w:rPr>
      </w:pPr>
      <w:r w:rsidRPr="00B93188">
        <w:rPr>
          <w:rFonts w:ascii="Arial" w:hAnsi="Arial"/>
          <w:b/>
        </w:rPr>
        <w:t>Table 6.1.3</w:t>
      </w:r>
    </w:p>
    <w:p w:rsidR="00B93188" w:rsidRPr="00B93188" w:rsidRDefault="00B93188" w:rsidP="00B93188">
      <w:pPr>
        <w:keepNext/>
        <w:keepLines/>
        <w:spacing w:after="120"/>
        <w:jc w:val="center"/>
        <w:rPr>
          <w:rFonts w:ascii="Arial" w:hAnsi="Arial"/>
          <w:b/>
        </w:rPr>
      </w:pPr>
      <w:r w:rsidRPr="00B93188">
        <w:rPr>
          <w:rFonts w:ascii="Arial" w:hAnsi="Arial"/>
          <w:b/>
        </w:rPr>
        <w:t>General Rates Marginal Rates</w:t>
      </w:r>
    </w:p>
    <w:tbl>
      <w:tblPr>
        <w:tblW w:w="0" w:type="auto"/>
        <w:jc w:val="center"/>
        <w:tblLook w:val="04A0"/>
      </w:tblPr>
      <w:tblGrid>
        <w:gridCol w:w="1998"/>
        <w:gridCol w:w="1467"/>
      </w:tblGrid>
      <w:tr w:rsidR="00B93188" w:rsidRPr="00C65746" w:rsidTr="00B93188">
        <w:trPr>
          <w:trHeight w:val="219"/>
          <w:jc w:val="center"/>
        </w:trPr>
        <w:tc>
          <w:tcPr>
            <w:tcW w:w="0" w:type="auto"/>
            <w:tcBorders>
              <w:top w:val="single" w:sz="4" w:space="0" w:color="auto"/>
              <w:left w:val="nil"/>
              <w:bottom w:val="single" w:sz="4" w:space="0" w:color="auto"/>
              <w:right w:val="nil"/>
            </w:tcBorders>
            <w:shd w:val="clear" w:color="auto" w:fill="auto"/>
            <w:noWrap/>
            <w:vAlign w:val="bottom"/>
            <w:hideMark/>
          </w:tcPr>
          <w:p w:rsidR="00B93188" w:rsidRPr="00C65746" w:rsidRDefault="00B93188" w:rsidP="00B93188">
            <w:pPr>
              <w:rPr>
                <w:rFonts w:ascii="Calibri" w:hAnsi="Calibri" w:cs="Arial"/>
                <w:b/>
              </w:rPr>
            </w:pPr>
            <w:r w:rsidRPr="00C65746">
              <w:rPr>
                <w:rFonts w:ascii="Calibri" w:hAnsi="Calibri" w:cs="Arial"/>
                <w:b/>
              </w:rPr>
              <w:t>Thresholds</w:t>
            </w:r>
          </w:p>
        </w:tc>
        <w:tc>
          <w:tcPr>
            <w:tcW w:w="0" w:type="auto"/>
            <w:tcBorders>
              <w:top w:val="single" w:sz="4" w:space="0" w:color="auto"/>
              <w:left w:val="nil"/>
              <w:bottom w:val="single" w:sz="4" w:space="0" w:color="auto"/>
              <w:right w:val="nil"/>
            </w:tcBorders>
            <w:shd w:val="clear" w:color="auto" w:fill="auto"/>
            <w:noWrap/>
            <w:vAlign w:val="bottom"/>
            <w:hideMark/>
          </w:tcPr>
          <w:p w:rsidR="00B93188" w:rsidRPr="00C65746" w:rsidRDefault="00B93188" w:rsidP="00B93188">
            <w:pPr>
              <w:rPr>
                <w:rFonts w:ascii="Calibri" w:hAnsi="Calibri" w:cs="Arial"/>
                <w:b/>
              </w:rPr>
            </w:pPr>
            <w:r w:rsidRPr="00C65746">
              <w:rPr>
                <w:rFonts w:ascii="Calibri" w:hAnsi="Calibri" w:cs="Arial"/>
                <w:b/>
              </w:rPr>
              <w:t>Marginal Rates</w:t>
            </w:r>
          </w:p>
        </w:tc>
      </w:tr>
      <w:tr w:rsidR="00B93188" w:rsidRPr="00C65746" w:rsidTr="00B93188">
        <w:trPr>
          <w:trHeight w:val="219"/>
          <w:jc w:val="center"/>
        </w:trPr>
        <w:tc>
          <w:tcPr>
            <w:tcW w:w="0" w:type="auto"/>
            <w:tcBorders>
              <w:top w:val="nil"/>
              <w:left w:val="nil"/>
              <w:bottom w:val="nil"/>
              <w:right w:val="nil"/>
            </w:tcBorders>
            <w:shd w:val="clear" w:color="auto" w:fill="auto"/>
            <w:noWrap/>
            <w:vAlign w:val="bottom"/>
            <w:hideMark/>
          </w:tcPr>
          <w:p w:rsidR="00B93188" w:rsidRPr="00C65746" w:rsidRDefault="00B93188" w:rsidP="00B93188">
            <w:pPr>
              <w:rPr>
                <w:rFonts w:ascii="Calibri" w:hAnsi="Calibri" w:cs="Arial"/>
              </w:rPr>
            </w:pPr>
            <w:r w:rsidRPr="00C65746">
              <w:rPr>
                <w:rFonts w:ascii="Calibri" w:hAnsi="Calibri" w:cs="Arial"/>
              </w:rPr>
              <w:t>0 to $150,000</w:t>
            </w:r>
          </w:p>
        </w:tc>
        <w:tc>
          <w:tcPr>
            <w:tcW w:w="0" w:type="auto"/>
            <w:tcBorders>
              <w:top w:val="nil"/>
              <w:left w:val="nil"/>
              <w:bottom w:val="nil"/>
              <w:right w:val="nil"/>
            </w:tcBorders>
            <w:shd w:val="clear" w:color="auto" w:fill="auto"/>
            <w:noWrap/>
            <w:hideMark/>
          </w:tcPr>
          <w:p w:rsidR="00B93188" w:rsidRPr="00C65746" w:rsidRDefault="00B93188" w:rsidP="00B93188">
            <w:pPr>
              <w:jc w:val="right"/>
              <w:rPr>
                <w:rFonts w:ascii="Calibri" w:hAnsi="Calibri" w:cs="Arial"/>
              </w:rPr>
            </w:pPr>
            <w:r w:rsidRPr="00C65746">
              <w:rPr>
                <w:rFonts w:ascii="Calibri" w:hAnsi="Calibri" w:cs="Arial"/>
              </w:rPr>
              <w:t>0.2547%</w:t>
            </w:r>
          </w:p>
        </w:tc>
      </w:tr>
      <w:tr w:rsidR="00B93188" w:rsidRPr="00C65746" w:rsidTr="00B93188">
        <w:trPr>
          <w:trHeight w:val="219"/>
          <w:jc w:val="center"/>
        </w:trPr>
        <w:tc>
          <w:tcPr>
            <w:tcW w:w="0" w:type="auto"/>
            <w:tcBorders>
              <w:top w:val="nil"/>
              <w:left w:val="nil"/>
              <w:bottom w:val="nil"/>
              <w:right w:val="nil"/>
            </w:tcBorders>
            <w:shd w:val="clear" w:color="auto" w:fill="auto"/>
            <w:noWrap/>
            <w:vAlign w:val="bottom"/>
            <w:hideMark/>
          </w:tcPr>
          <w:p w:rsidR="00B93188" w:rsidRPr="00C65746" w:rsidRDefault="00B93188" w:rsidP="00B93188">
            <w:pPr>
              <w:rPr>
                <w:rFonts w:ascii="Calibri" w:hAnsi="Calibri" w:cs="Arial"/>
              </w:rPr>
            </w:pPr>
            <w:r w:rsidRPr="00C65746">
              <w:rPr>
                <w:rFonts w:ascii="Calibri" w:hAnsi="Calibri" w:cs="Arial"/>
              </w:rPr>
              <w:t>$150,001 to $300,000</w:t>
            </w:r>
          </w:p>
        </w:tc>
        <w:tc>
          <w:tcPr>
            <w:tcW w:w="0" w:type="auto"/>
            <w:tcBorders>
              <w:top w:val="nil"/>
              <w:left w:val="nil"/>
              <w:bottom w:val="nil"/>
              <w:right w:val="nil"/>
            </w:tcBorders>
            <w:shd w:val="clear" w:color="auto" w:fill="auto"/>
            <w:noWrap/>
            <w:hideMark/>
          </w:tcPr>
          <w:p w:rsidR="00B93188" w:rsidRPr="00C65746" w:rsidRDefault="00B93188" w:rsidP="00B93188">
            <w:pPr>
              <w:jc w:val="right"/>
              <w:rPr>
                <w:rFonts w:ascii="Calibri" w:hAnsi="Calibri" w:cs="Arial"/>
              </w:rPr>
            </w:pPr>
            <w:r w:rsidRPr="00C65746">
              <w:rPr>
                <w:rFonts w:ascii="Calibri" w:hAnsi="Calibri" w:cs="Arial"/>
              </w:rPr>
              <w:t>0.3571%</w:t>
            </w:r>
          </w:p>
        </w:tc>
      </w:tr>
      <w:tr w:rsidR="00B93188" w:rsidRPr="00C65746" w:rsidTr="00B93188">
        <w:trPr>
          <w:trHeight w:val="219"/>
          <w:jc w:val="center"/>
        </w:trPr>
        <w:tc>
          <w:tcPr>
            <w:tcW w:w="0" w:type="auto"/>
            <w:tcBorders>
              <w:top w:val="nil"/>
              <w:left w:val="nil"/>
              <w:right w:val="nil"/>
            </w:tcBorders>
            <w:shd w:val="clear" w:color="auto" w:fill="auto"/>
            <w:noWrap/>
            <w:vAlign w:val="bottom"/>
            <w:hideMark/>
          </w:tcPr>
          <w:p w:rsidR="00B93188" w:rsidRPr="00C65746" w:rsidRDefault="00B93188" w:rsidP="00B93188">
            <w:pPr>
              <w:rPr>
                <w:rFonts w:ascii="Calibri" w:hAnsi="Calibri" w:cs="Arial"/>
              </w:rPr>
            </w:pPr>
            <w:r w:rsidRPr="00C65746">
              <w:rPr>
                <w:rFonts w:ascii="Calibri" w:hAnsi="Calibri" w:cs="Arial"/>
              </w:rPr>
              <w:t>$300,001 to $450,000</w:t>
            </w:r>
          </w:p>
        </w:tc>
        <w:tc>
          <w:tcPr>
            <w:tcW w:w="0" w:type="auto"/>
            <w:tcBorders>
              <w:top w:val="nil"/>
              <w:left w:val="nil"/>
              <w:right w:val="nil"/>
            </w:tcBorders>
            <w:shd w:val="clear" w:color="auto" w:fill="auto"/>
            <w:noWrap/>
            <w:hideMark/>
          </w:tcPr>
          <w:p w:rsidR="00B93188" w:rsidRPr="00C65746" w:rsidRDefault="00B93188" w:rsidP="00B93188">
            <w:pPr>
              <w:jc w:val="right"/>
              <w:rPr>
                <w:rFonts w:ascii="Calibri" w:hAnsi="Calibri" w:cs="Arial"/>
              </w:rPr>
            </w:pPr>
            <w:r w:rsidRPr="00C65746">
              <w:rPr>
                <w:rFonts w:ascii="Calibri" w:hAnsi="Calibri" w:cs="Arial"/>
              </w:rPr>
              <w:t>0.4287%</w:t>
            </w:r>
          </w:p>
        </w:tc>
      </w:tr>
      <w:tr w:rsidR="00B93188" w:rsidRPr="00C65746" w:rsidTr="00B93188">
        <w:trPr>
          <w:trHeight w:val="219"/>
          <w:jc w:val="center"/>
        </w:trPr>
        <w:tc>
          <w:tcPr>
            <w:tcW w:w="0" w:type="auto"/>
            <w:tcBorders>
              <w:top w:val="nil"/>
              <w:left w:val="nil"/>
              <w:bottom w:val="single" w:sz="4" w:space="0" w:color="auto"/>
              <w:right w:val="nil"/>
            </w:tcBorders>
            <w:shd w:val="clear" w:color="auto" w:fill="auto"/>
            <w:noWrap/>
            <w:vAlign w:val="bottom"/>
            <w:hideMark/>
          </w:tcPr>
          <w:p w:rsidR="00B93188" w:rsidRPr="00C65746" w:rsidRDefault="00B93188" w:rsidP="00B93188">
            <w:pPr>
              <w:rPr>
                <w:rFonts w:ascii="Calibri" w:hAnsi="Calibri" w:cs="Arial"/>
              </w:rPr>
            </w:pPr>
            <w:r w:rsidRPr="00C65746">
              <w:rPr>
                <w:rFonts w:ascii="Calibri" w:hAnsi="Calibri" w:cs="Arial"/>
              </w:rPr>
              <w:t>$450,001 and above</w:t>
            </w:r>
          </w:p>
        </w:tc>
        <w:tc>
          <w:tcPr>
            <w:tcW w:w="0" w:type="auto"/>
            <w:tcBorders>
              <w:top w:val="nil"/>
              <w:left w:val="nil"/>
              <w:bottom w:val="single" w:sz="4" w:space="0" w:color="auto"/>
              <w:right w:val="nil"/>
            </w:tcBorders>
            <w:shd w:val="clear" w:color="auto" w:fill="auto"/>
            <w:noWrap/>
            <w:hideMark/>
          </w:tcPr>
          <w:p w:rsidR="00B93188" w:rsidRPr="00C65746" w:rsidRDefault="00B93188" w:rsidP="00B93188">
            <w:pPr>
              <w:jc w:val="right"/>
              <w:rPr>
                <w:rFonts w:ascii="Calibri" w:hAnsi="Calibri" w:cs="Arial"/>
              </w:rPr>
            </w:pPr>
            <w:r w:rsidRPr="00C65746">
              <w:rPr>
                <w:rFonts w:ascii="Calibri" w:hAnsi="Calibri" w:cs="Arial"/>
              </w:rPr>
              <w:t>0.4873%</w:t>
            </w:r>
          </w:p>
        </w:tc>
      </w:tr>
    </w:tbl>
    <w:p w:rsidR="00B93188" w:rsidRPr="00B93188" w:rsidRDefault="00B93188" w:rsidP="00B93188">
      <w:pPr>
        <w:keepNext/>
        <w:keepLines/>
        <w:spacing w:after="120"/>
        <w:jc w:val="center"/>
        <w:rPr>
          <w:rFonts w:ascii="Arial" w:hAnsi="Arial"/>
          <w:b/>
        </w:rPr>
      </w:pPr>
    </w:p>
    <w:p w:rsidR="00B93188" w:rsidRPr="00B93188" w:rsidRDefault="00983072" w:rsidP="00983072">
      <w:pPr>
        <w:numPr>
          <w:ilvl w:val="0"/>
          <w:numId w:val="1"/>
        </w:numPr>
        <w:spacing w:after="120"/>
        <w:ind w:left="357" w:hanging="357"/>
        <w:jc w:val="both"/>
        <w:rPr>
          <w:rFonts w:ascii="Calibri" w:hAnsi="Calibri"/>
          <w:sz w:val="24"/>
          <w:szCs w:val="24"/>
        </w:rPr>
      </w:pPr>
      <w:r>
        <w:rPr>
          <w:rFonts w:ascii="Calibri" w:hAnsi="Calibri"/>
          <w:sz w:val="24"/>
          <w:szCs w:val="24"/>
        </w:rPr>
        <w:br w:type="page"/>
      </w:r>
      <w:r w:rsidR="00B93188" w:rsidRPr="00B93188">
        <w:rPr>
          <w:rFonts w:ascii="Calibri" w:hAnsi="Calibri"/>
          <w:sz w:val="24"/>
          <w:szCs w:val="24"/>
        </w:rPr>
        <w:lastRenderedPageBreak/>
        <w:t>marginal rating factors applied to the AUV of commercial properties (Table 6.1.4):</w:t>
      </w:r>
    </w:p>
    <w:p w:rsidR="00B93188" w:rsidRPr="00B93188" w:rsidRDefault="00B93188" w:rsidP="00B93188">
      <w:pPr>
        <w:keepNext/>
        <w:keepLines/>
        <w:spacing w:before="120"/>
        <w:jc w:val="center"/>
        <w:rPr>
          <w:rFonts w:ascii="Arial" w:hAnsi="Arial"/>
          <w:b/>
        </w:rPr>
      </w:pPr>
      <w:r w:rsidRPr="00B93188">
        <w:rPr>
          <w:rFonts w:ascii="Arial" w:hAnsi="Arial"/>
          <w:b/>
        </w:rPr>
        <w:t>Table 6.1.4</w:t>
      </w:r>
    </w:p>
    <w:p w:rsidR="00B93188" w:rsidRPr="00B93188" w:rsidRDefault="00B93188" w:rsidP="00B93188">
      <w:pPr>
        <w:keepNext/>
        <w:keepLines/>
        <w:spacing w:after="120"/>
        <w:jc w:val="center"/>
        <w:rPr>
          <w:rFonts w:ascii="Arial" w:hAnsi="Arial"/>
          <w:b/>
        </w:rPr>
      </w:pPr>
      <w:r w:rsidRPr="00B93188">
        <w:rPr>
          <w:rFonts w:ascii="Arial" w:hAnsi="Arial"/>
          <w:b/>
        </w:rPr>
        <w:t>General Rates Marginal Rates</w:t>
      </w:r>
    </w:p>
    <w:tbl>
      <w:tblPr>
        <w:tblW w:w="4065" w:type="dxa"/>
        <w:jc w:val="center"/>
        <w:tblLook w:val="04A0"/>
      </w:tblPr>
      <w:tblGrid>
        <w:gridCol w:w="2344"/>
        <w:gridCol w:w="1721"/>
      </w:tblGrid>
      <w:tr w:rsidR="00B93188" w:rsidRPr="00C65746" w:rsidTr="00B93188">
        <w:trPr>
          <w:trHeight w:val="196"/>
          <w:jc w:val="center"/>
        </w:trPr>
        <w:tc>
          <w:tcPr>
            <w:tcW w:w="0" w:type="auto"/>
            <w:tcBorders>
              <w:top w:val="single" w:sz="4" w:space="0" w:color="auto"/>
              <w:left w:val="nil"/>
              <w:bottom w:val="single" w:sz="4" w:space="0" w:color="auto"/>
              <w:right w:val="nil"/>
            </w:tcBorders>
            <w:shd w:val="clear" w:color="auto" w:fill="auto"/>
            <w:noWrap/>
            <w:vAlign w:val="bottom"/>
            <w:hideMark/>
          </w:tcPr>
          <w:p w:rsidR="00B93188" w:rsidRPr="00C65746" w:rsidRDefault="00B93188" w:rsidP="00B93188">
            <w:pPr>
              <w:rPr>
                <w:rFonts w:ascii="Calibri" w:hAnsi="Calibri"/>
                <w:b/>
                <w:bCs/>
                <w:color w:val="000000"/>
                <w:lang w:eastAsia="en-AU"/>
              </w:rPr>
            </w:pPr>
            <w:r w:rsidRPr="00C65746">
              <w:rPr>
                <w:rFonts w:ascii="Calibri" w:hAnsi="Calibri"/>
                <w:b/>
                <w:bCs/>
                <w:color w:val="000000"/>
                <w:lang w:eastAsia="en-AU"/>
              </w:rPr>
              <w:t>Threshold</w:t>
            </w:r>
          </w:p>
        </w:tc>
        <w:tc>
          <w:tcPr>
            <w:tcW w:w="0" w:type="auto"/>
            <w:tcBorders>
              <w:top w:val="single" w:sz="4" w:space="0" w:color="auto"/>
              <w:left w:val="nil"/>
              <w:bottom w:val="single" w:sz="4" w:space="0" w:color="auto"/>
              <w:right w:val="nil"/>
            </w:tcBorders>
            <w:shd w:val="clear" w:color="auto" w:fill="auto"/>
            <w:noWrap/>
            <w:vAlign w:val="bottom"/>
            <w:hideMark/>
          </w:tcPr>
          <w:p w:rsidR="00B93188" w:rsidRPr="00C65746" w:rsidRDefault="00B93188" w:rsidP="00B93188">
            <w:pPr>
              <w:jc w:val="center"/>
              <w:rPr>
                <w:rFonts w:ascii="Calibri" w:hAnsi="Calibri"/>
                <w:b/>
                <w:bCs/>
                <w:color w:val="000000"/>
                <w:lang w:eastAsia="en-AU"/>
              </w:rPr>
            </w:pPr>
            <w:r w:rsidRPr="00C65746">
              <w:rPr>
                <w:rFonts w:ascii="Calibri" w:hAnsi="Calibri"/>
                <w:b/>
                <w:bCs/>
                <w:color w:val="000000"/>
                <w:lang w:eastAsia="en-AU"/>
              </w:rPr>
              <w:t>Marginal Rates</w:t>
            </w:r>
          </w:p>
        </w:tc>
      </w:tr>
      <w:tr w:rsidR="00B93188" w:rsidRPr="00C65746" w:rsidTr="00B93188">
        <w:trPr>
          <w:trHeight w:val="196"/>
          <w:jc w:val="center"/>
        </w:trPr>
        <w:tc>
          <w:tcPr>
            <w:tcW w:w="0" w:type="auto"/>
            <w:tcBorders>
              <w:top w:val="nil"/>
              <w:left w:val="nil"/>
              <w:bottom w:val="nil"/>
              <w:right w:val="nil"/>
            </w:tcBorders>
            <w:shd w:val="clear" w:color="auto" w:fill="auto"/>
            <w:noWrap/>
            <w:vAlign w:val="bottom"/>
            <w:hideMark/>
          </w:tcPr>
          <w:p w:rsidR="00B93188" w:rsidRPr="00C65746" w:rsidRDefault="00B93188" w:rsidP="00B93188">
            <w:pPr>
              <w:rPr>
                <w:rFonts w:ascii="Calibri" w:hAnsi="Calibri"/>
                <w:color w:val="000000"/>
                <w:lang w:eastAsia="en-AU"/>
              </w:rPr>
            </w:pPr>
            <w:r w:rsidRPr="00C65746">
              <w:rPr>
                <w:rFonts w:ascii="Calibri" w:hAnsi="Calibri"/>
                <w:color w:val="000000"/>
                <w:lang w:eastAsia="en-AU"/>
              </w:rPr>
              <w:t>0 to $150,000</w:t>
            </w:r>
          </w:p>
        </w:tc>
        <w:tc>
          <w:tcPr>
            <w:tcW w:w="0" w:type="auto"/>
            <w:tcBorders>
              <w:top w:val="nil"/>
              <w:left w:val="nil"/>
              <w:bottom w:val="nil"/>
              <w:right w:val="nil"/>
            </w:tcBorders>
            <w:shd w:val="clear" w:color="auto" w:fill="auto"/>
            <w:noWrap/>
            <w:hideMark/>
          </w:tcPr>
          <w:p w:rsidR="00B93188" w:rsidRPr="00C65746" w:rsidRDefault="00B93188" w:rsidP="00B93188">
            <w:pPr>
              <w:jc w:val="right"/>
              <w:rPr>
                <w:rFonts w:ascii="Calibri" w:hAnsi="Calibri"/>
                <w:color w:val="000000"/>
                <w:lang w:eastAsia="en-AU"/>
              </w:rPr>
            </w:pPr>
            <w:r w:rsidRPr="00C65746">
              <w:rPr>
                <w:rFonts w:ascii="Calibri" w:hAnsi="Calibri"/>
              </w:rPr>
              <w:t>2.4134%</w:t>
            </w:r>
          </w:p>
        </w:tc>
      </w:tr>
      <w:tr w:rsidR="00B93188" w:rsidRPr="00C65746" w:rsidTr="00B93188">
        <w:trPr>
          <w:trHeight w:val="196"/>
          <w:jc w:val="center"/>
        </w:trPr>
        <w:tc>
          <w:tcPr>
            <w:tcW w:w="0" w:type="auto"/>
            <w:tcBorders>
              <w:top w:val="nil"/>
              <w:left w:val="nil"/>
              <w:bottom w:val="nil"/>
              <w:right w:val="nil"/>
            </w:tcBorders>
            <w:shd w:val="clear" w:color="auto" w:fill="auto"/>
            <w:noWrap/>
            <w:vAlign w:val="bottom"/>
            <w:hideMark/>
          </w:tcPr>
          <w:p w:rsidR="00B93188" w:rsidRPr="00C65746" w:rsidRDefault="00B93188" w:rsidP="00B93188">
            <w:pPr>
              <w:rPr>
                <w:rFonts w:ascii="Calibri" w:hAnsi="Calibri"/>
                <w:color w:val="000000"/>
                <w:lang w:eastAsia="en-AU"/>
              </w:rPr>
            </w:pPr>
            <w:r w:rsidRPr="00C65746">
              <w:rPr>
                <w:rFonts w:ascii="Calibri" w:hAnsi="Calibri"/>
                <w:color w:val="000000"/>
                <w:lang w:eastAsia="en-AU"/>
              </w:rPr>
              <w:t>$150,001 to $275,000</w:t>
            </w:r>
          </w:p>
        </w:tc>
        <w:tc>
          <w:tcPr>
            <w:tcW w:w="0" w:type="auto"/>
            <w:tcBorders>
              <w:top w:val="nil"/>
              <w:left w:val="nil"/>
              <w:bottom w:val="nil"/>
              <w:right w:val="nil"/>
            </w:tcBorders>
            <w:shd w:val="clear" w:color="auto" w:fill="auto"/>
            <w:noWrap/>
            <w:hideMark/>
          </w:tcPr>
          <w:p w:rsidR="00B93188" w:rsidRPr="00C65746" w:rsidRDefault="00B93188" w:rsidP="00B93188">
            <w:pPr>
              <w:jc w:val="right"/>
              <w:rPr>
                <w:rFonts w:ascii="Calibri" w:hAnsi="Calibri"/>
                <w:color w:val="000000"/>
                <w:lang w:eastAsia="en-AU"/>
              </w:rPr>
            </w:pPr>
            <w:r w:rsidRPr="00C65746">
              <w:rPr>
                <w:rFonts w:ascii="Calibri" w:hAnsi="Calibri"/>
              </w:rPr>
              <w:t>2.7957%</w:t>
            </w:r>
          </w:p>
        </w:tc>
      </w:tr>
      <w:tr w:rsidR="00B93188" w:rsidRPr="00C65746" w:rsidTr="00B93188">
        <w:trPr>
          <w:trHeight w:val="196"/>
          <w:jc w:val="center"/>
        </w:trPr>
        <w:tc>
          <w:tcPr>
            <w:tcW w:w="0" w:type="auto"/>
            <w:tcBorders>
              <w:top w:val="nil"/>
              <w:left w:val="nil"/>
              <w:bottom w:val="single" w:sz="4" w:space="0" w:color="auto"/>
              <w:right w:val="nil"/>
            </w:tcBorders>
            <w:shd w:val="clear" w:color="auto" w:fill="auto"/>
            <w:noWrap/>
            <w:vAlign w:val="bottom"/>
            <w:hideMark/>
          </w:tcPr>
          <w:p w:rsidR="00B93188" w:rsidRPr="00C65746" w:rsidRDefault="00B93188" w:rsidP="00B93188">
            <w:pPr>
              <w:rPr>
                <w:rFonts w:ascii="Calibri" w:hAnsi="Calibri"/>
                <w:color w:val="000000"/>
                <w:lang w:eastAsia="en-AU"/>
              </w:rPr>
            </w:pPr>
            <w:r w:rsidRPr="00C65746">
              <w:rPr>
                <w:rFonts w:ascii="Calibri" w:hAnsi="Calibri"/>
                <w:color w:val="000000"/>
                <w:lang w:eastAsia="en-AU"/>
              </w:rPr>
              <w:t>$275,001 and above</w:t>
            </w:r>
          </w:p>
        </w:tc>
        <w:tc>
          <w:tcPr>
            <w:tcW w:w="0" w:type="auto"/>
            <w:tcBorders>
              <w:top w:val="nil"/>
              <w:left w:val="nil"/>
              <w:bottom w:val="single" w:sz="4" w:space="0" w:color="auto"/>
              <w:right w:val="nil"/>
            </w:tcBorders>
            <w:shd w:val="clear" w:color="auto" w:fill="auto"/>
            <w:noWrap/>
            <w:hideMark/>
          </w:tcPr>
          <w:p w:rsidR="00B93188" w:rsidRPr="00C65746" w:rsidRDefault="00B93188" w:rsidP="00B93188">
            <w:pPr>
              <w:jc w:val="right"/>
              <w:rPr>
                <w:rFonts w:ascii="Calibri" w:hAnsi="Calibri"/>
                <w:color w:val="000000"/>
                <w:lang w:eastAsia="en-AU"/>
              </w:rPr>
            </w:pPr>
            <w:r w:rsidRPr="00C65746">
              <w:rPr>
                <w:rFonts w:ascii="Calibri" w:hAnsi="Calibri"/>
              </w:rPr>
              <w:t>4.0245%</w:t>
            </w:r>
          </w:p>
        </w:tc>
      </w:tr>
    </w:tbl>
    <w:p w:rsidR="00B93188" w:rsidRPr="00B93188" w:rsidRDefault="00B93188" w:rsidP="00B93188">
      <w:pPr>
        <w:keepNext/>
        <w:keepLines/>
        <w:spacing w:after="120"/>
        <w:jc w:val="both"/>
        <w:rPr>
          <w:rFonts w:ascii="Calibri" w:hAnsi="Calibri"/>
          <w:sz w:val="2"/>
          <w:szCs w:val="2"/>
        </w:rPr>
      </w:pPr>
    </w:p>
    <w:p w:rsidR="00B93188" w:rsidRPr="00B93188" w:rsidRDefault="00B93188" w:rsidP="00983072">
      <w:pPr>
        <w:keepNext/>
        <w:keepLines/>
        <w:numPr>
          <w:ilvl w:val="0"/>
          <w:numId w:val="1"/>
        </w:numPr>
        <w:spacing w:after="120"/>
        <w:jc w:val="both"/>
        <w:rPr>
          <w:rFonts w:ascii="Calibri" w:hAnsi="Calibri"/>
          <w:sz w:val="24"/>
          <w:szCs w:val="24"/>
        </w:rPr>
      </w:pPr>
      <w:r w:rsidRPr="00B93188">
        <w:rPr>
          <w:rFonts w:ascii="Calibri" w:hAnsi="Calibri"/>
          <w:sz w:val="24"/>
          <w:szCs w:val="24"/>
        </w:rPr>
        <w:t>a rating factor of 0.1468 per cent applied to the AUV of rural properties; and</w:t>
      </w:r>
    </w:p>
    <w:p w:rsidR="00B93188" w:rsidRPr="00B93188" w:rsidRDefault="00B93188" w:rsidP="00983072">
      <w:pPr>
        <w:keepNext/>
        <w:keepLines/>
        <w:numPr>
          <w:ilvl w:val="0"/>
          <w:numId w:val="1"/>
        </w:numPr>
        <w:spacing w:after="120"/>
        <w:jc w:val="both"/>
        <w:rPr>
          <w:rFonts w:ascii="Calibri" w:hAnsi="Calibri"/>
          <w:sz w:val="24"/>
          <w:szCs w:val="24"/>
        </w:rPr>
      </w:pPr>
      <w:r w:rsidRPr="00B93188">
        <w:rPr>
          <w:rFonts w:ascii="Calibri" w:hAnsi="Calibri"/>
          <w:sz w:val="24"/>
          <w:szCs w:val="24"/>
        </w:rPr>
        <w:t>a pensioner rebate cap (for residential properties) for post 1 July 1997 applicants of $675.</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Land Tax</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Land tax applies to any residential property that is rented, or any residential property owned by a corporation or a trustee, even if the property is not rented.  Land tax assessments in 2014-15 will be based on the most recent AUV that incorporates the 2014 unimproved land value and a fixed charge of $900.  A new land tax rating structure will be introduced from 1 July 2014.  Refer to Taxation Reform (Chapter 6.2) for further information on these initiatives.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Table 6.1.5 shows the land tax marginal rates that will apply to residential properties in 2014-15.</w:t>
      </w:r>
    </w:p>
    <w:p w:rsidR="00B93188" w:rsidRPr="00B93188" w:rsidRDefault="00B93188" w:rsidP="00B93188">
      <w:pPr>
        <w:keepNext/>
        <w:keepLines/>
        <w:spacing w:before="60"/>
        <w:jc w:val="center"/>
        <w:rPr>
          <w:rFonts w:ascii="Arial" w:hAnsi="Arial"/>
          <w:b/>
        </w:rPr>
      </w:pPr>
      <w:r w:rsidRPr="00B93188">
        <w:rPr>
          <w:rFonts w:ascii="Arial" w:hAnsi="Arial"/>
          <w:b/>
        </w:rPr>
        <w:t>Table 6.1.5</w:t>
      </w:r>
    </w:p>
    <w:p w:rsidR="00B93188" w:rsidRPr="00B93188" w:rsidRDefault="00B93188" w:rsidP="00B93188">
      <w:pPr>
        <w:keepNext/>
        <w:keepLines/>
        <w:spacing w:after="120"/>
        <w:jc w:val="center"/>
        <w:rPr>
          <w:rFonts w:ascii="Arial" w:hAnsi="Arial"/>
          <w:b/>
        </w:rPr>
      </w:pPr>
      <w:r w:rsidRPr="00B93188">
        <w:rPr>
          <w:rFonts w:ascii="Arial" w:hAnsi="Arial"/>
          <w:b/>
        </w:rPr>
        <w:t>Land Tax Marginal Rates</w:t>
      </w:r>
    </w:p>
    <w:tbl>
      <w:tblPr>
        <w:tblW w:w="0" w:type="auto"/>
        <w:jc w:val="center"/>
        <w:tblLook w:val="04A0"/>
      </w:tblPr>
      <w:tblGrid>
        <w:gridCol w:w="1998"/>
        <w:gridCol w:w="1467"/>
      </w:tblGrid>
      <w:tr w:rsidR="00B93188" w:rsidRPr="00C65746" w:rsidTr="00C65746">
        <w:trPr>
          <w:trHeight w:val="293"/>
          <w:jc w:val="center"/>
        </w:trPr>
        <w:tc>
          <w:tcPr>
            <w:tcW w:w="0" w:type="auto"/>
            <w:tcBorders>
              <w:top w:val="single" w:sz="4" w:space="0" w:color="auto"/>
              <w:left w:val="nil"/>
              <w:bottom w:val="single" w:sz="4" w:space="0" w:color="auto"/>
              <w:right w:val="nil"/>
            </w:tcBorders>
            <w:shd w:val="clear" w:color="auto" w:fill="auto"/>
            <w:noWrap/>
            <w:hideMark/>
          </w:tcPr>
          <w:p w:rsidR="00B93188" w:rsidRPr="00C65746" w:rsidRDefault="00B93188" w:rsidP="00C65746">
            <w:pPr>
              <w:rPr>
                <w:rFonts w:ascii="Calibri" w:hAnsi="Calibri"/>
                <w:b/>
                <w:bCs/>
                <w:color w:val="000000"/>
              </w:rPr>
            </w:pPr>
            <w:r w:rsidRPr="00C65746">
              <w:rPr>
                <w:rFonts w:ascii="Calibri" w:hAnsi="Calibri"/>
                <w:b/>
                <w:bCs/>
                <w:color w:val="000000"/>
              </w:rPr>
              <w:t>Thresholds (AUV)</w:t>
            </w:r>
          </w:p>
        </w:tc>
        <w:tc>
          <w:tcPr>
            <w:tcW w:w="0" w:type="auto"/>
            <w:tcBorders>
              <w:top w:val="single" w:sz="4" w:space="0" w:color="auto"/>
              <w:left w:val="nil"/>
              <w:bottom w:val="single" w:sz="4" w:space="0" w:color="auto"/>
              <w:right w:val="nil"/>
            </w:tcBorders>
          </w:tcPr>
          <w:p w:rsidR="00B93188" w:rsidRPr="00C65746" w:rsidRDefault="00B93188" w:rsidP="00C65746">
            <w:pPr>
              <w:rPr>
                <w:rFonts w:ascii="Calibri" w:hAnsi="Calibri"/>
                <w:b/>
                <w:bCs/>
                <w:color w:val="000000"/>
              </w:rPr>
            </w:pPr>
            <w:r w:rsidRPr="00C65746">
              <w:rPr>
                <w:rFonts w:ascii="Calibri" w:hAnsi="Calibri"/>
                <w:b/>
                <w:bCs/>
                <w:color w:val="000000"/>
              </w:rPr>
              <w:t>Marginal Rates</w:t>
            </w:r>
          </w:p>
        </w:tc>
      </w:tr>
      <w:tr w:rsidR="00B93188" w:rsidRPr="00C65746" w:rsidTr="00B93188">
        <w:trPr>
          <w:trHeight w:val="153"/>
          <w:jc w:val="center"/>
        </w:trPr>
        <w:tc>
          <w:tcPr>
            <w:tcW w:w="0" w:type="auto"/>
            <w:tcBorders>
              <w:top w:val="nil"/>
              <w:left w:val="nil"/>
              <w:bottom w:val="nil"/>
              <w:right w:val="nil"/>
            </w:tcBorders>
            <w:shd w:val="clear" w:color="auto" w:fill="auto"/>
            <w:noWrap/>
            <w:hideMark/>
          </w:tcPr>
          <w:p w:rsidR="00B93188" w:rsidRPr="00C65746" w:rsidRDefault="00B93188" w:rsidP="00B93188">
            <w:pPr>
              <w:rPr>
                <w:rFonts w:ascii="Calibri" w:hAnsi="Calibri"/>
                <w:color w:val="000000"/>
              </w:rPr>
            </w:pPr>
            <w:r w:rsidRPr="00C65746">
              <w:rPr>
                <w:rFonts w:ascii="Calibri" w:hAnsi="Calibri"/>
                <w:color w:val="000000"/>
              </w:rPr>
              <w:t>$0 to $75,000</w:t>
            </w:r>
          </w:p>
        </w:tc>
        <w:tc>
          <w:tcPr>
            <w:tcW w:w="0" w:type="auto"/>
            <w:tcBorders>
              <w:top w:val="nil"/>
              <w:left w:val="nil"/>
              <w:bottom w:val="nil"/>
              <w:right w:val="nil"/>
            </w:tcBorders>
          </w:tcPr>
          <w:p w:rsidR="00B93188" w:rsidRPr="00C65746" w:rsidRDefault="00B93188" w:rsidP="00B93188">
            <w:pPr>
              <w:jc w:val="right"/>
              <w:rPr>
                <w:rFonts w:ascii="Calibri" w:hAnsi="Calibri"/>
                <w:color w:val="000000"/>
              </w:rPr>
            </w:pPr>
            <w:r w:rsidRPr="00C65746">
              <w:rPr>
                <w:rFonts w:ascii="Calibri" w:hAnsi="Calibri"/>
                <w:color w:val="000000"/>
              </w:rPr>
              <w:t>0.41%</w:t>
            </w:r>
          </w:p>
        </w:tc>
      </w:tr>
      <w:tr w:rsidR="00B93188" w:rsidRPr="00C65746" w:rsidTr="00B93188">
        <w:trPr>
          <w:trHeight w:val="153"/>
          <w:jc w:val="center"/>
        </w:trPr>
        <w:tc>
          <w:tcPr>
            <w:tcW w:w="0" w:type="auto"/>
            <w:tcBorders>
              <w:top w:val="nil"/>
              <w:left w:val="nil"/>
              <w:bottom w:val="nil"/>
              <w:right w:val="nil"/>
            </w:tcBorders>
            <w:shd w:val="clear" w:color="auto" w:fill="auto"/>
            <w:noWrap/>
            <w:hideMark/>
          </w:tcPr>
          <w:p w:rsidR="00B93188" w:rsidRPr="00C65746" w:rsidRDefault="00B93188" w:rsidP="00B93188">
            <w:pPr>
              <w:rPr>
                <w:rFonts w:ascii="Calibri" w:hAnsi="Calibri"/>
                <w:color w:val="000000"/>
              </w:rPr>
            </w:pPr>
            <w:r w:rsidRPr="00C65746">
              <w:rPr>
                <w:rFonts w:ascii="Calibri" w:hAnsi="Calibri"/>
                <w:color w:val="000000"/>
              </w:rPr>
              <w:t>$75,001 to $150,000</w:t>
            </w:r>
          </w:p>
        </w:tc>
        <w:tc>
          <w:tcPr>
            <w:tcW w:w="0" w:type="auto"/>
            <w:tcBorders>
              <w:top w:val="nil"/>
              <w:left w:val="nil"/>
              <w:bottom w:val="nil"/>
              <w:right w:val="nil"/>
            </w:tcBorders>
          </w:tcPr>
          <w:p w:rsidR="00B93188" w:rsidRPr="00C65746" w:rsidRDefault="00B93188" w:rsidP="00B93188">
            <w:pPr>
              <w:jc w:val="right"/>
              <w:rPr>
                <w:rFonts w:ascii="Calibri" w:hAnsi="Calibri"/>
                <w:color w:val="000000"/>
              </w:rPr>
            </w:pPr>
            <w:r w:rsidRPr="00C65746">
              <w:rPr>
                <w:rFonts w:ascii="Calibri" w:hAnsi="Calibri"/>
                <w:color w:val="000000"/>
              </w:rPr>
              <w:t>0.48%</w:t>
            </w:r>
          </w:p>
        </w:tc>
      </w:tr>
      <w:tr w:rsidR="00B93188" w:rsidRPr="00C65746" w:rsidTr="00B93188">
        <w:trPr>
          <w:trHeight w:val="99"/>
          <w:jc w:val="center"/>
        </w:trPr>
        <w:tc>
          <w:tcPr>
            <w:tcW w:w="0" w:type="auto"/>
            <w:tcBorders>
              <w:top w:val="nil"/>
              <w:left w:val="nil"/>
              <w:bottom w:val="nil"/>
              <w:right w:val="nil"/>
            </w:tcBorders>
            <w:shd w:val="clear" w:color="auto" w:fill="auto"/>
            <w:noWrap/>
            <w:hideMark/>
          </w:tcPr>
          <w:p w:rsidR="00B93188" w:rsidRPr="00C65746" w:rsidRDefault="00B93188" w:rsidP="00B93188">
            <w:pPr>
              <w:rPr>
                <w:rFonts w:ascii="Calibri" w:hAnsi="Calibri"/>
                <w:color w:val="000000"/>
              </w:rPr>
            </w:pPr>
            <w:r w:rsidRPr="00C65746">
              <w:rPr>
                <w:rFonts w:ascii="Calibri" w:hAnsi="Calibri"/>
                <w:color w:val="000000"/>
              </w:rPr>
              <w:t>$150,001 to $275,000</w:t>
            </w:r>
          </w:p>
        </w:tc>
        <w:tc>
          <w:tcPr>
            <w:tcW w:w="0" w:type="auto"/>
            <w:tcBorders>
              <w:top w:val="nil"/>
              <w:left w:val="nil"/>
              <w:bottom w:val="nil"/>
              <w:right w:val="nil"/>
            </w:tcBorders>
          </w:tcPr>
          <w:p w:rsidR="00B93188" w:rsidRPr="00C65746" w:rsidRDefault="00B93188" w:rsidP="00B93188">
            <w:pPr>
              <w:jc w:val="right"/>
              <w:rPr>
                <w:rFonts w:ascii="Calibri" w:hAnsi="Calibri"/>
                <w:color w:val="000000"/>
              </w:rPr>
            </w:pPr>
            <w:r w:rsidRPr="00C65746">
              <w:rPr>
                <w:rFonts w:ascii="Calibri" w:hAnsi="Calibri"/>
                <w:color w:val="000000"/>
              </w:rPr>
              <w:t>0.61%</w:t>
            </w:r>
          </w:p>
        </w:tc>
      </w:tr>
      <w:tr w:rsidR="00B93188" w:rsidRPr="00C65746" w:rsidTr="00B93188">
        <w:trPr>
          <w:trHeight w:val="90"/>
          <w:jc w:val="center"/>
        </w:trPr>
        <w:tc>
          <w:tcPr>
            <w:tcW w:w="0" w:type="auto"/>
            <w:tcBorders>
              <w:top w:val="nil"/>
              <w:left w:val="nil"/>
              <w:bottom w:val="single" w:sz="4" w:space="0" w:color="auto"/>
              <w:right w:val="nil"/>
            </w:tcBorders>
            <w:shd w:val="clear" w:color="auto" w:fill="auto"/>
            <w:noWrap/>
            <w:hideMark/>
          </w:tcPr>
          <w:p w:rsidR="00B93188" w:rsidRPr="00C65746" w:rsidRDefault="00B93188" w:rsidP="00B93188">
            <w:pPr>
              <w:rPr>
                <w:rFonts w:ascii="Calibri" w:hAnsi="Calibri"/>
                <w:color w:val="000000"/>
              </w:rPr>
            </w:pPr>
            <w:r w:rsidRPr="00C65746">
              <w:rPr>
                <w:rFonts w:ascii="Calibri" w:hAnsi="Calibri"/>
                <w:color w:val="000000"/>
              </w:rPr>
              <w:t>$275,001+</w:t>
            </w:r>
          </w:p>
        </w:tc>
        <w:tc>
          <w:tcPr>
            <w:tcW w:w="0" w:type="auto"/>
            <w:tcBorders>
              <w:top w:val="nil"/>
              <w:left w:val="nil"/>
              <w:bottom w:val="single" w:sz="4" w:space="0" w:color="auto"/>
              <w:right w:val="nil"/>
            </w:tcBorders>
          </w:tcPr>
          <w:p w:rsidR="00B93188" w:rsidRPr="00C65746" w:rsidRDefault="00B93188" w:rsidP="00B93188">
            <w:pPr>
              <w:jc w:val="right"/>
              <w:rPr>
                <w:rFonts w:ascii="Calibri" w:hAnsi="Calibri"/>
                <w:color w:val="000000"/>
              </w:rPr>
            </w:pPr>
            <w:r w:rsidRPr="00C65746">
              <w:rPr>
                <w:rFonts w:ascii="Calibri" w:hAnsi="Calibri"/>
                <w:color w:val="000000"/>
              </w:rPr>
              <w:t>1.23%</w:t>
            </w:r>
          </w:p>
        </w:tc>
      </w:tr>
    </w:tbl>
    <w:p w:rsidR="00B93188" w:rsidRPr="00B93188" w:rsidRDefault="00B93188" w:rsidP="00983072">
      <w:pPr>
        <w:keepNext/>
        <w:keepLines/>
        <w:spacing w:before="120" w:after="120"/>
        <w:jc w:val="both"/>
        <w:rPr>
          <w:rFonts w:ascii="Calibri" w:hAnsi="Calibri"/>
          <w:color w:val="000000"/>
          <w:sz w:val="24"/>
        </w:rPr>
      </w:pPr>
      <w:r w:rsidRPr="00B93188">
        <w:rPr>
          <w:rFonts w:ascii="Calibri" w:hAnsi="Calibri"/>
          <w:color w:val="000000"/>
          <w:sz w:val="24"/>
        </w:rPr>
        <w:t>The estimated outcome from land tax revenue is $</w:t>
      </w:r>
      <w:r w:rsidRPr="00B93188">
        <w:rPr>
          <w:rFonts w:ascii="Calibri" w:hAnsi="Calibri"/>
          <w:sz w:val="24"/>
        </w:rPr>
        <w:t>75.8</w:t>
      </w:r>
      <w:r w:rsidRPr="00B93188">
        <w:rPr>
          <w:rFonts w:ascii="Calibri" w:hAnsi="Calibri"/>
          <w:color w:val="000000"/>
          <w:sz w:val="24"/>
        </w:rPr>
        <w:t> million in 2013-14 and is estimated to increase to $</w:t>
      </w:r>
      <w:r w:rsidRPr="00B93188">
        <w:rPr>
          <w:rFonts w:ascii="Calibri" w:hAnsi="Calibri"/>
          <w:sz w:val="24"/>
        </w:rPr>
        <w:t>89.</w:t>
      </w:r>
      <w:r w:rsidR="0072569F">
        <w:rPr>
          <w:rFonts w:ascii="Calibri" w:hAnsi="Calibri"/>
          <w:sz w:val="24"/>
        </w:rPr>
        <w:t>1</w:t>
      </w:r>
      <w:r w:rsidRPr="00B93188">
        <w:rPr>
          <w:rFonts w:ascii="Calibri" w:hAnsi="Calibri"/>
          <w:color w:val="000000"/>
          <w:sz w:val="24"/>
        </w:rPr>
        <w:t> million in 2014-15</w:t>
      </w:r>
      <w:r w:rsidR="00F41812">
        <w:rPr>
          <w:rFonts w:ascii="Calibri" w:hAnsi="Calibri"/>
          <w:color w:val="000000"/>
          <w:sz w:val="24"/>
        </w:rPr>
        <w:t>.  The increase in revenue is primarily due to the new rating structure.  Land values are not expected to increase to the same degree as previous years due to an anticipated softening of the property market.</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Duty on Conveyances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Duty is levied on the agreement for sale or transfer of land, a Crown lease or a land use entitlement located in the ACT.  The conveyance rates up until 3 June 2014 range from $2.2</w:t>
      </w:r>
      <w:r w:rsidR="003E0D5F">
        <w:rPr>
          <w:rFonts w:ascii="Calibri" w:hAnsi="Calibri"/>
          <w:sz w:val="24"/>
        </w:rPr>
        <w:t>0</w:t>
      </w:r>
      <w:r w:rsidRPr="00B93188">
        <w:rPr>
          <w:rFonts w:ascii="Calibri" w:hAnsi="Calibri"/>
          <w:sz w:val="24"/>
        </w:rPr>
        <w:t xml:space="preserve"> to $7.0</w:t>
      </w:r>
      <w:r w:rsidR="003E0D5F">
        <w:rPr>
          <w:rFonts w:ascii="Calibri" w:hAnsi="Calibri"/>
          <w:sz w:val="24"/>
        </w:rPr>
        <w:t>0</w:t>
      </w:r>
      <w:r w:rsidRPr="00B93188">
        <w:rPr>
          <w:rFonts w:ascii="Calibri" w:hAnsi="Calibri"/>
          <w:sz w:val="24"/>
        </w:rPr>
        <w:t xml:space="preserve"> per $100, or part thereof.  From 4 June 2014, the conveyance duty thresholds and rates will change.  Table 6.1.6 outlines the new duty thresholds and rates.</w:t>
      </w:r>
    </w:p>
    <w:p w:rsidR="00B93188" w:rsidRPr="00B93188" w:rsidRDefault="0073335C" w:rsidP="00B93188">
      <w:pPr>
        <w:keepNext/>
        <w:keepLines/>
        <w:spacing w:before="120"/>
        <w:jc w:val="center"/>
        <w:rPr>
          <w:rFonts w:ascii="Arial" w:hAnsi="Arial"/>
          <w:b/>
        </w:rPr>
      </w:pPr>
      <w:r>
        <w:rPr>
          <w:rFonts w:ascii="Arial" w:hAnsi="Arial"/>
          <w:b/>
        </w:rPr>
        <w:br w:type="page"/>
      </w:r>
      <w:r w:rsidR="00B93188" w:rsidRPr="00B93188">
        <w:rPr>
          <w:rFonts w:ascii="Arial" w:hAnsi="Arial"/>
          <w:b/>
        </w:rPr>
        <w:lastRenderedPageBreak/>
        <w:t>Table 6.1.6</w:t>
      </w:r>
    </w:p>
    <w:p w:rsidR="00B93188" w:rsidRPr="00B93188" w:rsidRDefault="00B93188" w:rsidP="00B93188">
      <w:pPr>
        <w:keepNext/>
        <w:keepLines/>
        <w:spacing w:after="120"/>
        <w:jc w:val="center"/>
        <w:rPr>
          <w:rFonts w:ascii="Arial" w:hAnsi="Arial"/>
          <w:b/>
        </w:rPr>
      </w:pPr>
      <w:r w:rsidRPr="00B93188">
        <w:rPr>
          <w:rFonts w:ascii="Arial" w:hAnsi="Arial"/>
          <w:b/>
        </w:rPr>
        <w:t>Conveyance Duty Thresholds and Rates</w:t>
      </w:r>
    </w:p>
    <w:tbl>
      <w:tblPr>
        <w:tblW w:w="0" w:type="auto"/>
        <w:jc w:val="center"/>
        <w:tblLook w:val="04A0"/>
      </w:tblPr>
      <w:tblGrid>
        <w:gridCol w:w="886"/>
        <w:gridCol w:w="2301"/>
        <w:gridCol w:w="886"/>
        <w:gridCol w:w="886"/>
        <w:gridCol w:w="886"/>
        <w:gridCol w:w="886"/>
        <w:gridCol w:w="886"/>
      </w:tblGrid>
      <w:tr w:rsidR="00B93188" w:rsidRPr="00C65746" w:rsidTr="00C65746">
        <w:trPr>
          <w:trHeight w:val="284"/>
          <w:jc w:val="center"/>
        </w:trPr>
        <w:tc>
          <w:tcPr>
            <w:tcW w:w="0" w:type="auto"/>
            <w:tcBorders>
              <w:top w:val="single" w:sz="4" w:space="0" w:color="auto"/>
              <w:bottom w:val="single" w:sz="4" w:space="0" w:color="auto"/>
            </w:tcBorders>
            <w:shd w:val="clear" w:color="000000" w:fill="FFFFFF"/>
            <w:vAlign w:val="center"/>
          </w:tcPr>
          <w:p w:rsidR="00B93188" w:rsidRDefault="00B93188" w:rsidP="00BA59ED">
            <w:pPr>
              <w:jc w:val="right"/>
              <w:rPr>
                <w:rFonts w:ascii="Calibri" w:hAnsi="Calibri"/>
                <w:b/>
                <w:bCs/>
                <w:color w:val="000000"/>
                <w:lang w:eastAsia="en-AU"/>
              </w:rPr>
            </w:pPr>
            <w:r w:rsidRPr="00C65746">
              <w:rPr>
                <w:rFonts w:ascii="Calibri" w:hAnsi="Calibri"/>
                <w:b/>
                <w:bCs/>
                <w:color w:val="000000"/>
                <w:lang w:eastAsia="en-AU"/>
              </w:rPr>
              <w:t>2012-13</w:t>
            </w:r>
          </w:p>
          <w:p w:rsidR="00BA59ED" w:rsidRPr="00C65746" w:rsidRDefault="00BA59ED" w:rsidP="00BA59ED">
            <w:pPr>
              <w:jc w:val="right"/>
              <w:rPr>
                <w:rFonts w:ascii="Calibri" w:hAnsi="Calibri"/>
                <w:b/>
                <w:bCs/>
                <w:color w:val="000000"/>
                <w:lang w:eastAsia="en-AU"/>
              </w:rPr>
            </w:pPr>
            <w:r>
              <w:rPr>
                <w:rFonts w:ascii="Calibri" w:hAnsi="Calibri"/>
                <w:b/>
                <w:bCs/>
                <w:color w:val="000000"/>
                <w:lang w:eastAsia="en-AU"/>
              </w:rPr>
              <w:t>%</w:t>
            </w:r>
          </w:p>
        </w:tc>
        <w:tc>
          <w:tcPr>
            <w:tcW w:w="0" w:type="auto"/>
            <w:tcBorders>
              <w:top w:val="single" w:sz="4" w:space="0" w:color="auto"/>
              <w:bottom w:val="single" w:sz="4" w:space="0" w:color="auto"/>
            </w:tcBorders>
            <w:shd w:val="clear" w:color="000000" w:fill="FFFFFF"/>
            <w:noWrap/>
            <w:vAlign w:val="center"/>
            <w:hideMark/>
          </w:tcPr>
          <w:p w:rsidR="00B93188" w:rsidRPr="00C65746" w:rsidRDefault="00B93188" w:rsidP="00B93188">
            <w:pPr>
              <w:jc w:val="center"/>
              <w:rPr>
                <w:rFonts w:ascii="Calibri" w:hAnsi="Calibri"/>
                <w:color w:val="000000"/>
                <w:lang w:eastAsia="en-AU"/>
              </w:rPr>
            </w:pPr>
            <w:r w:rsidRPr="00C65746">
              <w:rPr>
                <w:rFonts w:ascii="Calibri" w:hAnsi="Calibri"/>
                <w:b/>
                <w:bCs/>
                <w:color w:val="000000"/>
                <w:lang w:eastAsia="en-AU"/>
              </w:rPr>
              <w:t>Threshold</w:t>
            </w:r>
          </w:p>
        </w:tc>
        <w:tc>
          <w:tcPr>
            <w:tcW w:w="0" w:type="auto"/>
            <w:tcBorders>
              <w:top w:val="single" w:sz="4" w:space="0" w:color="auto"/>
              <w:bottom w:val="single" w:sz="4" w:space="0" w:color="auto"/>
            </w:tcBorders>
            <w:shd w:val="clear" w:color="auto" w:fill="auto"/>
            <w:noWrap/>
            <w:vAlign w:val="center"/>
            <w:hideMark/>
          </w:tcPr>
          <w:p w:rsidR="00B93188" w:rsidRDefault="00B93188" w:rsidP="00BA59ED">
            <w:pPr>
              <w:jc w:val="right"/>
              <w:rPr>
                <w:rFonts w:ascii="Calibri" w:hAnsi="Calibri"/>
                <w:b/>
                <w:bCs/>
                <w:color w:val="000000"/>
                <w:lang w:eastAsia="en-AU"/>
              </w:rPr>
            </w:pPr>
            <w:r w:rsidRPr="00C65746">
              <w:rPr>
                <w:rFonts w:ascii="Calibri" w:hAnsi="Calibri"/>
                <w:b/>
                <w:bCs/>
                <w:color w:val="000000"/>
                <w:lang w:eastAsia="en-AU"/>
              </w:rPr>
              <w:t>2013-14</w:t>
            </w:r>
          </w:p>
          <w:p w:rsidR="00BA59ED" w:rsidRPr="00C65746" w:rsidRDefault="00BA59ED" w:rsidP="00BA59ED">
            <w:pPr>
              <w:jc w:val="right"/>
              <w:rPr>
                <w:rFonts w:ascii="Calibri" w:hAnsi="Calibri"/>
                <w:b/>
                <w:bCs/>
                <w:color w:val="000000"/>
                <w:lang w:eastAsia="en-AU"/>
              </w:rPr>
            </w:pPr>
            <w:r>
              <w:rPr>
                <w:rFonts w:ascii="Calibri" w:hAnsi="Calibri"/>
                <w:b/>
                <w:bCs/>
                <w:color w:val="000000"/>
                <w:lang w:eastAsia="en-AU"/>
              </w:rPr>
              <w:t>%</w:t>
            </w:r>
          </w:p>
        </w:tc>
        <w:tc>
          <w:tcPr>
            <w:tcW w:w="0" w:type="auto"/>
            <w:tcBorders>
              <w:top w:val="single" w:sz="4" w:space="0" w:color="auto"/>
              <w:bottom w:val="single" w:sz="4" w:space="0" w:color="auto"/>
            </w:tcBorders>
            <w:shd w:val="clear" w:color="auto" w:fill="D9D9D9"/>
            <w:noWrap/>
            <w:vAlign w:val="center"/>
            <w:hideMark/>
          </w:tcPr>
          <w:p w:rsidR="00B93188" w:rsidRDefault="00B93188" w:rsidP="00BA59ED">
            <w:pPr>
              <w:jc w:val="right"/>
              <w:rPr>
                <w:rFonts w:ascii="Calibri" w:hAnsi="Calibri"/>
                <w:b/>
                <w:bCs/>
                <w:color w:val="000000"/>
                <w:lang w:eastAsia="en-AU"/>
              </w:rPr>
            </w:pPr>
            <w:r w:rsidRPr="00C65746">
              <w:rPr>
                <w:rFonts w:ascii="Calibri" w:hAnsi="Calibri"/>
                <w:b/>
                <w:bCs/>
                <w:color w:val="000000"/>
                <w:lang w:eastAsia="en-AU"/>
              </w:rPr>
              <w:t>2014-15</w:t>
            </w:r>
          </w:p>
          <w:p w:rsidR="00BA59ED" w:rsidRPr="00C65746" w:rsidRDefault="00BA59ED" w:rsidP="00BA59ED">
            <w:pPr>
              <w:jc w:val="right"/>
              <w:rPr>
                <w:rFonts w:ascii="Calibri" w:hAnsi="Calibri"/>
                <w:b/>
                <w:bCs/>
                <w:color w:val="000000"/>
                <w:lang w:eastAsia="en-AU"/>
              </w:rPr>
            </w:pPr>
            <w:r>
              <w:rPr>
                <w:rFonts w:ascii="Calibri" w:hAnsi="Calibri"/>
                <w:b/>
                <w:bCs/>
                <w:color w:val="000000"/>
                <w:lang w:eastAsia="en-AU"/>
              </w:rPr>
              <w:t>%</w:t>
            </w:r>
          </w:p>
        </w:tc>
        <w:tc>
          <w:tcPr>
            <w:tcW w:w="0" w:type="auto"/>
            <w:tcBorders>
              <w:top w:val="single" w:sz="4" w:space="0" w:color="auto"/>
              <w:bottom w:val="single" w:sz="4" w:space="0" w:color="auto"/>
            </w:tcBorders>
            <w:shd w:val="clear" w:color="000000" w:fill="FFFFFF"/>
            <w:noWrap/>
            <w:vAlign w:val="center"/>
            <w:hideMark/>
          </w:tcPr>
          <w:p w:rsidR="00B93188" w:rsidRDefault="00B93188" w:rsidP="00BA59ED">
            <w:pPr>
              <w:jc w:val="right"/>
              <w:rPr>
                <w:rFonts w:ascii="Calibri" w:hAnsi="Calibri"/>
                <w:b/>
                <w:bCs/>
                <w:color w:val="000000"/>
                <w:lang w:eastAsia="en-AU"/>
              </w:rPr>
            </w:pPr>
            <w:r w:rsidRPr="00C65746">
              <w:rPr>
                <w:rFonts w:ascii="Calibri" w:hAnsi="Calibri"/>
                <w:b/>
                <w:bCs/>
                <w:color w:val="000000"/>
                <w:lang w:eastAsia="en-AU"/>
              </w:rPr>
              <w:t>2015-16</w:t>
            </w:r>
          </w:p>
          <w:p w:rsidR="00BA59ED" w:rsidRPr="00C65746" w:rsidRDefault="00BA59ED" w:rsidP="00BA59ED">
            <w:pPr>
              <w:jc w:val="right"/>
              <w:rPr>
                <w:rFonts w:ascii="Calibri" w:hAnsi="Calibri"/>
                <w:b/>
                <w:bCs/>
                <w:color w:val="000000"/>
                <w:lang w:eastAsia="en-AU"/>
              </w:rPr>
            </w:pPr>
            <w:r>
              <w:rPr>
                <w:rFonts w:ascii="Calibri" w:hAnsi="Calibri"/>
                <w:b/>
                <w:bCs/>
                <w:color w:val="000000"/>
                <w:lang w:eastAsia="en-AU"/>
              </w:rPr>
              <w:t>%</w:t>
            </w:r>
          </w:p>
        </w:tc>
        <w:tc>
          <w:tcPr>
            <w:tcW w:w="0" w:type="auto"/>
            <w:tcBorders>
              <w:top w:val="single" w:sz="4" w:space="0" w:color="auto"/>
              <w:bottom w:val="single" w:sz="4" w:space="0" w:color="auto"/>
            </w:tcBorders>
            <w:shd w:val="clear" w:color="000000" w:fill="FFFFFF"/>
            <w:noWrap/>
            <w:vAlign w:val="center"/>
            <w:hideMark/>
          </w:tcPr>
          <w:p w:rsidR="00B93188" w:rsidRDefault="00B93188" w:rsidP="00BA59ED">
            <w:pPr>
              <w:jc w:val="right"/>
              <w:rPr>
                <w:rFonts w:ascii="Calibri" w:hAnsi="Calibri"/>
                <w:b/>
                <w:bCs/>
                <w:color w:val="000000"/>
                <w:lang w:eastAsia="en-AU"/>
              </w:rPr>
            </w:pPr>
            <w:r w:rsidRPr="00C65746">
              <w:rPr>
                <w:rFonts w:ascii="Calibri" w:hAnsi="Calibri"/>
                <w:b/>
                <w:bCs/>
                <w:color w:val="000000"/>
                <w:lang w:eastAsia="en-AU"/>
              </w:rPr>
              <w:t>2016-17</w:t>
            </w:r>
          </w:p>
          <w:p w:rsidR="00BA59ED" w:rsidRPr="00C65746" w:rsidRDefault="00BA59ED" w:rsidP="00BA59ED">
            <w:pPr>
              <w:jc w:val="right"/>
              <w:rPr>
                <w:rFonts w:ascii="Calibri" w:hAnsi="Calibri"/>
                <w:b/>
                <w:bCs/>
                <w:color w:val="000000"/>
                <w:lang w:eastAsia="en-AU"/>
              </w:rPr>
            </w:pPr>
            <w:r>
              <w:rPr>
                <w:rFonts w:ascii="Calibri" w:hAnsi="Calibri"/>
                <w:b/>
                <w:bCs/>
                <w:color w:val="000000"/>
                <w:lang w:eastAsia="en-AU"/>
              </w:rPr>
              <w:t>%</w:t>
            </w:r>
          </w:p>
        </w:tc>
        <w:tc>
          <w:tcPr>
            <w:tcW w:w="0" w:type="auto"/>
            <w:tcBorders>
              <w:top w:val="single" w:sz="4" w:space="0" w:color="auto"/>
              <w:bottom w:val="single" w:sz="4" w:space="0" w:color="auto"/>
            </w:tcBorders>
            <w:shd w:val="clear" w:color="000000" w:fill="FFFFFF"/>
            <w:vAlign w:val="center"/>
          </w:tcPr>
          <w:p w:rsidR="00B93188" w:rsidRDefault="00B93188" w:rsidP="00BA59ED">
            <w:pPr>
              <w:jc w:val="right"/>
              <w:rPr>
                <w:rFonts w:ascii="Calibri" w:hAnsi="Calibri"/>
                <w:b/>
                <w:bCs/>
                <w:color w:val="000000"/>
                <w:lang w:eastAsia="en-AU"/>
              </w:rPr>
            </w:pPr>
            <w:r w:rsidRPr="00C65746">
              <w:rPr>
                <w:rFonts w:ascii="Calibri" w:hAnsi="Calibri"/>
                <w:b/>
                <w:bCs/>
                <w:color w:val="000000"/>
                <w:lang w:eastAsia="en-AU"/>
              </w:rPr>
              <w:t>2017-18</w:t>
            </w:r>
          </w:p>
          <w:p w:rsidR="00BA59ED" w:rsidRPr="00C65746" w:rsidRDefault="00BA59ED" w:rsidP="00BA59ED">
            <w:pPr>
              <w:jc w:val="right"/>
              <w:rPr>
                <w:rFonts w:ascii="Calibri" w:hAnsi="Calibri"/>
                <w:b/>
                <w:bCs/>
                <w:color w:val="000000"/>
                <w:lang w:eastAsia="en-AU"/>
              </w:rPr>
            </w:pPr>
            <w:r>
              <w:rPr>
                <w:rFonts w:ascii="Calibri" w:hAnsi="Calibri"/>
                <w:b/>
                <w:bCs/>
                <w:color w:val="000000"/>
                <w:lang w:eastAsia="en-AU"/>
              </w:rPr>
              <w:t>%</w:t>
            </w:r>
          </w:p>
        </w:tc>
      </w:tr>
      <w:tr w:rsidR="00B93188" w:rsidRPr="00C65746" w:rsidTr="00B93188">
        <w:trPr>
          <w:trHeight w:val="284"/>
          <w:jc w:val="center"/>
        </w:trPr>
        <w:tc>
          <w:tcPr>
            <w:tcW w:w="0" w:type="auto"/>
            <w:tcBorders>
              <w:top w:val="single" w:sz="4" w:space="0" w:color="auto"/>
            </w:tcBorders>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2.4</w:t>
            </w:r>
          </w:p>
        </w:tc>
        <w:tc>
          <w:tcPr>
            <w:tcW w:w="0" w:type="auto"/>
            <w:tcBorders>
              <w:top w:val="single" w:sz="4" w:space="0" w:color="auto"/>
            </w:tcBorders>
            <w:shd w:val="clear" w:color="000000" w:fill="FFFFFF"/>
            <w:vAlign w:val="center"/>
            <w:hideMark/>
          </w:tcPr>
          <w:p w:rsidR="00B93188" w:rsidRPr="00C65746" w:rsidRDefault="00B93188" w:rsidP="00B93188">
            <w:pPr>
              <w:rPr>
                <w:rFonts w:ascii="Calibri" w:hAnsi="Calibri"/>
                <w:color w:val="000000"/>
                <w:lang w:eastAsia="en-AU"/>
              </w:rPr>
            </w:pPr>
            <w:r w:rsidRPr="00C65746">
              <w:rPr>
                <w:rFonts w:ascii="Calibri" w:hAnsi="Calibri"/>
                <w:color w:val="000000"/>
                <w:lang w:val="en-GB" w:eastAsia="en-AU"/>
              </w:rPr>
              <w:t>Up to $200,000</w:t>
            </w:r>
          </w:p>
        </w:tc>
        <w:tc>
          <w:tcPr>
            <w:tcW w:w="0" w:type="auto"/>
            <w:tcBorders>
              <w:top w:val="single" w:sz="4" w:space="0" w:color="auto"/>
            </w:tcBorders>
            <w:shd w:val="clear" w:color="auto" w:fill="auto"/>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2.2</w:t>
            </w:r>
          </w:p>
        </w:tc>
        <w:tc>
          <w:tcPr>
            <w:tcW w:w="0" w:type="auto"/>
            <w:tcBorders>
              <w:top w:val="single" w:sz="4" w:space="0" w:color="auto"/>
            </w:tcBorders>
            <w:shd w:val="clear" w:color="auto" w:fill="D9D9D9"/>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2.0</w:t>
            </w:r>
          </w:p>
        </w:tc>
        <w:tc>
          <w:tcPr>
            <w:tcW w:w="0" w:type="auto"/>
            <w:tcBorders>
              <w:top w:val="single" w:sz="4" w:space="0" w:color="auto"/>
            </w:tcBorders>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1.8</w:t>
            </w:r>
          </w:p>
        </w:tc>
        <w:tc>
          <w:tcPr>
            <w:tcW w:w="0" w:type="auto"/>
            <w:tcBorders>
              <w:top w:val="single" w:sz="4" w:space="0" w:color="auto"/>
            </w:tcBorders>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1.48</w:t>
            </w:r>
          </w:p>
        </w:tc>
        <w:tc>
          <w:tcPr>
            <w:tcW w:w="0" w:type="auto"/>
            <w:tcBorders>
              <w:top w:val="single" w:sz="4" w:space="0" w:color="auto"/>
            </w:tcBorders>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1.47</w:t>
            </w:r>
          </w:p>
        </w:tc>
      </w:tr>
      <w:tr w:rsidR="00B93188" w:rsidRPr="00C65746" w:rsidTr="00B93188">
        <w:trPr>
          <w:trHeight w:val="284"/>
          <w:jc w:val="center"/>
        </w:trPr>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3.75</w:t>
            </w:r>
          </w:p>
        </w:tc>
        <w:tc>
          <w:tcPr>
            <w:tcW w:w="0" w:type="auto"/>
            <w:shd w:val="clear" w:color="000000" w:fill="FFFFFF"/>
            <w:vAlign w:val="center"/>
            <w:hideMark/>
          </w:tcPr>
          <w:p w:rsidR="00B93188" w:rsidRPr="00C65746" w:rsidRDefault="00B93188" w:rsidP="00B93188">
            <w:pPr>
              <w:ind w:right="-78"/>
              <w:rPr>
                <w:rFonts w:ascii="Calibri" w:hAnsi="Calibri"/>
                <w:color w:val="000000"/>
                <w:lang w:eastAsia="en-AU"/>
              </w:rPr>
            </w:pPr>
            <w:r w:rsidRPr="00C65746">
              <w:rPr>
                <w:rFonts w:ascii="Calibri" w:hAnsi="Calibri"/>
                <w:color w:val="000000"/>
                <w:lang w:val="en-GB" w:eastAsia="en-AU"/>
              </w:rPr>
              <w:t>$200,001 to $300,000</w:t>
            </w:r>
          </w:p>
        </w:tc>
        <w:tc>
          <w:tcPr>
            <w:tcW w:w="0" w:type="auto"/>
            <w:shd w:val="clear" w:color="auto" w:fill="auto"/>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3.7</w:t>
            </w:r>
          </w:p>
        </w:tc>
        <w:tc>
          <w:tcPr>
            <w:tcW w:w="0" w:type="auto"/>
            <w:shd w:val="clear" w:color="auto" w:fill="D9D9D9"/>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3.5</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3.0</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2.5</w:t>
            </w:r>
          </w:p>
        </w:tc>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2.49</w:t>
            </w:r>
          </w:p>
        </w:tc>
      </w:tr>
      <w:tr w:rsidR="00B93188" w:rsidRPr="00C65746" w:rsidTr="00B93188">
        <w:trPr>
          <w:trHeight w:val="284"/>
          <w:jc w:val="center"/>
        </w:trPr>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4.75</w:t>
            </w:r>
          </w:p>
        </w:tc>
        <w:tc>
          <w:tcPr>
            <w:tcW w:w="0" w:type="auto"/>
            <w:shd w:val="clear" w:color="000000" w:fill="FFFFFF"/>
            <w:vAlign w:val="center"/>
            <w:hideMark/>
          </w:tcPr>
          <w:p w:rsidR="00B93188" w:rsidRPr="00C65746" w:rsidRDefault="00B93188" w:rsidP="00B93188">
            <w:pPr>
              <w:rPr>
                <w:rFonts w:ascii="Calibri" w:hAnsi="Calibri"/>
                <w:color w:val="000000"/>
                <w:lang w:eastAsia="en-AU"/>
              </w:rPr>
            </w:pPr>
            <w:r w:rsidRPr="00C65746">
              <w:rPr>
                <w:rFonts w:ascii="Calibri" w:hAnsi="Calibri"/>
                <w:color w:val="000000"/>
                <w:lang w:val="en-GB" w:eastAsia="en-AU"/>
              </w:rPr>
              <w:t>$300,001 to $500,000</w:t>
            </w:r>
          </w:p>
        </w:tc>
        <w:tc>
          <w:tcPr>
            <w:tcW w:w="0" w:type="auto"/>
            <w:shd w:val="clear" w:color="auto" w:fill="auto"/>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4.5</w:t>
            </w:r>
          </w:p>
        </w:tc>
        <w:tc>
          <w:tcPr>
            <w:tcW w:w="0" w:type="auto"/>
            <w:shd w:val="clear" w:color="auto" w:fill="D9D9D9"/>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4.15</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4.0</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4.0</w:t>
            </w:r>
          </w:p>
        </w:tc>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3.99</w:t>
            </w:r>
          </w:p>
        </w:tc>
      </w:tr>
      <w:tr w:rsidR="00B93188" w:rsidRPr="00C65746" w:rsidTr="00B93188">
        <w:trPr>
          <w:trHeight w:val="284"/>
          <w:jc w:val="center"/>
        </w:trPr>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5.5</w:t>
            </w:r>
          </w:p>
        </w:tc>
        <w:tc>
          <w:tcPr>
            <w:tcW w:w="0" w:type="auto"/>
            <w:shd w:val="clear" w:color="000000" w:fill="FFFFFF"/>
            <w:vAlign w:val="center"/>
            <w:hideMark/>
          </w:tcPr>
          <w:p w:rsidR="00B93188" w:rsidRPr="00C65746" w:rsidRDefault="00B93188" w:rsidP="00B93188">
            <w:pPr>
              <w:rPr>
                <w:rFonts w:ascii="Calibri" w:hAnsi="Calibri"/>
                <w:color w:val="000000"/>
                <w:lang w:eastAsia="en-AU"/>
              </w:rPr>
            </w:pPr>
            <w:r w:rsidRPr="00C65746">
              <w:rPr>
                <w:rFonts w:ascii="Calibri" w:hAnsi="Calibri"/>
                <w:color w:val="000000"/>
                <w:lang w:val="en-GB" w:eastAsia="en-AU"/>
              </w:rPr>
              <w:t>$500,001 to $750,000</w:t>
            </w:r>
          </w:p>
        </w:tc>
        <w:tc>
          <w:tcPr>
            <w:tcW w:w="0" w:type="auto"/>
            <w:shd w:val="clear" w:color="auto" w:fill="auto"/>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5.0</w:t>
            </w:r>
          </w:p>
        </w:tc>
        <w:tc>
          <w:tcPr>
            <w:tcW w:w="0" w:type="auto"/>
            <w:shd w:val="clear" w:color="auto" w:fill="D9D9D9"/>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5.0</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5.0</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5.0</w:t>
            </w:r>
          </w:p>
        </w:tc>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4.8</w:t>
            </w:r>
          </w:p>
        </w:tc>
      </w:tr>
      <w:tr w:rsidR="00B93188" w:rsidRPr="00C65746" w:rsidTr="00B93188">
        <w:trPr>
          <w:trHeight w:val="284"/>
          <w:jc w:val="center"/>
        </w:trPr>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6.5</w:t>
            </w:r>
          </w:p>
        </w:tc>
        <w:tc>
          <w:tcPr>
            <w:tcW w:w="0" w:type="auto"/>
            <w:shd w:val="clear" w:color="000000" w:fill="FFFFFF"/>
            <w:vAlign w:val="center"/>
            <w:hideMark/>
          </w:tcPr>
          <w:p w:rsidR="00B93188" w:rsidRPr="00C65746" w:rsidRDefault="00B93188" w:rsidP="00B93188">
            <w:pPr>
              <w:rPr>
                <w:rFonts w:ascii="Calibri" w:hAnsi="Calibri"/>
                <w:color w:val="000000"/>
                <w:lang w:eastAsia="en-AU"/>
              </w:rPr>
            </w:pPr>
            <w:r w:rsidRPr="00C65746">
              <w:rPr>
                <w:rFonts w:ascii="Calibri" w:hAnsi="Calibri"/>
                <w:color w:val="000000"/>
                <w:lang w:val="en-GB" w:eastAsia="en-AU"/>
              </w:rPr>
              <w:t>$750,001 to $1,000,000</w:t>
            </w:r>
          </w:p>
        </w:tc>
        <w:tc>
          <w:tcPr>
            <w:tcW w:w="0" w:type="auto"/>
            <w:shd w:val="clear" w:color="auto" w:fill="auto"/>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6.5</w:t>
            </w:r>
          </w:p>
        </w:tc>
        <w:tc>
          <w:tcPr>
            <w:tcW w:w="0" w:type="auto"/>
            <w:shd w:val="clear" w:color="auto" w:fill="D9D9D9"/>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6.5</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6.5</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6.5</w:t>
            </w:r>
          </w:p>
        </w:tc>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6</w:t>
            </w:r>
            <w:r w:rsidR="00BA59ED">
              <w:rPr>
                <w:rFonts w:ascii="Calibri" w:hAnsi="Calibri"/>
                <w:color w:val="000000"/>
                <w:lang w:eastAsia="en-AU"/>
              </w:rPr>
              <w:t>.0</w:t>
            </w:r>
          </w:p>
        </w:tc>
      </w:tr>
      <w:tr w:rsidR="00B93188" w:rsidRPr="00C65746" w:rsidTr="00B93188">
        <w:trPr>
          <w:trHeight w:val="284"/>
          <w:jc w:val="center"/>
        </w:trPr>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7.25</w:t>
            </w:r>
          </w:p>
        </w:tc>
        <w:tc>
          <w:tcPr>
            <w:tcW w:w="0" w:type="auto"/>
            <w:shd w:val="clear" w:color="000000" w:fill="FFFFFF"/>
            <w:vAlign w:val="center"/>
            <w:hideMark/>
          </w:tcPr>
          <w:p w:rsidR="00B93188" w:rsidRPr="00C65746" w:rsidRDefault="00B93188" w:rsidP="00B93188">
            <w:pPr>
              <w:rPr>
                <w:rFonts w:ascii="Calibri" w:hAnsi="Calibri"/>
                <w:color w:val="000000"/>
                <w:lang w:eastAsia="en-AU"/>
              </w:rPr>
            </w:pPr>
            <w:r w:rsidRPr="00C65746">
              <w:rPr>
                <w:rFonts w:ascii="Calibri" w:hAnsi="Calibri"/>
                <w:color w:val="000000"/>
                <w:lang w:val="en-GB" w:eastAsia="en-AU"/>
              </w:rPr>
              <w:t>$1,000,001 to $1,454,999</w:t>
            </w:r>
          </w:p>
        </w:tc>
        <w:tc>
          <w:tcPr>
            <w:tcW w:w="0" w:type="auto"/>
            <w:shd w:val="clear" w:color="auto" w:fill="auto"/>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7.0</w:t>
            </w:r>
          </w:p>
        </w:tc>
        <w:tc>
          <w:tcPr>
            <w:tcW w:w="0" w:type="auto"/>
            <w:shd w:val="clear" w:color="auto" w:fill="D9D9D9"/>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7.0</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7.0</w:t>
            </w:r>
          </w:p>
        </w:tc>
        <w:tc>
          <w:tcPr>
            <w:tcW w:w="0" w:type="auto"/>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7.0</w:t>
            </w:r>
          </w:p>
        </w:tc>
        <w:tc>
          <w:tcPr>
            <w:tcW w:w="0" w:type="auto"/>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6.75</w:t>
            </w:r>
          </w:p>
        </w:tc>
      </w:tr>
      <w:tr w:rsidR="00B93188" w:rsidRPr="00C65746" w:rsidTr="00B93188">
        <w:trPr>
          <w:trHeight w:val="284"/>
          <w:jc w:val="center"/>
        </w:trPr>
        <w:tc>
          <w:tcPr>
            <w:tcW w:w="0" w:type="auto"/>
            <w:tcBorders>
              <w:bottom w:val="single" w:sz="4" w:space="0" w:color="auto"/>
            </w:tcBorders>
            <w:shd w:val="clear" w:color="000000" w:fill="FFFFFF"/>
            <w:vAlign w:val="center"/>
          </w:tcPr>
          <w:p w:rsidR="00B93188" w:rsidRPr="00C65746" w:rsidRDefault="00B93188" w:rsidP="00BA59ED">
            <w:pPr>
              <w:jc w:val="right"/>
              <w:rPr>
                <w:rFonts w:ascii="Calibri" w:hAnsi="Calibri"/>
                <w:color w:val="000000"/>
                <w:lang w:eastAsia="en-AU"/>
              </w:rPr>
            </w:pPr>
          </w:p>
        </w:tc>
        <w:tc>
          <w:tcPr>
            <w:tcW w:w="0" w:type="auto"/>
            <w:tcBorders>
              <w:bottom w:val="single" w:sz="4" w:space="0" w:color="auto"/>
            </w:tcBorders>
            <w:shd w:val="clear" w:color="000000" w:fill="FFFFFF"/>
            <w:vAlign w:val="center"/>
            <w:hideMark/>
          </w:tcPr>
          <w:p w:rsidR="00B93188" w:rsidRPr="00C65746" w:rsidRDefault="00B93188" w:rsidP="00B93188">
            <w:pPr>
              <w:rPr>
                <w:rFonts w:ascii="Calibri" w:hAnsi="Calibri"/>
                <w:color w:val="000000"/>
                <w:lang w:val="en-GB" w:eastAsia="en-AU"/>
              </w:rPr>
            </w:pPr>
            <w:r w:rsidRPr="00C65746">
              <w:rPr>
                <w:rFonts w:ascii="Calibri" w:hAnsi="Calibri"/>
                <w:color w:val="000000"/>
                <w:lang w:val="en-GB" w:eastAsia="en-AU"/>
              </w:rPr>
              <w:t>$1,455,000 and above*</w:t>
            </w:r>
          </w:p>
        </w:tc>
        <w:tc>
          <w:tcPr>
            <w:tcW w:w="0" w:type="auto"/>
            <w:tcBorders>
              <w:bottom w:val="single" w:sz="4" w:space="0" w:color="auto"/>
            </w:tcBorders>
            <w:shd w:val="clear" w:color="auto" w:fill="auto"/>
            <w:noWrap/>
            <w:vAlign w:val="center"/>
            <w:hideMark/>
          </w:tcPr>
          <w:p w:rsidR="00B93188" w:rsidRPr="00C65746" w:rsidRDefault="00B93188" w:rsidP="00BA59ED">
            <w:pPr>
              <w:jc w:val="right"/>
              <w:rPr>
                <w:rFonts w:ascii="Calibri" w:hAnsi="Calibri"/>
                <w:color w:val="000000"/>
                <w:lang w:eastAsia="en-AU"/>
              </w:rPr>
            </w:pPr>
          </w:p>
        </w:tc>
        <w:tc>
          <w:tcPr>
            <w:tcW w:w="0" w:type="auto"/>
            <w:tcBorders>
              <w:bottom w:val="single" w:sz="4" w:space="0" w:color="auto"/>
            </w:tcBorders>
            <w:shd w:val="clear" w:color="auto" w:fill="D9D9D9"/>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5.25*</w:t>
            </w:r>
          </w:p>
        </w:tc>
        <w:tc>
          <w:tcPr>
            <w:tcW w:w="0" w:type="auto"/>
            <w:tcBorders>
              <w:bottom w:val="single" w:sz="4" w:space="0" w:color="auto"/>
            </w:tcBorders>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5.25*</w:t>
            </w:r>
          </w:p>
        </w:tc>
        <w:tc>
          <w:tcPr>
            <w:tcW w:w="0" w:type="auto"/>
            <w:tcBorders>
              <w:bottom w:val="single" w:sz="4" w:space="0" w:color="auto"/>
            </w:tcBorders>
            <w:shd w:val="clear" w:color="000000" w:fill="FFFFFF"/>
            <w:noWrap/>
            <w:vAlign w:val="center"/>
            <w:hideMark/>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5.25*</w:t>
            </w:r>
          </w:p>
        </w:tc>
        <w:tc>
          <w:tcPr>
            <w:tcW w:w="0" w:type="auto"/>
            <w:tcBorders>
              <w:bottom w:val="single" w:sz="4" w:space="0" w:color="auto"/>
            </w:tcBorders>
            <w:shd w:val="clear" w:color="000000" w:fill="FFFFFF"/>
            <w:vAlign w:val="center"/>
          </w:tcPr>
          <w:p w:rsidR="00B93188" w:rsidRPr="00C65746" w:rsidRDefault="00B93188" w:rsidP="00BA59ED">
            <w:pPr>
              <w:jc w:val="right"/>
              <w:rPr>
                <w:rFonts w:ascii="Calibri" w:hAnsi="Calibri"/>
                <w:color w:val="000000"/>
                <w:lang w:eastAsia="en-AU"/>
              </w:rPr>
            </w:pPr>
            <w:r w:rsidRPr="00C65746">
              <w:rPr>
                <w:rFonts w:ascii="Calibri" w:hAnsi="Calibri"/>
                <w:color w:val="000000"/>
                <w:lang w:eastAsia="en-AU"/>
              </w:rPr>
              <w:t>5.25*</w:t>
            </w:r>
          </w:p>
        </w:tc>
      </w:tr>
    </w:tbl>
    <w:p w:rsidR="00B93188" w:rsidRPr="00B93188" w:rsidRDefault="00B93188" w:rsidP="00B93188">
      <w:pPr>
        <w:spacing w:before="120" w:after="120"/>
        <w:jc w:val="both"/>
        <w:rPr>
          <w:rFonts w:ascii="Calibri" w:hAnsi="Calibri"/>
          <w:sz w:val="14"/>
          <w:szCs w:val="16"/>
        </w:rPr>
      </w:pPr>
      <w:r w:rsidRPr="00B93188">
        <w:rPr>
          <w:rFonts w:ascii="Calibri" w:hAnsi="Calibri"/>
          <w:b/>
          <w:sz w:val="14"/>
          <w:szCs w:val="16"/>
        </w:rPr>
        <w:t>* Note:</w:t>
      </w:r>
      <w:r w:rsidRPr="00B93188">
        <w:rPr>
          <w:rFonts w:ascii="Calibri" w:hAnsi="Calibri"/>
          <w:sz w:val="14"/>
          <w:szCs w:val="16"/>
        </w:rPr>
        <w:t xml:space="preserve"> this is a flat rate.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A new threshold of $1.455 million will be introduced, effective 4 June 2014.  Properties valued at and above $1.455 million will have duty determined at a flat rate of 5.25 per cent.  The progressive rate scale will continue to apply to properties below $1.455 million.</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duty rates are generally applied to the transfer value of the property.  A concessional rate applies for persons qualifying under the ACT Home Buyer Concession Scheme and for pensioners qualifying under the ACT Pensioner Duty Concession Scheme. The Over 60s Home Bonus will commence from 4 June 2014.  Refer to Taxation Reform (Chapter 6.2) for further information on this initiative.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estimated outcome for 2013-14 for Conveyance Duty has increased from the original budget of $216.</w:t>
      </w:r>
      <w:r w:rsidR="0072569F">
        <w:rPr>
          <w:rFonts w:ascii="Calibri" w:hAnsi="Calibri"/>
          <w:sz w:val="24"/>
        </w:rPr>
        <w:t>5 million by $19.9</w:t>
      </w:r>
      <w:r w:rsidRPr="00B93188">
        <w:rPr>
          <w:rFonts w:ascii="Calibri" w:hAnsi="Calibri"/>
          <w:sz w:val="24"/>
        </w:rPr>
        <w:t> million to $236.</w:t>
      </w:r>
      <w:r w:rsidR="0072569F">
        <w:rPr>
          <w:rFonts w:ascii="Calibri" w:hAnsi="Calibri"/>
          <w:sz w:val="24"/>
        </w:rPr>
        <w:t>3</w:t>
      </w:r>
      <w:r w:rsidRPr="00B93188">
        <w:rPr>
          <w:rFonts w:ascii="Calibri" w:hAnsi="Calibri"/>
          <w:sz w:val="24"/>
        </w:rPr>
        <w:t xml:space="preserve"> million.  This increase reflects a </w:t>
      </w:r>
      <w:r w:rsidR="00F41812">
        <w:rPr>
          <w:rFonts w:ascii="Calibri" w:hAnsi="Calibri"/>
          <w:sz w:val="24"/>
        </w:rPr>
        <w:t>higher than anticipated level of commercial property activity in 2013-14</w:t>
      </w:r>
      <w:r w:rsidRPr="00B93188">
        <w:rPr>
          <w:rFonts w:ascii="Calibri" w:hAnsi="Calibri"/>
          <w:sz w:val="24"/>
        </w:rPr>
        <w:t xml:space="preserve">.  This level of commercial activity is not projected to continue in future years </w:t>
      </w:r>
      <w:r w:rsidR="00F41812">
        <w:rPr>
          <w:rFonts w:ascii="Calibri" w:hAnsi="Calibri"/>
          <w:sz w:val="24"/>
        </w:rPr>
        <w:t xml:space="preserve">as economic growth slows.  Revenue is estimated to fall </w:t>
      </w:r>
      <w:r w:rsidRPr="00B93188">
        <w:rPr>
          <w:rFonts w:ascii="Calibri" w:hAnsi="Calibri"/>
          <w:sz w:val="24"/>
        </w:rPr>
        <w:t>to $226.4 million</w:t>
      </w:r>
      <w:r w:rsidR="00F41812">
        <w:rPr>
          <w:rFonts w:ascii="Calibri" w:hAnsi="Calibri"/>
          <w:sz w:val="24"/>
        </w:rPr>
        <w:t xml:space="preserve"> in 2014-15</w:t>
      </w:r>
      <w:r w:rsidRPr="00B93188">
        <w:rPr>
          <w:rFonts w:ascii="Calibri" w:hAnsi="Calibri"/>
          <w:sz w:val="24"/>
        </w:rPr>
        <w:t>.</w:t>
      </w:r>
      <w:r w:rsidR="00F41812">
        <w:rPr>
          <w:rFonts w:ascii="Calibri" w:hAnsi="Calibri"/>
          <w:sz w:val="24"/>
        </w:rPr>
        <w:t xml:space="preserve">  Changes to duty rates will also contribute to the lower revenue estimate.</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Duty on General Insurance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From 1 July 2014, general insurance premiums incur duty at the rate of 4 per cent of the net premiums received</w:t>
      </w:r>
      <w:r w:rsidR="00A366F5">
        <w:rPr>
          <w:rFonts w:ascii="Calibri" w:hAnsi="Calibri"/>
          <w:sz w:val="24"/>
        </w:rPr>
        <w:t>.</w:t>
      </w:r>
      <w:r w:rsidRPr="00B93188">
        <w:rPr>
          <w:rFonts w:ascii="Calibri" w:hAnsi="Calibri"/>
          <w:sz w:val="24"/>
        </w:rPr>
        <w:t xml:space="preserve"> </w:t>
      </w:r>
      <w:r w:rsidR="00A366F5">
        <w:rPr>
          <w:rFonts w:ascii="Calibri" w:hAnsi="Calibri"/>
          <w:sz w:val="24"/>
        </w:rPr>
        <w:t>This is a</w:t>
      </w:r>
      <w:r w:rsidRPr="00B93188">
        <w:rPr>
          <w:rFonts w:ascii="Calibri" w:hAnsi="Calibri"/>
          <w:sz w:val="24"/>
        </w:rPr>
        <w:t xml:space="preserve"> reduction to the duty rate from 6 per cent that applied during 2013-14.  The estimated outcome for 2013-14 is $33.5 million and the forecast for </w:t>
      </w:r>
      <w:r w:rsidRPr="00B93188">
        <w:rPr>
          <w:rFonts w:ascii="Calibri" w:hAnsi="Calibri"/>
          <w:sz w:val="24"/>
        </w:rPr>
        <w:br/>
        <w:t>2014-15 is $23.</w:t>
      </w:r>
      <w:r w:rsidR="0072569F">
        <w:rPr>
          <w:rFonts w:ascii="Calibri" w:hAnsi="Calibri"/>
          <w:sz w:val="24"/>
        </w:rPr>
        <w:t>5</w:t>
      </w:r>
      <w:r w:rsidRPr="00B93188">
        <w:rPr>
          <w:rFonts w:ascii="Calibri" w:hAnsi="Calibri"/>
          <w:sz w:val="24"/>
        </w:rPr>
        <w:t> million.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Duty on Life Insurance </w:t>
      </w:r>
    </w:p>
    <w:p w:rsidR="00B93188" w:rsidRPr="00B93188" w:rsidRDefault="00B93188" w:rsidP="00983072">
      <w:pPr>
        <w:keepNext/>
        <w:keepLines/>
        <w:spacing w:before="120" w:after="120"/>
        <w:jc w:val="both"/>
        <w:outlineLvl w:val="3"/>
        <w:rPr>
          <w:rFonts w:ascii="Calibri" w:hAnsi="Calibri"/>
          <w:sz w:val="24"/>
        </w:rPr>
      </w:pPr>
      <w:r w:rsidRPr="00B93188">
        <w:rPr>
          <w:rFonts w:ascii="Calibri" w:hAnsi="Calibri"/>
          <w:sz w:val="24"/>
        </w:rPr>
        <w:t>Duty on life insurance contracts (including term, temporary or insurance rider policies) will be calculated until 30 June 2014 at the rate of 3 per cent of the first year's premium.  The duty rate will reduce to 2 per cent from 1 July 2014.</w:t>
      </w:r>
    </w:p>
    <w:p w:rsidR="0073335C" w:rsidRDefault="00B93188" w:rsidP="00983072">
      <w:pPr>
        <w:keepNext/>
        <w:keepLines/>
        <w:spacing w:before="120" w:after="120"/>
        <w:jc w:val="both"/>
        <w:rPr>
          <w:rFonts w:ascii="Calibri" w:hAnsi="Calibri"/>
          <w:sz w:val="24"/>
        </w:rPr>
      </w:pPr>
      <w:r w:rsidRPr="00B93188">
        <w:rPr>
          <w:rFonts w:ascii="Calibri" w:hAnsi="Calibri"/>
          <w:sz w:val="24"/>
        </w:rPr>
        <w:t xml:space="preserve">Duty on all other life insurance contracts will be calculated until 30 June 2014 at the rate of $0.60 plus $0.12 per $200 or part thereof in excess of $2,000, and $0.60 for each contract where the </w:t>
      </w:r>
      <w:r w:rsidR="0073335C">
        <w:rPr>
          <w:rFonts w:ascii="Calibri" w:hAnsi="Calibri"/>
          <w:sz w:val="24"/>
        </w:rPr>
        <w:t>sum insured is $2,000 or less.</w:t>
      </w:r>
    </w:p>
    <w:p w:rsidR="00B93188" w:rsidRDefault="0073335C" w:rsidP="00983072">
      <w:pPr>
        <w:keepNext/>
        <w:keepLines/>
        <w:spacing w:before="120" w:after="120"/>
        <w:jc w:val="both"/>
        <w:rPr>
          <w:rFonts w:ascii="Calibri" w:hAnsi="Calibri"/>
          <w:sz w:val="24"/>
        </w:rPr>
      </w:pPr>
      <w:r>
        <w:rPr>
          <w:rFonts w:ascii="Calibri" w:hAnsi="Calibri"/>
          <w:sz w:val="24"/>
        </w:rPr>
        <w:br w:type="page"/>
      </w:r>
      <w:r w:rsidR="00B93188" w:rsidRPr="00B93188">
        <w:rPr>
          <w:rFonts w:ascii="Calibri" w:hAnsi="Calibri"/>
          <w:sz w:val="24"/>
        </w:rPr>
        <w:lastRenderedPageBreak/>
        <w:t xml:space="preserve">From 1 July 2014 duty on all other life insurance contracts </w:t>
      </w:r>
      <w:r w:rsidR="00983072">
        <w:rPr>
          <w:rFonts w:ascii="Calibri" w:hAnsi="Calibri"/>
          <w:sz w:val="24"/>
        </w:rPr>
        <w:t>will reduce to $0.40 plus $0.08 </w:t>
      </w:r>
      <w:r w:rsidR="00B93188" w:rsidRPr="00B93188">
        <w:rPr>
          <w:rFonts w:ascii="Calibri" w:hAnsi="Calibri"/>
          <w:sz w:val="24"/>
        </w:rPr>
        <w:t>per $200 or part thereof in excess of $2,000, and $0.40 for each contract where the sum insured is $2,000 or less.  Life insurance annuities are exempt from duty.</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estimated outcome for 2013-14 is $2.019 million with $</w:t>
      </w:r>
      <w:r w:rsidR="00983072">
        <w:rPr>
          <w:rFonts w:ascii="Calibri" w:hAnsi="Calibri"/>
          <w:sz w:val="24"/>
        </w:rPr>
        <w:t xml:space="preserve">1.414 million forecast for </w:t>
      </w:r>
      <w:r w:rsidR="00983072">
        <w:rPr>
          <w:rFonts w:ascii="Calibri" w:hAnsi="Calibri"/>
          <w:sz w:val="24"/>
        </w:rPr>
        <w:br/>
        <w:t>2014-</w:t>
      </w:r>
      <w:r w:rsidRPr="00B93188">
        <w:rPr>
          <w:rFonts w:ascii="Calibri" w:hAnsi="Calibri"/>
          <w:sz w:val="24"/>
        </w:rPr>
        <w:t>15.</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Duty on Motor Vehicle Registrations and Transfers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Duty is payable on an application to register a motor vehicle or to transfer its registration.</w:t>
      </w:r>
    </w:p>
    <w:p w:rsidR="00B93188" w:rsidRPr="00B93188" w:rsidRDefault="00B93188" w:rsidP="00983072">
      <w:pPr>
        <w:keepNext/>
        <w:keepLines/>
        <w:spacing w:before="120" w:after="120"/>
        <w:jc w:val="both"/>
        <w:rPr>
          <w:rFonts w:ascii="Calibri" w:hAnsi="Calibri"/>
          <w:color w:val="000000"/>
          <w:sz w:val="24"/>
        </w:rPr>
      </w:pPr>
      <w:r w:rsidRPr="00B93188">
        <w:rPr>
          <w:rFonts w:ascii="Calibri" w:hAnsi="Calibri"/>
          <w:sz w:val="24"/>
        </w:rPr>
        <w:t>The 2013-14 estimated outcome is $29.</w:t>
      </w:r>
      <w:r w:rsidR="0072569F">
        <w:rPr>
          <w:rFonts w:ascii="Calibri" w:hAnsi="Calibri"/>
          <w:sz w:val="24"/>
        </w:rPr>
        <w:t>1</w:t>
      </w:r>
      <w:r w:rsidRPr="00B93188">
        <w:rPr>
          <w:rFonts w:ascii="Calibri" w:hAnsi="Calibri"/>
          <w:sz w:val="24"/>
        </w:rPr>
        <w:t> million and the forecast for 2014-15 is $29.</w:t>
      </w:r>
      <w:r w:rsidR="0072569F">
        <w:rPr>
          <w:rFonts w:ascii="Calibri" w:hAnsi="Calibri"/>
          <w:sz w:val="24"/>
        </w:rPr>
        <w:t>9</w:t>
      </w:r>
      <w:r w:rsidRPr="00B93188">
        <w:rPr>
          <w:rFonts w:ascii="Calibri" w:hAnsi="Calibri"/>
          <w:sz w:val="24"/>
        </w:rPr>
        <w:t> million, reflecting forecast growth of sales activity</w:t>
      </w:r>
      <w:r w:rsidRPr="00B93188">
        <w:rPr>
          <w:rFonts w:ascii="Calibri" w:hAnsi="Calibri"/>
          <w:color w:val="000000"/>
          <w:sz w:val="24"/>
        </w:rPr>
        <w:t>.</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ACTTAB Licence Fee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ACTTAB pays a licence fee for its totalisator and sports betting licences.  Revenue from the licence fees for 2013-14 is estimated at $1.7 million and the forecast for 2014-15 is $1.8 million.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Gaming Tax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Gaming tax revenue incorporates gaming machine taxes and interactive gaming taxes.  Gaming machines are taxed on the basis of monthly gross revenue, which is defined as monthly gaming machine revenue less amounts paid out in prize money.  Estimated total gaming tax revenue for 2013-14 is $34.0 million and the forecast for 2014-15 is $34.9 million.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Casino Tax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tax applying to Casino Canberra is 10.9 per cent of gross profit from general gaming operations.  Estimated revenue for 2013-14 and 2014</w:t>
      </w:r>
      <w:r w:rsidR="00983072">
        <w:rPr>
          <w:rFonts w:ascii="Calibri" w:hAnsi="Calibri"/>
          <w:sz w:val="24"/>
        </w:rPr>
        <w:t>-</w:t>
      </w:r>
      <w:r w:rsidRPr="00B93188">
        <w:rPr>
          <w:rFonts w:ascii="Calibri" w:hAnsi="Calibri"/>
          <w:sz w:val="24"/>
        </w:rPr>
        <w:t>15 is $1.9 million and $2.0 million respectively.</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Interstate Lotteries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ACT receives revenue based on the value of NSW and Victorian Lotteries tickets purchased in the ACT.  Estimated revenue for 2013</w:t>
      </w:r>
      <w:r w:rsidR="00983072">
        <w:rPr>
          <w:rFonts w:ascii="Calibri" w:hAnsi="Calibri"/>
          <w:sz w:val="24"/>
        </w:rPr>
        <w:t>-</w:t>
      </w:r>
      <w:r w:rsidRPr="00B93188">
        <w:rPr>
          <w:rFonts w:ascii="Calibri" w:hAnsi="Calibri"/>
          <w:sz w:val="24"/>
        </w:rPr>
        <w:t>14 is $15.1 million and the forecast for 2014</w:t>
      </w:r>
      <w:r w:rsidR="00983072">
        <w:rPr>
          <w:rFonts w:ascii="Calibri" w:hAnsi="Calibri"/>
          <w:sz w:val="24"/>
        </w:rPr>
        <w:t>-</w:t>
      </w:r>
      <w:r w:rsidRPr="00B93188">
        <w:rPr>
          <w:rFonts w:ascii="Calibri" w:hAnsi="Calibri"/>
          <w:sz w:val="24"/>
        </w:rPr>
        <w:t>15 is $14.7 million.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Motor Vehicle Registration Fees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estimated revenue from motor vehicle registrations in 2013-14 is $108.8 million and the forecast for 2014-15 is $113.7 million.  The increase is largely driven by the indexation of fees, partly offset by changes to administrative fee components.  Please refer to Taxation Reform (Chapter 6.2) for more information on this initiative.</w:t>
      </w:r>
    </w:p>
    <w:p w:rsidR="00B93188" w:rsidRPr="00B93188" w:rsidRDefault="0073335C" w:rsidP="00983072">
      <w:pPr>
        <w:keepNext/>
        <w:keepLines/>
        <w:spacing w:before="120" w:after="120"/>
        <w:outlineLvl w:val="3"/>
        <w:rPr>
          <w:rFonts w:ascii="Calibri" w:hAnsi="Calibri"/>
          <w:i/>
          <w:sz w:val="24"/>
        </w:rPr>
      </w:pPr>
      <w:r>
        <w:rPr>
          <w:rFonts w:ascii="Calibri" w:hAnsi="Calibri"/>
          <w:i/>
          <w:sz w:val="24"/>
        </w:rPr>
        <w:br w:type="page"/>
      </w:r>
      <w:r w:rsidR="00B93188" w:rsidRPr="00B93188">
        <w:rPr>
          <w:rFonts w:ascii="Calibri" w:hAnsi="Calibri"/>
          <w:i/>
          <w:sz w:val="24"/>
        </w:rPr>
        <w:lastRenderedPageBreak/>
        <w:t xml:space="preserve">Ambulance Levy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Ambulance Levy is payable each month by private health insurance companies to offset the cost of providing ambulance services in the Territory.  The levy is calculated on the number and type of private health insurance contributions.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funding for ambulance services is appropriated through the normal Budget process.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estimated revenue for 2013-14 is $18.275 million.  The forecast for the 2014-15 Budget is $19.188 million.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Lease Variation Charge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2013-14 outcome is estimated at $15.228 million, which is lower than the original budget of $17.7 million.</w:t>
      </w:r>
      <w:r w:rsidR="00F41812">
        <w:rPr>
          <w:rFonts w:ascii="Calibri" w:hAnsi="Calibri"/>
          <w:sz w:val="24"/>
        </w:rPr>
        <w:t xml:space="preserve"> </w:t>
      </w:r>
      <w:r w:rsidRPr="00B93188">
        <w:rPr>
          <w:rFonts w:ascii="Calibri" w:hAnsi="Calibri"/>
          <w:sz w:val="24"/>
        </w:rPr>
        <w:t xml:space="preserve"> </w:t>
      </w:r>
      <w:r w:rsidR="00F41812">
        <w:rPr>
          <w:rFonts w:ascii="Calibri" w:hAnsi="Calibri"/>
          <w:sz w:val="24"/>
        </w:rPr>
        <w:t>The lower than expected result in 2013-14 is partially due to decreased activity</w:t>
      </w:r>
      <w:r w:rsidR="0072569F">
        <w:rPr>
          <w:rFonts w:ascii="Calibri" w:hAnsi="Calibri"/>
          <w:sz w:val="24"/>
        </w:rPr>
        <w:t xml:space="preserve"> plus the increased remission as announced in the 6 March 2014 stimulus package</w:t>
      </w:r>
      <w:r w:rsidR="00F41812">
        <w:rPr>
          <w:rFonts w:ascii="Calibri" w:hAnsi="Calibri"/>
          <w:sz w:val="24"/>
        </w:rPr>
        <w:t xml:space="preserve">. </w:t>
      </w:r>
      <w:r w:rsidRPr="00B93188">
        <w:rPr>
          <w:rFonts w:ascii="Calibri" w:hAnsi="Calibri"/>
          <w:sz w:val="24"/>
        </w:rPr>
        <w:t xml:space="preserve"> In 2014-15, revenue for the Lease Variation Charge is forecast to remain stable at $14.</w:t>
      </w:r>
      <w:r w:rsidR="0072569F">
        <w:rPr>
          <w:rFonts w:ascii="Calibri" w:hAnsi="Calibri"/>
          <w:sz w:val="24"/>
        </w:rPr>
        <w:t>6</w:t>
      </w:r>
      <w:r w:rsidRPr="00B93188">
        <w:rPr>
          <w:rFonts w:ascii="Calibri" w:hAnsi="Calibri"/>
          <w:sz w:val="24"/>
        </w:rPr>
        <w:t> million, reflecting in-part the effects of the Government’s stimulus package, on expected activity levels in the residential and commercial redevelopment sectors.</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Utilities (Network Facilities) Tax</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Utilities (Network Facilities) Tax (UNFT) applies to the owner of a utility network facility that is installed on or under land in the ACT.  The tax rate for 2013-14 is $945 per kilometre of network route length.  The 2013-14 estimated outcome is $24.4 million, with $25.</w:t>
      </w:r>
      <w:r w:rsidR="0072569F">
        <w:rPr>
          <w:rFonts w:ascii="Calibri" w:hAnsi="Calibri"/>
          <w:sz w:val="24"/>
        </w:rPr>
        <w:t>7</w:t>
      </w:r>
      <w:r w:rsidRPr="00B93188">
        <w:rPr>
          <w:rFonts w:ascii="Calibri" w:hAnsi="Calibri"/>
          <w:sz w:val="24"/>
        </w:rPr>
        <w:t xml:space="preserve"> million forecast in 2014-15 rising slightly across the forward estimates.  As part of its revenue initiatives the Government will index the UNFT by </w:t>
      </w:r>
      <w:r w:rsidR="000453BB">
        <w:rPr>
          <w:rFonts w:ascii="Calibri" w:hAnsi="Calibri"/>
          <w:sz w:val="24"/>
        </w:rPr>
        <w:t>5</w:t>
      </w:r>
      <w:r w:rsidRPr="00B93188">
        <w:rPr>
          <w:rFonts w:ascii="Calibri" w:hAnsi="Calibri"/>
          <w:sz w:val="24"/>
        </w:rPr>
        <w:t> per cent for 2014-15 and in each of the forward years.</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Fire and Emergency Services Levy (FESL)</w:t>
      </w:r>
    </w:p>
    <w:p w:rsidR="00B93188" w:rsidRPr="00B93188" w:rsidRDefault="00B93188" w:rsidP="00983072">
      <w:pPr>
        <w:keepNext/>
        <w:keepLines/>
        <w:spacing w:before="120" w:after="120"/>
        <w:jc w:val="both"/>
        <w:rPr>
          <w:rFonts w:ascii="Calibri" w:hAnsi="Calibri"/>
          <w:b/>
          <w:sz w:val="24"/>
        </w:rPr>
      </w:pPr>
      <w:r w:rsidRPr="00B93188">
        <w:rPr>
          <w:rFonts w:ascii="Calibri" w:hAnsi="Calibri"/>
          <w:sz w:val="24"/>
        </w:rPr>
        <w:t xml:space="preserve">A FESL is charged on all rateable properties in the ACT.  Revenue from the levy provides funding to offset the cost of providing fire and emergency services in the Territory.  FESL revenue from existing properties will increase in 2014-15 from 2013-14 levels by 21.55 per cent per cent overall.  By sectors, FESL will increase in 2014-15 for residential and rural properties by 8.33 per cent and for commercial properties by 35.00 per cent.  This will result in an increase of $10 in the fixed charge for residential and rural properties and an average increase of $1,030 for commercial properties in 2014-15.  In addition, the 2014-15 Budget will introduce progressivity in the calculation of FESL for commercial properties.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estimates for FESL revenue include expected revenue from both existing and new properties, and represent the net amount after allowing for pensioner rebates and discounts for early payment.  The estimated outcome from FESL revenue is $34.4 million in 2013-14, which is expected to increase to $44.0 million in 2014-15.</w:t>
      </w:r>
    </w:p>
    <w:p w:rsidR="00B93188" w:rsidRPr="00B93188" w:rsidRDefault="0073335C" w:rsidP="00983072">
      <w:pPr>
        <w:keepNext/>
        <w:keepLines/>
        <w:spacing w:before="120" w:after="120"/>
        <w:jc w:val="both"/>
        <w:rPr>
          <w:rFonts w:ascii="Calibri" w:hAnsi="Calibri"/>
          <w:sz w:val="24"/>
        </w:rPr>
      </w:pPr>
      <w:r>
        <w:rPr>
          <w:rFonts w:ascii="Calibri" w:hAnsi="Calibri"/>
          <w:sz w:val="24"/>
        </w:rPr>
        <w:br w:type="page"/>
      </w:r>
      <w:r w:rsidR="00B93188" w:rsidRPr="00B93188">
        <w:rPr>
          <w:rFonts w:ascii="Calibri" w:hAnsi="Calibri"/>
          <w:sz w:val="24"/>
        </w:rPr>
        <w:lastRenderedPageBreak/>
        <w:t>The FESL in 2014-15 will have the following elements:</w:t>
      </w:r>
    </w:p>
    <w:p w:rsidR="00B93188" w:rsidRPr="00B93188" w:rsidRDefault="00B93188" w:rsidP="00983072">
      <w:pPr>
        <w:keepNext/>
        <w:keepLines/>
        <w:numPr>
          <w:ilvl w:val="0"/>
          <w:numId w:val="1"/>
        </w:numPr>
        <w:spacing w:after="120"/>
        <w:ind w:left="357" w:hanging="357"/>
        <w:jc w:val="both"/>
        <w:rPr>
          <w:rFonts w:ascii="Calibri" w:hAnsi="Calibri"/>
          <w:sz w:val="24"/>
          <w:szCs w:val="24"/>
        </w:rPr>
      </w:pPr>
      <w:r w:rsidRPr="00B93188">
        <w:rPr>
          <w:rFonts w:ascii="Calibri" w:hAnsi="Calibri"/>
          <w:sz w:val="24"/>
          <w:szCs w:val="24"/>
        </w:rPr>
        <w:t>a fixed charge of $130 for residential and rural properties;</w:t>
      </w:r>
    </w:p>
    <w:p w:rsidR="00B93188" w:rsidRPr="00B93188" w:rsidRDefault="00B93188" w:rsidP="00983072">
      <w:pPr>
        <w:keepNext/>
        <w:keepLines/>
        <w:numPr>
          <w:ilvl w:val="0"/>
          <w:numId w:val="1"/>
        </w:numPr>
        <w:spacing w:after="120"/>
        <w:ind w:left="357" w:hanging="357"/>
        <w:jc w:val="both"/>
        <w:rPr>
          <w:rFonts w:ascii="Calibri" w:hAnsi="Calibri"/>
          <w:sz w:val="24"/>
          <w:szCs w:val="24"/>
        </w:rPr>
      </w:pPr>
      <w:r w:rsidRPr="00B93188">
        <w:rPr>
          <w:rFonts w:ascii="Calibri" w:hAnsi="Calibri"/>
          <w:sz w:val="24"/>
          <w:szCs w:val="24"/>
        </w:rPr>
        <w:t xml:space="preserve">a pensioner rebate of 50 per cent; and </w:t>
      </w:r>
    </w:p>
    <w:p w:rsidR="00B93188" w:rsidRPr="00B93188" w:rsidRDefault="00B93188" w:rsidP="00983072">
      <w:pPr>
        <w:keepNext/>
        <w:keepLines/>
        <w:numPr>
          <w:ilvl w:val="0"/>
          <w:numId w:val="1"/>
        </w:numPr>
        <w:spacing w:after="120"/>
        <w:ind w:left="357" w:hanging="357"/>
        <w:jc w:val="both"/>
        <w:rPr>
          <w:rFonts w:ascii="Calibri" w:hAnsi="Calibri"/>
          <w:sz w:val="24"/>
          <w:szCs w:val="24"/>
        </w:rPr>
      </w:pPr>
      <w:r w:rsidRPr="00B93188">
        <w:rPr>
          <w:rFonts w:ascii="Calibri" w:hAnsi="Calibri"/>
          <w:sz w:val="24"/>
          <w:szCs w:val="24"/>
        </w:rPr>
        <w:t>a valuation-based charge for commercial properties with newly introduced progressive marginal rating factors applied to the average of the 2012, 2013 and 2014 unimproved land values.</w:t>
      </w:r>
    </w:p>
    <w:p w:rsidR="00B93188" w:rsidRPr="00B93188" w:rsidRDefault="00B93188" w:rsidP="00983072">
      <w:pPr>
        <w:keepNext/>
        <w:keepLines/>
        <w:spacing w:before="120" w:after="120"/>
        <w:jc w:val="both"/>
        <w:rPr>
          <w:rFonts w:ascii="Calibri" w:hAnsi="Calibri"/>
          <w:sz w:val="24"/>
          <w:szCs w:val="24"/>
        </w:rPr>
      </w:pPr>
      <w:r w:rsidRPr="00B93188">
        <w:rPr>
          <w:rFonts w:ascii="Calibri" w:hAnsi="Calibri"/>
          <w:sz w:val="24"/>
          <w:szCs w:val="24"/>
        </w:rPr>
        <w:t>Table 6.1.7 outlines the new FESL thresholds and rates for commercial properties.</w:t>
      </w:r>
    </w:p>
    <w:p w:rsidR="00B93188" w:rsidRPr="00B93188" w:rsidRDefault="00B93188" w:rsidP="00B93188">
      <w:pPr>
        <w:keepNext/>
        <w:keepLines/>
        <w:jc w:val="center"/>
        <w:rPr>
          <w:rFonts w:ascii="Arial" w:hAnsi="Arial"/>
          <w:b/>
        </w:rPr>
      </w:pPr>
      <w:r w:rsidRPr="00B93188">
        <w:rPr>
          <w:rFonts w:ascii="Arial" w:hAnsi="Arial"/>
          <w:b/>
        </w:rPr>
        <w:t>Table 6.1.7</w:t>
      </w:r>
    </w:p>
    <w:p w:rsidR="00B93188" w:rsidRPr="00B93188" w:rsidRDefault="00B93188" w:rsidP="00B93188">
      <w:pPr>
        <w:keepNext/>
        <w:keepLines/>
        <w:jc w:val="center"/>
        <w:rPr>
          <w:rFonts w:ascii="Arial" w:hAnsi="Arial"/>
          <w:b/>
        </w:rPr>
      </w:pPr>
      <w:r w:rsidRPr="00B93188">
        <w:rPr>
          <w:rFonts w:ascii="Arial" w:hAnsi="Arial"/>
          <w:b/>
        </w:rPr>
        <w:t>FESL Thresholds and Rates for Commercial Properties</w:t>
      </w:r>
    </w:p>
    <w:tbl>
      <w:tblPr>
        <w:tblW w:w="4686" w:type="dxa"/>
        <w:jc w:val="center"/>
        <w:tblInd w:w="-917" w:type="dxa"/>
        <w:tblLook w:val="04A0"/>
      </w:tblPr>
      <w:tblGrid>
        <w:gridCol w:w="2968"/>
        <w:gridCol w:w="1718"/>
      </w:tblGrid>
      <w:tr w:rsidR="00B93188" w:rsidRPr="00C65746" w:rsidTr="00B93188">
        <w:trPr>
          <w:trHeight w:val="274"/>
          <w:jc w:val="center"/>
        </w:trPr>
        <w:tc>
          <w:tcPr>
            <w:tcW w:w="2968" w:type="dxa"/>
            <w:tcBorders>
              <w:top w:val="single" w:sz="4" w:space="0" w:color="auto"/>
              <w:bottom w:val="single" w:sz="4" w:space="0" w:color="auto"/>
            </w:tcBorders>
            <w:shd w:val="clear" w:color="auto" w:fill="auto"/>
            <w:noWrap/>
            <w:vAlign w:val="center"/>
            <w:hideMark/>
          </w:tcPr>
          <w:p w:rsidR="00B93188" w:rsidRPr="00C65746" w:rsidRDefault="00B93188" w:rsidP="00B93188">
            <w:pPr>
              <w:jc w:val="center"/>
              <w:rPr>
                <w:rFonts w:ascii="Calibri" w:hAnsi="Calibri"/>
                <w:b/>
                <w:lang w:eastAsia="en-AU"/>
              </w:rPr>
            </w:pPr>
            <w:r w:rsidRPr="00C65746">
              <w:rPr>
                <w:rFonts w:ascii="Calibri" w:hAnsi="Calibri"/>
                <w:b/>
                <w:lang w:eastAsia="en-AU"/>
              </w:rPr>
              <w:t>AUV Thresholds</w:t>
            </w:r>
          </w:p>
        </w:tc>
        <w:tc>
          <w:tcPr>
            <w:tcW w:w="1718" w:type="dxa"/>
            <w:tcBorders>
              <w:top w:val="single" w:sz="4" w:space="0" w:color="auto"/>
              <w:bottom w:val="single" w:sz="4" w:space="0" w:color="auto"/>
            </w:tcBorders>
            <w:shd w:val="clear" w:color="auto" w:fill="auto"/>
            <w:noWrap/>
            <w:vAlign w:val="center"/>
            <w:hideMark/>
          </w:tcPr>
          <w:p w:rsidR="00B93188" w:rsidRPr="00C65746" w:rsidRDefault="00B93188" w:rsidP="00B93188">
            <w:pPr>
              <w:jc w:val="center"/>
              <w:rPr>
                <w:rFonts w:ascii="Calibri" w:hAnsi="Calibri"/>
                <w:b/>
                <w:lang w:eastAsia="en-AU"/>
              </w:rPr>
            </w:pPr>
            <w:r w:rsidRPr="00C65746">
              <w:rPr>
                <w:rFonts w:ascii="Calibri" w:hAnsi="Calibri"/>
                <w:b/>
                <w:lang w:eastAsia="en-AU"/>
              </w:rPr>
              <w:t>Marginal Rates</w:t>
            </w:r>
          </w:p>
        </w:tc>
      </w:tr>
      <w:tr w:rsidR="00B93188" w:rsidRPr="00C65746" w:rsidTr="00B93188">
        <w:trPr>
          <w:trHeight w:val="274"/>
          <w:jc w:val="center"/>
        </w:trPr>
        <w:tc>
          <w:tcPr>
            <w:tcW w:w="2968" w:type="dxa"/>
            <w:tcBorders>
              <w:top w:val="single" w:sz="4" w:space="0" w:color="auto"/>
            </w:tcBorders>
            <w:shd w:val="clear" w:color="auto" w:fill="auto"/>
            <w:noWrap/>
            <w:vAlign w:val="bottom"/>
            <w:hideMark/>
          </w:tcPr>
          <w:p w:rsidR="00B93188" w:rsidRPr="00C65746" w:rsidRDefault="00B93188" w:rsidP="00B93188">
            <w:pPr>
              <w:rPr>
                <w:rFonts w:ascii="Calibri" w:hAnsi="Calibri"/>
                <w:lang w:eastAsia="en-AU"/>
              </w:rPr>
            </w:pPr>
            <w:r w:rsidRPr="00C65746">
              <w:rPr>
                <w:rFonts w:ascii="Calibri" w:hAnsi="Calibri"/>
                <w:lang w:eastAsia="en-AU"/>
              </w:rPr>
              <w:t>$1 to $300,000</w:t>
            </w:r>
          </w:p>
        </w:tc>
        <w:tc>
          <w:tcPr>
            <w:tcW w:w="1718" w:type="dxa"/>
            <w:tcBorders>
              <w:top w:val="single" w:sz="4" w:space="0" w:color="auto"/>
            </w:tcBorders>
            <w:shd w:val="clear" w:color="auto" w:fill="auto"/>
            <w:noWrap/>
            <w:vAlign w:val="bottom"/>
            <w:hideMark/>
          </w:tcPr>
          <w:p w:rsidR="00B93188" w:rsidRPr="00C65746" w:rsidRDefault="00B93188" w:rsidP="00B93188">
            <w:pPr>
              <w:jc w:val="right"/>
              <w:rPr>
                <w:rFonts w:ascii="Calibri" w:hAnsi="Calibri"/>
                <w:lang w:eastAsia="en-AU"/>
              </w:rPr>
            </w:pPr>
            <w:r w:rsidRPr="00C65746">
              <w:rPr>
                <w:rFonts w:ascii="Calibri" w:hAnsi="Calibri"/>
                <w:lang w:eastAsia="en-AU"/>
              </w:rPr>
              <w:t>0.6097%</w:t>
            </w:r>
          </w:p>
        </w:tc>
      </w:tr>
      <w:tr w:rsidR="00B93188" w:rsidRPr="00C65746" w:rsidTr="00B93188">
        <w:trPr>
          <w:trHeight w:val="274"/>
          <w:jc w:val="center"/>
        </w:trPr>
        <w:tc>
          <w:tcPr>
            <w:tcW w:w="2968" w:type="dxa"/>
            <w:shd w:val="clear" w:color="auto" w:fill="auto"/>
            <w:noWrap/>
            <w:vAlign w:val="bottom"/>
            <w:hideMark/>
          </w:tcPr>
          <w:p w:rsidR="00B93188" w:rsidRPr="00C65746" w:rsidRDefault="00B93188" w:rsidP="00B93188">
            <w:pPr>
              <w:rPr>
                <w:rFonts w:ascii="Calibri" w:hAnsi="Calibri"/>
                <w:lang w:eastAsia="en-AU"/>
              </w:rPr>
            </w:pPr>
            <w:r w:rsidRPr="00C65746">
              <w:rPr>
                <w:rFonts w:ascii="Calibri" w:hAnsi="Calibri"/>
                <w:lang w:eastAsia="en-AU"/>
              </w:rPr>
              <w:t>$300,001 to $2,000,000</w:t>
            </w:r>
          </w:p>
        </w:tc>
        <w:tc>
          <w:tcPr>
            <w:tcW w:w="1718" w:type="dxa"/>
            <w:shd w:val="clear" w:color="auto" w:fill="auto"/>
            <w:noWrap/>
            <w:vAlign w:val="bottom"/>
            <w:hideMark/>
          </w:tcPr>
          <w:p w:rsidR="00B93188" w:rsidRPr="00C65746" w:rsidRDefault="00B93188" w:rsidP="00B93188">
            <w:pPr>
              <w:jc w:val="right"/>
              <w:rPr>
                <w:rFonts w:ascii="Calibri" w:hAnsi="Calibri"/>
                <w:lang w:eastAsia="en-AU"/>
              </w:rPr>
            </w:pPr>
            <w:r w:rsidRPr="00C65746">
              <w:rPr>
                <w:rFonts w:ascii="Calibri" w:hAnsi="Calibri"/>
                <w:lang w:eastAsia="en-AU"/>
              </w:rPr>
              <w:t>0.7153%</w:t>
            </w:r>
          </w:p>
        </w:tc>
      </w:tr>
      <w:tr w:rsidR="00B93188" w:rsidRPr="00C65746" w:rsidTr="00B93188">
        <w:trPr>
          <w:trHeight w:val="274"/>
          <w:jc w:val="center"/>
        </w:trPr>
        <w:tc>
          <w:tcPr>
            <w:tcW w:w="2968" w:type="dxa"/>
            <w:tcBorders>
              <w:bottom w:val="single" w:sz="4" w:space="0" w:color="auto"/>
            </w:tcBorders>
            <w:shd w:val="clear" w:color="auto" w:fill="auto"/>
            <w:noWrap/>
            <w:vAlign w:val="bottom"/>
            <w:hideMark/>
          </w:tcPr>
          <w:p w:rsidR="00B93188" w:rsidRPr="00C65746" w:rsidRDefault="00B93188" w:rsidP="0072569F">
            <w:pPr>
              <w:rPr>
                <w:rFonts w:ascii="Calibri" w:hAnsi="Calibri"/>
                <w:lang w:eastAsia="en-AU"/>
              </w:rPr>
            </w:pPr>
            <w:r w:rsidRPr="00C65746">
              <w:rPr>
                <w:rFonts w:ascii="Calibri" w:hAnsi="Calibri"/>
                <w:lang w:eastAsia="en-AU"/>
              </w:rPr>
              <w:t>$2,000,001 and above</w:t>
            </w:r>
          </w:p>
        </w:tc>
        <w:tc>
          <w:tcPr>
            <w:tcW w:w="1718" w:type="dxa"/>
            <w:tcBorders>
              <w:bottom w:val="single" w:sz="4" w:space="0" w:color="auto"/>
            </w:tcBorders>
            <w:shd w:val="clear" w:color="auto" w:fill="auto"/>
            <w:noWrap/>
            <w:vAlign w:val="bottom"/>
            <w:hideMark/>
          </w:tcPr>
          <w:p w:rsidR="00B93188" w:rsidRPr="00C65746" w:rsidRDefault="00B93188" w:rsidP="00B93188">
            <w:pPr>
              <w:jc w:val="right"/>
              <w:rPr>
                <w:rFonts w:ascii="Calibri" w:hAnsi="Calibri"/>
                <w:lang w:eastAsia="en-AU"/>
              </w:rPr>
            </w:pPr>
            <w:r w:rsidRPr="00C65746">
              <w:rPr>
                <w:rFonts w:ascii="Calibri" w:hAnsi="Calibri"/>
                <w:lang w:eastAsia="en-AU"/>
              </w:rPr>
              <w:t>0.8209%</w:t>
            </w:r>
          </w:p>
        </w:tc>
      </w:tr>
    </w:tbl>
    <w:p w:rsidR="00B93188" w:rsidRPr="00B93188" w:rsidRDefault="00B93188" w:rsidP="00B93188">
      <w:pPr>
        <w:keepNext/>
        <w:keepLines/>
        <w:spacing w:before="120" w:after="120"/>
        <w:jc w:val="both"/>
        <w:rPr>
          <w:rFonts w:ascii="Calibri" w:hAnsi="Calibri"/>
          <w:sz w:val="24"/>
        </w:rPr>
      </w:pPr>
      <w:r w:rsidRPr="00B93188">
        <w:rPr>
          <w:rFonts w:ascii="Calibri" w:hAnsi="Calibri"/>
          <w:sz w:val="24"/>
        </w:rPr>
        <w:t>Please refer to Revenue Initiatives (Chapter 3.4) for more information on this initiative.</w:t>
      </w:r>
    </w:p>
    <w:p w:rsidR="00B93188" w:rsidRPr="00B93188" w:rsidRDefault="00B93188" w:rsidP="00B93188">
      <w:pPr>
        <w:keepNext/>
        <w:keepLines/>
        <w:spacing w:before="120" w:after="120"/>
        <w:outlineLvl w:val="3"/>
        <w:rPr>
          <w:rFonts w:ascii="Calibri" w:hAnsi="Calibri"/>
          <w:i/>
          <w:sz w:val="24"/>
        </w:rPr>
      </w:pPr>
      <w:r w:rsidRPr="00B93188">
        <w:rPr>
          <w:rFonts w:ascii="Calibri" w:hAnsi="Calibri"/>
          <w:i/>
          <w:sz w:val="24"/>
        </w:rPr>
        <w:t xml:space="preserve">City Centre Marketing and Improvements Levy (CCMIL) </w:t>
      </w:r>
    </w:p>
    <w:p w:rsidR="00B93188" w:rsidRDefault="00B93188" w:rsidP="00B93188">
      <w:pPr>
        <w:keepNext/>
        <w:keepLines/>
        <w:spacing w:before="120" w:after="120"/>
        <w:jc w:val="both"/>
        <w:rPr>
          <w:rFonts w:ascii="Calibri" w:hAnsi="Calibri"/>
          <w:sz w:val="24"/>
        </w:rPr>
      </w:pPr>
      <w:r w:rsidRPr="00B93188">
        <w:rPr>
          <w:rFonts w:ascii="Calibri" w:hAnsi="Calibri"/>
          <w:sz w:val="24"/>
        </w:rPr>
        <w:t>The revenue collected from the CCMIL is used to promote, maintain and improve the amenities of the City Centre area.  The estimated outcome for 2013-14 is $1.882 million and the forecast for 2014-15 is $1.871 million.</w:t>
      </w:r>
    </w:p>
    <w:p w:rsidR="00B93188" w:rsidRPr="00B93188" w:rsidRDefault="00B93188" w:rsidP="00B93188">
      <w:pPr>
        <w:keepNext/>
        <w:keepLines/>
        <w:spacing w:before="120" w:after="120"/>
        <w:jc w:val="both"/>
        <w:rPr>
          <w:rFonts w:ascii="Calibri" w:hAnsi="Calibri"/>
          <w:sz w:val="24"/>
        </w:rPr>
      </w:pPr>
      <w:r w:rsidRPr="00B93188">
        <w:rPr>
          <w:rFonts w:ascii="Calibri" w:hAnsi="Calibri"/>
          <w:sz w:val="24"/>
        </w:rPr>
        <w:t>The CCMIL applies to all rateable commercial properties in the City and selected areas in Braddon and Turner, adjacent to the City Centre.  The collection area is divided into two zones and the levy is applied on the AUV of each property at the rate of 0.2992 per cent for the retail core and the rate of 0.2161 per cent for the non-retail core.</w:t>
      </w:r>
    </w:p>
    <w:p w:rsidR="00B93188" w:rsidRPr="00B93188" w:rsidRDefault="00B93188" w:rsidP="00B93188">
      <w:pPr>
        <w:keepNext/>
        <w:keepLines/>
        <w:spacing w:before="120" w:after="120"/>
        <w:outlineLvl w:val="3"/>
        <w:rPr>
          <w:rFonts w:ascii="Calibri" w:hAnsi="Calibri"/>
          <w:i/>
          <w:sz w:val="24"/>
        </w:rPr>
      </w:pPr>
      <w:r w:rsidRPr="00B93188">
        <w:rPr>
          <w:rFonts w:ascii="Calibri" w:hAnsi="Calibri"/>
          <w:i/>
          <w:sz w:val="24"/>
        </w:rPr>
        <w:t>Energy Industry Levy</w:t>
      </w:r>
    </w:p>
    <w:p w:rsidR="00B93188" w:rsidRPr="00B93188" w:rsidRDefault="00B93188" w:rsidP="00B93188">
      <w:pPr>
        <w:keepNext/>
        <w:keepLines/>
        <w:spacing w:before="120" w:after="120"/>
        <w:jc w:val="both"/>
        <w:rPr>
          <w:rFonts w:ascii="Calibri" w:hAnsi="Calibri"/>
          <w:sz w:val="24"/>
        </w:rPr>
      </w:pPr>
      <w:bookmarkStart w:id="0" w:name="OLE_LINK1"/>
      <w:r w:rsidRPr="00B93188">
        <w:rPr>
          <w:rFonts w:ascii="Calibri" w:hAnsi="Calibri"/>
          <w:sz w:val="24"/>
        </w:rPr>
        <w:t>An Energy Indus</w:t>
      </w:r>
      <w:r w:rsidR="00983072">
        <w:rPr>
          <w:rFonts w:ascii="Calibri" w:hAnsi="Calibri"/>
          <w:sz w:val="24"/>
        </w:rPr>
        <w:t>try Levy was introduced in 2007-</w:t>
      </w:r>
      <w:r w:rsidRPr="00B93188">
        <w:rPr>
          <w:rFonts w:ascii="Calibri" w:hAnsi="Calibri"/>
          <w:sz w:val="24"/>
        </w:rPr>
        <w:t>08 to fund:</w:t>
      </w:r>
    </w:p>
    <w:p w:rsidR="00B93188" w:rsidRPr="00B93188" w:rsidRDefault="00B93188" w:rsidP="00B93188">
      <w:pPr>
        <w:keepNext/>
        <w:keepLines/>
        <w:numPr>
          <w:ilvl w:val="0"/>
          <w:numId w:val="1"/>
        </w:numPr>
        <w:spacing w:before="120" w:after="120"/>
        <w:jc w:val="both"/>
        <w:rPr>
          <w:rFonts w:ascii="Calibri" w:hAnsi="Calibri"/>
          <w:sz w:val="24"/>
          <w:szCs w:val="24"/>
        </w:rPr>
      </w:pPr>
      <w:r w:rsidRPr="00B93188">
        <w:rPr>
          <w:rFonts w:ascii="Calibri" w:hAnsi="Calibri"/>
          <w:sz w:val="24"/>
          <w:szCs w:val="24"/>
        </w:rPr>
        <w:t>the Territory’s national regulatory obligations and costs for the Australian Energy Market Commission and the Ministerial Council on Energy’s responsibilities under the Australian Energy Market Agreement; and</w:t>
      </w:r>
    </w:p>
    <w:p w:rsidR="00983072" w:rsidRDefault="00B93188" w:rsidP="00B93188">
      <w:pPr>
        <w:keepNext/>
        <w:keepLines/>
        <w:numPr>
          <w:ilvl w:val="0"/>
          <w:numId w:val="1"/>
        </w:numPr>
        <w:spacing w:before="120" w:after="120"/>
        <w:jc w:val="both"/>
        <w:rPr>
          <w:rFonts w:ascii="Calibri" w:hAnsi="Calibri"/>
          <w:sz w:val="24"/>
          <w:szCs w:val="24"/>
        </w:rPr>
      </w:pPr>
      <w:r w:rsidRPr="00B93188">
        <w:rPr>
          <w:rFonts w:ascii="Calibri" w:hAnsi="Calibri"/>
          <w:sz w:val="24"/>
          <w:szCs w:val="24"/>
        </w:rPr>
        <w:t>local regulatory costs incurred by the Territory in relati</w:t>
      </w:r>
      <w:r w:rsidR="00983072">
        <w:rPr>
          <w:rFonts w:ascii="Calibri" w:hAnsi="Calibri"/>
          <w:sz w:val="24"/>
          <w:szCs w:val="24"/>
        </w:rPr>
        <w:t>on to energy utility services.</w:t>
      </w:r>
    </w:p>
    <w:p w:rsidR="0073335C" w:rsidRDefault="00983072" w:rsidP="00983072">
      <w:pPr>
        <w:keepNext/>
        <w:keepLines/>
        <w:spacing w:before="120" w:after="120"/>
        <w:jc w:val="both"/>
        <w:rPr>
          <w:rFonts w:ascii="Calibri" w:hAnsi="Calibri"/>
          <w:sz w:val="24"/>
        </w:rPr>
      </w:pPr>
      <w:r>
        <w:rPr>
          <w:rFonts w:ascii="Calibri" w:hAnsi="Calibri"/>
          <w:sz w:val="24"/>
          <w:szCs w:val="24"/>
        </w:rPr>
        <w:br w:type="page"/>
      </w:r>
      <w:r w:rsidR="00E1003E">
        <w:rPr>
          <w:rFonts w:ascii="Calibri" w:hAnsi="Calibri"/>
          <w:sz w:val="24"/>
        </w:rPr>
        <w:lastRenderedPageBreak/>
        <w:t xml:space="preserve">The levy applies to the energy utility industry sectors of: electricity distribution; electricity supply; gas distribution; and gas supply.  </w:t>
      </w:r>
      <w:r w:rsidR="00B93188" w:rsidRPr="00B93188">
        <w:rPr>
          <w:rFonts w:ascii="Calibri" w:hAnsi="Calibri"/>
          <w:sz w:val="24"/>
        </w:rPr>
        <w:t>Introduction of the levy anticipated the transfer, over time, of agreed regulatory responsibilities for energy sector distribution and retail utilities to the Australian Energy Regulator c</w:t>
      </w:r>
      <w:r>
        <w:rPr>
          <w:rFonts w:ascii="Calibri" w:hAnsi="Calibri"/>
          <w:sz w:val="24"/>
        </w:rPr>
        <w:t>ommencing in 2007-</w:t>
      </w:r>
      <w:r w:rsidR="00B93188" w:rsidRPr="00B93188">
        <w:rPr>
          <w:rFonts w:ascii="Calibri" w:hAnsi="Calibri"/>
          <w:sz w:val="24"/>
        </w:rPr>
        <w:t>08.  From that year, agencies providing local regulatory services (the Independent Competition and Regulatory Commission (ICRC), the ACT Planning and Land Authority, and the ACT Civil and Administrative Tribunal) have received budget funding for regulatory costs.  The levy was first determined for national regulatory obligations and costs in 2007-08 and for local regulatory costs in 2008-09.  Until 2008</w:t>
      </w:r>
      <w:r w:rsidR="00B93188" w:rsidRPr="00B93188">
        <w:rPr>
          <w:rFonts w:ascii="Calibri" w:hAnsi="Calibri"/>
          <w:sz w:val="24"/>
        </w:rPr>
        <w:noBreakHyphen/>
        <w:t>09, these activities were funded through the collection of annual utility licence fees by the ICRC</w:t>
      </w:r>
      <w:bookmarkEnd w:id="0"/>
      <w:r w:rsidR="00B93188" w:rsidRPr="00B93188">
        <w:rPr>
          <w:rFonts w:ascii="Calibri" w:hAnsi="Calibri"/>
          <w:sz w:val="24"/>
        </w:rPr>
        <w:t xml:space="preserve">.  The estimated outcome and </w:t>
      </w:r>
      <w:r w:rsidR="0072569F">
        <w:rPr>
          <w:rFonts w:ascii="Calibri" w:hAnsi="Calibri"/>
          <w:sz w:val="24"/>
        </w:rPr>
        <w:t>the forecast for 2013-14 is $3.4</w:t>
      </w:r>
      <w:r w:rsidR="00B93188" w:rsidRPr="00B93188">
        <w:rPr>
          <w:rFonts w:ascii="Calibri" w:hAnsi="Calibri"/>
          <w:sz w:val="24"/>
        </w:rPr>
        <w:t xml:space="preserve"> million and </w:t>
      </w:r>
      <w:r w:rsidR="0072569F">
        <w:rPr>
          <w:rFonts w:ascii="Calibri" w:hAnsi="Calibri"/>
          <w:sz w:val="24"/>
        </w:rPr>
        <w:t>the forecast for 2014-15 is $3.5</w:t>
      </w:r>
      <w:r w:rsidR="00B93188" w:rsidRPr="00B93188">
        <w:rPr>
          <w:rFonts w:ascii="Calibri" w:hAnsi="Calibri"/>
          <w:sz w:val="24"/>
        </w:rPr>
        <w:t xml:space="preserve"> million.</w:t>
      </w:r>
    </w:p>
    <w:p w:rsidR="00B93188" w:rsidRPr="00B93188" w:rsidRDefault="00B93188" w:rsidP="00983072">
      <w:pPr>
        <w:keepNext/>
        <w:keepLines/>
        <w:spacing w:before="120" w:after="120"/>
        <w:outlineLvl w:val="3"/>
        <w:rPr>
          <w:rFonts w:ascii="Calibri" w:hAnsi="Calibri"/>
          <w:i/>
          <w:iCs/>
          <w:sz w:val="24"/>
        </w:rPr>
      </w:pPr>
      <w:r w:rsidRPr="00B93188">
        <w:rPr>
          <w:rFonts w:ascii="Calibri" w:hAnsi="Calibri"/>
          <w:i/>
          <w:iCs/>
          <w:sz w:val="24"/>
        </w:rPr>
        <w:t>ACT Taxes Compared to NSW</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Table 6.1.8 shows the comparative rates of tax between the ACT and NSW for major taxation items. Please note that the release of the NSW Budget on 18 June may change the information below.</w:t>
      </w:r>
    </w:p>
    <w:p w:rsidR="00B93188" w:rsidRPr="00B93188" w:rsidRDefault="00B93188" w:rsidP="00B93188">
      <w:pPr>
        <w:keepNext/>
        <w:keepLines/>
        <w:spacing w:before="60"/>
        <w:jc w:val="center"/>
        <w:rPr>
          <w:rFonts w:ascii="Arial" w:hAnsi="Arial"/>
          <w:b/>
        </w:rPr>
      </w:pPr>
      <w:r w:rsidRPr="00B93188">
        <w:rPr>
          <w:rFonts w:ascii="Arial" w:hAnsi="Arial"/>
          <w:b/>
        </w:rPr>
        <w:t>Table 6.1.8</w:t>
      </w:r>
    </w:p>
    <w:p w:rsidR="00B93188" w:rsidRPr="00B93188" w:rsidRDefault="00B93188" w:rsidP="00B93188">
      <w:pPr>
        <w:keepNext/>
        <w:keepLines/>
        <w:spacing w:after="120"/>
        <w:jc w:val="center"/>
        <w:rPr>
          <w:rFonts w:ascii="Arial" w:hAnsi="Arial"/>
          <w:b/>
        </w:rPr>
      </w:pPr>
      <w:r w:rsidRPr="00B93188">
        <w:rPr>
          <w:rFonts w:ascii="Arial" w:hAnsi="Arial"/>
          <w:b/>
        </w:rPr>
        <w:t xml:space="preserve">Major ACT Taxes compared with NSW </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8"/>
        <w:gridCol w:w="3766"/>
        <w:gridCol w:w="3766"/>
      </w:tblGrid>
      <w:tr w:rsidR="00B93188" w:rsidRPr="00C65746" w:rsidTr="00B93188">
        <w:trPr>
          <w:cantSplit/>
          <w:trHeight w:val="170"/>
          <w:tblHeader/>
          <w:jc w:val="center"/>
        </w:trPr>
        <w:tc>
          <w:tcPr>
            <w:tcW w:w="862" w:type="pct"/>
          </w:tcPr>
          <w:p w:rsidR="00B93188" w:rsidRPr="00C65746" w:rsidRDefault="00B93188" w:rsidP="00B93188">
            <w:pPr>
              <w:ind w:left="357" w:hanging="357"/>
              <w:rPr>
                <w:rFonts w:ascii="Calibri" w:hAnsi="Calibri" w:cs="Calibri"/>
                <w:b/>
              </w:rPr>
            </w:pPr>
            <w:r w:rsidRPr="00C65746">
              <w:rPr>
                <w:rFonts w:ascii="Calibri" w:hAnsi="Calibri" w:cs="Calibri"/>
                <w:b/>
              </w:rPr>
              <w:t>Tax Type</w:t>
            </w:r>
          </w:p>
        </w:tc>
        <w:tc>
          <w:tcPr>
            <w:tcW w:w="2069" w:type="pct"/>
          </w:tcPr>
          <w:p w:rsidR="00B93188" w:rsidRPr="00C65746" w:rsidRDefault="00B93188" w:rsidP="00B93188">
            <w:pPr>
              <w:ind w:left="357" w:hanging="357"/>
              <w:jc w:val="center"/>
              <w:rPr>
                <w:rFonts w:ascii="Calibri" w:hAnsi="Calibri" w:cs="Calibri"/>
                <w:b/>
                <w:bCs/>
              </w:rPr>
            </w:pPr>
            <w:r w:rsidRPr="00C65746">
              <w:rPr>
                <w:rFonts w:ascii="Calibri" w:hAnsi="Calibri" w:cs="Calibri"/>
                <w:b/>
                <w:bCs/>
              </w:rPr>
              <w:t>ACT</w:t>
            </w:r>
          </w:p>
        </w:tc>
        <w:tc>
          <w:tcPr>
            <w:tcW w:w="2069" w:type="pct"/>
          </w:tcPr>
          <w:p w:rsidR="00B93188" w:rsidRPr="00C65746" w:rsidRDefault="00B93188" w:rsidP="00B93188">
            <w:pPr>
              <w:ind w:left="357" w:hanging="357"/>
              <w:jc w:val="center"/>
              <w:rPr>
                <w:rFonts w:ascii="Calibri" w:hAnsi="Calibri" w:cs="Calibri"/>
                <w:b/>
                <w:bCs/>
              </w:rPr>
            </w:pPr>
            <w:r w:rsidRPr="00C65746">
              <w:rPr>
                <w:rFonts w:ascii="Calibri" w:hAnsi="Calibri" w:cs="Calibri"/>
                <w:b/>
                <w:bCs/>
              </w:rPr>
              <w:t>NSW (as of 21 May 2014)</w:t>
            </w:r>
          </w:p>
        </w:tc>
      </w:tr>
      <w:tr w:rsidR="00B93188" w:rsidRPr="00C65746" w:rsidTr="00B93188">
        <w:trPr>
          <w:cantSplit/>
          <w:trHeight w:val="170"/>
          <w:jc w:val="center"/>
        </w:trPr>
        <w:tc>
          <w:tcPr>
            <w:tcW w:w="862" w:type="pct"/>
          </w:tcPr>
          <w:p w:rsidR="00B93188" w:rsidRPr="00C65746" w:rsidRDefault="00B93188" w:rsidP="00B93188">
            <w:pPr>
              <w:rPr>
                <w:rFonts w:ascii="Calibri" w:hAnsi="Calibri" w:cs="Calibri"/>
                <w:b/>
              </w:rPr>
            </w:pPr>
            <w:r w:rsidRPr="00C65746">
              <w:rPr>
                <w:rFonts w:ascii="Calibri" w:hAnsi="Calibri" w:cs="Calibri"/>
                <w:b/>
              </w:rPr>
              <w:t>Payroll Tax</w:t>
            </w:r>
          </w:p>
        </w:tc>
        <w:tc>
          <w:tcPr>
            <w:tcW w:w="2069" w:type="pct"/>
          </w:tcPr>
          <w:p w:rsidR="00B93188" w:rsidRPr="00C65746" w:rsidRDefault="00B93188" w:rsidP="00B93188">
            <w:pPr>
              <w:rPr>
                <w:rFonts w:ascii="Calibri" w:hAnsi="Calibri" w:cs="Calibri"/>
              </w:rPr>
            </w:pPr>
            <w:r w:rsidRPr="00C65746">
              <w:rPr>
                <w:rFonts w:ascii="Calibri" w:hAnsi="Calibri" w:cs="Calibri"/>
              </w:rPr>
              <w:t>6.85 per cent</w:t>
            </w:r>
          </w:p>
          <w:p w:rsidR="00B93188" w:rsidRPr="00C65746" w:rsidRDefault="00B93188" w:rsidP="00B93188">
            <w:pPr>
              <w:rPr>
                <w:rFonts w:ascii="Calibri" w:hAnsi="Calibri" w:cs="Calibri"/>
                <w:i/>
                <w:iCs/>
              </w:rPr>
            </w:pPr>
            <w:r w:rsidRPr="00C65746">
              <w:rPr>
                <w:rFonts w:ascii="Calibri" w:hAnsi="Calibri" w:cs="Calibri"/>
              </w:rPr>
              <w:t>From 1 July 2014, first $1,850,000 exempt.</w:t>
            </w:r>
          </w:p>
        </w:tc>
        <w:tc>
          <w:tcPr>
            <w:tcW w:w="2069" w:type="pct"/>
          </w:tcPr>
          <w:p w:rsidR="00B93188" w:rsidRPr="00C65746" w:rsidRDefault="00B93188" w:rsidP="00B93188">
            <w:pPr>
              <w:keepNext/>
              <w:keepLines/>
              <w:outlineLvl w:val="2"/>
              <w:rPr>
                <w:rFonts w:ascii="Calibri" w:hAnsi="Calibri" w:cs="Calibri"/>
                <w:i/>
                <w:iCs/>
              </w:rPr>
            </w:pPr>
            <w:r w:rsidRPr="00C65746">
              <w:rPr>
                <w:rFonts w:ascii="Calibri" w:hAnsi="Calibri" w:cs="Calibri"/>
              </w:rPr>
              <w:t>5.45 per cent from 1 July 2012.</w:t>
            </w:r>
          </w:p>
          <w:p w:rsidR="00B93188" w:rsidRPr="00C65746" w:rsidRDefault="00B93188" w:rsidP="00B93188">
            <w:pPr>
              <w:rPr>
                <w:rFonts w:ascii="Calibri" w:hAnsi="Calibri" w:cs="Calibri"/>
              </w:rPr>
            </w:pPr>
            <w:r w:rsidRPr="00C65746">
              <w:rPr>
                <w:rFonts w:ascii="Calibri" w:hAnsi="Calibri" w:cs="Calibri"/>
              </w:rPr>
              <w:t>From 1 July 2013, first $750,000 exempt</w:t>
            </w:r>
          </w:p>
        </w:tc>
      </w:tr>
      <w:tr w:rsidR="00B93188" w:rsidRPr="00C65746" w:rsidTr="00B93188">
        <w:trPr>
          <w:cantSplit/>
          <w:trHeight w:val="170"/>
          <w:jc w:val="center"/>
        </w:trPr>
        <w:tc>
          <w:tcPr>
            <w:tcW w:w="862" w:type="pct"/>
          </w:tcPr>
          <w:p w:rsidR="00B93188" w:rsidRPr="00C65746" w:rsidRDefault="00B93188" w:rsidP="00B93188">
            <w:pPr>
              <w:rPr>
                <w:rFonts w:ascii="Calibri" w:hAnsi="Calibri" w:cs="Calibri"/>
                <w:b/>
              </w:rPr>
            </w:pPr>
            <w:r w:rsidRPr="00C65746">
              <w:rPr>
                <w:rFonts w:ascii="Calibri" w:hAnsi="Calibri" w:cs="Calibri"/>
                <w:b/>
              </w:rPr>
              <w:t xml:space="preserve">Land Tax </w:t>
            </w:r>
          </w:p>
        </w:tc>
        <w:tc>
          <w:tcPr>
            <w:tcW w:w="2069" w:type="pct"/>
          </w:tcPr>
          <w:p w:rsidR="00B93188" w:rsidRPr="00C65746" w:rsidRDefault="00B93188" w:rsidP="00B93188">
            <w:pPr>
              <w:keepNext/>
              <w:keepLines/>
              <w:outlineLvl w:val="2"/>
              <w:rPr>
                <w:rFonts w:ascii="Calibri" w:hAnsi="Calibri" w:cs="Calibri"/>
              </w:rPr>
            </w:pPr>
            <w:r w:rsidRPr="00C65746">
              <w:rPr>
                <w:rFonts w:ascii="Calibri" w:hAnsi="Calibri" w:cs="Calibri"/>
              </w:rPr>
              <w:t>Applied quarterly on three year Average Unimproved Value (AUV).</w:t>
            </w:r>
          </w:p>
          <w:p w:rsidR="00B93188" w:rsidRPr="00C65746" w:rsidRDefault="00B93188" w:rsidP="00B93188">
            <w:pPr>
              <w:keepNext/>
              <w:keepLines/>
              <w:outlineLvl w:val="2"/>
              <w:rPr>
                <w:rFonts w:ascii="Calibri" w:hAnsi="Calibri" w:cs="Calibri"/>
                <w:sz w:val="8"/>
                <w:szCs w:val="8"/>
              </w:rPr>
            </w:pPr>
          </w:p>
          <w:p w:rsidR="00B93188" w:rsidRPr="00C65746" w:rsidRDefault="00B93188" w:rsidP="00B93188">
            <w:pPr>
              <w:keepNext/>
              <w:keepLines/>
              <w:outlineLvl w:val="2"/>
              <w:rPr>
                <w:rFonts w:ascii="Calibri" w:hAnsi="Calibri" w:cs="Calibri"/>
              </w:rPr>
            </w:pPr>
            <w:r w:rsidRPr="00C65746">
              <w:rPr>
                <w:rFonts w:ascii="Calibri" w:hAnsi="Calibri" w:cs="Calibri"/>
                <w:b/>
              </w:rPr>
              <w:t>Residential</w:t>
            </w:r>
            <w:r w:rsidRPr="00C65746">
              <w:rPr>
                <w:rFonts w:ascii="Calibri" w:hAnsi="Calibri" w:cs="Calibri"/>
              </w:rPr>
              <w:t xml:space="preserve"> – applied on rateable properties that are rented, or owned by a trust or a corporation even if they are not rented (excluding land owned by a building or development company).</w:t>
            </w:r>
          </w:p>
          <w:p w:rsidR="00B93188" w:rsidRPr="00C65746" w:rsidRDefault="00B93188" w:rsidP="00B93188">
            <w:pPr>
              <w:keepNext/>
              <w:keepLines/>
              <w:outlineLvl w:val="2"/>
              <w:rPr>
                <w:rFonts w:ascii="Calibri" w:hAnsi="Calibri" w:cs="Calibri"/>
                <w:sz w:val="8"/>
                <w:szCs w:val="8"/>
              </w:rPr>
            </w:pPr>
          </w:p>
          <w:p w:rsidR="00B93188" w:rsidRPr="00C65746" w:rsidRDefault="00B93188" w:rsidP="00B93188">
            <w:pPr>
              <w:keepNext/>
              <w:keepLines/>
              <w:outlineLvl w:val="2"/>
              <w:rPr>
                <w:rFonts w:ascii="Calibri" w:hAnsi="Calibri" w:cs="Calibri"/>
              </w:rPr>
            </w:pPr>
            <w:r w:rsidRPr="00C65746">
              <w:rPr>
                <w:rFonts w:ascii="Calibri" w:hAnsi="Calibri" w:cs="Calibri"/>
              </w:rPr>
              <w:t>From 1 July 2014, the marginal rates are as follows:</w:t>
            </w:r>
          </w:p>
          <w:p w:rsidR="00B93188" w:rsidRPr="00C65746" w:rsidRDefault="00B93188" w:rsidP="00B93188">
            <w:pPr>
              <w:keepNext/>
              <w:keepLines/>
              <w:numPr>
                <w:ilvl w:val="0"/>
                <w:numId w:val="41"/>
              </w:numPr>
              <w:outlineLvl w:val="2"/>
              <w:rPr>
                <w:rFonts w:ascii="Calibri" w:hAnsi="Calibri" w:cs="Calibri"/>
              </w:rPr>
            </w:pPr>
            <w:r w:rsidRPr="00C65746">
              <w:rPr>
                <w:rFonts w:ascii="Calibri" w:hAnsi="Calibri" w:cs="Calibri"/>
              </w:rPr>
              <w:t>AUV up to $75,000 – 0.41%</w:t>
            </w:r>
          </w:p>
          <w:p w:rsidR="00B93188" w:rsidRPr="00C65746" w:rsidRDefault="00B93188" w:rsidP="00B93188">
            <w:pPr>
              <w:keepNext/>
              <w:keepLines/>
              <w:numPr>
                <w:ilvl w:val="0"/>
                <w:numId w:val="41"/>
              </w:numPr>
              <w:outlineLvl w:val="2"/>
              <w:rPr>
                <w:rFonts w:ascii="Calibri" w:hAnsi="Calibri" w:cs="Calibri"/>
              </w:rPr>
            </w:pPr>
            <w:r w:rsidRPr="00C65746">
              <w:rPr>
                <w:rFonts w:ascii="Calibri" w:hAnsi="Calibri" w:cs="Calibri"/>
              </w:rPr>
              <w:t>AUV $75,001 – $150,000 – 0.48%</w:t>
            </w:r>
          </w:p>
          <w:p w:rsidR="00B93188" w:rsidRPr="00C65746" w:rsidRDefault="00B93188" w:rsidP="00B93188">
            <w:pPr>
              <w:keepNext/>
              <w:keepLines/>
              <w:numPr>
                <w:ilvl w:val="0"/>
                <w:numId w:val="41"/>
              </w:numPr>
              <w:outlineLvl w:val="2"/>
              <w:rPr>
                <w:rFonts w:ascii="Calibri" w:hAnsi="Calibri" w:cs="Calibri"/>
              </w:rPr>
            </w:pPr>
            <w:r w:rsidRPr="00C65746">
              <w:rPr>
                <w:rFonts w:ascii="Calibri" w:hAnsi="Calibri" w:cs="Calibri"/>
              </w:rPr>
              <w:t>AUV $150,001 – $275,000 – 0.61%</w:t>
            </w:r>
          </w:p>
          <w:p w:rsidR="00B93188" w:rsidRPr="00C65746" w:rsidRDefault="00B93188" w:rsidP="00B93188">
            <w:pPr>
              <w:keepNext/>
              <w:keepLines/>
              <w:numPr>
                <w:ilvl w:val="0"/>
                <w:numId w:val="41"/>
              </w:numPr>
              <w:outlineLvl w:val="2"/>
              <w:rPr>
                <w:rFonts w:ascii="Calibri" w:hAnsi="Calibri" w:cs="Calibri"/>
              </w:rPr>
            </w:pPr>
            <w:r w:rsidRPr="00C65746">
              <w:rPr>
                <w:rFonts w:ascii="Calibri" w:hAnsi="Calibri" w:cs="Calibri"/>
              </w:rPr>
              <w:t>AUV $275,001 and above – 1.23%</w:t>
            </w:r>
          </w:p>
          <w:p w:rsidR="00B93188" w:rsidRPr="00C65746" w:rsidRDefault="00B93188" w:rsidP="00B93188">
            <w:pPr>
              <w:keepNext/>
              <w:keepLines/>
              <w:outlineLvl w:val="2"/>
              <w:rPr>
                <w:rFonts w:ascii="Calibri" w:hAnsi="Calibri" w:cs="Calibri"/>
              </w:rPr>
            </w:pPr>
          </w:p>
          <w:p w:rsidR="00B93188" w:rsidRPr="00C65746" w:rsidRDefault="00B93188" w:rsidP="00B93188">
            <w:pPr>
              <w:keepNext/>
              <w:keepLines/>
              <w:outlineLvl w:val="2"/>
              <w:rPr>
                <w:rFonts w:ascii="Calibri" w:hAnsi="Calibri" w:cs="Calibri"/>
              </w:rPr>
            </w:pPr>
            <w:r w:rsidRPr="00C65746">
              <w:rPr>
                <w:rFonts w:ascii="Calibri" w:hAnsi="Calibri" w:cs="Calibri"/>
              </w:rPr>
              <w:t>A fixed charge of $900 will be introduced effective 1 July 2014</w:t>
            </w:r>
          </w:p>
          <w:p w:rsidR="00B93188" w:rsidRPr="00C65746" w:rsidRDefault="00B93188" w:rsidP="00B93188">
            <w:pPr>
              <w:keepNext/>
              <w:keepLines/>
              <w:outlineLvl w:val="2"/>
              <w:rPr>
                <w:rFonts w:ascii="Calibri" w:hAnsi="Calibri" w:cs="Calibri"/>
                <w:sz w:val="8"/>
                <w:szCs w:val="8"/>
              </w:rPr>
            </w:pPr>
          </w:p>
          <w:p w:rsidR="00B93188" w:rsidRPr="00C65746" w:rsidRDefault="00B93188" w:rsidP="00B93188">
            <w:pPr>
              <w:keepNext/>
              <w:keepLines/>
              <w:outlineLvl w:val="2"/>
              <w:rPr>
                <w:rFonts w:ascii="Calibri" w:hAnsi="Calibri" w:cs="Calibri"/>
                <w:sz w:val="8"/>
                <w:szCs w:val="8"/>
              </w:rPr>
            </w:pPr>
            <w:r w:rsidRPr="00C65746">
              <w:rPr>
                <w:rFonts w:ascii="Calibri" w:hAnsi="Calibri" w:cs="Calibri"/>
                <w:b/>
              </w:rPr>
              <w:t>Commercial</w:t>
            </w:r>
            <w:r w:rsidRPr="00C65746">
              <w:rPr>
                <w:rFonts w:ascii="Calibri" w:hAnsi="Calibri" w:cs="Calibri"/>
              </w:rPr>
              <w:t xml:space="preserve"> – Effective 1 July 2012, commercial properties will not be subject to land tax due to the ACT Government’s Taxation Reforms. </w:t>
            </w:r>
          </w:p>
          <w:p w:rsidR="00B93188" w:rsidRPr="00C65746" w:rsidRDefault="00B93188" w:rsidP="00B93188">
            <w:pPr>
              <w:keepNext/>
              <w:keepLines/>
              <w:outlineLvl w:val="2"/>
              <w:rPr>
                <w:rFonts w:ascii="Calibri" w:hAnsi="Calibri" w:cs="Calibri"/>
              </w:rPr>
            </w:pPr>
            <w:r w:rsidRPr="00C65746">
              <w:rPr>
                <w:rFonts w:ascii="Calibri" w:hAnsi="Calibri" w:cs="Calibri"/>
              </w:rPr>
              <w:t xml:space="preserve">Land used for </w:t>
            </w:r>
            <w:r w:rsidRPr="00C65746">
              <w:rPr>
                <w:rFonts w:ascii="Calibri" w:hAnsi="Calibri" w:cs="Calibri"/>
                <w:b/>
              </w:rPr>
              <w:t>primary production</w:t>
            </w:r>
            <w:r w:rsidRPr="00C65746">
              <w:rPr>
                <w:rFonts w:ascii="Calibri" w:hAnsi="Calibri" w:cs="Calibri"/>
              </w:rPr>
              <w:t xml:space="preserve"> is exempt from land tax.</w:t>
            </w:r>
          </w:p>
        </w:tc>
        <w:tc>
          <w:tcPr>
            <w:tcW w:w="2069" w:type="pct"/>
          </w:tcPr>
          <w:p w:rsidR="00B93188" w:rsidRPr="00C65746" w:rsidRDefault="00B93188" w:rsidP="00B93188">
            <w:pPr>
              <w:keepNext/>
              <w:keepLines/>
              <w:outlineLvl w:val="2"/>
              <w:rPr>
                <w:rFonts w:ascii="Calibri" w:hAnsi="Calibri" w:cs="Calibri"/>
              </w:rPr>
            </w:pPr>
            <w:r w:rsidRPr="00C65746">
              <w:rPr>
                <w:rFonts w:ascii="Calibri" w:hAnsi="Calibri" w:cs="Calibri"/>
              </w:rPr>
              <w:t xml:space="preserve">Applied annually on aggregated unimproved land value of all property except the principal place of residence or land used for primary production.  </w:t>
            </w:r>
          </w:p>
          <w:p w:rsidR="00B93188" w:rsidRPr="00C65746" w:rsidRDefault="00B93188" w:rsidP="00B93188">
            <w:pPr>
              <w:keepNext/>
              <w:keepLines/>
              <w:outlineLvl w:val="2"/>
              <w:rPr>
                <w:rFonts w:ascii="Calibri" w:hAnsi="Calibri" w:cs="Calibri"/>
                <w:sz w:val="8"/>
                <w:szCs w:val="8"/>
              </w:rPr>
            </w:pPr>
          </w:p>
          <w:p w:rsidR="00B93188" w:rsidRPr="00C65746" w:rsidRDefault="00B93188" w:rsidP="00B93188">
            <w:pPr>
              <w:keepNext/>
              <w:keepLines/>
              <w:outlineLvl w:val="2"/>
              <w:rPr>
                <w:rFonts w:ascii="Calibri" w:hAnsi="Calibri" w:cs="Calibri"/>
              </w:rPr>
            </w:pPr>
            <w:r w:rsidRPr="00C65746">
              <w:rPr>
                <w:rFonts w:ascii="Calibri" w:hAnsi="Calibri" w:cs="Calibri"/>
              </w:rPr>
              <w:t>Rate is $100 plus 1.6 per cent of the land value between the threshold $412,000 (three year average) and the premium rate threshold of $2,519,000.  A further premium rate of 2 per cent applies if the land value is above $2,519,000.</w:t>
            </w:r>
          </w:p>
          <w:p w:rsidR="00B93188" w:rsidRPr="00C65746" w:rsidRDefault="00B93188" w:rsidP="00B93188">
            <w:pPr>
              <w:keepNext/>
              <w:keepLines/>
              <w:outlineLvl w:val="2"/>
              <w:rPr>
                <w:rFonts w:ascii="Calibri" w:hAnsi="Calibri" w:cs="Calibri"/>
                <w:sz w:val="8"/>
                <w:szCs w:val="8"/>
              </w:rPr>
            </w:pPr>
          </w:p>
          <w:p w:rsidR="00B93188" w:rsidRPr="00C65746" w:rsidRDefault="00B93188" w:rsidP="00B93188">
            <w:pPr>
              <w:keepNext/>
              <w:keepLines/>
              <w:outlineLvl w:val="2"/>
              <w:rPr>
                <w:rFonts w:ascii="Calibri" w:hAnsi="Calibri" w:cs="Calibri"/>
              </w:rPr>
            </w:pPr>
            <w:r w:rsidRPr="00C65746">
              <w:rPr>
                <w:rFonts w:ascii="Calibri" w:hAnsi="Calibri" w:cs="Calibri"/>
              </w:rPr>
              <w:t>For land owned by a trustee of a special trust, flat rate of 1.6 per cent without any land value threshold applies; then 2 per cent after the premium threshold.</w:t>
            </w:r>
          </w:p>
          <w:p w:rsidR="00B93188" w:rsidRPr="00C65746" w:rsidRDefault="00B93188" w:rsidP="00B93188">
            <w:pPr>
              <w:keepNext/>
              <w:keepLines/>
              <w:outlineLvl w:val="2"/>
              <w:rPr>
                <w:rFonts w:ascii="Calibri" w:hAnsi="Calibri" w:cs="Calibri"/>
                <w:sz w:val="8"/>
                <w:szCs w:val="8"/>
              </w:rPr>
            </w:pPr>
          </w:p>
          <w:p w:rsidR="00B93188" w:rsidRPr="00C65746" w:rsidRDefault="00B93188" w:rsidP="00B93188">
            <w:pPr>
              <w:rPr>
                <w:rFonts w:ascii="Calibri" w:hAnsi="Calibri" w:cs="Calibri"/>
              </w:rPr>
            </w:pPr>
            <w:r w:rsidRPr="00C65746">
              <w:rPr>
                <w:rFonts w:ascii="Calibri" w:hAnsi="Calibri" w:cs="Calibri"/>
              </w:rPr>
              <w:t>For land owned by a company, 1.6 per cent of the land value between the threshold $412,000 and the premium rate threshold $2,519,000; then 2 per cent in excess of the premium threshold.</w:t>
            </w:r>
          </w:p>
        </w:tc>
      </w:tr>
      <w:tr w:rsidR="00B93188" w:rsidRPr="00C65746" w:rsidTr="00B93188">
        <w:trPr>
          <w:cantSplit/>
          <w:trHeight w:val="170"/>
          <w:jc w:val="center"/>
        </w:trPr>
        <w:tc>
          <w:tcPr>
            <w:tcW w:w="862" w:type="pct"/>
          </w:tcPr>
          <w:p w:rsidR="00B93188" w:rsidRPr="00C65746" w:rsidRDefault="00B93188" w:rsidP="00B93188">
            <w:pPr>
              <w:keepNext/>
              <w:keepLines/>
              <w:rPr>
                <w:rFonts w:ascii="Calibri" w:hAnsi="Calibri" w:cs="Calibri"/>
                <w:b/>
              </w:rPr>
            </w:pPr>
            <w:r w:rsidRPr="00C65746">
              <w:rPr>
                <w:rFonts w:ascii="Calibri" w:hAnsi="Calibri" w:cs="Calibri"/>
                <w:b/>
              </w:rPr>
              <w:lastRenderedPageBreak/>
              <w:t>Duty on Conveyances</w:t>
            </w:r>
          </w:p>
        </w:tc>
        <w:tc>
          <w:tcPr>
            <w:tcW w:w="2069" w:type="pct"/>
          </w:tcPr>
          <w:p w:rsidR="00B93188" w:rsidRPr="00C65746" w:rsidRDefault="00B93188" w:rsidP="00B93188">
            <w:pPr>
              <w:keepNext/>
              <w:keepLines/>
              <w:rPr>
                <w:rFonts w:ascii="Calibri" w:hAnsi="Calibri" w:cs="Calibri"/>
                <w:b/>
              </w:rPr>
            </w:pPr>
            <w:r w:rsidRPr="00C65746">
              <w:rPr>
                <w:rFonts w:ascii="Calibri" w:hAnsi="Calibri" w:cs="Calibri"/>
                <w:b/>
              </w:rPr>
              <w:t>Residential Conveyance</w:t>
            </w:r>
          </w:p>
          <w:p w:rsidR="00B93188" w:rsidRPr="00C65746" w:rsidRDefault="00B93188" w:rsidP="00B93188">
            <w:pPr>
              <w:keepNext/>
              <w:keepLines/>
              <w:rPr>
                <w:rFonts w:ascii="Calibri" w:hAnsi="Calibri" w:cs="Calibri"/>
              </w:rPr>
            </w:pPr>
            <w:r w:rsidRPr="00C65746">
              <w:rPr>
                <w:rFonts w:ascii="Calibri" w:hAnsi="Calibri" w:cs="Calibri"/>
              </w:rPr>
              <w:t xml:space="preserve">The greater of $20 or the amount resulting from applying the rates of $2.20 </w:t>
            </w:r>
            <w:r w:rsidRPr="00C65746">
              <w:rPr>
                <w:rFonts w:ascii="Calibri" w:hAnsi="Calibri" w:cs="Calibri"/>
              </w:rPr>
              <w:noBreakHyphen/>
              <w:t xml:space="preserve"> $7 per $100 or part thereof for transactions dated from 5 June 2013 to 3 June 2014.</w:t>
            </w:r>
          </w:p>
          <w:p w:rsidR="00B93188" w:rsidRPr="00C65746" w:rsidRDefault="00B93188" w:rsidP="00B93188">
            <w:pPr>
              <w:keepNext/>
              <w:keepLines/>
              <w:rPr>
                <w:rFonts w:ascii="Calibri" w:hAnsi="Calibri" w:cs="Calibri"/>
              </w:rPr>
            </w:pPr>
            <w:r w:rsidRPr="00C65746">
              <w:rPr>
                <w:rFonts w:ascii="Calibri" w:hAnsi="Calibri" w:cs="Calibri"/>
              </w:rPr>
              <w:t xml:space="preserve">The greater of $20 or the amount resulting from applying the rates of $2 </w:t>
            </w:r>
            <w:r w:rsidRPr="00C65746">
              <w:rPr>
                <w:rFonts w:ascii="Calibri" w:hAnsi="Calibri" w:cs="Calibri"/>
              </w:rPr>
              <w:noBreakHyphen/>
              <w:t xml:space="preserve"> $7 per $100 or part thereof for transactions dated from 4 June 2014.</w:t>
            </w:r>
          </w:p>
          <w:p w:rsidR="00B93188" w:rsidRPr="00C65746" w:rsidRDefault="00B93188" w:rsidP="00B93188">
            <w:pPr>
              <w:keepNext/>
              <w:keepLines/>
              <w:rPr>
                <w:rFonts w:ascii="Calibri" w:hAnsi="Calibri" w:cs="Calibri"/>
                <w:b/>
              </w:rPr>
            </w:pPr>
          </w:p>
          <w:p w:rsidR="00B93188" w:rsidRPr="00C65746" w:rsidRDefault="00B93188" w:rsidP="00B93188">
            <w:pPr>
              <w:keepNext/>
              <w:keepLines/>
              <w:rPr>
                <w:rFonts w:ascii="Calibri" w:hAnsi="Calibri" w:cs="Calibri"/>
                <w:b/>
              </w:rPr>
            </w:pPr>
            <w:r w:rsidRPr="00C65746">
              <w:rPr>
                <w:rFonts w:ascii="Calibri" w:hAnsi="Calibri" w:cs="Calibri"/>
                <w:b/>
              </w:rPr>
              <w:t>Flat Rate</w:t>
            </w:r>
          </w:p>
          <w:p w:rsidR="00B93188" w:rsidRPr="00C65746" w:rsidRDefault="00B93188" w:rsidP="00B93188">
            <w:pPr>
              <w:keepNext/>
              <w:keepLines/>
              <w:rPr>
                <w:rFonts w:ascii="Calibri" w:hAnsi="Calibri" w:cs="Calibri"/>
              </w:rPr>
            </w:pPr>
            <w:r w:rsidRPr="00C65746">
              <w:rPr>
                <w:rFonts w:ascii="Calibri" w:hAnsi="Calibri" w:cs="Calibri"/>
              </w:rPr>
              <w:t>The flat rate is effective from 5 June 2013 to 3 June 2014.  Properties valued at and above $1.650 million will have duty determined at a flat rate of 5.5 per cent while properties valued below $1.650 million will continue to use the progressive rates system as indicated in residential conveyance.</w:t>
            </w:r>
          </w:p>
          <w:p w:rsidR="00B93188" w:rsidRPr="00C65746" w:rsidRDefault="00B93188" w:rsidP="00B93188">
            <w:pPr>
              <w:keepNext/>
              <w:keepLines/>
              <w:rPr>
                <w:rFonts w:ascii="Calibri" w:hAnsi="Calibri" w:cs="Calibri"/>
              </w:rPr>
            </w:pPr>
            <w:r w:rsidRPr="00C65746">
              <w:rPr>
                <w:rFonts w:ascii="Calibri" w:hAnsi="Calibri" w:cs="Calibri"/>
              </w:rPr>
              <w:t>The new rate will be effective from 4 June 2014.  Properties valued at above $1.455 million will have duty determined at a flat rate of 5.25 per cent while properties valued below $1.455 million will continue to use the progressive rates system as indicated in residential conveyance.</w:t>
            </w:r>
          </w:p>
          <w:p w:rsidR="00FC3195" w:rsidRPr="00C65746" w:rsidRDefault="00FC3195" w:rsidP="00B93188">
            <w:pPr>
              <w:keepNext/>
              <w:keepLines/>
              <w:rPr>
                <w:rFonts w:ascii="Calibri" w:hAnsi="Calibri" w:cs="Calibri"/>
              </w:rPr>
            </w:pPr>
          </w:p>
          <w:p w:rsidR="00FC3195" w:rsidRPr="00C65746" w:rsidRDefault="00FC3195" w:rsidP="00FC3195">
            <w:pPr>
              <w:rPr>
                <w:rFonts w:ascii="Calibri" w:hAnsi="Calibri" w:cs="Calibri"/>
                <w:b/>
              </w:rPr>
            </w:pPr>
            <w:r w:rsidRPr="00C65746">
              <w:rPr>
                <w:rFonts w:ascii="Calibri" w:hAnsi="Calibri" w:cs="Calibri"/>
                <w:b/>
              </w:rPr>
              <w:t>Home Buyers Concession Scheme</w:t>
            </w:r>
          </w:p>
          <w:p w:rsidR="00FC3195" w:rsidRPr="00C65746" w:rsidRDefault="00FC3195" w:rsidP="00FC3195">
            <w:pPr>
              <w:rPr>
                <w:rFonts w:ascii="Calibri" w:hAnsi="Calibri" w:cs="Calibri"/>
                <w:b/>
              </w:rPr>
            </w:pPr>
            <w:r w:rsidRPr="00C65746">
              <w:rPr>
                <w:rFonts w:ascii="Calibri" w:hAnsi="Calibri" w:cs="Calibri"/>
                <w:b/>
              </w:rPr>
              <w:t>Existing properties</w:t>
            </w:r>
          </w:p>
          <w:p w:rsidR="00FC3195" w:rsidRPr="00C65746" w:rsidRDefault="00FC3195" w:rsidP="00FC3195">
            <w:pPr>
              <w:rPr>
                <w:rFonts w:ascii="Calibri" w:hAnsi="Calibri" w:cs="Calibri"/>
              </w:rPr>
            </w:pPr>
            <w:r w:rsidRPr="00C65746">
              <w:rPr>
                <w:rFonts w:ascii="Calibri" w:hAnsi="Calibri" w:cs="Calibri"/>
              </w:rPr>
              <w:t>The Home Buyers Concession Scheme ceased for existing properties from 1 September 2012.</w:t>
            </w:r>
          </w:p>
          <w:p w:rsidR="00FC3195" w:rsidRPr="00C65746" w:rsidRDefault="00FC3195" w:rsidP="00FC3195">
            <w:pPr>
              <w:keepNext/>
              <w:keepLines/>
              <w:outlineLvl w:val="2"/>
              <w:rPr>
                <w:rFonts w:ascii="Calibri" w:hAnsi="Calibri" w:cs="Calibri"/>
                <w:sz w:val="8"/>
                <w:szCs w:val="8"/>
              </w:rPr>
            </w:pPr>
          </w:p>
          <w:p w:rsidR="00FC3195" w:rsidRPr="00C65746" w:rsidRDefault="00FC3195" w:rsidP="00FC3195">
            <w:pPr>
              <w:rPr>
                <w:rFonts w:ascii="Calibri" w:hAnsi="Calibri" w:cs="Calibri"/>
                <w:b/>
              </w:rPr>
            </w:pPr>
            <w:r w:rsidRPr="00C65746">
              <w:rPr>
                <w:rFonts w:ascii="Calibri" w:hAnsi="Calibri" w:cs="Calibri"/>
                <w:b/>
              </w:rPr>
              <w:t>New or substantially renovated properties</w:t>
            </w:r>
          </w:p>
          <w:p w:rsidR="00FC3195" w:rsidRPr="00C65746" w:rsidRDefault="00FC3195" w:rsidP="00FC3195">
            <w:pPr>
              <w:rPr>
                <w:rFonts w:ascii="Calibri" w:hAnsi="Calibri"/>
                <w:sz w:val="24"/>
              </w:rPr>
            </w:pPr>
            <w:r w:rsidRPr="00C65746">
              <w:rPr>
                <w:rFonts w:ascii="Calibri" w:hAnsi="Calibri" w:cs="Calibri"/>
              </w:rPr>
              <w:t>The Home Buyers Concession Scheme only applies to new or substantially renovated properties and vacant blocks for transactions dated on or after 5 June 2013.</w:t>
            </w:r>
          </w:p>
          <w:p w:rsidR="00FC3195" w:rsidRPr="00C65746" w:rsidRDefault="00FC3195" w:rsidP="00FC3195">
            <w:pPr>
              <w:keepNext/>
              <w:keepLines/>
              <w:numPr>
                <w:ilvl w:val="0"/>
                <w:numId w:val="41"/>
              </w:numPr>
              <w:tabs>
                <w:tab w:val="num" w:pos="330"/>
              </w:tabs>
              <w:outlineLvl w:val="2"/>
              <w:rPr>
                <w:rFonts w:ascii="Calibri" w:hAnsi="Calibri" w:cs="Calibri"/>
              </w:rPr>
            </w:pPr>
            <w:r w:rsidRPr="00C65746">
              <w:rPr>
                <w:rFonts w:ascii="Calibri" w:hAnsi="Calibri" w:cs="Calibri"/>
              </w:rPr>
              <w:t>income threshold of $160,000 (plus further allowance for up to 5 children).</w:t>
            </w:r>
          </w:p>
          <w:p w:rsidR="00FC3195" w:rsidRPr="00C65746" w:rsidRDefault="00FC3195" w:rsidP="00FC3195">
            <w:pPr>
              <w:keepNext/>
              <w:keepLines/>
              <w:outlineLvl w:val="2"/>
              <w:rPr>
                <w:rFonts w:ascii="Calibri" w:hAnsi="Calibri" w:cs="Calibri"/>
                <w:szCs w:val="24"/>
              </w:rPr>
            </w:pPr>
            <w:r w:rsidRPr="00C65746">
              <w:rPr>
                <w:rFonts w:ascii="Calibri" w:hAnsi="Calibri" w:cs="Calibri"/>
              </w:rPr>
              <w:t>For transaction dated from 1 July 2014:</w:t>
            </w:r>
          </w:p>
          <w:p w:rsidR="00FC3195" w:rsidRPr="00C65746" w:rsidRDefault="00FC3195" w:rsidP="00FC3195">
            <w:pPr>
              <w:keepNext/>
              <w:keepLines/>
              <w:numPr>
                <w:ilvl w:val="0"/>
                <w:numId w:val="41"/>
              </w:numPr>
              <w:tabs>
                <w:tab w:val="num" w:pos="330"/>
              </w:tabs>
              <w:outlineLvl w:val="2"/>
              <w:rPr>
                <w:rFonts w:ascii="Calibri" w:hAnsi="Calibri" w:cs="Calibri"/>
              </w:rPr>
            </w:pPr>
            <w:r w:rsidRPr="00C65746">
              <w:rPr>
                <w:rFonts w:ascii="Calibri" w:hAnsi="Calibri" w:cs="Calibri"/>
              </w:rPr>
              <w:t>concession for house and land value up to $540,000; and</w:t>
            </w:r>
          </w:p>
          <w:p w:rsidR="00FC3195" w:rsidRPr="00C65746" w:rsidRDefault="00FC3195" w:rsidP="00FC3195">
            <w:pPr>
              <w:keepNext/>
              <w:keepLines/>
              <w:numPr>
                <w:ilvl w:val="0"/>
                <w:numId w:val="41"/>
              </w:numPr>
              <w:tabs>
                <w:tab w:val="num" w:pos="330"/>
              </w:tabs>
              <w:outlineLvl w:val="2"/>
              <w:rPr>
                <w:rFonts w:ascii="Calibri" w:hAnsi="Calibri" w:cs="Calibri"/>
              </w:rPr>
            </w:pPr>
            <w:r w:rsidRPr="00C65746">
              <w:rPr>
                <w:rFonts w:ascii="Calibri" w:hAnsi="Calibri" w:cs="Calibri"/>
              </w:rPr>
              <w:t>concession for vacant land value of up to $292,800.</w:t>
            </w:r>
          </w:p>
          <w:p w:rsidR="00FC3195" w:rsidRPr="00C65746" w:rsidRDefault="00FC3195" w:rsidP="00FC3195">
            <w:pPr>
              <w:keepNext/>
              <w:keepLines/>
              <w:outlineLvl w:val="2"/>
              <w:rPr>
                <w:rFonts w:ascii="Calibri" w:hAnsi="Calibri" w:cs="Calibri"/>
              </w:rPr>
            </w:pPr>
            <w:r w:rsidRPr="00C65746">
              <w:rPr>
                <w:rFonts w:ascii="Calibri" w:hAnsi="Calibri" w:cs="Calibri"/>
              </w:rPr>
              <w:t>The property value thresholds are determined biannually of each year, taking into account movements in the market.</w:t>
            </w:r>
          </w:p>
          <w:p w:rsidR="00FC3195" w:rsidRPr="00C65746" w:rsidRDefault="00FC3195" w:rsidP="00B93188">
            <w:pPr>
              <w:keepNext/>
              <w:keepLines/>
              <w:rPr>
                <w:rFonts w:ascii="Calibri" w:hAnsi="Calibri" w:cs="Calibri"/>
              </w:rPr>
            </w:pPr>
          </w:p>
        </w:tc>
        <w:tc>
          <w:tcPr>
            <w:tcW w:w="2069" w:type="pct"/>
          </w:tcPr>
          <w:p w:rsidR="00B93188" w:rsidRPr="00C65746" w:rsidRDefault="00B93188" w:rsidP="00B93188">
            <w:pPr>
              <w:keepNext/>
              <w:keepLines/>
              <w:rPr>
                <w:rFonts w:ascii="Calibri" w:hAnsi="Calibri" w:cs="Calibri"/>
              </w:rPr>
            </w:pPr>
            <w:r w:rsidRPr="00C65746">
              <w:rPr>
                <w:rFonts w:ascii="Calibri" w:hAnsi="Calibri" w:cs="Calibri"/>
              </w:rPr>
              <w:t xml:space="preserve">The greater of $10 or the amount resulting from applying the rates of $1.25 </w:t>
            </w:r>
            <w:r w:rsidRPr="00C65746">
              <w:rPr>
                <w:rFonts w:ascii="Calibri" w:hAnsi="Calibri" w:cs="Calibri"/>
              </w:rPr>
              <w:noBreakHyphen/>
              <w:t xml:space="preserve"> $5.50 per $100 or part thereof.</w:t>
            </w:r>
          </w:p>
          <w:p w:rsidR="00B93188" w:rsidRPr="00C65746" w:rsidRDefault="00B93188" w:rsidP="00B93188">
            <w:pPr>
              <w:keepNext/>
              <w:keepLines/>
              <w:rPr>
                <w:rFonts w:ascii="Calibri" w:hAnsi="Calibri" w:cs="Calibri"/>
                <w:sz w:val="8"/>
                <w:szCs w:val="8"/>
              </w:rPr>
            </w:pPr>
          </w:p>
          <w:p w:rsidR="00B93188" w:rsidRPr="00C65746" w:rsidRDefault="00B93188" w:rsidP="00B93188">
            <w:pPr>
              <w:keepNext/>
              <w:keepLines/>
              <w:rPr>
                <w:rFonts w:ascii="Calibri" w:hAnsi="Calibri" w:cs="Calibri"/>
              </w:rPr>
            </w:pPr>
            <w:r w:rsidRPr="00C65746">
              <w:rPr>
                <w:rFonts w:ascii="Calibri" w:hAnsi="Calibri" w:cs="Calibri"/>
              </w:rPr>
              <w:t>For residential properties above $3,000,000, the duty payable is $150,490 plus the rate of $7.00 per $100 or part thereof that exceeds $3,000,000.</w:t>
            </w:r>
          </w:p>
          <w:p w:rsidR="00B93188" w:rsidRPr="00C65746" w:rsidRDefault="00B93188"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B93188">
            <w:pPr>
              <w:keepNext/>
              <w:keepLines/>
              <w:spacing w:after="120"/>
              <w:outlineLvl w:val="2"/>
              <w:rPr>
                <w:rFonts w:ascii="Calibri" w:hAnsi="Calibri" w:cs="Calibri"/>
              </w:rPr>
            </w:pPr>
          </w:p>
          <w:p w:rsidR="00FC3195" w:rsidRPr="00C65746" w:rsidRDefault="00FC3195" w:rsidP="00FC3195">
            <w:pPr>
              <w:outlineLvl w:val="2"/>
              <w:rPr>
                <w:rFonts w:ascii="Calibri" w:hAnsi="Calibri" w:cs="Calibri"/>
                <w:b/>
                <w:bCs/>
              </w:rPr>
            </w:pPr>
            <w:r w:rsidRPr="00C65746">
              <w:rPr>
                <w:rFonts w:ascii="Calibri" w:hAnsi="Calibri" w:cs="Calibri"/>
                <w:b/>
                <w:bCs/>
              </w:rPr>
              <w:t>First Home – New Home Scheme</w:t>
            </w:r>
          </w:p>
          <w:p w:rsidR="00FC3195" w:rsidRPr="00C65746" w:rsidRDefault="00FC3195" w:rsidP="00FC3195">
            <w:pPr>
              <w:keepNext/>
              <w:keepLines/>
              <w:spacing w:after="120"/>
              <w:outlineLvl w:val="2"/>
              <w:rPr>
                <w:rFonts w:ascii="Calibri" w:hAnsi="Calibri" w:cs="Calibri"/>
              </w:rPr>
            </w:pPr>
            <w:r w:rsidRPr="00C65746">
              <w:rPr>
                <w:rFonts w:ascii="Calibri" w:hAnsi="Calibri" w:cs="Calibri"/>
              </w:rPr>
              <w:t>The First Home – New Home Scheme provides exemptions on the transfer of new homes valued at or below $550,000 and concessions on the transfer of new homes valued between $550,000 and $650,000 from 1 July 2012.  With respect to vacant land, no duty for value up to $350,000 and concessions on the transfer of vacant land valued between $350,000 and $450,000 from 1 July 2012.</w:t>
            </w:r>
          </w:p>
          <w:p w:rsidR="00FC3195" w:rsidRPr="00C65746" w:rsidRDefault="00FC3195" w:rsidP="00B93188">
            <w:pPr>
              <w:keepNext/>
              <w:keepLines/>
              <w:spacing w:after="120"/>
              <w:outlineLvl w:val="2"/>
              <w:rPr>
                <w:rFonts w:ascii="Calibri" w:hAnsi="Calibri" w:cs="Calibri"/>
              </w:rPr>
            </w:pPr>
          </w:p>
        </w:tc>
      </w:tr>
      <w:tr w:rsidR="00B93188" w:rsidRPr="00C65746" w:rsidTr="00B93188">
        <w:trPr>
          <w:cantSplit/>
          <w:trHeight w:val="170"/>
          <w:jc w:val="center"/>
        </w:trPr>
        <w:tc>
          <w:tcPr>
            <w:tcW w:w="862" w:type="pct"/>
          </w:tcPr>
          <w:p w:rsidR="00B93188" w:rsidRPr="00C65746" w:rsidRDefault="00B93188" w:rsidP="00B93188">
            <w:pPr>
              <w:rPr>
                <w:rFonts w:ascii="Calibri" w:hAnsi="Calibri" w:cs="Calibri"/>
                <w:b/>
              </w:rPr>
            </w:pPr>
            <w:r w:rsidRPr="00C65746">
              <w:rPr>
                <w:rFonts w:ascii="Calibri" w:hAnsi="Calibri" w:cs="Calibri"/>
                <w:b/>
              </w:rPr>
              <w:lastRenderedPageBreak/>
              <w:t>Duty on Conveyances cont.</w:t>
            </w:r>
          </w:p>
        </w:tc>
        <w:tc>
          <w:tcPr>
            <w:tcW w:w="2069" w:type="pct"/>
          </w:tcPr>
          <w:p w:rsidR="00B93188" w:rsidRPr="00C65746" w:rsidRDefault="00421994" w:rsidP="00B93188">
            <w:pPr>
              <w:keepNext/>
              <w:keepLines/>
              <w:outlineLvl w:val="2"/>
              <w:rPr>
                <w:rFonts w:ascii="Calibri" w:hAnsi="Calibri" w:cs="Calibri"/>
              </w:rPr>
            </w:pPr>
            <w:r>
              <w:rPr>
                <w:rFonts w:ascii="Calibri" w:hAnsi="Calibri" w:cs="Calibri"/>
                <w:b/>
              </w:rPr>
              <w:t>Over 60s Home Bonus</w:t>
            </w:r>
            <w:r w:rsidR="00B93188" w:rsidRPr="00C65746">
              <w:rPr>
                <w:rFonts w:ascii="Calibri" w:hAnsi="Calibri" w:cs="Calibri"/>
              </w:rPr>
              <w:t xml:space="preserve">: </w:t>
            </w:r>
          </w:p>
          <w:p w:rsidR="00B93188" w:rsidRPr="00C65746" w:rsidRDefault="00B93188" w:rsidP="00B93188">
            <w:pPr>
              <w:keepNext/>
              <w:keepLines/>
              <w:spacing w:before="120" w:after="120"/>
              <w:outlineLvl w:val="2"/>
              <w:rPr>
                <w:rFonts w:ascii="Calibri" w:hAnsi="Calibri" w:cs="Calibri"/>
              </w:rPr>
            </w:pPr>
            <w:r w:rsidRPr="00C65746">
              <w:rPr>
                <w:rFonts w:ascii="Calibri" w:hAnsi="Calibri" w:cs="Calibri"/>
              </w:rPr>
              <w:t>For transactions dated from 1 July 2014:</w:t>
            </w:r>
          </w:p>
          <w:p w:rsidR="00B93188" w:rsidRPr="00C65746" w:rsidRDefault="00B93188" w:rsidP="00B93188">
            <w:pPr>
              <w:keepNext/>
              <w:keepLines/>
              <w:numPr>
                <w:ilvl w:val="0"/>
                <w:numId w:val="41"/>
              </w:numPr>
              <w:tabs>
                <w:tab w:val="num" w:pos="330"/>
              </w:tabs>
              <w:outlineLvl w:val="2"/>
              <w:rPr>
                <w:rFonts w:ascii="Calibri" w:hAnsi="Calibri" w:cs="Calibri"/>
              </w:rPr>
            </w:pPr>
            <w:r w:rsidRPr="00C65746">
              <w:rPr>
                <w:rFonts w:ascii="Calibri" w:hAnsi="Calibri" w:cs="Calibri"/>
              </w:rPr>
              <w:t>concession for house and land value up to $765,000.</w:t>
            </w:r>
          </w:p>
          <w:p w:rsidR="00B93188" w:rsidRPr="00C65746" w:rsidRDefault="00B93188" w:rsidP="00B93188">
            <w:pPr>
              <w:keepNext/>
              <w:keepLines/>
              <w:numPr>
                <w:ilvl w:val="0"/>
                <w:numId w:val="41"/>
              </w:numPr>
              <w:tabs>
                <w:tab w:val="num" w:pos="330"/>
              </w:tabs>
              <w:outlineLvl w:val="2"/>
              <w:rPr>
                <w:rFonts w:ascii="Calibri" w:hAnsi="Calibri" w:cs="Calibri"/>
              </w:rPr>
            </w:pPr>
            <w:r w:rsidRPr="00C65746">
              <w:rPr>
                <w:rFonts w:ascii="Calibri" w:hAnsi="Calibri" w:cs="Calibri"/>
              </w:rPr>
              <w:t>concession for vacant land value up to $371,000.</w:t>
            </w:r>
          </w:p>
          <w:p w:rsidR="00B93188" w:rsidRPr="00C65746" w:rsidRDefault="00B93188" w:rsidP="00B93188">
            <w:pPr>
              <w:keepNext/>
              <w:keepLines/>
              <w:outlineLvl w:val="2"/>
              <w:rPr>
                <w:rFonts w:ascii="Calibri" w:hAnsi="Calibri" w:cs="Calibri"/>
              </w:rPr>
            </w:pPr>
          </w:p>
          <w:p w:rsidR="00B93188" w:rsidRPr="00C65746" w:rsidRDefault="00B93188" w:rsidP="00B93188">
            <w:pPr>
              <w:keepNext/>
              <w:keepLines/>
              <w:outlineLvl w:val="2"/>
              <w:rPr>
                <w:rFonts w:ascii="Calibri" w:hAnsi="Calibri" w:cs="Calibri"/>
              </w:rPr>
            </w:pPr>
            <w:r w:rsidRPr="00C65746">
              <w:rPr>
                <w:rFonts w:ascii="Calibri" w:hAnsi="Calibri" w:cs="Calibri"/>
              </w:rPr>
              <w:t>The property value thresholds are determined biannually of each year, taking into account movements in the market.</w:t>
            </w:r>
          </w:p>
          <w:p w:rsidR="00B93188" w:rsidRPr="00C65746" w:rsidRDefault="00B93188" w:rsidP="00B93188">
            <w:pPr>
              <w:keepNext/>
              <w:keepLines/>
              <w:outlineLvl w:val="2"/>
              <w:rPr>
                <w:rFonts w:ascii="Calibri" w:hAnsi="Calibri" w:cs="Calibri"/>
              </w:rPr>
            </w:pPr>
          </w:p>
          <w:p w:rsidR="00B93188" w:rsidRPr="00C65746" w:rsidRDefault="00B93188" w:rsidP="00FC3195">
            <w:pPr>
              <w:keepNext/>
              <w:keepLines/>
              <w:outlineLvl w:val="2"/>
              <w:rPr>
                <w:rFonts w:ascii="Calibri" w:hAnsi="Calibri" w:cs="Calibri"/>
              </w:rPr>
            </w:pPr>
            <w:r w:rsidRPr="00C65746">
              <w:rPr>
                <w:rFonts w:ascii="Calibri" w:hAnsi="Calibri" w:cs="Calibri"/>
              </w:rPr>
              <w:t xml:space="preserve">The new </w:t>
            </w:r>
            <w:r w:rsidR="00FC3195" w:rsidRPr="00C65746">
              <w:rPr>
                <w:rFonts w:ascii="Calibri" w:hAnsi="Calibri" w:cs="Calibri"/>
              </w:rPr>
              <w:t>Over 60s Home Bonus</w:t>
            </w:r>
            <w:r w:rsidRPr="00C65746">
              <w:rPr>
                <w:rFonts w:ascii="Calibri" w:hAnsi="Calibri" w:cs="Calibri"/>
              </w:rPr>
              <w:t xml:space="preserve"> will extend the benefits of the Pensioner Duty Concession Scheme to people over the age of 60.</w:t>
            </w:r>
          </w:p>
        </w:tc>
        <w:tc>
          <w:tcPr>
            <w:tcW w:w="2069" w:type="pct"/>
          </w:tcPr>
          <w:p w:rsidR="00B93188" w:rsidRPr="00C65746" w:rsidRDefault="00B93188" w:rsidP="00FC3195">
            <w:pPr>
              <w:keepNext/>
              <w:keepLines/>
              <w:spacing w:after="120"/>
              <w:outlineLvl w:val="2"/>
              <w:rPr>
                <w:rFonts w:ascii="Calibri" w:hAnsi="Calibri" w:cs="Calibri"/>
              </w:rPr>
            </w:pPr>
          </w:p>
        </w:tc>
      </w:tr>
      <w:tr w:rsidR="00B93188" w:rsidRPr="00C65746" w:rsidTr="00B93188">
        <w:trPr>
          <w:cantSplit/>
          <w:trHeight w:val="1820"/>
          <w:jc w:val="center"/>
        </w:trPr>
        <w:tc>
          <w:tcPr>
            <w:tcW w:w="862" w:type="pct"/>
          </w:tcPr>
          <w:p w:rsidR="00B93188" w:rsidRPr="00C65746" w:rsidRDefault="00B93188" w:rsidP="00B93188">
            <w:pPr>
              <w:rPr>
                <w:rFonts w:ascii="Calibri" w:hAnsi="Calibri" w:cs="Calibri"/>
                <w:b/>
                <w:bCs/>
              </w:rPr>
            </w:pPr>
            <w:r w:rsidRPr="00C65746">
              <w:rPr>
                <w:rFonts w:ascii="Calibri" w:hAnsi="Calibri" w:cs="Calibri"/>
                <w:b/>
                <w:bCs/>
              </w:rPr>
              <w:t>Mortgages and Loan Security Duty</w:t>
            </w:r>
          </w:p>
        </w:tc>
        <w:tc>
          <w:tcPr>
            <w:tcW w:w="2069" w:type="pct"/>
          </w:tcPr>
          <w:p w:rsidR="00B93188" w:rsidRPr="00C65746" w:rsidRDefault="00B93188" w:rsidP="00B93188">
            <w:pPr>
              <w:outlineLvl w:val="2"/>
              <w:rPr>
                <w:rFonts w:ascii="Calibri" w:hAnsi="Calibri" w:cs="Calibri"/>
              </w:rPr>
            </w:pPr>
            <w:r w:rsidRPr="00C65746">
              <w:rPr>
                <w:rFonts w:ascii="Calibri" w:hAnsi="Calibri" w:cs="Calibri"/>
              </w:rPr>
              <w:t>Not applied in the ACT.</w:t>
            </w:r>
          </w:p>
        </w:tc>
        <w:tc>
          <w:tcPr>
            <w:tcW w:w="2069" w:type="pct"/>
          </w:tcPr>
          <w:p w:rsidR="00B93188" w:rsidRPr="00C65746" w:rsidRDefault="00B93188" w:rsidP="00B93188">
            <w:pPr>
              <w:rPr>
                <w:rFonts w:ascii="Calibri" w:hAnsi="Calibri" w:cs="Calibri"/>
              </w:rPr>
            </w:pPr>
            <w:r w:rsidRPr="00C65746">
              <w:rPr>
                <w:rFonts w:ascii="Calibri" w:hAnsi="Calibri" w:cs="Calibri"/>
              </w:rPr>
              <w:t xml:space="preserve">$0 </w:t>
            </w:r>
            <w:r w:rsidRPr="00C65746">
              <w:rPr>
                <w:rFonts w:ascii="Calibri" w:hAnsi="Calibri" w:cs="Calibri"/>
              </w:rPr>
              <w:noBreakHyphen/>
              <w:t xml:space="preserve"> $16,000:  $5.00</w:t>
            </w:r>
            <w:r w:rsidRPr="00C65746">
              <w:rPr>
                <w:rFonts w:ascii="Calibri" w:hAnsi="Calibri" w:cs="Calibri"/>
              </w:rPr>
              <w:br/>
              <w:t>above $16,000:  $5.00 plus $4.00 per $1,000 or part thereof in excess of $16,000</w:t>
            </w:r>
          </w:p>
          <w:p w:rsidR="00B93188" w:rsidRPr="00C65746" w:rsidRDefault="00B93188" w:rsidP="00B93188">
            <w:pPr>
              <w:rPr>
                <w:rFonts w:ascii="Calibri" w:hAnsi="Calibri" w:cs="Calibri"/>
              </w:rPr>
            </w:pPr>
            <w:r w:rsidRPr="00C65746">
              <w:rPr>
                <w:rFonts w:ascii="Calibri" w:hAnsi="Calibri" w:cs="Calibri"/>
              </w:rPr>
              <w:t>Not chargeable on advances made to natural persons for owner occupied housing or investment housing.</w:t>
            </w:r>
          </w:p>
          <w:p w:rsidR="00B93188" w:rsidRPr="00C65746" w:rsidRDefault="00B93188" w:rsidP="00B93188">
            <w:pPr>
              <w:rPr>
                <w:rFonts w:ascii="Calibri" w:hAnsi="Calibri" w:cs="Calibri"/>
              </w:rPr>
            </w:pPr>
            <w:r w:rsidRPr="00C65746">
              <w:rPr>
                <w:rFonts w:ascii="Calibri" w:hAnsi="Calibri" w:cs="Calibri"/>
              </w:rPr>
              <w:t>A collateral mortgage is chargeable with a minimum duty of $50.</w:t>
            </w:r>
          </w:p>
        </w:tc>
      </w:tr>
      <w:tr w:rsidR="00B93188" w:rsidRPr="00C65746" w:rsidTr="00B93188">
        <w:trPr>
          <w:cantSplit/>
          <w:trHeight w:val="170"/>
          <w:jc w:val="center"/>
        </w:trPr>
        <w:tc>
          <w:tcPr>
            <w:tcW w:w="862" w:type="pct"/>
          </w:tcPr>
          <w:p w:rsidR="00B93188" w:rsidRPr="00C65746" w:rsidRDefault="00B93188" w:rsidP="00B93188">
            <w:pPr>
              <w:rPr>
                <w:rFonts w:ascii="Calibri" w:hAnsi="Calibri" w:cs="Calibri"/>
                <w:b/>
                <w:bCs/>
              </w:rPr>
            </w:pPr>
            <w:r w:rsidRPr="00C65746">
              <w:rPr>
                <w:rFonts w:ascii="Calibri" w:hAnsi="Calibri" w:cs="Calibri"/>
                <w:b/>
                <w:bCs/>
              </w:rPr>
              <w:t>Duty on Motor Vehicle Registrations</w:t>
            </w:r>
          </w:p>
        </w:tc>
        <w:tc>
          <w:tcPr>
            <w:tcW w:w="2069" w:type="pct"/>
          </w:tcPr>
          <w:p w:rsidR="00B93188" w:rsidRPr="00C65746" w:rsidRDefault="00B93188" w:rsidP="00B93188">
            <w:pPr>
              <w:outlineLvl w:val="2"/>
              <w:rPr>
                <w:rFonts w:ascii="Calibri" w:hAnsi="Calibri" w:cs="Calibri"/>
                <w:b/>
                <w:bCs/>
              </w:rPr>
            </w:pPr>
            <w:r w:rsidRPr="00C65746">
              <w:rPr>
                <w:rFonts w:ascii="Calibri" w:hAnsi="Calibri" w:cs="Calibri"/>
                <w:b/>
                <w:bCs/>
              </w:rPr>
              <w:t>No green vehicle rating</w:t>
            </w:r>
          </w:p>
          <w:p w:rsidR="00B93188" w:rsidRPr="00C65746" w:rsidRDefault="00B93188" w:rsidP="00B93188">
            <w:pPr>
              <w:outlineLvl w:val="2"/>
              <w:rPr>
                <w:rFonts w:ascii="Calibri" w:hAnsi="Calibri" w:cs="Calibri"/>
              </w:rPr>
            </w:pPr>
            <w:r w:rsidRPr="00C65746">
              <w:rPr>
                <w:rFonts w:ascii="Calibri" w:hAnsi="Calibri" w:cs="Calibri"/>
              </w:rPr>
              <w:t>Valued at $45,000 or less</w:t>
            </w:r>
          </w:p>
          <w:p w:rsidR="00B93188" w:rsidRPr="00C65746" w:rsidRDefault="00B93188" w:rsidP="00B93188">
            <w:pPr>
              <w:outlineLvl w:val="2"/>
              <w:rPr>
                <w:rFonts w:ascii="Calibri" w:hAnsi="Calibri" w:cs="Calibri"/>
              </w:rPr>
            </w:pPr>
            <w:r w:rsidRPr="00C65746">
              <w:rPr>
                <w:rFonts w:ascii="Calibri" w:hAnsi="Calibri" w:cs="Calibri"/>
              </w:rPr>
              <w:t>$3 per $100</w:t>
            </w:r>
          </w:p>
          <w:p w:rsidR="00B93188" w:rsidRPr="00C65746" w:rsidRDefault="00B93188" w:rsidP="00B93188">
            <w:pPr>
              <w:outlineLvl w:val="2"/>
              <w:rPr>
                <w:rFonts w:ascii="Calibri" w:hAnsi="Calibri" w:cs="Calibri"/>
                <w:sz w:val="8"/>
                <w:szCs w:val="8"/>
              </w:rPr>
            </w:pPr>
          </w:p>
          <w:p w:rsidR="00B93188" w:rsidRPr="00C65746" w:rsidRDefault="00B93188" w:rsidP="00B93188">
            <w:pPr>
              <w:outlineLvl w:val="2"/>
              <w:rPr>
                <w:rFonts w:ascii="Calibri" w:hAnsi="Calibri" w:cs="Calibri"/>
              </w:rPr>
            </w:pPr>
            <w:r w:rsidRPr="00C65746">
              <w:rPr>
                <w:rFonts w:ascii="Calibri" w:hAnsi="Calibri" w:cs="Calibri"/>
              </w:rPr>
              <w:t>Valued at more than $45,000</w:t>
            </w:r>
          </w:p>
          <w:p w:rsidR="00B93188" w:rsidRPr="00C65746" w:rsidRDefault="00B93188" w:rsidP="00B93188">
            <w:pPr>
              <w:outlineLvl w:val="2"/>
              <w:rPr>
                <w:rFonts w:ascii="Calibri" w:hAnsi="Calibri" w:cs="Calibri"/>
              </w:rPr>
            </w:pPr>
            <w:r w:rsidRPr="00C65746">
              <w:rPr>
                <w:rFonts w:ascii="Calibri" w:hAnsi="Calibri" w:cs="Calibri"/>
              </w:rPr>
              <w:t>$1,350+$5 per $100 or part thereof over $45,000</w:t>
            </w:r>
          </w:p>
          <w:p w:rsidR="00B93188" w:rsidRPr="00C65746" w:rsidRDefault="00B93188" w:rsidP="00B93188">
            <w:pPr>
              <w:outlineLvl w:val="2"/>
              <w:rPr>
                <w:rFonts w:ascii="Calibri" w:hAnsi="Calibri" w:cs="Calibri"/>
                <w:bCs/>
                <w:sz w:val="8"/>
                <w:szCs w:val="8"/>
              </w:rPr>
            </w:pPr>
          </w:p>
          <w:p w:rsidR="00B93188" w:rsidRPr="00C65746" w:rsidRDefault="00B93188" w:rsidP="00B93188">
            <w:pPr>
              <w:outlineLvl w:val="2"/>
              <w:rPr>
                <w:rFonts w:ascii="Calibri" w:hAnsi="Calibri" w:cs="Calibri"/>
                <w:b/>
                <w:bCs/>
              </w:rPr>
            </w:pPr>
            <w:r w:rsidRPr="00C65746">
              <w:rPr>
                <w:rFonts w:ascii="Calibri" w:hAnsi="Calibri" w:cs="Calibri"/>
                <w:b/>
                <w:bCs/>
              </w:rPr>
              <w:t>Green vehicle rating</w:t>
            </w:r>
          </w:p>
          <w:p w:rsidR="00B93188" w:rsidRPr="00C65746" w:rsidRDefault="00B93188" w:rsidP="00B93188">
            <w:pPr>
              <w:outlineLvl w:val="2"/>
              <w:rPr>
                <w:rFonts w:ascii="Calibri" w:hAnsi="Calibri" w:cs="Calibri"/>
              </w:rPr>
            </w:pPr>
            <w:r w:rsidRPr="00C65746">
              <w:rPr>
                <w:rFonts w:ascii="Calibri" w:hAnsi="Calibri" w:cs="Calibri"/>
              </w:rPr>
              <w:t>Applies to new motor vehicles not previously registered.  Rates depend on green vehicle rating (environmental performance score) and value.</w:t>
            </w:r>
          </w:p>
          <w:p w:rsidR="00B93188" w:rsidRPr="00C65746" w:rsidRDefault="00B93188" w:rsidP="00B93188">
            <w:pPr>
              <w:outlineLvl w:val="2"/>
              <w:rPr>
                <w:rFonts w:ascii="Calibri" w:hAnsi="Calibri" w:cs="Calibri"/>
                <w:sz w:val="8"/>
                <w:szCs w:val="8"/>
              </w:rPr>
            </w:pPr>
          </w:p>
          <w:p w:rsidR="00B93188" w:rsidRPr="00C65746" w:rsidRDefault="00B93188" w:rsidP="00B93188">
            <w:pPr>
              <w:outlineLvl w:val="2"/>
              <w:rPr>
                <w:rFonts w:ascii="Calibri" w:hAnsi="Calibri" w:cs="Calibri"/>
              </w:rPr>
            </w:pPr>
            <w:r w:rsidRPr="00C65746">
              <w:rPr>
                <w:rFonts w:ascii="Calibri" w:hAnsi="Calibri" w:cs="Calibri"/>
              </w:rPr>
              <w:t>Valued at $45,000 or less</w:t>
            </w:r>
          </w:p>
          <w:p w:rsidR="00B93188" w:rsidRPr="00C65746" w:rsidRDefault="00B93188" w:rsidP="00B93188">
            <w:pPr>
              <w:outlineLvl w:val="2"/>
              <w:rPr>
                <w:rFonts w:ascii="Calibri" w:hAnsi="Calibri" w:cs="Calibri"/>
              </w:rPr>
            </w:pPr>
            <w:r w:rsidRPr="00C65746">
              <w:rPr>
                <w:rFonts w:ascii="Calibri" w:hAnsi="Calibri" w:cs="Calibri"/>
              </w:rPr>
              <w:t>A rated (16 or more) = nil</w:t>
            </w:r>
            <w:r w:rsidRPr="00C65746">
              <w:rPr>
                <w:rFonts w:ascii="Calibri" w:hAnsi="Calibri" w:cs="Calibri"/>
              </w:rPr>
              <w:br/>
              <w:t>B rated (14 or more but &lt; 16) = $2 per $100</w:t>
            </w:r>
            <w:r w:rsidRPr="00C65746">
              <w:rPr>
                <w:rFonts w:ascii="Calibri" w:hAnsi="Calibri" w:cs="Calibri"/>
              </w:rPr>
              <w:br/>
              <w:t>C rated (9.5 or more but &lt; 14) = $3 per $100</w:t>
            </w:r>
            <w:r w:rsidRPr="00C65746">
              <w:rPr>
                <w:rFonts w:ascii="Calibri" w:hAnsi="Calibri" w:cs="Calibri"/>
              </w:rPr>
              <w:br/>
              <w:t xml:space="preserve">D rated (less than 9.5) = $4 per $100  </w:t>
            </w:r>
          </w:p>
          <w:p w:rsidR="00B93188" w:rsidRPr="00C65746" w:rsidRDefault="00B93188" w:rsidP="00B93188">
            <w:pPr>
              <w:outlineLvl w:val="2"/>
              <w:rPr>
                <w:rFonts w:ascii="Calibri" w:hAnsi="Calibri" w:cs="Calibri"/>
                <w:sz w:val="8"/>
                <w:szCs w:val="8"/>
              </w:rPr>
            </w:pPr>
          </w:p>
          <w:p w:rsidR="00B93188" w:rsidRPr="00C65746" w:rsidRDefault="00B93188" w:rsidP="00B93188">
            <w:pPr>
              <w:outlineLvl w:val="2"/>
              <w:rPr>
                <w:rFonts w:ascii="Calibri" w:hAnsi="Calibri" w:cs="Calibri"/>
              </w:rPr>
            </w:pPr>
            <w:r w:rsidRPr="00C65746">
              <w:rPr>
                <w:rFonts w:ascii="Calibri" w:hAnsi="Calibri" w:cs="Calibri"/>
              </w:rPr>
              <w:t>Valued at more than $45,000</w:t>
            </w:r>
          </w:p>
          <w:p w:rsidR="00B93188" w:rsidRPr="00C65746" w:rsidRDefault="00B93188" w:rsidP="00B93188">
            <w:pPr>
              <w:outlineLvl w:val="2"/>
              <w:rPr>
                <w:rFonts w:ascii="Calibri" w:hAnsi="Calibri" w:cs="Calibri"/>
              </w:rPr>
            </w:pPr>
            <w:r w:rsidRPr="00C65746">
              <w:rPr>
                <w:rFonts w:ascii="Calibri" w:hAnsi="Calibri" w:cs="Calibri"/>
              </w:rPr>
              <w:t>A rated (16 or more) = nil</w:t>
            </w:r>
            <w:r w:rsidRPr="00C65746">
              <w:rPr>
                <w:rFonts w:ascii="Calibri" w:hAnsi="Calibri" w:cs="Calibri"/>
              </w:rPr>
              <w:br/>
              <w:t>B rated (14 or more but &lt; 16) = $900 plus $4 per $100 above $45,000</w:t>
            </w:r>
            <w:r w:rsidRPr="00C65746">
              <w:rPr>
                <w:rFonts w:ascii="Calibri" w:hAnsi="Calibri" w:cs="Calibri"/>
              </w:rPr>
              <w:br/>
              <w:t>C rated (9.5 or more but &lt; 14) = $1,350 plus $5 per $100 above $45,000</w:t>
            </w:r>
            <w:r w:rsidRPr="00C65746">
              <w:rPr>
                <w:rFonts w:ascii="Calibri" w:hAnsi="Calibri" w:cs="Calibri"/>
              </w:rPr>
              <w:br/>
              <w:t>D rated (less than 9.5) = $1,800 plus $6 per $100 above $45,000</w:t>
            </w:r>
          </w:p>
        </w:tc>
        <w:tc>
          <w:tcPr>
            <w:tcW w:w="2069" w:type="pct"/>
          </w:tcPr>
          <w:p w:rsidR="00B93188" w:rsidRPr="00C65746" w:rsidRDefault="00B93188" w:rsidP="00B93188">
            <w:pPr>
              <w:outlineLvl w:val="2"/>
              <w:rPr>
                <w:rFonts w:ascii="Calibri" w:hAnsi="Calibri" w:cs="Calibri"/>
              </w:rPr>
            </w:pPr>
            <w:r w:rsidRPr="00C65746">
              <w:rPr>
                <w:rFonts w:ascii="Calibri" w:hAnsi="Calibri" w:cs="Calibri"/>
              </w:rPr>
              <w:t>Under $45,000 = $3 per $100 (or part of $100)</w:t>
            </w:r>
          </w:p>
          <w:p w:rsidR="00B93188" w:rsidRPr="00C65746" w:rsidRDefault="00B93188" w:rsidP="00B93188">
            <w:pPr>
              <w:outlineLvl w:val="2"/>
              <w:rPr>
                <w:rFonts w:ascii="Calibri" w:hAnsi="Calibri" w:cs="Calibri"/>
              </w:rPr>
            </w:pPr>
            <w:r w:rsidRPr="00C65746">
              <w:rPr>
                <w:rFonts w:ascii="Calibri" w:hAnsi="Calibri" w:cs="Calibri"/>
              </w:rPr>
              <w:t>Over $45,000 = $1,350+$5 per $100 or part thereof over $45,000</w:t>
            </w:r>
          </w:p>
        </w:tc>
      </w:tr>
      <w:tr w:rsidR="00B93188" w:rsidRPr="00C65746" w:rsidTr="00B93188">
        <w:trPr>
          <w:cantSplit/>
          <w:trHeight w:val="170"/>
          <w:jc w:val="center"/>
        </w:trPr>
        <w:tc>
          <w:tcPr>
            <w:tcW w:w="862" w:type="pct"/>
          </w:tcPr>
          <w:p w:rsidR="00B93188" w:rsidRPr="00C65746" w:rsidRDefault="00B93188" w:rsidP="00B93188">
            <w:pPr>
              <w:rPr>
                <w:rFonts w:ascii="Calibri" w:hAnsi="Calibri" w:cs="Calibri"/>
                <w:b/>
                <w:bCs/>
              </w:rPr>
            </w:pPr>
            <w:r w:rsidRPr="00C65746">
              <w:rPr>
                <w:rFonts w:ascii="Calibri" w:hAnsi="Calibri" w:cs="Calibri"/>
                <w:b/>
                <w:bCs/>
              </w:rPr>
              <w:t>Duty on General Insurance</w:t>
            </w:r>
          </w:p>
        </w:tc>
        <w:tc>
          <w:tcPr>
            <w:tcW w:w="2069" w:type="pct"/>
          </w:tcPr>
          <w:p w:rsidR="00B93188" w:rsidRPr="00C65746" w:rsidRDefault="00B93188" w:rsidP="00B93188">
            <w:pPr>
              <w:rPr>
                <w:rFonts w:ascii="Calibri" w:hAnsi="Calibri" w:cs="Calibri"/>
              </w:rPr>
            </w:pPr>
            <w:r w:rsidRPr="00C65746">
              <w:rPr>
                <w:rFonts w:ascii="Calibri" w:hAnsi="Calibri" w:cs="Calibri"/>
                <w:bCs/>
              </w:rPr>
              <w:t>4</w:t>
            </w:r>
            <w:r w:rsidRPr="00C65746">
              <w:rPr>
                <w:rFonts w:ascii="Calibri" w:hAnsi="Calibri" w:cs="Calibri"/>
              </w:rPr>
              <w:t> per cent</w:t>
            </w:r>
            <w:r w:rsidRPr="00C65746">
              <w:rPr>
                <w:rFonts w:ascii="Calibri" w:hAnsi="Calibri" w:cs="Calibri"/>
                <w:bCs/>
              </w:rPr>
              <w:t xml:space="preserve"> of value of premium from 1 July 2014.</w:t>
            </w:r>
          </w:p>
        </w:tc>
        <w:tc>
          <w:tcPr>
            <w:tcW w:w="2069" w:type="pct"/>
          </w:tcPr>
          <w:p w:rsidR="00FC3195" w:rsidRDefault="00B93188" w:rsidP="00B93188">
            <w:pPr>
              <w:rPr>
                <w:rFonts w:ascii="Calibri" w:hAnsi="Calibri" w:cs="Calibri"/>
              </w:rPr>
            </w:pPr>
            <w:r w:rsidRPr="00C65746">
              <w:rPr>
                <w:rFonts w:ascii="Calibri" w:hAnsi="Calibri" w:cs="Calibri"/>
              </w:rPr>
              <w:t>2.5 per cent to 9 per cent of the premium, depending on the type of insurance.</w:t>
            </w:r>
          </w:p>
          <w:p w:rsidR="00831567" w:rsidRDefault="00831567" w:rsidP="00B93188">
            <w:pPr>
              <w:rPr>
                <w:rFonts w:ascii="Calibri" w:hAnsi="Calibri" w:cs="Calibri"/>
              </w:rPr>
            </w:pPr>
          </w:p>
          <w:p w:rsidR="00831567" w:rsidRPr="00C65746" w:rsidRDefault="00831567" w:rsidP="00B93188">
            <w:pPr>
              <w:rPr>
                <w:rFonts w:ascii="Calibri" w:hAnsi="Calibri" w:cs="Calibri"/>
              </w:rPr>
            </w:pPr>
          </w:p>
          <w:p w:rsidR="00FC3195" w:rsidRPr="00C65746" w:rsidRDefault="00FC3195" w:rsidP="00B93188">
            <w:pPr>
              <w:rPr>
                <w:rFonts w:ascii="Calibri" w:hAnsi="Calibri" w:cs="Calibri"/>
              </w:rPr>
            </w:pPr>
          </w:p>
        </w:tc>
      </w:tr>
      <w:tr w:rsidR="00B93188" w:rsidRPr="00C65746" w:rsidTr="00B93188">
        <w:trPr>
          <w:trHeight w:val="170"/>
          <w:jc w:val="center"/>
        </w:trPr>
        <w:tc>
          <w:tcPr>
            <w:tcW w:w="862" w:type="pct"/>
          </w:tcPr>
          <w:p w:rsidR="00B93188" w:rsidRPr="00C65746" w:rsidRDefault="00B93188" w:rsidP="00B93188">
            <w:pPr>
              <w:rPr>
                <w:rFonts w:ascii="Calibri" w:hAnsi="Calibri" w:cs="Calibri"/>
                <w:b/>
                <w:bCs/>
              </w:rPr>
            </w:pPr>
            <w:r w:rsidRPr="00C65746">
              <w:rPr>
                <w:rFonts w:ascii="Calibri" w:hAnsi="Calibri" w:cs="Calibri"/>
                <w:b/>
                <w:bCs/>
              </w:rPr>
              <w:lastRenderedPageBreak/>
              <w:t>Duty on Life Insurance</w:t>
            </w:r>
          </w:p>
        </w:tc>
        <w:tc>
          <w:tcPr>
            <w:tcW w:w="2069" w:type="pct"/>
          </w:tcPr>
          <w:p w:rsidR="00B93188" w:rsidRPr="00C65746" w:rsidRDefault="00B93188" w:rsidP="00B93188">
            <w:pPr>
              <w:keepNext/>
              <w:keepLines/>
              <w:numPr>
                <w:ilvl w:val="12"/>
                <w:numId w:val="0"/>
              </w:numPr>
              <w:outlineLvl w:val="2"/>
              <w:rPr>
                <w:rFonts w:ascii="Calibri" w:hAnsi="Calibri" w:cs="Calibri"/>
                <w:b/>
              </w:rPr>
            </w:pPr>
            <w:r w:rsidRPr="00C65746">
              <w:rPr>
                <w:rFonts w:ascii="Calibri" w:hAnsi="Calibri" w:cs="Calibri"/>
                <w:b/>
              </w:rPr>
              <w:t>Term, temporary or insurance rider policies</w:t>
            </w:r>
          </w:p>
          <w:p w:rsidR="00B93188" w:rsidRPr="00C65746" w:rsidRDefault="00B93188" w:rsidP="00B93188">
            <w:pPr>
              <w:rPr>
                <w:rFonts w:ascii="Calibri" w:hAnsi="Calibri" w:cs="Calibri"/>
                <w:b/>
                <w:sz w:val="8"/>
                <w:szCs w:val="8"/>
              </w:rPr>
            </w:pPr>
          </w:p>
          <w:p w:rsidR="00B93188" w:rsidRPr="00C65746" w:rsidRDefault="00B93188" w:rsidP="00B93188">
            <w:pPr>
              <w:rPr>
                <w:rFonts w:ascii="Calibri" w:hAnsi="Calibri" w:cs="Calibri"/>
              </w:rPr>
            </w:pPr>
            <w:r w:rsidRPr="00C65746">
              <w:rPr>
                <w:rFonts w:ascii="Calibri" w:hAnsi="Calibri" w:cs="Calibri"/>
              </w:rPr>
              <w:t>2 per cent of the first year’s premium from 1 July 2014.</w:t>
            </w:r>
          </w:p>
          <w:p w:rsidR="00B93188" w:rsidRPr="00C65746" w:rsidRDefault="00B93188" w:rsidP="00B93188">
            <w:pPr>
              <w:rPr>
                <w:rFonts w:ascii="Calibri" w:hAnsi="Calibri" w:cs="Calibri"/>
                <w:b/>
                <w:sz w:val="8"/>
                <w:szCs w:val="8"/>
              </w:rPr>
            </w:pPr>
          </w:p>
          <w:p w:rsidR="00B93188" w:rsidRPr="00C65746" w:rsidRDefault="00B93188" w:rsidP="00B93188">
            <w:pPr>
              <w:rPr>
                <w:rFonts w:ascii="Calibri" w:hAnsi="Calibri" w:cs="Calibri"/>
                <w:b/>
              </w:rPr>
            </w:pPr>
            <w:r w:rsidRPr="00C65746">
              <w:rPr>
                <w:rFonts w:ascii="Calibri" w:hAnsi="Calibri" w:cs="Calibri"/>
                <w:b/>
              </w:rPr>
              <w:t>All other</w:t>
            </w:r>
          </w:p>
          <w:p w:rsidR="00B93188" w:rsidRPr="00C65746" w:rsidRDefault="00B93188" w:rsidP="00B93188">
            <w:pPr>
              <w:rPr>
                <w:rFonts w:ascii="Calibri" w:hAnsi="Calibri" w:cs="Calibri"/>
                <w:b/>
                <w:sz w:val="8"/>
                <w:szCs w:val="8"/>
              </w:rPr>
            </w:pPr>
          </w:p>
          <w:p w:rsidR="00B93188" w:rsidRPr="00C65746" w:rsidRDefault="00B93188" w:rsidP="00B93188">
            <w:pPr>
              <w:keepNext/>
              <w:keepLines/>
              <w:numPr>
                <w:ilvl w:val="12"/>
                <w:numId w:val="0"/>
              </w:numPr>
              <w:outlineLvl w:val="2"/>
              <w:rPr>
                <w:rFonts w:ascii="Calibri" w:hAnsi="Calibri" w:cs="Calibri"/>
              </w:rPr>
            </w:pPr>
            <w:r w:rsidRPr="00C65746">
              <w:rPr>
                <w:rFonts w:ascii="Calibri" w:hAnsi="Calibri" w:cs="Calibri"/>
              </w:rPr>
              <w:t>From 1 July 2014:</w:t>
            </w:r>
          </w:p>
          <w:p w:rsidR="00B93188" w:rsidRPr="00C65746" w:rsidRDefault="00B93188" w:rsidP="00B93188">
            <w:pPr>
              <w:keepNext/>
              <w:keepLines/>
              <w:numPr>
                <w:ilvl w:val="12"/>
                <w:numId w:val="0"/>
              </w:numPr>
              <w:outlineLvl w:val="2"/>
              <w:rPr>
                <w:rFonts w:ascii="Calibri" w:hAnsi="Calibri" w:cs="Calibri"/>
                <w:b/>
                <w:bCs/>
                <w:sz w:val="24"/>
                <w:szCs w:val="26"/>
              </w:rPr>
            </w:pPr>
            <w:r w:rsidRPr="00C65746">
              <w:rPr>
                <w:rFonts w:ascii="Calibri" w:hAnsi="Calibri" w:cs="Calibri"/>
              </w:rPr>
              <w:t xml:space="preserve">Sum insured $0 to $2,000 </w:t>
            </w:r>
            <w:r w:rsidRPr="00C65746">
              <w:rPr>
                <w:rFonts w:ascii="Calibri" w:hAnsi="Calibri" w:cs="Calibri"/>
              </w:rPr>
              <w:noBreakHyphen/>
              <w:t xml:space="preserve"> $0.40</w:t>
            </w:r>
          </w:p>
          <w:p w:rsidR="00B93188" w:rsidRPr="00C65746" w:rsidRDefault="00B93188" w:rsidP="00B93188">
            <w:pPr>
              <w:rPr>
                <w:rFonts w:ascii="Calibri" w:hAnsi="Calibri" w:cs="Calibri"/>
                <w:sz w:val="24"/>
              </w:rPr>
            </w:pPr>
            <w:r w:rsidRPr="00C65746">
              <w:rPr>
                <w:rFonts w:ascii="Calibri" w:hAnsi="Calibri" w:cs="Calibri"/>
                <w:bCs/>
              </w:rPr>
              <w:t xml:space="preserve">Sum insured Over $2,000 </w:t>
            </w:r>
            <w:r w:rsidRPr="00C65746">
              <w:rPr>
                <w:rFonts w:ascii="Calibri" w:hAnsi="Calibri" w:cs="Calibri"/>
                <w:bCs/>
              </w:rPr>
              <w:noBreakHyphen/>
              <w:t xml:space="preserve"> $0.40 plus $0.08 per $200 or part thereof in excess of $2,000.</w:t>
            </w:r>
          </w:p>
        </w:tc>
        <w:tc>
          <w:tcPr>
            <w:tcW w:w="2069" w:type="pct"/>
          </w:tcPr>
          <w:p w:rsidR="00B93188" w:rsidRPr="00C65746" w:rsidRDefault="00B93188" w:rsidP="00B93188">
            <w:pPr>
              <w:keepNext/>
              <w:keepLines/>
              <w:numPr>
                <w:ilvl w:val="12"/>
                <w:numId w:val="0"/>
              </w:numPr>
              <w:outlineLvl w:val="2"/>
              <w:rPr>
                <w:rFonts w:ascii="Calibri" w:hAnsi="Calibri" w:cs="Calibri"/>
                <w:b/>
              </w:rPr>
            </w:pPr>
            <w:r w:rsidRPr="00C65746">
              <w:rPr>
                <w:rFonts w:ascii="Calibri" w:hAnsi="Calibri" w:cs="Calibri"/>
                <w:b/>
              </w:rPr>
              <w:t>Term, temporary or insurance rider policies</w:t>
            </w:r>
          </w:p>
          <w:p w:rsidR="00B93188" w:rsidRPr="00C65746" w:rsidRDefault="00B93188" w:rsidP="00B93188">
            <w:pPr>
              <w:rPr>
                <w:rFonts w:ascii="Calibri" w:hAnsi="Calibri" w:cs="Calibri"/>
              </w:rPr>
            </w:pPr>
            <w:r w:rsidRPr="00C65746">
              <w:rPr>
                <w:rFonts w:ascii="Calibri" w:hAnsi="Calibri" w:cs="Calibri"/>
              </w:rPr>
              <w:t>5 per cent of the first year's premium</w:t>
            </w:r>
          </w:p>
          <w:p w:rsidR="00B93188" w:rsidRPr="00C65746" w:rsidRDefault="00B93188" w:rsidP="00B93188">
            <w:pPr>
              <w:rPr>
                <w:rFonts w:ascii="Calibri" w:hAnsi="Calibri" w:cs="Calibri"/>
              </w:rPr>
            </w:pPr>
          </w:p>
          <w:p w:rsidR="00B93188" w:rsidRPr="00C65746" w:rsidRDefault="00B93188" w:rsidP="00B93188">
            <w:pPr>
              <w:keepNext/>
              <w:keepLines/>
              <w:numPr>
                <w:ilvl w:val="12"/>
                <w:numId w:val="0"/>
              </w:numPr>
              <w:outlineLvl w:val="2"/>
              <w:rPr>
                <w:rFonts w:ascii="Calibri" w:hAnsi="Calibri" w:cs="Calibri"/>
                <w:b/>
                <w:bCs/>
                <w:szCs w:val="26"/>
              </w:rPr>
            </w:pPr>
            <w:r w:rsidRPr="00C65746">
              <w:rPr>
                <w:rFonts w:ascii="Calibri" w:hAnsi="Calibri" w:cs="Calibri"/>
                <w:b/>
              </w:rPr>
              <w:t>Group term insurance policies</w:t>
            </w:r>
          </w:p>
          <w:p w:rsidR="00B93188" w:rsidRPr="00C65746" w:rsidRDefault="00B93188" w:rsidP="00B93188">
            <w:pPr>
              <w:rPr>
                <w:rFonts w:ascii="Calibri" w:hAnsi="Calibri" w:cs="Calibri"/>
              </w:rPr>
            </w:pPr>
            <w:r w:rsidRPr="00C65746">
              <w:rPr>
                <w:rFonts w:ascii="Calibri" w:hAnsi="Calibri" w:cs="Calibri"/>
              </w:rPr>
              <w:t>5 per cent of the first year's premium on the policy</w:t>
            </w:r>
          </w:p>
          <w:p w:rsidR="00B93188" w:rsidRPr="00C65746" w:rsidRDefault="00B93188" w:rsidP="00B93188">
            <w:pPr>
              <w:rPr>
                <w:rFonts w:ascii="Calibri" w:hAnsi="Calibri" w:cs="Calibri"/>
              </w:rPr>
            </w:pPr>
            <w:r w:rsidRPr="00C65746">
              <w:rPr>
                <w:rFonts w:ascii="Calibri" w:hAnsi="Calibri" w:cs="Calibri"/>
              </w:rPr>
              <w:t>5 per cent of the amount of the premium (if any) payable in any succeeding year in respect of each additional life covered by the insurance policy (that is, each life that was not covered during the previous year).</w:t>
            </w:r>
          </w:p>
          <w:p w:rsidR="00B93188" w:rsidRPr="00C65746" w:rsidRDefault="00B93188" w:rsidP="00B93188">
            <w:pPr>
              <w:rPr>
                <w:rFonts w:ascii="Calibri" w:hAnsi="Calibri" w:cs="Calibri"/>
                <w:b/>
                <w:sz w:val="12"/>
                <w:szCs w:val="12"/>
              </w:rPr>
            </w:pPr>
          </w:p>
          <w:p w:rsidR="00B93188" w:rsidRPr="00C65746" w:rsidRDefault="00B93188" w:rsidP="00B93188">
            <w:pPr>
              <w:rPr>
                <w:rFonts w:ascii="Calibri" w:hAnsi="Calibri" w:cs="Calibri"/>
                <w:b/>
                <w:bCs/>
              </w:rPr>
            </w:pPr>
            <w:r w:rsidRPr="00C65746">
              <w:rPr>
                <w:rFonts w:ascii="Calibri" w:hAnsi="Calibri" w:cs="Calibri"/>
                <w:b/>
              </w:rPr>
              <w:t xml:space="preserve">Trauma or disability </w:t>
            </w:r>
            <w:r w:rsidRPr="00C65746">
              <w:rPr>
                <w:rFonts w:ascii="Calibri" w:hAnsi="Calibri" w:cs="Calibri"/>
                <w:b/>
                <w:bCs/>
              </w:rPr>
              <w:t>policies</w:t>
            </w:r>
          </w:p>
          <w:p w:rsidR="00B93188" w:rsidRPr="00C65746" w:rsidRDefault="00B93188" w:rsidP="00B93188">
            <w:pPr>
              <w:rPr>
                <w:rFonts w:ascii="Calibri" w:hAnsi="Calibri" w:cs="Calibri"/>
                <w:b/>
              </w:rPr>
            </w:pPr>
            <w:r w:rsidRPr="00C65746">
              <w:rPr>
                <w:rFonts w:ascii="Calibri" w:hAnsi="Calibri" w:cs="Calibri"/>
              </w:rPr>
              <w:t>5 per cent of the premium paid</w:t>
            </w:r>
          </w:p>
          <w:p w:rsidR="00B93188" w:rsidRPr="00C65746" w:rsidRDefault="00B93188" w:rsidP="00B93188">
            <w:pPr>
              <w:keepNext/>
              <w:keepLines/>
              <w:numPr>
                <w:ilvl w:val="12"/>
                <w:numId w:val="0"/>
              </w:numPr>
              <w:outlineLvl w:val="2"/>
              <w:rPr>
                <w:rFonts w:ascii="Calibri" w:hAnsi="Calibri" w:cs="Calibri"/>
                <w:sz w:val="8"/>
                <w:szCs w:val="8"/>
              </w:rPr>
            </w:pPr>
          </w:p>
          <w:p w:rsidR="00B93188" w:rsidRPr="00C65746" w:rsidRDefault="00B93188" w:rsidP="00B93188">
            <w:pPr>
              <w:rPr>
                <w:rFonts w:ascii="Calibri" w:hAnsi="Calibri" w:cs="Calibri"/>
                <w:sz w:val="24"/>
              </w:rPr>
            </w:pPr>
            <w:r w:rsidRPr="00C65746">
              <w:rPr>
                <w:rFonts w:ascii="Calibri" w:hAnsi="Calibri" w:cs="Calibri"/>
                <w:b/>
              </w:rPr>
              <w:t>All other</w:t>
            </w:r>
          </w:p>
          <w:p w:rsidR="00B93188" w:rsidRPr="00C65746" w:rsidRDefault="00B93188" w:rsidP="00B93188">
            <w:pPr>
              <w:keepNext/>
              <w:keepLines/>
              <w:numPr>
                <w:ilvl w:val="12"/>
                <w:numId w:val="0"/>
              </w:numPr>
              <w:outlineLvl w:val="2"/>
              <w:rPr>
                <w:rFonts w:ascii="Calibri" w:hAnsi="Calibri" w:cs="Calibri"/>
              </w:rPr>
            </w:pPr>
            <w:r w:rsidRPr="00C65746">
              <w:rPr>
                <w:rFonts w:ascii="Calibri" w:hAnsi="Calibri" w:cs="Calibri"/>
              </w:rPr>
              <w:t xml:space="preserve">Sum insured $0 to $2,000 </w:t>
            </w:r>
            <w:r w:rsidRPr="00C65746">
              <w:rPr>
                <w:rFonts w:ascii="Calibri" w:hAnsi="Calibri" w:cs="Calibri"/>
              </w:rPr>
              <w:noBreakHyphen/>
              <w:t xml:space="preserve"> $1 </w:t>
            </w:r>
          </w:p>
          <w:p w:rsidR="00B93188" w:rsidRPr="00C65746" w:rsidRDefault="00B93188" w:rsidP="00B93188">
            <w:pPr>
              <w:keepNext/>
              <w:keepLines/>
              <w:numPr>
                <w:ilvl w:val="12"/>
                <w:numId w:val="0"/>
              </w:numPr>
              <w:outlineLvl w:val="2"/>
              <w:rPr>
                <w:rFonts w:ascii="Calibri" w:hAnsi="Calibri" w:cs="Calibri"/>
                <w:b/>
                <w:bCs/>
                <w:sz w:val="24"/>
                <w:szCs w:val="26"/>
              </w:rPr>
            </w:pPr>
            <w:r w:rsidRPr="00C65746">
              <w:rPr>
                <w:rFonts w:ascii="Calibri" w:hAnsi="Calibri" w:cs="Calibri"/>
              </w:rPr>
              <w:t xml:space="preserve">Sum insured Over $2,000 </w:t>
            </w:r>
            <w:r w:rsidRPr="00C65746">
              <w:rPr>
                <w:rFonts w:ascii="Calibri" w:hAnsi="Calibri" w:cs="Calibri"/>
              </w:rPr>
              <w:noBreakHyphen/>
              <w:t xml:space="preserve"> $1 plus $0.20 per $200 or part thereof in excess of $2,000.</w:t>
            </w:r>
          </w:p>
        </w:tc>
      </w:tr>
    </w:tbl>
    <w:p w:rsidR="00B93188" w:rsidRPr="00B93188" w:rsidRDefault="00B93188" w:rsidP="00983072">
      <w:pPr>
        <w:keepNext/>
        <w:keepLines/>
        <w:spacing w:before="120" w:after="120"/>
        <w:outlineLvl w:val="2"/>
        <w:rPr>
          <w:rFonts w:ascii="Arial" w:hAnsi="Arial"/>
          <w:b/>
          <w:bCs/>
          <w:sz w:val="24"/>
          <w:szCs w:val="26"/>
          <w:lang w:eastAsia="en-AU"/>
        </w:rPr>
      </w:pPr>
      <w:r w:rsidRPr="00B93188">
        <w:rPr>
          <w:rFonts w:ascii="Arial" w:hAnsi="Arial"/>
          <w:b/>
          <w:bCs/>
          <w:sz w:val="24"/>
          <w:szCs w:val="26"/>
          <w:lang w:eastAsia="en-AU"/>
        </w:rPr>
        <w:t xml:space="preserve">Commonwealth Government Grants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Total revenue received from Commonwealth Government grants in 2013-14 is forecast to increase by $20.7 million from the 2013-14 Budget estimate mainly due to payments for the Majura Parkway being brought forward from 2014-15.</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increase of $78.4 million in the 2014-15 Budget is mainly due to underlying growth in GST revenue.</w:t>
      </w:r>
    </w:p>
    <w:p w:rsidR="00296A7E" w:rsidRPr="00296A7E" w:rsidRDefault="00296A7E" w:rsidP="00983072">
      <w:pPr>
        <w:keepNext/>
        <w:keepLines/>
        <w:spacing w:before="120" w:after="120"/>
        <w:jc w:val="both"/>
        <w:rPr>
          <w:rFonts w:ascii="Calibri" w:hAnsi="Calibri"/>
          <w:sz w:val="24"/>
        </w:rPr>
      </w:pPr>
      <w:r w:rsidRPr="00296A7E">
        <w:rPr>
          <w:rFonts w:ascii="Calibri" w:hAnsi="Calibri"/>
          <w:sz w:val="24"/>
        </w:rPr>
        <w:t xml:space="preserve">The Budget includes a provision for future revenue estimate based on the sale of assets as part of the Commonwealth’s Asset Recycling Initiative.  The initiative aims to encourage </w:t>
      </w:r>
      <w:r>
        <w:rPr>
          <w:rFonts w:ascii="Calibri" w:hAnsi="Calibri"/>
          <w:sz w:val="24"/>
        </w:rPr>
        <w:t xml:space="preserve">the sale of existing assets to </w:t>
      </w:r>
      <w:r w:rsidRPr="00296A7E">
        <w:rPr>
          <w:rFonts w:ascii="Calibri" w:hAnsi="Calibri"/>
          <w:sz w:val="24"/>
        </w:rPr>
        <w:t>create capacity on the Territory’s balance sheet to invest in productive infrastructure.  Under the agreement, the Commonwealth will provide a financial incentive of 15 per cent of the amount of proceeds from asset sales that are invested into productive infrastructure.</w:t>
      </w:r>
    </w:p>
    <w:p w:rsidR="00296A7E" w:rsidRPr="00296A7E" w:rsidRDefault="00296A7E" w:rsidP="00983072">
      <w:pPr>
        <w:keepNext/>
        <w:keepLines/>
        <w:spacing w:before="120" w:after="120"/>
        <w:jc w:val="both"/>
        <w:rPr>
          <w:rFonts w:ascii="Calibri" w:hAnsi="Calibri"/>
          <w:sz w:val="24"/>
        </w:rPr>
      </w:pPr>
      <w:r w:rsidRPr="00296A7E">
        <w:rPr>
          <w:rFonts w:ascii="Calibri" w:hAnsi="Calibri"/>
          <w:sz w:val="24"/>
        </w:rPr>
        <w:t>The Government will be considering potential options over the coming months.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Further information on funding for Commonwealth Government grants can be found in Federal Financial Relations</w:t>
      </w:r>
      <w:r w:rsidR="005F3157">
        <w:rPr>
          <w:rFonts w:ascii="Calibri" w:hAnsi="Calibri"/>
          <w:sz w:val="24"/>
        </w:rPr>
        <w:t xml:space="preserve"> (Chapter 7.1)</w:t>
      </w:r>
      <w:r w:rsidRPr="00B93188">
        <w:rPr>
          <w:rFonts w:ascii="Calibri" w:hAnsi="Calibri"/>
          <w:sz w:val="24"/>
        </w:rPr>
        <w:t>.</w:t>
      </w:r>
    </w:p>
    <w:p w:rsidR="00B93188" w:rsidRPr="00B93188" w:rsidRDefault="00831567" w:rsidP="00B93188">
      <w:pPr>
        <w:keepNext/>
        <w:keepLines/>
        <w:spacing w:before="120"/>
        <w:jc w:val="center"/>
        <w:rPr>
          <w:rFonts w:ascii="Arial" w:hAnsi="Arial"/>
          <w:b/>
        </w:rPr>
      </w:pPr>
      <w:r>
        <w:rPr>
          <w:rFonts w:ascii="Arial" w:hAnsi="Arial"/>
          <w:b/>
        </w:rPr>
        <w:br w:type="page"/>
      </w:r>
      <w:r w:rsidR="00B93188" w:rsidRPr="00B93188">
        <w:rPr>
          <w:rFonts w:ascii="Arial" w:hAnsi="Arial"/>
          <w:b/>
        </w:rPr>
        <w:lastRenderedPageBreak/>
        <w:t>Table 6.1.9</w:t>
      </w:r>
    </w:p>
    <w:p w:rsidR="00B93188" w:rsidRPr="00B93188" w:rsidRDefault="00B93188" w:rsidP="00B93188">
      <w:pPr>
        <w:keepNext/>
        <w:keepLines/>
        <w:spacing w:after="120"/>
        <w:jc w:val="center"/>
        <w:rPr>
          <w:rFonts w:ascii="Arial" w:hAnsi="Arial"/>
          <w:b/>
        </w:rPr>
      </w:pPr>
      <w:r w:rsidRPr="00B93188">
        <w:rPr>
          <w:rFonts w:ascii="Arial" w:hAnsi="Arial"/>
          <w:b/>
        </w:rPr>
        <w:t xml:space="preserve">Commonwealth Government Grants </w:t>
      </w:r>
    </w:p>
    <w:tbl>
      <w:tblPr>
        <w:tblW w:w="9100" w:type="dxa"/>
        <w:jc w:val="center"/>
        <w:tblLook w:val="0000"/>
      </w:tblPr>
      <w:tblGrid>
        <w:gridCol w:w="1021"/>
        <w:gridCol w:w="2116"/>
        <w:gridCol w:w="1310"/>
        <w:gridCol w:w="1018"/>
        <w:gridCol w:w="581"/>
        <w:gridCol w:w="1018"/>
        <w:gridCol w:w="1018"/>
        <w:gridCol w:w="1018"/>
      </w:tblGrid>
      <w:tr w:rsidR="00B93188" w:rsidRPr="00B93188" w:rsidTr="00B93188">
        <w:trPr>
          <w:trHeight w:val="170"/>
          <w:jc w:val="center"/>
        </w:trPr>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2116" w:type="dxa"/>
            <w:tcBorders>
              <w:top w:val="single" w:sz="4" w:space="0" w:color="auto"/>
              <w:left w:val="nil"/>
              <w:bottom w:val="nil"/>
              <w:right w:val="nil"/>
            </w:tcBorders>
            <w:shd w:val="clear" w:color="auto" w:fill="auto"/>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10"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58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2116"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sz w:val="18"/>
                <w:szCs w:val="18"/>
              </w:rPr>
            </w:pPr>
          </w:p>
        </w:tc>
        <w:tc>
          <w:tcPr>
            <w:tcW w:w="1310"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58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Var</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2116" w:type="dxa"/>
            <w:tcBorders>
              <w:top w:val="nil"/>
              <w:left w:val="nil"/>
              <w:bottom w:val="single" w:sz="4" w:space="0" w:color="auto"/>
              <w:right w:val="nil"/>
            </w:tcBorders>
            <w:shd w:val="clear" w:color="auto" w:fill="auto"/>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10"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58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lang w:eastAsia="en-AU"/>
              </w:rPr>
            </w:pPr>
          </w:p>
        </w:tc>
        <w:tc>
          <w:tcPr>
            <w:tcW w:w="2116"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Current Grants</w:t>
            </w:r>
          </w:p>
        </w:tc>
        <w:tc>
          <w:tcPr>
            <w:tcW w:w="1310"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58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1,021,800</w:t>
            </w:r>
          </w:p>
        </w:tc>
        <w:tc>
          <w:tcPr>
            <w:tcW w:w="21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GST Revenue Grant</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1,032,900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1,098,600</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6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1,168,000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1,239,700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1,310,500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37,495</w:t>
            </w:r>
          </w:p>
        </w:tc>
        <w:tc>
          <w:tcPr>
            <w:tcW w:w="21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ACT Municipal Services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37,311</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37,983</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38,629</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39,324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40,032</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463,140</w:t>
            </w:r>
          </w:p>
        </w:tc>
        <w:tc>
          <w:tcPr>
            <w:tcW w:w="21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National Specific Purpose Payments (SPPs) and Reform Payments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572,795</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586,981</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630,078</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677,028</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684,833</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24,225</w:t>
            </w:r>
          </w:p>
        </w:tc>
        <w:tc>
          <w:tcPr>
            <w:tcW w:w="21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Financial Assistance Grants to Local Government</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24,536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48,638</w:t>
            </w:r>
          </w:p>
        </w:tc>
        <w:tc>
          <w:tcPr>
            <w:tcW w:w="581" w:type="dxa"/>
            <w:tcBorders>
              <w:top w:val="nil"/>
              <w:left w:val="nil"/>
              <w:bottom w:val="nil"/>
              <w:right w:val="nil"/>
            </w:tcBorders>
            <w:shd w:val="clear" w:color="auto" w:fill="auto"/>
            <w:noWrap/>
          </w:tcPr>
          <w:p w:rsidR="00B93188" w:rsidRPr="003E29BB" w:rsidRDefault="00B93188" w:rsidP="00B93188">
            <w:pPr>
              <w:jc w:val="right"/>
              <w:rPr>
                <w:rFonts w:ascii="Calibri" w:hAnsi="Calibri" w:cs="Arial"/>
                <w:sz w:val="18"/>
                <w:szCs w:val="18"/>
                <w:vertAlign w:val="superscript"/>
              </w:rPr>
            </w:pPr>
            <w:r w:rsidRPr="00B93188">
              <w:rPr>
                <w:rFonts w:ascii="Calibri" w:hAnsi="Calibri" w:cs="Arial"/>
                <w:sz w:val="18"/>
                <w:szCs w:val="18"/>
              </w:rPr>
              <w:t xml:space="preserve">98 </w:t>
            </w:r>
            <w:r w:rsidR="003E29BB">
              <w:rPr>
                <w:rFonts w:ascii="Calibri" w:hAnsi="Calibri" w:cs="Arial"/>
                <w:sz w:val="18"/>
                <w:szCs w:val="18"/>
                <w:vertAlign w:val="superscript"/>
              </w:rPr>
              <w:t>1</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48,643</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48,645</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50,742</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173,229</w:t>
            </w:r>
          </w:p>
        </w:tc>
        <w:tc>
          <w:tcPr>
            <w:tcW w:w="21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National Partnership Payments (NPP) –</w:t>
            </w:r>
          </w:p>
          <w:p w:rsidR="00B93188" w:rsidRPr="00B93188" w:rsidRDefault="00B93188" w:rsidP="00B93188">
            <w:pPr>
              <w:ind w:left="142" w:hanging="142"/>
              <w:rPr>
                <w:rFonts w:ascii="Calibri" w:hAnsi="Calibri"/>
                <w:sz w:val="18"/>
                <w:szCs w:val="18"/>
              </w:rPr>
            </w:pPr>
            <w:r w:rsidRPr="00B93188">
              <w:rPr>
                <w:rFonts w:ascii="Calibri" w:hAnsi="Calibri"/>
                <w:sz w:val="18"/>
                <w:szCs w:val="18"/>
              </w:rPr>
              <w:t xml:space="preserve">    Current</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52,378</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38,041</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-27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30,831</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23,252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13,536</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7,429</w:t>
            </w:r>
          </w:p>
        </w:tc>
        <w:tc>
          <w:tcPr>
            <w:tcW w:w="21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 xml:space="preserve">Other Commonwealth Government Payments </w:t>
            </w:r>
            <w:r w:rsidRPr="00B93188">
              <w:rPr>
                <w:rFonts w:ascii="Calibri" w:hAnsi="Calibri"/>
                <w:sz w:val="18"/>
                <w:szCs w:val="18"/>
              </w:rPr>
              <w:softHyphen/>
              <w:t>– Current</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7,768</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9,960</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28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10,396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11,454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12,154</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1,727,318</w:t>
            </w:r>
          </w:p>
        </w:tc>
        <w:tc>
          <w:tcPr>
            <w:tcW w:w="2116"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Current Grants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1,727,688</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1,820,203</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5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1,926,577</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2,039,403</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2,111,797</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2116"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Capital Grants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66,221</w:t>
            </w:r>
          </w:p>
        </w:tc>
        <w:tc>
          <w:tcPr>
            <w:tcW w:w="21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National Partnership Payments (NPPs) – Capital</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86,512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72,377</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-16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30,054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40,054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38,764</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66,221</w:t>
            </w:r>
          </w:p>
        </w:tc>
        <w:tc>
          <w:tcPr>
            <w:tcW w:w="2116"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Capital Grants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86,512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72,377</w:t>
            </w:r>
          </w:p>
        </w:tc>
        <w:tc>
          <w:tcPr>
            <w:tcW w:w="58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-16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30,054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40,054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38,764</w:t>
            </w:r>
          </w:p>
        </w:tc>
      </w:tr>
      <w:tr w:rsidR="00B93188" w:rsidRPr="00B93188" w:rsidTr="00B93188">
        <w:trPr>
          <w:trHeight w:val="170"/>
          <w:jc w:val="center"/>
        </w:trPr>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1,793,539</w:t>
            </w:r>
          </w:p>
        </w:tc>
        <w:tc>
          <w:tcPr>
            <w:tcW w:w="2116" w:type="dxa"/>
            <w:tcBorders>
              <w:top w:val="single" w:sz="4" w:space="0" w:color="auto"/>
              <w:left w:val="nil"/>
              <w:bottom w:val="single" w:sz="4" w:space="0" w:color="auto"/>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Commonwealth Government Funding</w:t>
            </w:r>
          </w:p>
        </w:tc>
        <w:tc>
          <w:tcPr>
            <w:tcW w:w="1310"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1,814,200</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1,892,580</w:t>
            </w:r>
          </w:p>
        </w:tc>
        <w:tc>
          <w:tcPr>
            <w:tcW w:w="58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4 </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1,956,631</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2,079,457</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2,150,561</w:t>
            </w:r>
          </w:p>
        </w:tc>
      </w:tr>
    </w:tbl>
    <w:p w:rsidR="003E29BB" w:rsidRPr="00983072" w:rsidRDefault="003E29BB" w:rsidP="00983072">
      <w:pPr>
        <w:keepNext/>
        <w:keepLines/>
        <w:outlineLvl w:val="2"/>
        <w:rPr>
          <w:rFonts w:ascii="Calibri" w:hAnsi="Calibri" w:cs="Arial"/>
          <w:b/>
          <w:bCs/>
          <w:sz w:val="16"/>
          <w:szCs w:val="16"/>
        </w:rPr>
      </w:pPr>
      <w:r w:rsidRPr="003E29BB">
        <w:rPr>
          <w:rFonts w:ascii="Calibri" w:hAnsi="Calibri" w:cs="Arial"/>
          <w:b/>
          <w:bCs/>
          <w:sz w:val="16"/>
          <w:szCs w:val="16"/>
        </w:rPr>
        <w:t>Note:</w:t>
      </w:r>
      <w:r w:rsidR="00983072">
        <w:rPr>
          <w:rFonts w:ascii="Calibri" w:hAnsi="Calibri" w:cs="Arial"/>
          <w:b/>
          <w:bCs/>
          <w:sz w:val="16"/>
          <w:szCs w:val="16"/>
        </w:rPr>
        <w:t xml:space="preserve">  </w:t>
      </w:r>
      <w:r w:rsidRPr="003E29BB">
        <w:rPr>
          <w:rFonts w:ascii="Calibri" w:hAnsi="Calibri" w:cs="Arial"/>
          <w:bCs/>
          <w:sz w:val="16"/>
          <w:szCs w:val="16"/>
        </w:rPr>
        <w:t>An explanation of the variation can be found under Table 7.1.5.</w:t>
      </w:r>
    </w:p>
    <w:p w:rsidR="00B93188" w:rsidRPr="00B93188" w:rsidRDefault="00B93188" w:rsidP="00983072">
      <w:pPr>
        <w:keepNext/>
        <w:keepLines/>
        <w:spacing w:before="120" w:after="120"/>
        <w:outlineLvl w:val="2"/>
        <w:rPr>
          <w:rFonts w:ascii="Arial" w:hAnsi="Arial" w:cs="Arial"/>
          <w:b/>
          <w:bCs/>
          <w:sz w:val="24"/>
          <w:szCs w:val="26"/>
        </w:rPr>
      </w:pPr>
      <w:r w:rsidRPr="00B93188">
        <w:rPr>
          <w:rFonts w:ascii="Arial" w:hAnsi="Arial" w:cs="Arial"/>
          <w:b/>
          <w:bCs/>
          <w:sz w:val="24"/>
          <w:szCs w:val="26"/>
        </w:rPr>
        <w:t xml:space="preserve">Contributed Assets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Table 6.1.10 provides a summary of contributed assets.  Contributed assets largely relate to land development infrastructure assets transferred to the GGS from the Land Development Agency (LDA) and private developers.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Variations reflected between the 2013-14 estimated outcome, 2014-15 Budget and across the forward estimates period are mainly reflective of revisions to the land release program and the associated transfer of assets from the LDA to the GGS. </w:t>
      </w:r>
    </w:p>
    <w:p w:rsidR="00B93188" w:rsidRPr="00B93188" w:rsidRDefault="00B93188" w:rsidP="00B93188">
      <w:pPr>
        <w:keepNext/>
        <w:keepLines/>
        <w:jc w:val="center"/>
        <w:rPr>
          <w:rFonts w:ascii="Arial" w:hAnsi="Arial"/>
          <w:b/>
        </w:rPr>
      </w:pPr>
      <w:r w:rsidRPr="00B93188">
        <w:rPr>
          <w:rFonts w:ascii="Arial" w:hAnsi="Arial"/>
          <w:b/>
        </w:rPr>
        <w:t>Table 6.1.10</w:t>
      </w:r>
    </w:p>
    <w:p w:rsidR="00B93188" w:rsidRPr="00B93188" w:rsidRDefault="00B93188" w:rsidP="00B93188">
      <w:pPr>
        <w:keepNext/>
        <w:keepLines/>
        <w:spacing w:after="120"/>
        <w:jc w:val="center"/>
        <w:rPr>
          <w:rFonts w:ascii="Arial" w:hAnsi="Arial"/>
          <w:b/>
        </w:rPr>
      </w:pPr>
      <w:r w:rsidRPr="00B93188">
        <w:rPr>
          <w:rFonts w:ascii="Arial" w:hAnsi="Arial"/>
          <w:b/>
        </w:rPr>
        <w:t xml:space="preserve">Contributed Assets </w:t>
      </w:r>
    </w:p>
    <w:tbl>
      <w:tblPr>
        <w:tblW w:w="9205" w:type="dxa"/>
        <w:jc w:val="center"/>
        <w:tblLook w:val="0000"/>
      </w:tblPr>
      <w:tblGrid>
        <w:gridCol w:w="1021"/>
        <w:gridCol w:w="2217"/>
        <w:gridCol w:w="1310"/>
        <w:gridCol w:w="1021"/>
        <w:gridCol w:w="573"/>
        <w:gridCol w:w="1021"/>
        <w:gridCol w:w="1021"/>
        <w:gridCol w:w="1021"/>
      </w:tblGrid>
      <w:tr w:rsidR="00B93188" w:rsidRPr="00B93188" w:rsidTr="00B93188">
        <w:trPr>
          <w:trHeight w:val="170"/>
          <w:jc w:val="center"/>
        </w:trPr>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2013-14</w:t>
            </w:r>
          </w:p>
        </w:tc>
        <w:tc>
          <w:tcPr>
            <w:tcW w:w="2217" w:type="dxa"/>
            <w:tcBorders>
              <w:top w:val="single" w:sz="4" w:space="0" w:color="auto"/>
              <w:left w:val="nil"/>
              <w:bottom w:val="nil"/>
              <w:right w:val="nil"/>
            </w:tcBorders>
            <w:shd w:val="clear" w:color="auto" w:fill="auto"/>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 </w:t>
            </w:r>
          </w:p>
        </w:tc>
        <w:tc>
          <w:tcPr>
            <w:tcW w:w="1310"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2013-14</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2014-15</w:t>
            </w:r>
          </w:p>
        </w:tc>
        <w:tc>
          <w:tcPr>
            <w:tcW w:w="573"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 </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2015-16</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2016-17</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2017-18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Budget</w:t>
            </w:r>
          </w:p>
        </w:tc>
        <w:tc>
          <w:tcPr>
            <w:tcW w:w="2217"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sz w:val="18"/>
              </w:rPr>
            </w:pPr>
          </w:p>
        </w:tc>
        <w:tc>
          <w:tcPr>
            <w:tcW w:w="1310"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Est. Outcome</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Budget</w:t>
            </w:r>
          </w:p>
        </w:tc>
        <w:tc>
          <w:tcPr>
            <w:tcW w:w="573"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Var</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Estimate</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Estimate</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Estimate</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$'000</w:t>
            </w:r>
          </w:p>
        </w:tc>
        <w:tc>
          <w:tcPr>
            <w:tcW w:w="2217" w:type="dxa"/>
            <w:tcBorders>
              <w:top w:val="nil"/>
              <w:left w:val="nil"/>
              <w:bottom w:val="single" w:sz="4" w:space="0" w:color="auto"/>
              <w:right w:val="nil"/>
            </w:tcBorders>
            <w:shd w:val="clear" w:color="auto" w:fill="auto"/>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 </w:t>
            </w:r>
          </w:p>
        </w:tc>
        <w:tc>
          <w:tcPr>
            <w:tcW w:w="1310"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$'000</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$'000</w:t>
            </w:r>
          </w:p>
        </w:tc>
        <w:tc>
          <w:tcPr>
            <w:tcW w:w="573"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$'000</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$'000</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rPr>
            </w:pPr>
            <w:r w:rsidRPr="00B93188">
              <w:rPr>
                <w:rFonts w:ascii="Calibri" w:hAnsi="Calibri"/>
                <w:b/>
                <w:bCs/>
                <w:sz w:val="18"/>
              </w:rPr>
              <w:t>$'000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lang w:eastAsia="en-AU"/>
              </w:rPr>
            </w:pPr>
          </w:p>
        </w:tc>
        <w:tc>
          <w:tcPr>
            <w:tcW w:w="2217"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rPr>
            </w:pPr>
            <w:r w:rsidRPr="00B93188">
              <w:rPr>
                <w:rFonts w:ascii="Calibri" w:hAnsi="Calibri"/>
                <w:b/>
              </w:rPr>
              <w:t>Contributed Assets</w:t>
            </w:r>
          </w:p>
        </w:tc>
        <w:tc>
          <w:tcPr>
            <w:tcW w:w="1310" w:type="dxa"/>
            <w:tcBorders>
              <w:top w:val="nil"/>
              <w:left w:val="nil"/>
              <w:bottom w:val="nil"/>
              <w:right w:val="nil"/>
            </w:tcBorders>
            <w:shd w:val="clear" w:color="auto" w:fill="auto"/>
            <w:noWrap/>
          </w:tcPr>
          <w:p w:rsidR="00B93188" w:rsidRPr="00B93188" w:rsidRDefault="00B93188" w:rsidP="00B93188">
            <w:pPr>
              <w:keepNext/>
              <w:keepLines/>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keepNext/>
              <w:keepLines/>
              <w:spacing w:before="16" w:after="16"/>
              <w:jc w:val="right"/>
              <w:rPr>
                <w:rFonts w:ascii="Calibri" w:hAnsi="Calibri"/>
                <w:b/>
                <w:sz w:val="18"/>
                <w:szCs w:val="18"/>
              </w:rPr>
            </w:pPr>
          </w:p>
        </w:tc>
        <w:tc>
          <w:tcPr>
            <w:tcW w:w="573" w:type="dxa"/>
            <w:tcBorders>
              <w:top w:val="nil"/>
              <w:left w:val="nil"/>
              <w:bottom w:val="nil"/>
              <w:right w:val="nil"/>
            </w:tcBorders>
            <w:shd w:val="clear" w:color="auto" w:fill="auto"/>
            <w:noWrap/>
          </w:tcPr>
          <w:p w:rsidR="00B93188" w:rsidRPr="00B93188" w:rsidRDefault="00B93188" w:rsidP="00B93188">
            <w:pPr>
              <w:keepNext/>
              <w:keepLines/>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keepNext/>
              <w:keepLines/>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keepNext/>
              <w:keepLines/>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keepNext/>
              <w:keepLines/>
              <w:spacing w:before="16" w:after="16"/>
              <w:jc w:val="right"/>
              <w:rPr>
                <w:rFonts w:ascii="Calibri" w:hAnsi="Calibri"/>
                <w:b/>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135,281</w:t>
            </w:r>
          </w:p>
        </w:tc>
        <w:tc>
          <w:tcPr>
            <w:tcW w:w="2217" w:type="dxa"/>
            <w:tcBorders>
              <w:top w:val="nil"/>
              <w:left w:val="nil"/>
              <w:bottom w:val="nil"/>
              <w:right w:val="nil"/>
            </w:tcBorders>
            <w:shd w:val="clear" w:color="auto" w:fill="auto"/>
          </w:tcPr>
          <w:p w:rsidR="00B93188" w:rsidRPr="00B93188" w:rsidRDefault="00B93188" w:rsidP="00B93188">
            <w:pPr>
              <w:ind w:left="142" w:hanging="142"/>
              <w:rPr>
                <w:rFonts w:ascii="Calibri" w:hAnsi="Calibri"/>
              </w:rPr>
            </w:pPr>
            <w:r w:rsidRPr="00B93188">
              <w:rPr>
                <w:rFonts w:ascii="Calibri" w:hAnsi="Calibri"/>
              </w:rPr>
              <w:t>Gains from Contributed Assets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100,621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109,799</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9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115,387</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125,387</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125,387</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257</w:t>
            </w:r>
          </w:p>
        </w:tc>
        <w:tc>
          <w:tcPr>
            <w:tcW w:w="2217" w:type="dxa"/>
            <w:tcBorders>
              <w:top w:val="nil"/>
              <w:left w:val="nil"/>
              <w:bottom w:val="single" w:sz="4" w:space="0" w:color="auto"/>
              <w:right w:val="nil"/>
            </w:tcBorders>
            <w:shd w:val="clear" w:color="auto" w:fill="auto"/>
            <w:noWrap/>
          </w:tcPr>
          <w:p w:rsidR="00B93188" w:rsidRPr="00B93188" w:rsidRDefault="00B93188" w:rsidP="00B93188">
            <w:pPr>
              <w:ind w:left="142" w:hanging="142"/>
              <w:rPr>
                <w:rFonts w:ascii="Calibri" w:hAnsi="Calibri"/>
              </w:rPr>
            </w:pPr>
            <w:r w:rsidRPr="00B93188">
              <w:rPr>
                <w:rFonts w:ascii="Calibri" w:hAnsi="Calibri"/>
              </w:rPr>
              <w:t>Resources Received Free of Charge</w:t>
            </w:r>
          </w:p>
        </w:tc>
        <w:tc>
          <w:tcPr>
            <w:tcW w:w="1310"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257</w:t>
            </w:r>
          </w:p>
        </w:tc>
        <w:tc>
          <w:tcPr>
            <w:tcW w:w="1021"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254</w:t>
            </w:r>
          </w:p>
        </w:tc>
        <w:tc>
          <w:tcPr>
            <w:tcW w:w="573"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 </w:t>
            </w:r>
          </w:p>
        </w:tc>
        <w:tc>
          <w:tcPr>
            <w:tcW w:w="1021"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263</w:t>
            </w:r>
          </w:p>
        </w:tc>
        <w:tc>
          <w:tcPr>
            <w:tcW w:w="1021"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274</w:t>
            </w:r>
          </w:p>
        </w:tc>
        <w:tc>
          <w:tcPr>
            <w:tcW w:w="1021"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284</w:t>
            </w:r>
          </w:p>
        </w:tc>
      </w:tr>
      <w:tr w:rsidR="00B93188" w:rsidRPr="00B93188" w:rsidTr="00B93188">
        <w:trPr>
          <w:trHeight w:val="170"/>
          <w:jc w:val="center"/>
        </w:trPr>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135,538</w:t>
            </w:r>
          </w:p>
        </w:tc>
        <w:tc>
          <w:tcPr>
            <w:tcW w:w="2217" w:type="dxa"/>
            <w:tcBorders>
              <w:top w:val="single" w:sz="4" w:space="0" w:color="auto"/>
              <w:left w:val="nil"/>
              <w:bottom w:val="single" w:sz="4" w:space="0" w:color="auto"/>
              <w:right w:val="nil"/>
            </w:tcBorders>
            <w:shd w:val="clear" w:color="auto" w:fill="auto"/>
          </w:tcPr>
          <w:p w:rsidR="00B93188" w:rsidRPr="00B93188" w:rsidRDefault="00B93188" w:rsidP="00B93188">
            <w:pPr>
              <w:spacing w:before="16" w:after="16"/>
              <w:ind w:left="142" w:hanging="142"/>
              <w:rPr>
                <w:rFonts w:ascii="Calibri" w:hAnsi="Calibri"/>
                <w:b/>
              </w:rPr>
            </w:pPr>
            <w:r w:rsidRPr="00B93188">
              <w:rPr>
                <w:rFonts w:ascii="Calibri" w:hAnsi="Calibri"/>
                <w:b/>
              </w:rPr>
              <w:t xml:space="preserve">Total Contributed Assets </w:t>
            </w:r>
          </w:p>
        </w:tc>
        <w:tc>
          <w:tcPr>
            <w:tcW w:w="1310"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100,878</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110,053</w:t>
            </w:r>
          </w:p>
        </w:tc>
        <w:tc>
          <w:tcPr>
            <w:tcW w:w="573"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 xml:space="preserve">9 </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115,650</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125,661</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125,671</w:t>
            </w:r>
          </w:p>
        </w:tc>
      </w:tr>
    </w:tbl>
    <w:p w:rsidR="00B93188" w:rsidRPr="00B93188" w:rsidRDefault="00B93188" w:rsidP="00983072">
      <w:pPr>
        <w:keepNext/>
        <w:keepLines/>
        <w:spacing w:before="120" w:after="120"/>
        <w:outlineLvl w:val="2"/>
        <w:rPr>
          <w:rFonts w:ascii="Arial" w:hAnsi="Arial" w:cs="Arial"/>
          <w:b/>
          <w:bCs/>
          <w:sz w:val="24"/>
          <w:szCs w:val="26"/>
        </w:rPr>
      </w:pPr>
      <w:r>
        <w:rPr>
          <w:rFonts w:ascii="Arial" w:hAnsi="Arial" w:cs="Arial"/>
          <w:b/>
          <w:bCs/>
          <w:sz w:val="24"/>
          <w:szCs w:val="26"/>
        </w:rPr>
        <w:br w:type="page"/>
      </w:r>
      <w:r w:rsidRPr="00B93188">
        <w:rPr>
          <w:rFonts w:ascii="Arial" w:hAnsi="Arial" w:cs="Arial"/>
          <w:b/>
          <w:bCs/>
          <w:sz w:val="24"/>
          <w:szCs w:val="26"/>
        </w:rPr>
        <w:lastRenderedPageBreak/>
        <w:t>Sale of Goods and Services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sale of goods and services revenue in 2013-14 is estimated to slightly increase by $8.2 million from the original budget of $437.8 million.  This is largely attributable to increases in cross border health receipts.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2014-15 forecast for sales of goods and services is expected to increase by $22.9 million from the 2013-14 estimated outcome mainly due to the establishment of the Lifetime Care and Support Fund and growth in waste fee revenue.</w:t>
      </w:r>
    </w:p>
    <w:p w:rsidR="00B93188" w:rsidRPr="00B93188" w:rsidRDefault="00B93188" w:rsidP="00983072">
      <w:pPr>
        <w:keepNext/>
        <w:keepLines/>
        <w:spacing w:before="120" w:after="120"/>
        <w:jc w:val="both"/>
        <w:rPr>
          <w:rFonts w:ascii="Calibri" w:hAnsi="Calibri"/>
          <w:b/>
          <w:sz w:val="24"/>
        </w:rPr>
      </w:pPr>
      <w:r w:rsidRPr="00B93188">
        <w:rPr>
          <w:rFonts w:ascii="Calibri" w:hAnsi="Calibri"/>
          <w:sz w:val="24"/>
        </w:rPr>
        <w:t>Details of sale of goods and services are provided in Table 6.1.11.</w:t>
      </w:r>
    </w:p>
    <w:p w:rsidR="00B93188" w:rsidRPr="00B93188" w:rsidRDefault="00B93188" w:rsidP="00B93188">
      <w:pPr>
        <w:keepNext/>
        <w:keepLines/>
        <w:jc w:val="center"/>
        <w:rPr>
          <w:rFonts w:ascii="Arial" w:hAnsi="Arial"/>
          <w:b/>
        </w:rPr>
      </w:pPr>
      <w:r w:rsidRPr="00B93188">
        <w:rPr>
          <w:rFonts w:ascii="Arial" w:hAnsi="Arial"/>
          <w:b/>
        </w:rPr>
        <w:t>Table 6.1.11</w:t>
      </w:r>
    </w:p>
    <w:p w:rsidR="00B93188" w:rsidRPr="00B93188" w:rsidRDefault="00B93188" w:rsidP="00B93188">
      <w:pPr>
        <w:keepNext/>
        <w:keepLines/>
        <w:spacing w:after="120"/>
        <w:jc w:val="center"/>
        <w:rPr>
          <w:rFonts w:ascii="Arial" w:hAnsi="Arial"/>
          <w:b/>
        </w:rPr>
      </w:pPr>
      <w:smartTag w:uri="urn:schemas-microsoft-com:office:smarttags" w:element="place">
        <w:smartTag w:uri="urn:schemas-microsoft-com:office:smarttags" w:element="City">
          <w:r w:rsidRPr="00B93188">
            <w:rPr>
              <w:rFonts w:ascii="Arial" w:hAnsi="Arial"/>
              <w:b/>
            </w:rPr>
            <w:t>Sale</w:t>
          </w:r>
        </w:smartTag>
      </w:smartTag>
      <w:r w:rsidRPr="00B93188">
        <w:rPr>
          <w:rFonts w:ascii="Arial" w:hAnsi="Arial"/>
          <w:b/>
        </w:rPr>
        <w:t xml:space="preserve"> of Goods and Services</w:t>
      </w:r>
    </w:p>
    <w:tbl>
      <w:tblPr>
        <w:tblW w:w="9205" w:type="dxa"/>
        <w:jc w:val="center"/>
        <w:tblLook w:val="0000"/>
      </w:tblPr>
      <w:tblGrid>
        <w:gridCol w:w="1021"/>
        <w:gridCol w:w="2217"/>
        <w:gridCol w:w="1310"/>
        <w:gridCol w:w="1021"/>
        <w:gridCol w:w="573"/>
        <w:gridCol w:w="1021"/>
        <w:gridCol w:w="1021"/>
        <w:gridCol w:w="1021"/>
      </w:tblGrid>
      <w:tr w:rsidR="00B93188" w:rsidRPr="00B93188" w:rsidTr="00B93188">
        <w:trPr>
          <w:trHeight w:val="170"/>
          <w:jc w:val="center"/>
        </w:trPr>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2217"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10"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573"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2217" w:type="dxa"/>
            <w:tcBorders>
              <w:top w:val="nil"/>
              <w:left w:val="nil"/>
              <w:bottom w:val="nil"/>
              <w:right w:val="nil"/>
            </w:tcBorders>
            <w:shd w:val="clear" w:color="auto" w:fill="auto"/>
            <w:noWrap/>
            <w:vAlign w:val="bottom"/>
          </w:tcPr>
          <w:p w:rsidR="00B93188" w:rsidRPr="00B93188" w:rsidRDefault="00B93188" w:rsidP="00B93188">
            <w:pPr>
              <w:spacing w:before="10" w:after="10"/>
              <w:jc w:val="right"/>
              <w:rPr>
                <w:rFonts w:ascii="Calibri" w:hAnsi="Calibri"/>
                <w:b/>
                <w:sz w:val="18"/>
                <w:szCs w:val="18"/>
              </w:rPr>
            </w:pPr>
          </w:p>
        </w:tc>
        <w:tc>
          <w:tcPr>
            <w:tcW w:w="1310"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573"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Var</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2217" w:type="dxa"/>
            <w:tcBorders>
              <w:top w:val="nil"/>
              <w:left w:val="nil"/>
              <w:bottom w:val="single" w:sz="4" w:space="0" w:color="auto"/>
              <w:right w:val="nil"/>
            </w:tcBorders>
            <w:shd w:val="clear" w:color="auto" w:fill="auto"/>
            <w:noWrap/>
            <w:vAlign w:val="bottom"/>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10"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573"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lang w:eastAsia="en-AU"/>
              </w:rPr>
            </w:pPr>
          </w:p>
        </w:tc>
        <w:tc>
          <w:tcPr>
            <w:tcW w:w="2217" w:type="dxa"/>
            <w:tcBorders>
              <w:top w:val="nil"/>
              <w:left w:val="nil"/>
              <w:bottom w:val="nil"/>
              <w:right w:val="nil"/>
            </w:tcBorders>
            <w:shd w:val="clear" w:color="auto" w:fill="auto"/>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Regulatory Fees</w:t>
            </w:r>
          </w:p>
        </w:tc>
        <w:tc>
          <w:tcPr>
            <w:tcW w:w="1310"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c>
          <w:tcPr>
            <w:tcW w:w="573"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850</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Casino Licence Fees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850</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871</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893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916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939</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9,430</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Drivers Licences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9,909</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10,226</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3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10,621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11,018</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11,429</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2,411</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Taxi Licences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1,924</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1,982</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3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2,056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2,133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2,213</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70,994</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Fees for Regulatory Services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75,207</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90,069</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20</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94,316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98,410</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102,690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26,802</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Water Abstraction Charge</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26,883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28,454</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6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29,985</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29,985</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30,023</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110,487</w:t>
            </w:r>
          </w:p>
        </w:tc>
        <w:tc>
          <w:tcPr>
            <w:tcW w:w="2217"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Regulatory Fees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114,773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131,602</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15</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137,871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142,462</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147,294</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2217" w:type="dxa"/>
            <w:tcBorders>
              <w:top w:val="nil"/>
              <w:left w:val="nil"/>
              <w:bottom w:val="nil"/>
              <w:right w:val="nil"/>
            </w:tcBorders>
            <w:shd w:val="clear" w:color="auto" w:fill="auto"/>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Other</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19,394</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Parking Fees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13,673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17,766</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30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18,432</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19,123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19,840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32,838</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Patient Fees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31,438</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34,618</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10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35,417</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36,206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36,646</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5,088</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Non-Inpatient Fees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5,088</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5,144</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5,341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5,534</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5,723</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3,783</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Meals and Accommodation</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3,783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3,873</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3,973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4,023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4,073</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76,750</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Cross Border Health Receipts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86,250</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84,249</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86,053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87,896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142,254</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27,762</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Sales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20,004</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21,340</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7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21,741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22,501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23,385</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105,942</w:t>
            </w:r>
          </w:p>
        </w:tc>
        <w:tc>
          <w:tcPr>
            <w:tcW w:w="2217"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Service Receipts (Non ACT Government)</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112,064</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112,357</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115,701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118,665</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121,248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14,176</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Rent from Tenants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14,176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13,899</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14,099</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14,126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14,188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20,640</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Miscellaneous</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22,487</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22,453</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22,810</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23,234</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23,572</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20,932</w:t>
            </w:r>
          </w:p>
        </w:tc>
        <w:tc>
          <w:tcPr>
            <w:tcW w:w="2217"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User Charges - ACT Government</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22,283</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21,591</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-3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22,004</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22,796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23,905</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327,305</w:t>
            </w:r>
          </w:p>
        </w:tc>
        <w:tc>
          <w:tcPr>
            <w:tcW w:w="2217"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Other</w:t>
            </w:r>
          </w:p>
        </w:tc>
        <w:tc>
          <w:tcPr>
            <w:tcW w:w="1310"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331,246</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337,290</w:t>
            </w:r>
          </w:p>
        </w:tc>
        <w:tc>
          <w:tcPr>
            <w:tcW w:w="573"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2 </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345,571</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354,104</w:t>
            </w:r>
          </w:p>
        </w:tc>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414,834</w:t>
            </w:r>
          </w:p>
        </w:tc>
      </w:tr>
      <w:tr w:rsidR="00B93188" w:rsidRPr="00B93188" w:rsidTr="00B93188">
        <w:trPr>
          <w:trHeight w:val="170"/>
          <w:jc w:val="center"/>
        </w:trPr>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437,792</w:t>
            </w:r>
          </w:p>
        </w:tc>
        <w:tc>
          <w:tcPr>
            <w:tcW w:w="2217" w:type="dxa"/>
            <w:tcBorders>
              <w:top w:val="single" w:sz="4" w:space="0" w:color="auto"/>
              <w:left w:val="nil"/>
              <w:bottom w:val="single" w:sz="4" w:space="0" w:color="auto"/>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Sale of Goods and Services</w:t>
            </w:r>
          </w:p>
        </w:tc>
        <w:tc>
          <w:tcPr>
            <w:tcW w:w="1310"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446,019</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468,892</w:t>
            </w:r>
          </w:p>
        </w:tc>
        <w:tc>
          <w:tcPr>
            <w:tcW w:w="573"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5</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483,442</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496,566</w:t>
            </w:r>
          </w:p>
        </w:tc>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562,128</w:t>
            </w:r>
          </w:p>
        </w:tc>
      </w:tr>
    </w:tbl>
    <w:p w:rsidR="00B93188" w:rsidRPr="00B93188" w:rsidRDefault="00B93188" w:rsidP="00983072">
      <w:pPr>
        <w:keepNext/>
        <w:keepLines/>
        <w:spacing w:before="120" w:after="120"/>
        <w:outlineLvl w:val="3"/>
        <w:rPr>
          <w:rFonts w:ascii="Calibri" w:hAnsi="Calibri"/>
          <w:i/>
          <w:iCs/>
          <w:sz w:val="24"/>
        </w:rPr>
      </w:pPr>
      <w:r w:rsidRPr="00B93188">
        <w:rPr>
          <w:rFonts w:ascii="Calibri" w:hAnsi="Calibri"/>
          <w:i/>
          <w:iCs/>
          <w:sz w:val="24"/>
        </w:rPr>
        <w:t xml:space="preserve">Casino Licence Fees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casino licensee pays the casino licence fee to the ACT Gambling and Racing Commission.  The Commission also collects casino employees’ licence fees for licensing staff employed by the casino.  The forecast for 2014-15 for the combined total of </w:t>
      </w:r>
      <w:r w:rsidR="0072569F">
        <w:rPr>
          <w:rFonts w:ascii="Calibri" w:hAnsi="Calibri"/>
          <w:sz w:val="24"/>
        </w:rPr>
        <w:t>all casino licence fees is $0.9</w:t>
      </w:r>
      <w:r w:rsidRPr="00B93188">
        <w:rPr>
          <w:rFonts w:ascii="Calibri" w:hAnsi="Calibri"/>
          <w:sz w:val="24"/>
        </w:rPr>
        <w:t xml:space="preserve"> million.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Drivers Licences </w:t>
      </w:r>
    </w:p>
    <w:p w:rsidR="00B93188" w:rsidRDefault="00B93188" w:rsidP="00983072">
      <w:pPr>
        <w:keepNext/>
        <w:keepLines/>
        <w:spacing w:before="120" w:after="120"/>
        <w:jc w:val="both"/>
        <w:rPr>
          <w:rFonts w:ascii="Calibri" w:hAnsi="Calibri"/>
          <w:sz w:val="24"/>
        </w:rPr>
      </w:pPr>
      <w:r w:rsidRPr="00B93188">
        <w:rPr>
          <w:rFonts w:ascii="Calibri" w:hAnsi="Calibri"/>
          <w:sz w:val="24"/>
        </w:rPr>
        <w:t>The revenue from drivers licences in 2013-14 is estimated at $9.9 million and the forecast for 2014-15 is $10.2 million.</w:t>
      </w:r>
    </w:p>
    <w:p w:rsidR="00B93188" w:rsidRPr="00B93188" w:rsidRDefault="00B93188" w:rsidP="00983072">
      <w:pPr>
        <w:keepNext/>
        <w:keepLines/>
        <w:spacing w:before="120" w:after="120"/>
        <w:jc w:val="both"/>
        <w:rPr>
          <w:rFonts w:ascii="Calibri" w:hAnsi="Calibri"/>
          <w:i/>
          <w:sz w:val="24"/>
        </w:rPr>
      </w:pPr>
      <w:r>
        <w:rPr>
          <w:rFonts w:ascii="Calibri" w:hAnsi="Calibri"/>
          <w:sz w:val="24"/>
        </w:rPr>
        <w:br w:type="page"/>
      </w:r>
      <w:r w:rsidRPr="00B93188">
        <w:rPr>
          <w:rFonts w:ascii="Calibri" w:hAnsi="Calibri"/>
          <w:i/>
          <w:sz w:val="24"/>
        </w:rPr>
        <w:lastRenderedPageBreak/>
        <w:t xml:space="preserve">Taxi Licences </w:t>
      </w:r>
    </w:p>
    <w:p w:rsidR="00B93188" w:rsidRPr="00B93188" w:rsidRDefault="00B93188" w:rsidP="00983072">
      <w:pPr>
        <w:keepNext/>
        <w:keepLines/>
        <w:spacing w:before="120" w:after="120"/>
        <w:jc w:val="both"/>
        <w:rPr>
          <w:rFonts w:ascii="Calibri" w:hAnsi="Calibri"/>
          <w:sz w:val="24"/>
          <w:highlight w:val="yellow"/>
        </w:rPr>
      </w:pPr>
      <w:r w:rsidRPr="00B93188">
        <w:rPr>
          <w:rFonts w:ascii="Calibri" w:hAnsi="Calibri"/>
          <w:sz w:val="24"/>
        </w:rPr>
        <w:t xml:space="preserve">The revenue from taxi licences in 2013-14 is estimated at $1.9 million and the forecast for 2014-15 is $2.0 million.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Fees for Regulatory Services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2013-14 estimated outcome for fees for regulatory services is $75.2 million and is expected to increase to $90.1 million in 2014-15 mainly as a result of the establishment of the Lifetime Care and Support Fund and waste related fee revenue.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Regulatory services fees will also be indexed at </w:t>
      </w:r>
      <w:r w:rsidR="000453BB">
        <w:rPr>
          <w:rFonts w:ascii="Calibri" w:hAnsi="Calibri"/>
          <w:sz w:val="24"/>
        </w:rPr>
        <w:t>4</w:t>
      </w:r>
      <w:r w:rsidRPr="00B93188">
        <w:rPr>
          <w:rFonts w:ascii="Calibri" w:hAnsi="Calibri"/>
          <w:sz w:val="24"/>
        </w:rPr>
        <w:t> per cent for 2014-15 and each year of the forward estimates.  Please refer to Revenue Initiatives (Chapter 3.4) for more information on this initiative.</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Water Abstraction Charge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Water Abstraction Charge (WAC) in 2013-14 is estimated to be $26.9 million and is expected to increase to $28.5 million in 2014-15.  This increase is primarily due to revised indexation parameters and an increase by </w:t>
      </w:r>
      <w:r w:rsidR="000453BB">
        <w:rPr>
          <w:rFonts w:ascii="Calibri" w:hAnsi="Calibri"/>
          <w:sz w:val="24"/>
        </w:rPr>
        <w:t>5</w:t>
      </w:r>
      <w:r w:rsidRPr="00B93188">
        <w:rPr>
          <w:rFonts w:ascii="Calibri" w:hAnsi="Calibri"/>
          <w:sz w:val="24"/>
        </w:rPr>
        <w:t> per cent in 2014-15.  Please refer to Revenue Initiatives (Chapter 3.4) for more information on this initiative.</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Parking Fees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estimated revenue from parking fees in 2013-14 is $13.7 million and the forecast for 2014-15 is $17.8 million. </w:t>
      </w:r>
      <w:r w:rsidRPr="00B93188">
        <w:rPr>
          <w:rFonts w:ascii="Calibri" w:hAnsi="Calibri"/>
          <w:i/>
          <w:sz w:val="24"/>
        </w:rPr>
        <w:t xml:space="preserve"> </w:t>
      </w:r>
      <w:r w:rsidRPr="00B93188">
        <w:rPr>
          <w:rFonts w:ascii="Calibri" w:hAnsi="Calibri"/>
          <w:sz w:val="24"/>
        </w:rPr>
        <w:t xml:space="preserve">The decrease in 2013-14 from the original budget is mainly reflective of the timing of fee increases.  In 2014-15, parking fee revenue is expected to increase to $17.8 million, due </w:t>
      </w:r>
      <w:r w:rsidR="00430B08">
        <w:rPr>
          <w:rFonts w:ascii="Calibri" w:hAnsi="Calibri"/>
          <w:sz w:val="24"/>
        </w:rPr>
        <w:t xml:space="preserve">to </w:t>
      </w:r>
      <w:r w:rsidRPr="00B93188">
        <w:rPr>
          <w:rFonts w:ascii="Calibri" w:hAnsi="Calibri"/>
          <w:sz w:val="24"/>
        </w:rPr>
        <w:t>increases in parking fees on 1 July 2014.</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Patient Fees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Patient fees and non-inpatient fees are payments for the provision of hospital and related services, which are collected at the Canberra Hospital.  Patient fees relate to admitted patients, while non-inpatient fees are primarily for accident and emergency services provided to compensable and non-eligible patients.</w:t>
      </w:r>
    </w:p>
    <w:p w:rsidR="00B93188" w:rsidRPr="00B93188" w:rsidRDefault="00B93188" w:rsidP="00983072">
      <w:pPr>
        <w:keepNext/>
        <w:keepLines/>
        <w:spacing w:before="120" w:after="120"/>
        <w:jc w:val="both"/>
        <w:rPr>
          <w:rFonts w:ascii="Calibri" w:hAnsi="Calibri"/>
          <w:b/>
          <w:sz w:val="24"/>
          <w:lang w:eastAsia="en-AU"/>
        </w:rPr>
      </w:pPr>
      <w:r w:rsidRPr="00B93188">
        <w:rPr>
          <w:rFonts w:ascii="Calibri" w:hAnsi="Calibri"/>
          <w:sz w:val="24"/>
          <w:lang w:eastAsia="en-AU"/>
        </w:rPr>
        <w:t xml:space="preserve">The 2013-14 estimated outcome for patient fees is $31.4 million, and $5.1 million for </w:t>
      </w:r>
      <w:r w:rsidR="00983072">
        <w:rPr>
          <w:rFonts w:ascii="Calibri" w:hAnsi="Calibri"/>
          <w:sz w:val="24"/>
          <w:lang w:eastAsia="en-AU"/>
        </w:rPr>
        <w:br/>
      </w:r>
      <w:r w:rsidRPr="00B93188">
        <w:rPr>
          <w:rFonts w:ascii="Calibri" w:hAnsi="Calibri"/>
          <w:sz w:val="24"/>
          <w:lang w:eastAsia="en-AU"/>
        </w:rPr>
        <w:t>non</w:t>
      </w:r>
      <w:r w:rsidR="00983072">
        <w:rPr>
          <w:rFonts w:ascii="Calibri" w:hAnsi="Calibri"/>
          <w:sz w:val="24"/>
          <w:lang w:eastAsia="en-AU"/>
        </w:rPr>
        <w:t>-</w:t>
      </w:r>
      <w:r w:rsidRPr="00B93188">
        <w:rPr>
          <w:rFonts w:ascii="Calibri" w:hAnsi="Calibri"/>
          <w:sz w:val="24"/>
          <w:lang w:eastAsia="en-AU"/>
        </w:rPr>
        <w:t>inpatient fees.  The 2014-15 Budget estimates are $34.6 million and $5.1</w:t>
      </w:r>
      <w:r w:rsidRPr="00B93188">
        <w:rPr>
          <w:rFonts w:ascii="Calibri" w:hAnsi="Calibri"/>
          <w:sz w:val="24"/>
        </w:rPr>
        <w:t> </w:t>
      </w:r>
      <w:r w:rsidRPr="00B93188">
        <w:rPr>
          <w:rFonts w:ascii="Calibri" w:hAnsi="Calibri"/>
          <w:sz w:val="24"/>
          <w:lang w:eastAsia="en-AU"/>
        </w:rPr>
        <w:t>million respectively.</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Cross Border Health Receipts </w:t>
      </w:r>
    </w:p>
    <w:p w:rsidR="00B93188" w:rsidRDefault="00B93188" w:rsidP="00983072">
      <w:pPr>
        <w:keepNext/>
        <w:keepLines/>
        <w:spacing w:before="120" w:after="120"/>
        <w:jc w:val="both"/>
        <w:rPr>
          <w:rFonts w:ascii="Calibri" w:hAnsi="Calibri"/>
          <w:sz w:val="24"/>
        </w:rPr>
      </w:pPr>
      <w:r w:rsidRPr="00B93188">
        <w:rPr>
          <w:rFonts w:ascii="Calibri" w:hAnsi="Calibri"/>
          <w:sz w:val="24"/>
        </w:rPr>
        <w:t>Cross Border Health Receipts are payments from other State and Territory Governments (predominantly NSW) for the provision of medical services provided to non</w:t>
      </w:r>
      <w:r w:rsidRPr="00B93188">
        <w:rPr>
          <w:rFonts w:ascii="Calibri" w:hAnsi="Calibri"/>
          <w:sz w:val="24"/>
        </w:rPr>
        <w:noBreakHyphen/>
        <w:t>ACT residents at ACT public hospitals.  The estimated revenue for 2013-14 is $86.3 million, a $9.5 million increase from the 2013-14 Budget of $76.8 million.  The forecast for 2014-15 is $84.2 million.  These increases are related to activity and price changes.</w:t>
      </w:r>
    </w:p>
    <w:p w:rsidR="00B93188" w:rsidRPr="00B93188" w:rsidRDefault="00B93188" w:rsidP="00983072">
      <w:pPr>
        <w:keepNext/>
        <w:keepLines/>
        <w:spacing w:before="120" w:after="120"/>
        <w:jc w:val="both"/>
        <w:rPr>
          <w:rFonts w:ascii="Calibri" w:hAnsi="Calibri"/>
          <w:i/>
          <w:sz w:val="24"/>
        </w:rPr>
      </w:pPr>
      <w:r>
        <w:rPr>
          <w:rFonts w:ascii="Calibri" w:hAnsi="Calibri"/>
          <w:sz w:val="24"/>
        </w:rPr>
        <w:br w:type="page"/>
      </w:r>
      <w:r w:rsidRPr="00B93188">
        <w:rPr>
          <w:rFonts w:ascii="Calibri" w:hAnsi="Calibri"/>
          <w:i/>
          <w:sz w:val="24"/>
        </w:rPr>
        <w:lastRenderedPageBreak/>
        <w:t xml:space="preserve">Sales </w:t>
      </w:r>
    </w:p>
    <w:p w:rsidR="00B93188" w:rsidRPr="00B93188" w:rsidRDefault="00B93188" w:rsidP="00983072">
      <w:pPr>
        <w:keepNext/>
        <w:keepLines/>
        <w:spacing w:before="120" w:after="120"/>
        <w:jc w:val="both"/>
        <w:rPr>
          <w:rFonts w:ascii="Calibri" w:hAnsi="Calibri"/>
          <w:sz w:val="24"/>
          <w:lang w:eastAsia="en-AU"/>
        </w:rPr>
      </w:pPr>
      <w:r w:rsidRPr="00B93188">
        <w:rPr>
          <w:rFonts w:ascii="Calibri" w:hAnsi="Calibri"/>
          <w:sz w:val="24"/>
          <w:lang w:eastAsia="en-AU"/>
        </w:rPr>
        <w:t xml:space="preserve">Revenues from sales include those generated from entry fees to sporting and cultural facilities, such as the Canberra Theatre Centre and hire of those venues.  Sales of merchandise, programs and giftware in these venues or the rights to sell these, are also included.  </w:t>
      </w:r>
    </w:p>
    <w:p w:rsidR="00B93188" w:rsidRPr="00B93188" w:rsidRDefault="00B93188" w:rsidP="00983072">
      <w:pPr>
        <w:keepNext/>
        <w:keepLines/>
        <w:spacing w:before="120" w:after="120"/>
        <w:jc w:val="both"/>
        <w:rPr>
          <w:rFonts w:ascii="Calibri" w:hAnsi="Calibri"/>
          <w:sz w:val="24"/>
          <w:highlight w:val="yellow"/>
          <w:lang w:eastAsia="en-AU"/>
        </w:rPr>
      </w:pPr>
      <w:r w:rsidRPr="00B93188">
        <w:rPr>
          <w:rFonts w:ascii="Calibri" w:hAnsi="Calibri"/>
          <w:sz w:val="24"/>
          <w:lang w:eastAsia="en-AU"/>
        </w:rPr>
        <w:t>The estimated outcome for 2013-14 is $20.0 million which is a decrease from the original budget of $27.8 million.  This decrease is mainly due to the reallocation of sales revenue to service receipts.</w:t>
      </w:r>
    </w:p>
    <w:p w:rsidR="00B93188" w:rsidRPr="00B93188" w:rsidRDefault="00B93188" w:rsidP="00983072">
      <w:pPr>
        <w:keepNext/>
        <w:keepLines/>
        <w:spacing w:before="120" w:after="120"/>
        <w:jc w:val="both"/>
        <w:rPr>
          <w:rFonts w:ascii="Calibri" w:hAnsi="Calibri"/>
          <w:sz w:val="24"/>
          <w:lang w:eastAsia="en-AU"/>
        </w:rPr>
      </w:pPr>
      <w:r w:rsidRPr="00B93188">
        <w:rPr>
          <w:rFonts w:ascii="Calibri" w:hAnsi="Calibri"/>
          <w:sz w:val="24"/>
          <w:lang w:eastAsia="en-AU"/>
        </w:rPr>
        <w:t>In 2014-15 sales are forecast to slightly increase to $21.3 million.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Service Receipts (non-ACT Government)</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This item includes payments from clients for the provision of services, such as facility fees to physicians at hospitals, medical supplies, sterilising services, capital linen and commercial training.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2013-14 estimated outcome has i</w:t>
      </w:r>
      <w:r w:rsidR="00072D47">
        <w:rPr>
          <w:rFonts w:ascii="Calibri" w:hAnsi="Calibri"/>
          <w:sz w:val="24"/>
        </w:rPr>
        <w:t>ncreased to $112.1 million, $6.1</w:t>
      </w:r>
      <w:r w:rsidRPr="00B93188">
        <w:rPr>
          <w:rFonts w:ascii="Calibri" w:hAnsi="Calibri"/>
          <w:sz w:val="24"/>
        </w:rPr>
        <w:t xml:space="preserve"> million higher than the original budget estimate mainly due to the reallocation of sales revenue mentioned above.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In 2014-15 Service Receipts are forecast at $112.4 million.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Miscellaneous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Miscellaneous revenue is estimated at $22.5 million for 2013-14 and the 2014-15 Budget forecast is also $22.5 million.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User Charges – ACT Government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This item includes revenue for rent, property management, shared services and insurance that is collected from ACT agencies in the Public Trading Enterprise (PTE) sector.  The </w:t>
      </w:r>
      <w:r w:rsidR="004D3C7B">
        <w:rPr>
          <w:rFonts w:ascii="Calibri" w:hAnsi="Calibri"/>
          <w:sz w:val="24"/>
        </w:rPr>
        <w:br/>
      </w:r>
      <w:r w:rsidRPr="00B93188">
        <w:rPr>
          <w:rFonts w:ascii="Calibri" w:hAnsi="Calibri"/>
          <w:sz w:val="24"/>
        </w:rPr>
        <w:t>2013</w:t>
      </w:r>
      <w:r w:rsidR="004D3C7B">
        <w:rPr>
          <w:rFonts w:ascii="Calibri" w:hAnsi="Calibri"/>
          <w:sz w:val="24"/>
        </w:rPr>
        <w:t>-</w:t>
      </w:r>
      <w:r w:rsidRPr="00B93188">
        <w:rPr>
          <w:rFonts w:ascii="Calibri" w:hAnsi="Calibri"/>
          <w:sz w:val="24"/>
        </w:rPr>
        <w:t xml:space="preserve">14 estimated outcome is $1.4 million higher than the 2013-14 Budget at $20.9 million.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2014-15 Budget forecast is $21.6 million.</w:t>
      </w:r>
    </w:p>
    <w:p w:rsidR="00B93188" w:rsidRPr="00B93188" w:rsidRDefault="00B93188" w:rsidP="00983072">
      <w:pPr>
        <w:keepNext/>
        <w:keepLines/>
        <w:spacing w:before="120" w:after="120"/>
        <w:rPr>
          <w:rFonts w:ascii="Arial" w:hAnsi="Arial"/>
          <w:b/>
          <w:bCs/>
          <w:sz w:val="24"/>
          <w:szCs w:val="26"/>
          <w:lang w:eastAsia="en-AU"/>
        </w:rPr>
      </w:pPr>
      <w:r w:rsidRPr="00B93188">
        <w:rPr>
          <w:rFonts w:ascii="Calibri" w:hAnsi="Calibri"/>
          <w:sz w:val="24"/>
        </w:rPr>
        <w:br w:type="page"/>
      </w:r>
      <w:r w:rsidRPr="00B93188">
        <w:rPr>
          <w:rFonts w:ascii="Arial" w:hAnsi="Arial"/>
          <w:b/>
          <w:bCs/>
          <w:sz w:val="24"/>
          <w:szCs w:val="26"/>
          <w:lang w:eastAsia="en-AU"/>
        </w:rPr>
        <w:lastRenderedPageBreak/>
        <w:t xml:space="preserve">Interest Income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Table 6.1.12 provides a summary of interest received.</w:t>
      </w:r>
    </w:p>
    <w:p w:rsidR="00B93188" w:rsidRPr="00B93188" w:rsidRDefault="00B93188" w:rsidP="00B93188">
      <w:pPr>
        <w:keepNext/>
        <w:keepLines/>
        <w:spacing w:before="60"/>
        <w:jc w:val="center"/>
        <w:rPr>
          <w:rFonts w:ascii="Arial" w:hAnsi="Arial"/>
          <w:b/>
        </w:rPr>
      </w:pPr>
      <w:r w:rsidRPr="00B93188">
        <w:rPr>
          <w:rFonts w:ascii="Arial" w:hAnsi="Arial"/>
          <w:b/>
        </w:rPr>
        <w:t>Table 6.1.12</w:t>
      </w:r>
    </w:p>
    <w:p w:rsidR="00B93188" w:rsidRPr="00B93188" w:rsidRDefault="00B93188" w:rsidP="00B93188">
      <w:pPr>
        <w:keepNext/>
        <w:keepLines/>
        <w:spacing w:after="120"/>
        <w:jc w:val="center"/>
        <w:rPr>
          <w:rFonts w:ascii="Arial" w:hAnsi="Arial"/>
          <w:b/>
        </w:rPr>
      </w:pPr>
      <w:r w:rsidRPr="00B93188">
        <w:rPr>
          <w:rFonts w:ascii="Arial" w:hAnsi="Arial"/>
          <w:b/>
        </w:rPr>
        <w:t>Interest Income</w:t>
      </w:r>
    </w:p>
    <w:tbl>
      <w:tblPr>
        <w:tblW w:w="9185" w:type="dxa"/>
        <w:jc w:val="center"/>
        <w:tblLook w:val="0000"/>
      </w:tblPr>
      <w:tblGrid>
        <w:gridCol w:w="1021"/>
        <w:gridCol w:w="2217"/>
        <w:gridCol w:w="1307"/>
        <w:gridCol w:w="1018"/>
        <w:gridCol w:w="568"/>
        <w:gridCol w:w="1018"/>
        <w:gridCol w:w="1018"/>
        <w:gridCol w:w="1018"/>
      </w:tblGrid>
      <w:tr w:rsidR="00B93188" w:rsidRPr="00B93188" w:rsidTr="00B93188">
        <w:trPr>
          <w:trHeight w:val="170"/>
          <w:jc w:val="center"/>
        </w:trPr>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2217"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07"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56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2217" w:type="dxa"/>
            <w:tcBorders>
              <w:top w:val="nil"/>
              <w:left w:val="nil"/>
              <w:bottom w:val="nil"/>
              <w:right w:val="nil"/>
            </w:tcBorders>
            <w:shd w:val="clear" w:color="auto" w:fill="auto"/>
            <w:noWrap/>
            <w:vAlign w:val="bottom"/>
          </w:tcPr>
          <w:p w:rsidR="00B93188" w:rsidRPr="00B93188" w:rsidRDefault="00B93188" w:rsidP="00B93188">
            <w:pPr>
              <w:spacing w:before="10" w:after="10"/>
              <w:jc w:val="right"/>
              <w:rPr>
                <w:rFonts w:ascii="Calibri" w:hAnsi="Calibri"/>
                <w:b/>
                <w:sz w:val="18"/>
                <w:szCs w:val="18"/>
              </w:rPr>
            </w:pPr>
          </w:p>
        </w:tc>
        <w:tc>
          <w:tcPr>
            <w:tcW w:w="1307"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56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Var</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2217" w:type="dxa"/>
            <w:tcBorders>
              <w:top w:val="nil"/>
              <w:left w:val="nil"/>
              <w:bottom w:val="single" w:sz="4" w:space="0" w:color="auto"/>
              <w:right w:val="nil"/>
            </w:tcBorders>
            <w:shd w:val="clear" w:color="auto" w:fill="auto"/>
            <w:noWrap/>
            <w:vAlign w:val="bottom"/>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07"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56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lang w:eastAsia="en-AU"/>
              </w:rPr>
            </w:pPr>
          </w:p>
        </w:tc>
        <w:tc>
          <w:tcPr>
            <w:tcW w:w="2217" w:type="dxa"/>
            <w:tcBorders>
              <w:top w:val="nil"/>
              <w:left w:val="nil"/>
              <w:bottom w:val="nil"/>
              <w:right w:val="nil"/>
            </w:tcBorders>
            <w:shd w:val="clear" w:color="auto" w:fill="auto"/>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Interest Received</w:t>
            </w:r>
          </w:p>
        </w:tc>
        <w:tc>
          <w:tcPr>
            <w:tcW w:w="1307"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56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28,569</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Interest Received from Banks</w:t>
            </w:r>
          </w:p>
        </w:tc>
        <w:tc>
          <w:tcPr>
            <w:tcW w:w="1307"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40,361</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29,111</w:t>
            </w:r>
          </w:p>
        </w:tc>
        <w:tc>
          <w:tcPr>
            <w:tcW w:w="56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-28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29,270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29,890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27,941</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75,983</w:t>
            </w:r>
          </w:p>
        </w:tc>
        <w:tc>
          <w:tcPr>
            <w:tcW w:w="2217"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Interest Received on Advances and Loans to Agencies</w:t>
            </w:r>
          </w:p>
        </w:tc>
        <w:tc>
          <w:tcPr>
            <w:tcW w:w="1307"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78,886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80,630</w:t>
            </w:r>
          </w:p>
        </w:tc>
        <w:tc>
          <w:tcPr>
            <w:tcW w:w="56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83,919</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88,236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91,825</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sz w:val="18"/>
                <w:szCs w:val="18"/>
              </w:rPr>
            </w:pPr>
            <w:r w:rsidRPr="00B93188">
              <w:rPr>
                <w:rFonts w:ascii="Calibri" w:hAnsi="Calibri"/>
                <w:sz w:val="18"/>
                <w:szCs w:val="18"/>
              </w:rPr>
              <w:t>2,798</w:t>
            </w:r>
          </w:p>
        </w:tc>
        <w:tc>
          <w:tcPr>
            <w:tcW w:w="2217"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Interest Received from Private Sector</w:t>
            </w:r>
          </w:p>
        </w:tc>
        <w:tc>
          <w:tcPr>
            <w:tcW w:w="1307" w:type="dxa"/>
            <w:tcBorders>
              <w:top w:val="nil"/>
              <w:left w:val="nil"/>
              <w:bottom w:val="nil"/>
              <w:right w:val="nil"/>
            </w:tcBorders>
            <w:shd w:val="clear" w:color="auto" w:fill="auto"/>
            <w:noWrap/>
          </w:tcPr>
          <w:p w:rsidR="00B93188" w:rsidRPr="00B93188" w:rsidRDefault="00B93188" w:rsidP="00B93188">
            <w:pPr>
              <w:jc w:val="right"/>
              <w:rPr>
                <w:rFonts w:ascii="Calibri" w:hAnsi="Calibri"/>
                <w:sz w:val="18"/>
                <w:szCs w:val="18"/>
              </w:rPr>
            </w:pPr>
            <w:r w:rsidRPr="00B93188">
              <w:rPr>
                <w:rFonts w:ascii="Calibri" w:hAnsi="Calibri"/>
                <w:sz w:val="18"/>
                <w:szCs w:val="18"/>
              </w:rPr>
              <w:t>2,795</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sz w:val="18"/>
                <w:szCs w:val="18"/>
              </w:rPr>
            </w:pPr>
            <w:r w:rsidRPr="00B93188">
              <w:rPr>
                <w:rFonts w:ascii="Calibri" w:hAnsi="Calibri"/>
                <w:sz w:val="18"/>
                <w:szCs w:val="18"/>
              </w:rPr>
              <w:t>5,367</w:t>
            </w:r>
          </w:p>
        </w:tc>
        <w:tc>
          <w:tcPr>
            <w:tcW w:w="568" w:type="dxa"/>
            <w:tcBorders>
              <w:top w:val="nil"/>
              <w:left w:val="nil"/>
              <w:bottom w:val="nil"/>
              <w:right w:val="nil"/>
            </w:tcBorders>
            <w:shd w:val="clear" w:color="auto" w:fill="auto"/>
            <w:noWrap/>
          </w:tcPr>
          <w:p w:rsidR="00B93188" w:rsidRPr="00B93188" w:rsidRDefault="00B93188" w:rsidP="00B93188">
            <w:pPr>
              <w:jc w:val="right"/>
              <w:rPr>
                <w:rFonts w:ascii="Calibri" w:hAnsi="Calibri"/>
                <w:sz w:val="18"/>
                <w:szCs w:val="18"/>
              </w:rPr>
            </w:pPr>
            <w:r w:rsidRPr="00B93188">
              <w:rPr>
                <w:rFonts w:ascii="Calibri" w:hAnsi="Calibri"/>
                <w:sz w:val="18"/>
                <w:szCs w:val="18"/>
              </w:rPr>
              <w:t xml:space="preserve">92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sz w:val="18"/>
                <w:szCs w:val="18"/>
              </w:rPr>
            </w:pPr>
            <w:r w:rsidRPr="00B93188">
              <w:rPr>
                <w:rFonts w:ascii="Calibri" w:hAnsi="Calibri"/>
                <w:sz w:val="18"/>
                <w:szCs w:val="18"/>
              </w:rPr>
              <w:t>4,032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sz w:val="18"/>
                <w:szCs w:val="18"/>
              </w:rPr>
            </w:pPr>
            <w:r w:rsidRPr="00B93188">
              <w:rPr>
                <w:rFonts w:ascii="Calibri" w:hAnsi="Calibri"/>
                <w:sz w:val="18"/>
                <w:szCs w:val="18"/>
              </w:rPr>
              <w:t>3,812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sz w:val="18"/>
                <w:szCs w:val="18"/>
              </w:rPr>
            </w:pPr>
            <w:r w:rsidRPr="00B93188">
              <w:rPr>
                <w:rFonts w:ascii="Calibri" w:hAnsi="Calibri"/>
                <w:sz w:val="18"/>
                <w:szCs w:val="18"/>
              </w:rPr>
              <w:t>3,578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9,734</w:t>
            </w:r>
          </w:p>
        </w:tc>
        <w:tc>
          <w:tcPr>
            <w:tcW w:w="2217"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Interest Received – Other</w:t>
            </w:r>
          </w:p>
        </w:tc>
        <w:tc>
          <w:tcPr>
            <w:tcW w:w="1307"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5,584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4,387</w:t>
            </w:r>
          </w:p>
        </w:tc>
        <w:tc>
          <w:tcPr>
            <w:tcW w:w="56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-21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6,584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9,024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7,734</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18,574</w:t>
            </w:r>
          </w:p>
        </w:tc>
        <w:tc>
          <w:tcPr>
            <w:tcW w:w="2217"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 xml:space="preserve">Interest from Financial Investments </w:t>
            </w:r>
          </w:p>
        </w:tc>
        <w:tc>
          <w:tcPr>
            <w:tcW w:w="1307"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1,420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2,682</w:t>
            </w:r>
          </w:p>
        </w:tc>
        <w:tc>
          <w:tcPr>
            <w:tcW w:w="56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89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3,564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3,814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4,083</w:t>
            </w:r>
          </w:p>
        </w:tc>
      </w:tr>
      <w:tr w:rsidR="00B93188" w:rsidRPr="00B93188" w:rsidTr="00B93188">
        <w:trPr>
          <w:trHeight w:val="170"/>
          <w:jc w:val="center"/>
        </w:trPr>
        <w:tc>
          <w:tcPr>
            <w:tcW w:w="1021" w:type="dxa"/>
            <w:tcBorders>
              <w:top w:val="single" w:sz="4" w:space="0" w:color="auto"/>
              <w:left w:val="nil"/>
              <w:bottom w:val="single" w:sz="4" w:space="0" w:color="auto"/>
              <w:right w:val="nil"/>
            </w:tcBorders>
            <w:shd w:val="clear" w:color="auto" w:fill="auto"/>
            <w:noWrap/>
            <w:vAlign w:val="center"/>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135,658</w:t>
            </w:r>
          </w:p>
        </w:tc>
        <w:tc>
          <w:tcPr>
            <w:tcW w:w="2217" w:type="dxa"/>
            <w:tcBorders>
              <w:top w:val="single" w:sz="4" w:space="0" w:color="auto"/>
              <w:left w:val="nil"/>
              <w:bottom w:val="single" w:sz="4" w:space="0" w:color="auto"/>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Interest Received</w:t>
            </w:r>
          </w:p>
        </w:tc>
        <w:tc>
          <w:tcPr>
            <w:tcW w:w="1307"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129,046</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122,177</w:t>
            </w:r>
          </w:p>
        </w:tc>
        <w:tc>
          <w:tcPr>
            <w:tcW w:w="56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-5 </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127,369</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134,776</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135,161</w:t>
            </w:r>
          </w:p>
        </w:tc>
      </w:tr>
    </w:tbl>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Interest Received from Banks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This item represents the interest income recognised by the Territory Banking Account for general government investments.  Interest income from banks is interest earnings on cash, short term securities and fixed interest assets.  General government investments comprise the balances of the Territory Banking Account and investments made on behalf of government directorates and some Territory Authorities.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increase of $11.8 million in the 2013-14 estimated outcome from the original budget is mainly due to higher levels of investment balances held during the year and a higher actual investment return than forecast.</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decrease of $11.2 million in the 2014-15 Budget from the 2013-14 estimated outcome is mainly due to lower levels of funds expected to be held on investment during the year.</w:t>
      </w:r>
      <w:r w:rsidRPr="00B93188" w:rsidDel="00B25B52">
        <w:rPr>
          <w:rFonts w:ascii="Calibri" w:hAnsi="Calibri"/>
          <w:sz w:val="24"/>
        </w:rPr>
        <w:t xml:space="preserve">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Interest Received on Advances and Loans to Agencies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increase of $2.9 million in the 2013-14 estimated outcome from the original budget is mainly due to higher interest received from ACTEW Corporation in relation to inflation linked bond loans.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increase of $1.7 million in the 2014-15 Budget from the 2013-14 estimated outcome is due to increased fixed rate medium term note loans offset by lower interest costs for inflation linked bond loans.</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Interest Received from Private Sector</w:t>
      </w:r>
    </w:p>
    <w:p w:rsidR="00983072" w:rsidRDefault="00B93188" w:rsidP="00983072">
      <w:pPr>
        <w:keepNext/>
        <w:keepLines/>
        <w:spacing w:before="120" w:after="120"/>
        <w:jc w:val="both"/>
        <w:rPr>
          <w:rFonts w:ascii="Calibri" w:hAnsi="Calibri"/>
          <w:sz w:val="24"/>
        </w:rPr>
      </w:pPr>
      <w:r w:rsidRPr="00B93188">
        <w:rPr>
          <w:rFonts w:ascii="Calibri" w:hAnsi="Calibri"/>
          <w:sz w:val="24"/>
        </w:rPr>
        <w:t>Interest Received from the Private Sector, being the University of Canberra, will increase by $2.</w:t>
      </w:r>
      <w:r w:rsidR="00072D47">
        <w:rPr>
          <w:rFonts w:ascii="Calibri" w:hAnsi="Calibri"/>
          <w:sz w:val="24"/>
        </w:rPr>
        <w:t>6</w:t>
      </w:r>
      <w:r w:rsidRPr="00B93188">
        <w:rPr>
          <w:rFonts w:ascii="Calibri" w:hAnsi="Calibri"/>
          <w:sz w:val="24"/>
        </w:rPr>
        <w:t> million in the 2014-15 budget from the 2013-14 estimated outcome due to an increase in the amount of loans provided to the Universit</w:t>
      </w:r>
      <w:r w:rsidR="00983072">
        <w:rPr>
          <w:rFonts w:ascii="Calibri" w:hAnsi="Calibri"/>
          <w:sz w:val="24"/>
        </w:rPr>
        <w:t>y of Canberra during the year.</w:t>
      </w:r>
    </w:p>
    <w:p w:rsidR="00B93188" w:rsidRPr="00B93188" w:rsidRDefault="00983072" w:rsidP="00983072">
      <w:pPr>
        <w:keepNext/>
        <w:keepLines/>
        <w:spacing w:before="120" w:after="120"/>
        <w:jc w:val="both"/>
        <w:rPr>
          <w:rFonts w:ascii="Calibri" w:hAnsi="Calibri"/>
          <w:sz w:val="24"/>
        </w:rPr>
      </w:pPr>
      <w:r>
        <w:rPr>
          <w:rFonts w:ascii="Calibri" w:hAnsi="Calibri"/>
          <w:sz w:val="24"/>
        </w:rPr>
        <w:br w:type="page"/>
      </w:r>
      <w:r w:rsidR="00B93188" w:rsidRPr="00B93188">
        <w:rPr>
          <w:rFonts w:ascii="Calibri" w:hAnsi="Calibri"/>
          <w:sz w:val="24"/>
        </w:rPr>
        <w:lastRenderedPageBreak/>
        <w:t>This interest is represented as being received from an external party as the University of Canberra is not included in the consolidated financial statements of the Territory.</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Other Interest Income</w:t>
      </w:r>
    </w:p>
    <w:p w:rsidR="00B93188" w:rsidRPr="00B93188" w:rsidRDefault="00B93188" w:rsidP="00983072">
      <w:pPr>
        <w:keepNext/>
        <w:keepLines/>
        <w:spacing w:before="120" w:after="120"/>
        <w:jc w:val="both"/>
        <w:outlineLvl w:val="3"/>
        <w:rPr>
          <w:rFonts w:ascii="Calibri" w:hAnsi="Calibri"/>
          <w:iCs/>
          <w:sz w:val="24"/>
        </w:rPr>
      </w:pPr>
      <w:r w:rsidRPr="00B93188">
        <w:rPr>
          <w:rFonts w:ascii="Calibri" w:hAnsi="Calibri"/>
          <w:iCs/>
          <w:sz w:val="24"/>
        </w:rPr>
        <w:t>Other interest income includes income mainly recognised by the Home Loan Portfolio, the Chief Minister and Treasury Directorate, the Territory and Municipal Services Directorate and the Environment and Sustainable Development Directorate.  The majority of interest recognised relates to interest charged to the Land Development Agency in relation to the holding costs of land.</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Other interest income is expected to decrease by $4.2 million from the original budget of $9.7 million mainly as a result of lower interest received from the Land Development Agency due to revisions to the land release program.</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Interest from Financial Investments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Interest from financial investments comprises interest earnings on cash and fixed income investment assets of the Superannuation Provision Account.</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decrease of $17.2 million in the 2013-14 estimated outcome from the original budget is due to the effect of reclassification of interest received in relation to cash and fixed income investments held in unit trusts to distributions from financial investments.</w:t>
      </w:r>
      <w:r w:rsidRPr="00B93188" w:rsidDel="000D08A0">
        <w:rPr>
          <w:rFonts w:ascii="Calibri" w:hAnsi="Calibri"/>
          <w:sz w:val="24"/>
        </w:rPr>
        <w:t xml:space="preserve"> </w:t>
      </w:r>
      <w:r w:rsidRPr="00B93188">
        <w:rPr>
          <w:rFonts w:ascii="Calibri" w:hAnsi="Calibri"/>
          <w:sz w:val="24"/>
        </w:rPr>
        <w:t xml:space="preserve">The increase in interest from financial investment of $1.3 million in the 2014-15 Budget from the 2013-14 estimated outcome is due to the growth in fixed income investment assets. </w:t>
      </w:r>
    </w:p>
    <w:p w:rsidR="00B93188" w:rsidRPr="00B93188" w:rsidRDefault="00B93188" w:rsidP="00983072">
      <w:pPr>
        <w:keepNext/>
        <w:keepLines/>
        <w:spacing w:before="120" w:after="120"/>
        <w:outlineLvl w:val="2"/>
        <w:rPr>
          <w:rFonts w:ascii="Arial" w:hAnsi="Arial" w:cs="Arial"/>
          <w:b/>
          <w:bCs/>
          <w:sz w:val="24"/>
          <w:szCs w:val="26"/>
        </w:rPr>
      </w:pPr>
      <w:r w:rsidRPr="00B93188">
        <w:rPr>
          <w:rFonts w:ascii="Arial" w:hAnsi="Arial" w:cs="Arial"/>
          <w:b/>
          <w:bCs/>
          <w:sz w:val="24"/>
          <w:szCs w:val="26"/>
        </w:rPr>
        <w:t>Distributions from Financial Investments</w:t>
      </w:r>
    </w:p>
    <w:p w:rsidR="00B93188" w:rsidRPr="00B93188" w:rsidRDefault="00B93188" w:rsidP="00983072">
      <w:pPr>
        <w:keepNext/>
        <w:keepLines/>
        <w:spacing w:before="120" w:after="120"/>
        <w:jc w:val="both"/>
        <w:outlineLvl w:val="2"/>
        <w:rPr>
          <w:rFonts w:ascii="Calibri" w:hAnsi="Calibri" w:cs="Arial"/>
          <w:bCs/>
          <w:sz w:val="24"/>
          <w:szCs w:val="26"/>
        </w:rPr>
      </w:pPr>
      <w:r w:rsidRPr="00B93188">
        <w:rPr>
          <w:rFonts w:ascii="Calibri" w:hAnsi="Calibri" w:cs="Arial"/>
          <w:bCs/>
          <w:sz w:val="24"/>
          <w:szCs w:val="26"/>
        </w:rPr>
        <w:t>From 2013-14, the line item Distributions from Financial Investments has been added to better reflect distributions to the Superannuation Provision Account from investments held in unit trusts.  This treatment is not reflected in the 2013-14 Budget figures where these amounts were incorporated under dividends and interest income.</w:t>
      </w:r>
    </w:p>
    <w:p w:rsidR="00B93188" w:rsidRPr="00B93188" w:rsidRDefault="00B93188" w:rsidP="00B93188">
      <w:pPr>
        <w:keepNext/>
        <w:keepLines/>
        <w:spacing w:before="60"/>
        <w:jc w:val="center"/>
        <w:rPr>
          <w:rFonts w:ascii="Arial" w:hAnsi="Arial"/>
          <w:b/>
        </w:rPr>
      </w:pPr>
      <w:r w:rsidRPr="00B93188">
        <w:rPr>
          <w:rFonts w:ascii="Arial" w:hAnsi="Arial"/>
          <w:b/>
        </w:rPr>
        <w:t>Table 6.1.13</w:t>
      </w:r>
    </w:p>
    <w:p w:rsidR="00B93188" w:rsidRPr="00B93188" w:rsidRDefault="00B93188" w:rsidP="00B93188">
      <w:pPr>
        <w:keepNext/>
        <w:keepLines/>
        <w:spacing w:after="120"/>
        <w:jc w:val="center"/>
        <w:rPr>
          <w:rFonts w:ascii="Arial" w:hAnsi="Arial"/>
          <w:b/>
        </w:rPr>
      </w:pPr>
      <w:r w:rsidRPr="00B93188">
        <w:rPr>
          <w:rFonts w:ascii="Arial" w:hAnsi="Arial"/>
          <w:b/>
        </w:rPr>
        <w:t>Distributions from Financial Investments</w:t>
      </w:r>
    </w:p>
    <w:tbl>
      <w:tblPr>
        <w:tblW w:w="9186" w:type="dxa"/>
        <w:jc w:val="center"/>
        <w:tblLook w:val="0000"/>
      </w:tblPr>
      <w:tblGrid>
        <w:gridCol w:w="1021"/>
        <w:gridCol w:w="2216"/>
        <w:gridCol w:w="1308"/>
        <w:gridCol w:w="1018"/>
        <w:gridCol w:w="569"/>
        <w:gridCol w:w="1018"/>
        <w:gridCol w:w="1018"/>
        <w:gridCol w:w="1018"/>
      </w:tblGrid>
      <w:tr w:rsidR="00B93188" w:rsidRPr="00B93188" w:rsidTr="00B93188">
        <w:trPr>
          <w:trHeight w:val="170"/>
          <w:jc w:val="center"/>
        </w:trPr>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2216"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0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569"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2216"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sz w:val="18"/>
                <w:szCs w:val="18"/>
              </w:rPr>
            </w:pPr>
          </w:p>
        </w:tc>
        <w:tc>
          <w:tcPr>
            <w:tcW w:w="1308"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569"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Var</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2216"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0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569"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c>
          <w:tcPr>
            <w:tcW w:w="2216" w:type="dxa"/>
            <w:tcBorders>
              <w:top w:val="nil"/>
              <w:left w:val="nil"/>
              <w:bottom w:val="nil"/>
              <w:right w:val="nil"/>
            </w:tcBorders>
            <w:shd w:val="clear" w:color="auto" w:fill="auto"/>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Distributions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Calibri"/>
                <w:sz w:val="18"/>
                <w:szCs w:val="18"/>
              </w:rPr>
            </w:pPr>
            <w:r w:rsidRPr="00B93188">
              <w:rPr>
                <w:rFonts w:ascii="Calibri" w:hAnsi="Calibri" w:cs="Calibri"/>
                <w:sz w:val="18"/>
                <w:szCs w:val="18"/>
              </w:rPr>
              <w:t>0</w:t>
            </w:r>
          </w:p>
        </w:tc>
        <w:tc>
          <w:tcPr>
            <w:tcW w:w="2216"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Distributions from Financial Investments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96,366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55,566</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61,807</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66,406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71,354</w:t>
            </w:r>
          </w:p>
        </w:tc>
      </w:tr>
      <w:tr w:rsidR="00B93188" w:rsidRPr="00B93188" w:rsidTr="00B93188">
        <w:trPr>
          <w:trHeight w:val="170"/>
          <w:jc w:val="center"/>
        </w:trPr>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Calibri"/>
                <w:b/>
                <w:bCs/>
                <w:sz w:val="18"/>
                <w:szCs w:val="18"/>
              </w:rPr>
            </w:pPr>
            <w:r w:rsidRPr="00B93188">
              <w:rPr>
                <w:rFonts w:ascii="Calibri" w:hAnsi="Calibri" w:cs="Calibri"/>
                <w:b/>
                <w:bCs/>
                <w:sz w:val="18"/>
                <w:szCs w:val="18"/>
              </w:rPr>
              <w:t>0</w:t>
            </w:r>
          </w:p>
        </w:tc>
        <w:tc>
          <w:tcPr>
            <w:tcW w:w="2216" w:type="dxa"/>
            <w:tcBorders>
              <w:top w:val="single" w:sz="4" w:space="0" w:color="auto"/>
              <w:left w:val="nil"/>
              <w:bottom w:val="single" w:sz="4" w:space="0" w:color="auto"/>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Distributions from Financial Investments</w:t>
            </w:r>
          </w:p>
        </w:tc>
        <w:tc>
          <w:tcPr>
            <w:tcW w:w="130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96,366</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55,566</w:t>
            </w:r>
          </w:p>
        </w:tc>
        <w:tc>
          <w:tcPr>
            <w:tcW w:w="569"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-42</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61,807</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66,406</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sz w:val="18"/>
                <w:szCs w:val="18"/>
              </w:rPr>
            </w:pPr>
            <w:r w:rsidRPr="00B93188">
              <w:rPr>
                <w:rFonts w:ascii="Calibri" w:hAnsi="Calibri" w:cs="Arial"/>
                <w:b/>
                <w:sz w:val="18"/>
                <w:szCs w:val="18"/>
              </w:rPr>
              <w:t>71,354</w:t>
            </w:r>
          </w:p>
        </w:tc>
      </w:tr>
    </w:tbl>
    <w:p w:rsidR="00B93188" w:rsidRPr="00B93188" w:rsidRDefault="00B93188" w:rsidP="00B93188">
      <w:pPr>
        <w:rPr>
          <w:rFonts w:ascii="Arial" w:hAnsi="Arial" w:cs="Arial"/>
          <w:b/>
          <w:bCs/>
          <w:sz w:val="24"/>
          <w:szCs w:val="26"/>
        </w:rPr>
      </w:pPr>
    </w:p>
    <w:p w:rsidR="00B93188" w:rsidRDefault="00B93188" w:rsidP="00983072">
      <w:pPr>
        <w:keepNext/>
        <w:keepLines/>
        <w:spacing w:before="120" w:after="120"/>
        <w:outlineLvl w:val="2"/>
        <w:rPr>
          <w:rFonts w:ascii="Calibri" w:hAnsi="Calibri"/>
          <w:sz w:val="24"/>
        </w:rPr>
      </w:pPr>
      <w:r w:rsidRPr="00B93188">
        <w:rPr>
          <w:rFonts w:ascii="Calibri" w:hAnsi="Calibri"/>
          <w:sz w:val="24"/>
        </w:rPr>
        <w:t>Variations in this revenue are largely due to the reclassification of amounts from interest income and financial investment dividends.</w:t>
      </w:r>
    </w:p>
    <w:p w:rsidR="00B93188" w:rsidRPr="00B93188" w:rsidRDefault="00B93188" w:rsidP="00983072">
      <w:pPr>
        <w:keepNext/>
        <w:keepLines/>
        <w:spacing w:before="120" w:after="120"/>
        <w:outlineLvl w:val="2"/>
        <w:rPr>
          <w:rFonts w:ascii="Arial" w:hAnsi="Arial" w:cs="Arial"/>
          <w:b/>
          <w:bCs/>
          <w:sz w:val="24"/>
          <w:szCs w:val="26"/>
        </w:rPr>
      </w:pPr>
      <w:r>
        <w:rPr>
          <w:rFonts w:ascii="Calibri" w:hAnsi="Calibri"/>
          <w:sz w:val="24"/>
        </w:rPr>
        <w:br w:type="page"/>
      </w:r>
      <w:r w:rsidRPr="00B93188">
        <w:rPr>
          <w:rFonts w:ascii="Arial" w:hAnsi="Arial" w:cs="Arial"/>
          <w:b/>
          <w:bCs/>
          <w:sz w:val="24"/>
          <w:szCs w:val="26"/>
        </w:rPr>
        <w:lastRenderedPageBreak/>
        <w:t xml:space="preserve">Dividends and Tax Equivalents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estimated outcome for total dividends and tax equivalents is expected to decrease by $93.8 million compared to the 2013-14 Budget estimate.  This is followed by an estimated increase of $26.8 million in 2014-15.  Table 6.1.14 provides a summary of dividends and tax equivalents in 2013-14, the 2014-15 Budget and the forward estimates.</w:t>
      </w:r>
    </w:p>
    <w:p w:rsidR="00B93188" w:rsidRPr="00B93188" w:rsidRDefault="00B93188" w:rsidP="00B93188">
      <w:pPr>
        <w:keepNext/>
        <w:keepLines/>
        <w:spacing w:before="60"/>
        <w:jc w:val="center"/>
        <w:rPr>
          <w:rFonts w:ascii="Arial" w:hAnsi="Arial"/>
          <w:b/>
        </w:rPr>
      </w:pPr>
      <w:r w:rsidRPr="00B93188">
        <w:rPr>
          <w:rFonts w:ascii="Arial" w:hAnsi="Arial"/>
          <w:b/>
        </w:rPr>
        <w:t>Table 6.1.14</w:t>
      </w:r>
    </w:p>
    <w:p w:rsidR="00B93188" w:rsidRPr="00B93188" w:rsidRDefault="00B93188" w:rsidP="00B93188">
      <w:pPr>
        <w:keepNext/>
        <w:keepLines/>
        <w:spacing w:after="120"/>
        <w:jc w:val="center"/>
        <w:rPr>
          <w:rFonts w:ascii="Arial" w:hAnsi="Arial"/>
          <w:b/>
        </w:rPr>
      </w:pPr>
      <w:r w:rsidRPr="00B93188">
        <w:rPr>
          <w:rFonts w:ascii="Arial" w:hAnsi="Arial"/>
          <w:b/>
        </w:rPr>
        <w:t>Dividends and Tax Equivalents</w:t>
      </w:r>
      <w:bookmarkStart w:id="1" w:name="RANGE!G6:N27"/>
    </w:p>
    <w:tbl>
      <w:tblPr>
        <w:tblW w:w="9186" w:type="dxa"/>
        <w:jc w:val="center"/>
        <w:tblLook w:val="0000"/>
      </w:tblPr>
      <w:tblGrid>
        <w:gridCol w:w="1021"/>
        <w:gridCol w:w="2216"/>
        <w:gridCol w:w="1308"/>
        <w:gridCol w:w="1018"/>
        <w:gridCol w:w="569"/>
        <w:gridCol w:w="1018"/>
        <w:gridCol w:w="1018"/>
        <w:gridCol w:w="1018"/>
      </w:tblGrid>
      <w:tr w:rsidR="00B93188" w:rsidRPr="00B93188" w:rsidTr="00B93188">
        <w:trPr>
          <w:trHeight w:val="170"/>
          <w:jc w:val="center"/>
        </w:trPr>
        <w:tc>
          <w:tcPr>
            <w:tcW w:w="1021"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2216"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0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569"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18" w:type="dxa"/>
            <w:tcBorders>
              <w:top w:val="single" w:sz="4" w:space="0" w:color="auto"/>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2216"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sz w:val="18"/>
                <w:szCs w:val="18"/>
              </w:rPr>
            </w:pPr>
          </w:p>
        </w:tc>
        <w:tc>
          <w:tcPr>
            <w:tcW w:w="1308" w:type="dxa"/>
            <w:tcBorders>
              <w:top w:val="nil"/>
              <w:left w:val="nil"/>
              <w:bottom w:val="nil"/>
              <w:right w:val="nil"/>
            </w:tcBorders>
            <w:shd w:val="clear" w:color="auto" w:fill="auto"/>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569"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Var</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8" w:type="dxa"/>
            <w:tcBorders>
              <w:top w:val="nil"/>
              <w:left w:val="nil"/>
              <w:bottom w:val="nil"/>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2216"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0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569"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spacing w:before="16" w:after="16"/>
              <w:jc w:val="right"/>
              <w:rPr>
                <w:rFonts w:ascii="Calibri" w:hAnsi="Calibri"/>
                <w:b/>
                <w:sz w:val="18"/>
                <w:szCs w:val="18"/>
              </w:rPr>
            </w:pPr>
          </w:p>
        </w:tc>
        <w:tc>
          <w:tcPr>
            <w:tcW w:w="2216" w:type="dxa"/>
            <w:tcBorders>
              <w:top w:val="nil"/>
              <w:left w:val="nil"/>
              <w:bottom w:val="nil"/>
              <w:right w:val="nil"/>
            </w:tcBorders>
            <w:shd w:val="clear" w:color="auto" w:fill="auto"/>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Dividends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99,403</w:t>
            </w:r>
          </w:p>
        </w:tc>
        <w:tc>
          <w:tcPr>
            <w:tcW w:w="2216"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Dividends – ACTEW</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75,882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81,036</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7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76,256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75,903</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85,510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1,582</w:t>
            </w:r>
          </w:p>
        </w:tc>
        <w:tc>
          <w:tcPr>
            <w:tcW w:w="2216"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Dividends – ACTTAB</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976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418</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-57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500</w:t>
            </w:r>
          </w:p>
        </w:tc>
        <w:tc>
          <w:tcPr>
            <w:tcW w:w="2216"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Dividends – CIT Solutions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150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500</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233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500</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40,868</w:t>
            </w:r>
          </w:p>
        </w:tc>
        <w:tc>
          <w:tcPr>
            <w:tcW w:w="2216" w:type="dxa"/>
            <w:tcBorders>
              <w:top w:val="nil"/>
              <w:left w:val="nil"/>
              <w:bottom w:val="nil"/>
              <w:right w:val="nil"/>
            </w:tcBorders>
            <w:shd w:val="clear" w:color="auto" w:fill="auto"/>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Dividends – Land Development Agency</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43,059</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38,990</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-9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81,880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76,147</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77,336</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83,526</w:t>
            </w:r>
          </w:p>
        </w:tc>
        <w:tc>
          <w:tcPr>
            <w:tcW w:w="22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Dividends from Financial Investments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18,547</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54,527</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194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55,500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59,630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64,073</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225,879</w:t>
            </w:r>
          </w:p>
        </w:tc>
        <w:tc>
          <w:tcPr>
            <w:tcW w:w="2216"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Dividends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138,614</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175,471</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27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214,136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212,180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227,419</w:t>
            </w: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2216" w:type="dxa"/>
            <w:tcBorders>
              <w:top w:val="nil"/>
              <w:left w:val="nil"/>
              <w:bottom w:val="nil"/>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Tax Equivalents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p>
        </w:tc>
      </w:tr>
      <w:tr w:rsidR="00B93188" w:rsidRPr="00B93188" w:rsidTr="00B93188">
        <w:trPr>
          <w:trHeight w:val="170"/>
          <w:jc w:val="center"/>
        </w:trPr>
        <w:tc>
          <w:tcPr>
            <w:tcW w:w="1021"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78,758</w:t>
            </w:r>
          </w:p>
        </w:tc>
        <w:tc>
          <w:tcPr>
            <w:tcW w:w="2216" w:type="dxa"/>
            <w:tcBorders>
              <w:top w:val="nil"/>
              <w:left w:val="nil"/>
              <w:bottom w:val="nil"/>
              <w:right w:val="nil"/>
            </w:tcBorders>
            <w:shd w:val="clear" w:color="auto" w:fill="auto"/>
          </w:tcPr>
          <w:p w:rsidR="00B93188" w:rsidRPr="00B93188" w:rsidRDefault="00B93188" w:rsidP="00B93188">
            <w:pPr>
              <w:ind w:left="142" w:hanging="142"/>
              <w:rPr>
                <w:rFonts w:ascii="Calibri" w:hAnsi="Calibri"/>
                <w:sz w:val="18"/>
                <w:szCs w:val="18"/>
              </w:rPr>
            </w:pPr>
            <w:r w:rsidRPr="00B93188">
              <w:rPr>
                <w:rFonts w:ascii="Calibri" w:hAnsi="Calibri"/>
                <w:sz w:val="18"/>
                <w:szCs w:val="18"/>
              </w:rPr>
              <w:t>Income Tax Equivalent</w:t>
            </w:r>
            <w:r w:rsidR="00794A37">
              <w:rPr>
                <w:rFonts w:ascii="Calibri" w:hAnsi="Calibri"/>
                <w:sz w:val="18"/>
                <w:szCs w:val="18"/>
              </w:rPr>
              <w:t>s</w:t>
            </w:r>
          </w:p>
        </w:tc>
        <w:tc>
          <w:tcPr>
            <w:tcW w:w="130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72,200</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62,169</w:t>
            </w:r>
          </w:p>
        </w:tc>
        <w:tc>
          <w:tcPr>
            <w:tcW w:w="569"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-14 </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75,542</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74,446</w:t>
            </w:r>
          </w:p>
        </w:tc>
        <w:tc>
          <w:tcPr>
            <w:tcW w:w="1018" w:type="dxa"/>
            <w:tcBorders>
              <w:top w:val="nil"/>
              <w:left w:val="nil"/>
              <w:bottom w:val="nil"/>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73,288</w:t>
            </w:r>
          </w:p>
        </w:tc>
      </w:tr>
      <w:tr w:rsidR="00B93188" w:rsidRPr="00B93188" w:rsidTr="00B93188">
        <w:trPr>
          <w:trHeight w:val="170"/>
          <w:jc w:val="center"/>
        </w:trPr>
        <w:tc>
          <w:tcPr>
            <w:tcW w:w="1021"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78,758</w:t>
            </w:r>
          </w:p>
        </w:tc>
        <w:tc>
          <w:tcPr>
            <w:tcW w:w="2216" w:type="dxa"/>
            <w:tcBorders>
              <w:top w:val="nil"/>
              <w:left w:val="nil"/>
              <w:bottom w:val="single" w:sz="4" w:space="0" w:color="auto"/>
              <w:right w:val="nil"/>
            </w:tcBorders>
            <w:shd w:val="clear" w:color="auto" w:fill="auto"/>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Tax Equivalents</w:t>
            </w:r>
          </w:p>
        </w:tc>
        <w:tc>
          <w:tcPr>
            <w:tcW w:w="1308"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72,200</w:t>
            </w:r>
          </w:p>
        </w:tc>
        <w:tc>
          <w:tcPr>
            <w:tcW w:w="1018"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62,169</w:t>
            </w:r>
          </w:p>
        </w:tc>
        <w:tc>
          <w:tcPr>
            <w:tcW w:w="569"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-14 </w:t>
            </w:r>
          </w:p>
        </w:tc>
        <w:tc>
          <w:tcPr>
            <w:tcW w:w="1018"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75,542</w:t>
            </w:r>
          </w:p>
        </w:tc>
        <w:tc>
          <w:tcPr>
            <w:tcW w:w="1018"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74,446</w:t>
            </w:r>
          </w:p>
        </w:tc>
        <w:tc>
          <w:tcPr>
            <w:tcW w:w="1018" w:type="dxa"/>
            <w:tcBorders>
              <w:top w:val="nil"/>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73,288</w:t>
            </w:r>
          </w:p>
        </w:tc>
      </w:tr>
      <w:tr w:rsidR="00B93188" w:rsidRPr="00B93188" w:rsidTr="00B93188">
        <w:trPr>
          <w:trHeight w:val="170"/>
          <w:jc w:val="center"/>
        </w:trPr>
        <w:tc>
          <w:tcPr>
            <w:tcW w:w="1021"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304,637</w:t>
            </w:r>
          </w:p>
        </w:tc>
        <w:tc>
          <w:tcPr>
            <w:tcW w:w="2216" w:type="dxa"/>
            <w:tcBorders>
              <w:top w:val="single" w:sz="4" w:space="0" w:color="auto"/>
              <w:left w:val="nil"/>
              <w:bottom w:val="single" w:sz="4" w:space="0" w:color="auto"/>
              <w:right w:val="nil"/>
            </w:tcBorders>
            <w:shd w:val="clear" w:color="auto" w:fill="auto"/>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Dividend and Tax Equivalents</w:t>
            </w:r>
          </w:p>
        </w:tc>
        <w:tc>
          <w:tcPr>
            <w:tcW w:w="130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210,814</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237,640</w:t>
            </w:r>
          </w:p>
        </w:tc>
        <w:tc>
          <w:tcPr>
            <w:tcW w:w="569"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13 </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289,678</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286,626</w:t>
            </w:r>
          </w:p>
        </w:tc>
        <w:tc>
          <w:tcPr>
            <w:tcW w:w="1018" w:type="dxa"/>
            <w:tcBorders>
              <w:top w:val="single" w:sz="4" w:space="0" w:color="auto"/>
              <w:left w:val="nil"/>
              <w:bottom w:val="single" w:sz="4" w:space="0" w:color="auto"/>
              <w:right w:val="nil"/>
            </w:tcBorders>
            <w:shd w:val="clear" w:color="auto" w:fill="auto"/>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300,707</w:t>
            </w:r>
          </w:p>
        </w:tc>
      </w:tr>
    </w:tbl>
    <w:bookmarkEnd w:id="1"/>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ACTEW </w:t>
      </w:r>
    </w:p>
    <w:p w:rsidR="00B93188" w:rsidRPr="00B93188" w:rsidRDefault="00B93188" w:rsidP="00983072">
      <w:pPr>
        <w:keepNext/>
        <w:keepLines/>
        <w:spacing w:before="120" w:after="120"/>
        <w:jc w:val="both"/>
        <w:outlineLvl w:val="3"/>
        <w:rPr>
          <w:rFonts w:ascii="Calibri" w:hAnsi="Calibri"/>
          <w:sz w:val="24"/>
        </w:rPr>
      </w:pPr>
      <w:r w:rsidRPr="00B93188">
        <w:rPr>
          <w:rFonts w:ascii="Calibri" w:hAnsi="Calibri"/>
          <w:sz w:val="24"/>
        </w:rPr>
        <w:t>ACTEW’s estimated 2013-14 dividend of $75.9 million is $23.5 million below the original 2013</w:t>
      </w:r>
      <w:r w:rsidRPr="00B93188">
        <w:rPr>
          <w:rFonts w:ascii="Calibri" w:hAnsi="Calibri"/>
          <w:sz w:val="24"/>
        </w:rPr>
        <w:noBreakHyphen/>
        <w:t xml:space="preserve">14 Budget.  This decrease is due to the outcome of the Independent Competition and Regulatory Commission’s water and sewerage pricing review.  Forecast returns to the GGS from ACTEW were revised significantly downwards in the 2013-14 Budget Review as a </w:t>
      </w:r>
      <w:bookmarkStart w:id="2" w:name="_GoBack"/>
      <w:bookmarkEnd w:id="2"/>
      <w:r w:rsidRPr="00B93188">
        <w:rPr>
          <w:rFonts w:ascii="Calibri" w:hAnsi="Calibri"/>
          <w:sz w:val="24"/>
        </w:rPr>
        <w:t>result.</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increase of $5.</w:t>
      </w:r>
      <w:r w:rsidR="00072D47">
        <w:rPr>
          <w:rFonts w:ascii="Calibri" w:hAnsi="Calibri"/>
          <w:sz w:val="24"/>
        </w:rPr>
        <w:t>2</w:t>
      </w:r>
      <w:r w:rsidRPr="00B93188">
        <w:rPr>
          <w:rFonts w:ascii="Calibri" w:hAnsi="Calibri"/>
          <w:sz w:val="24"/>
        </w:rPr>
        <w:t xml:space="preserve"> million in the 2014-15 Budget from the estimated outcome is due to forecast improved water sales.</w:t>
      </w:r>
    </w:p>
    <w:p w:rsidR="00B93188" w:rsidRPr="00B93188" w:rsidRDefault="00B93188" w:rsidP="00983072">
      <w:pPr>
        <w:keepNext/>
        <w:keepLines/>
        <w:spacing w:before="120" w:after="120"/>
        <w:outlineLvl w:val="3"/>
        <w:rPr>
          <w:rFonts w:ascii="Calibri" w:hAnsi="Calibri"/>
          <w:b/>
          <w:i/>
          <w:sz w:val="24"/>
        </w:rPr>
      </w:pPr>
      <w:r w:rsidRPr="00B93188">
        <w:rPr>
          <w:rFonts w:ascii="Calibri" w:hAnsi="Calibri"/>
          <w:i/>
          <w:iCs/>
          <w:sz w:val="24"/>
        </w:rPr>
        <w:t xml:space="preserve">ACTTAB </w:t>
      </w:r>
    </w:p>
    <w:p w:rsidR="00B93188" w:rsidRDefault="00B93188" w:rsidP="00983072">
      <w:pPr>
        <w:keepNext/>
        <w:keepLines/>
        <w:spacing w:before="120" w:after="120"/>
        <w:jc w:val="both"/>
        <w:rPr>
          <w:rFonts w:ascii="Calibri" w:hAnsi="Calibri"/>
          <w:sz w:val="24"/>
        </w:rPr>
      </w:pPr>
      <w:r w:rsidRPr="00B93188">
        <w:rPr>
          <w:rFonts w:ascii="Calibri" w:hAnsi="Calibri"/>
          <w:sz w:val="24"/>
        </w:rPr>
        <w:t xml:space="preserve">ACTTAB’s estimated 2014-15 dividend of $1 million is $0.6 million below the original </w:t>
      </w:r>
      <w:r w:rsidR="004D3C7B">
        <w:rPr>
          <w:rFonts w:ascii="Calibri" w:hAnsi="Calibri"/>
          <w:sz w:val="24"/>
        </w:rPr>
        <w:br/>
      </w:r>
      <w:r w:rsidRPr="00B93188">
        <w:rPr>
          <w:rFonts w:ascii="Calibri" w:hAnsi="Calibri"/>
          <w:sz w:val="24"/>
        </w:rPr>
        <w:t>2013</w:t>
      </w:r>
      <w:r w:rsidR="004D3C7B">
        <w:rPr>
          <w:rFonts w:ascii="Calibri" w:hAnsi="Calibri"/>
          <w:sz w:val="24"/>
        </w:rPr>
        <w:t>-</w:t>
      </w:r>
      <w:r w:rsidRPr="00B93188">
        <w:rPr>
          <w:rFonts w:ascii="Calibri" w:hAnsi="Calibri"/>
          <w:sz w:val="24"/>
        </w:rPr>
        <w:t>14 Budget primarily due to a decline in operating profits.  Across the forward estimates period no dividend revenue is forecast to be received due to the pending sale of this entity.</w:t>
      </w:r>
    </w:p>
    <w:p w:rsidR="00B93188" w:rsidRPr="00B93188" w:rsidRDefault="00B93188" w:rsidP="00983072">
      <w:pPr>
        <w:keepNext/>
        <w:keepLines/>
        <w:spacing w:before="120" w:after="120"/>
        <w:jc w:val="both"/>
        <w:rPr>
          <w:rFonts w:ascii="Calibri" w:hAnsi="Calibri"/>
          <w:i/>
          <w:sz w:val="24"/>
        </w:rPr>
      </w:pPr>
      <w:r>
        <w:rPr>
          <w:rFonts w:ascii="Calibri" w:hAnsi="Calibri"/>
          <w:sz w:val="24"/>
        </w:rPr>
        <w:br w:type="page"/>
      </w:r>
      <w:r w:rsidRPr="00B93188">
        <w:rPr>
          <w:rFonts w:ascii="Calibri" w:hAnsi="Calibri"/>
          <w:i/>
          <w:sz w:val="24"/>
        </w:rPr>
        <w:lastRenderedPageBreak/>
        <w:t xml:space="preserve">Land Development Agency </w:t>
      </w:r>
    </w:p>
    <w:p w:rsidR="00B93188" w:rsidRDefault="00B93188" w:rsidP="00983072">
      <w:pPr>
        <w:keepNext/>
        <w:keepLines/>
        <w:spacing w:before="120" w:after="120"/>
        <w:jc w:val="both"/>
        <w:rPr>
          <w:rFonts w:ascii="Calibri" w:hAnsi="Calibri"/>
          <w:sz w:val="24"/>
        </w:rPr>
      </w:pPr>
      <w:r w:rsidRPr="00B93188">
        <w:rPr>
          <w:rFonts w:ascii="Calibri" w:hAnsi="Calibri"/>
          <w:sz w:val="24"/>
        </w:rPr>
        <w:t>The LDA’s ‘nominal’ surplus is not fully recognised as revenue in the General Government Sector Net Operating Balance, consistent with the GFS accounting principles.  In general, LDA’s nominal surplus comprises sale of assets (for example, undeveloped commercial land) and profit from development and marketing activities.  Proceeds from asset sales (including gains from land rezoning) are treated as capital distributions and only profits from development and marketing activities are recognised as dividend revenue.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dividend is forecast to increase marginally in 2013-14 to $43.1 million.  In 2014-15, LDA’s dividend is forecast to decrease by $4.1 million reflective of revisions to the land release program, refer to Supporting Land Supply and Land Release</w:t>
      </w:r>
      <w:r w:rsidR="00C65746">
        <w:rPr>
          <w:rFonts w:ascii="Calibri" w:hAnsi="Calibri"/>
          <w:sz w:val="24"/>
        </w:rPr>
        <w:t xml:space="preserve"> (Chapter 5.2)</w:t>
      </w:r>
      <w:r w:rsidRPr="00B93188">
        <w:rPr>
          <w:rFonts w:ascii="Calibri" w:hAnsi="Calibri"/>
          <w:sz w:val="24"/>
        </w:rPr>
        <w:t xml:space="preserve"> for more information.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Dividends from Financial Investments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This represents dividends from financial investment assets of the Superannuation Provision Account.  The decrease of $6</w:t>
      </w:r>
      <w:r w:rsidR="00072D47">
        <w:rPr>
          <w:rFonts w:ascii="Calibri" w:hAnsi="Calibri"/>
          <w:sz w:val="24"/>
        </w:rPr>
        <w:t>5</w:t>
      </w:r>
      <w:r w:rsidRPr="00B93188">
        <w:rPr>
          <w:rFonts w:ascii="Calibri" w:hAnsi="Calibri"/>
          <w:sz w:val="24"/>
        </w:rPr>
        <w:t>.</w:t>
      </w:r>
      <w:r w:rsidR="00072D47">
        <w:rPr>
          <w:rFonts w:ascii="Calibri" w:hAnsi="Calibri"/>
          <w:sz w:val="24"/>
        </w:rPr>
        <w:t>0</w:t>
      </w:r>
      <w:r w:rsidRPr="00B93188">
        <w:rPr>
          <w:rFonts w:ascii="Calibri" w:hAnsi="Calibri"/>
          <w:sz w:val="24"/>
        </w:rPr>
        <w:t xml:space="preserve"> million in the 2013-14 estimated outcome from the original budget is mainly due to the effect of the reclassification of dividends received in relation to shares, property and private equity investments held in unit trusts to distributions from financial investments.</w:t>
      </w:r>
      <w:r w:rsidRPr="00B93188" w:rsidDel="000D08A0">
        <w:rPr>
          <w:rFonts w:ascii="Calibri" w:hAnsi="Calibri"/>
          <w:sz w:val="24"/>
        </w:rPr>
        <w:t xml:space="preserve"> </w:t>
      </w:r>
      <w:r w:rsidRPr="00B93188">
        <w:rPr>
          <w:rFonts w:ascii="Calibri" w:hAnsi="Calibri"/>
          <w:sz w:val="24"/>
        </w:rPr>
        <w:t xml:space="preserve"> The increase in dividends from financial investment of $3</w:t>
      </w:r>
      <w:r w:rsidR="00072D47">
        <w:rPr>
          <w:rFonts w:ascii="Calibri" w:hAnsi="Calibri"/>
          <w:sz w:val="24"/>
        </w:rPr>
        <w:t>6</w:t>
      </w:r>
      <w:r w:rsidRPr="00B93188">
        <w:rPr>
          <w:rFonts w:ascii="Calibri" w:hAnsi="Calibri"/>
          <w:sz w:val="24"/>
        </w:rPr>
        <w:t>.</w:t>
      </w:r>
      <w:r w:rsidR="00072D47">
        <w:rPr>
          <w:rFonts w:ascii="Calibri" w:hAnsi="Calibri"/>
          <w:sz w:val="24"/>
        </w:rPr>
        <w:t>0</w:t>
      </w:r>
      <w:r w:rsidRPr="00B93188">
        <w:rPr>
          <w:rFonts w:ascii="Calibri" w:hAnsi="Calibri"/>
          <w:sz w:val="24"/>
        </w:rPr>
        <w:t xml:space="preserve"> million in the 2014-15 Budget from the 2013-14 estimated outcome is mainly due to a transition of share investments during 2013-14 from being held in unit trusts to being invested through discrete portfolio structures where the share investments are directly owned.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Income Tax Equivalents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This represents income tax equivalent payments made by the PTE sector.  The estimated outcome for 2013-14 is $72.2 million and reflects the performance forecast from the ACT agencies that are subject to the National Tax Equivalent Regime.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decrease of $6.6 million from the original budget forecast is largely due to ACTEW’s revised forecasts as described above.</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Revenue of $62.2 million is forecast for 2014-15, a decrease of $10.0 million from the </w:t>
      </w:r>
      <w:r w:rsidR="004D3C7B">
        <w:rPr>
          <w:rFonts w:ascii="Calibri" w:hAnsi="Calibri"/>
          <w:sz w:val="24"/>
        </w:rPr>
        <w:br/>
      </w:r>
      <w:r w:rsidRPr="00B93188">
        <w:rPr>
          <w:rFonts w:ascii="Calibri" w:hAnsi="Calibri"/>
          <w:sz w:val="24"/>
        </w:rPr>
        <w:t>2013</w:t>
      </w:r>
      <w:r w:rsidR="004D3C7B">
        <w:rPr>
          <w:rFonts w:ascii="Calibri" w:hAnsi="Calibri"/>
          <w:sz w:val="24"/>
        </w:rPr>
        <w:t>-</w:t>
      </w:r>
      <w:r w:rsidRPr="00B93188">
        <w:rPr>
          <w:rFonts w:ascii="Calibri" w:hAnsi="Calibri"/>
          <w:sz w:val="24"/>
        </w:rPr>
        <w:t>14 estimated outcome largely due to revised forecasts of the Land Development Agency.</w:t>
      </w:r>
    </w:p>
    <w:p w:rsidR="00B93188" w:rsidRPr="00B93188" w:rsidRDefault="00B93188" w:rsidP="00983072">
      <w:pPr>
        <w:keepNext/>
        <w:keepLines/>
        <w:spacing w:before="120" w:after="120"/>
        <w:outlineLvl w:val="2"/>
        <w:rPr>
          <w:rFonts w:ascii="Arial" w:hAnsi="Arial"/>
          <w:b/>
          <w:bCs/>
          <w:sz w:val="24"/>
          <w:szCs w:val="26"/>
          <w:lang w:eastAsia="en-AU"/>
        </w:rPr>
      </w:pPr>
      <w:r w:rsidRPr="00B93188">
        <w:rPr>
          <w:rFonts w:ascii="Arial" w:hAnsi="Arial"/>
          <w:b/>
          <w:bCs/>
          <w:sz w:val="24"/>
          <w:szCs w:val="26"/>
          <w:lang w:eastAsia="en-AU"/>
        </w:rPr>
        <w:t xml:space="preserve">Other Revenue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Table 6.1.15 provides the 2013-14 estimated outcome, the 2014-15 Budget and the forward estimates for other revenue.  </w:t>
      </w:r>
    </w:p>
    <w:p w:rsidR="00B93188" w:rsidRPr="00B93188" w:rsidRDefault="00B93188" w:rsidP="00983072">
      <w:pPr>
        <w:keepNext/>
        <w:keepLines/>
        <w:spacing w:before="120" w:after="120"/>
        <w:jc w:val="both"/>
        <w:rPr>
          <w:rFonts w:ascii="Arial" w:hAnsi="Arial"/>
          <w:b/>
        </w:rPr>
      </w:pPr>
      <w:r w:rsidRPr="00B93188">
        <w:rPr>
          <w:rFonts w:ascii="Calibri" w:hAnsi="Calibri"/>
          <w:sz w:val="24"/>
        </w:rPr>
        <w:t xml:space="preserve">The 2013-14 outcome is expected to increase by $6.1 million.  Other revenue is expected to decrease in 2014-15 by $2.7 million to $134.8 million. </w:t>
      </w:r>
    </w:p>
    <w:p w:rsidR="00B93188" w:rsidRPr="00B93188" w:rsidRDefault="00B93188" w:rsidP="00B93188">
      <w:pPr>
        <w:keepNext/>
        <w:keepLines/>
        <w:spacing w:before="60"/>
        <w:jc w:val="center"/>
        <w:rPr>
          <w:rFonts w:ascii="Arial" w:hAnsi="Arial"/>
          <w:b/>
        </w:rPr>
      </w:pPr>
      <w:r>
        <w:rPr>
          <w:rFonts w:ascii="Arial" w:hAnsi="Arial"/>
          <w:b/>
        </w:rPr>
        <w:br w:type="page"/>
      </w:r>
      <w:r w:rsidRPr="00B93188">
        <w:rPr>
          <w:rFonts w:ascii="Arial" w:hAnsi="Arial"/>
          <w:b/>
        </w:rPr>
        <w:lastRenderedPageBreak/>
        <w:t>Table 6.1.15</w:t>
      </w:r>
    </w:p>
    <w:p w:rsidR="00B93188" w:rsidRPr="00B93188" w:rsidRDefault="00B93188" w:rsidP="00B93188">
      <w:pPr>
        <w:keepNext/>
        <w:keepLines/>
        <w:spacing w:after="120"/>
        <w:jc w:val="center"/>
        <w:rPr>
          <w:rFonts w:ascii="Arial" w:hAnsi="Arial"/>
          <w:b/>
        </w:rPr>
      </w:pPr>
      <w:r w:rsidRPr="00B93188">
        <w:rPr>
          <w:rFonts w:ascii="Arial" w:hAnsi="Arial"/>
          <w:b/>
        </w:rPr>
        <w:t>Other Revenue</w:t>
      </w:r>
    </w:p>
    <w:tbl>
      <w:tblPr>
        <w:tblW w:w="9167" w:type="dxa"/>
        <w:jc w:val="center"/>
        <w:tblLook w:val="0000"/>
      </w:tblPr>
      <w:tblGrid>
        <w:gridCol w:w="1021"/>
        <w:gridCol w:w="2217"/>
        <w:gridCol w:w="1321"/>
        <w:gridCol w:w="1011"/>
        <w:gridCol w:w="564"/>
        <w:gridCol w:w="1011"/>
        <w:gridCol w:w="1011"/>
        <w:gridCol w:w="1011"/>
      </w:tblGrid>
      <w:tr w:rsidR="00B93188" w:rsidRPr="00B93188" w:rsidTr="00B93188">
        <w:trPr>
          <w:trHeight w:val="170"/>
          <w:jc w:val="center"/>
        </w:trPr>
        <w:tc>
          <w:tcPr>
            <w:tcW w:w="1021"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2217"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21"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11"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564"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011"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11"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11"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0"/>
          <w:jc w:val="center"/>
        </w:trPr>
        <w:tc>
          <w:tcPr>
            <w:tcW w:w="1021"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2217" w:type="dxa"/>
            <w:noWrap/>
          </w:tcPr>
          <w:p w:rsidR="00B93188" w:rsidRPr="00B93188" w:rsidRDefault="00B93188" w:rsidP="00B93188">
            <w:pPr>
              <w:spacing w:before="10" w:after="10"/>
              <w:jc w:val="right"/>
              <w:rPr>
                <w:rFonts w:ascii="Calibri" w:hAnsi="Calibri"/>
                <w:b/>
                <w:sz w:val="18"/>
                <w:szCs w:val="18"/>
              </w:rPr>
            </w:pPr>
          </w:p>
        </w:tc>
        <w:tc>
          <w:tcPr>
            <w:tcW w:w="1321"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11"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564"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Var</w:t>
            </w:r>
          </w:p>
        </w:tc>
        <w:tc>
          <w:tcPr>
            <w:tcW w:w="1011"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1"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11"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0"/>
          <w:jc w:val="center"/>
        </w:trPr>
        <w:tc>
          <w:tcPr>
            <w:tcW w:w="1021"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2217"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321"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1"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564"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w:t>
            </w:r>
          </w:p>
        </w:tc>
        <w:tc>
          <w:tcPr>
            <w:tcW w:w="1011"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1"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11"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0"/>
          <w:jc w:val="center"/>
        </w:trPr>
        <w:tc>
          <w:tcPr>
            <w:tcW w:w="1021" w:type="dxa"/>
            <w:tcBorders>
              <w:top w:val="single" w:sz="4" w:space="0" w:color="auto"/>
            </w:tcBorders>
            <w:noWrap/>
          </w:tcPr>
          <w:p w:rsidR="00B93188" w:rsidRPr="00B93188" w:rsidRDefault="00B93188" w:rsidP="00B93188">
            <w:pPr>
              <w:spacing w:before="16" w:after="16"/>
              <w:jc w:val="right"/>
              <w:rPr>
                <w:rFonts w:ascii="Calibri" w:hAnsi="Calibri"/>
                <w:b/>
                <w:sz w:val="18"/>
                <w:szCs w:val="18"/>
                <w:lang w:eastAsia="en-AU"/>
              </w:rPr>
            </w:pPr>
          </w:p>
        </w:tc>
        <w:tc>
          <w:tcPr>
            <w:tcW w:w="2217" w:type="dxa"/>
            <w:tcBorders>
              <w:top w:val="single" w:sz="4" w:space="0" w:color="auto"/>
            </w:tcBorders>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Fines</w:t>
            </w:r>
          </w:p>
        </w:tc>
        <w:tc>
          <w:tcPr>
            <w:tcW w:w="1321" w:type="dxa"/>
            <w:tcBorders>
              <w:top w:val="single" w:sz="4" w:space="0" w:color="auto"/>
            </w:tcBorders>
            <w:noWrap/>
          </w:tcPr>
          <w:p w:rsidR="00B93188" w:rsidRPr="00B93188" w:rsidRDefault="00B93188" w:rsidP="00B93188">
            <w:pPr>
              <w:spacing w:before="16" w:after="16"/>
              <w:jc w:val="right"/>
              <w:rPr>
                <w:rFonts w:ascii="Calibri" w:hAnsi="Calibri"/>
                <w:b/>
                <w:sz w:val="18"/>
                <w:szCs w:val="18"/>
                <w:lang w:eastAsia="en-AU"/>
              </w:rPr>
            </w:pPr>
          </w:p>
        </w:tc>
        <w:tc>
          <w:tcPr>
            <w:tcW w:w="1011" w:type="dxa"/>
            <w:tcBorders>
              <w:top w:val="single" w:sz="4" w:space="0" w:color="auto"/>
            </w:tcBorders>
            <w:noWrap/>
          </w:tcPr>
          <w:p w:rsidR="00B93188" w:rsidRPr="00B93188" w:rsidRDefault="00B93188" w:rsidP="00B93188">
            <w:pPr>
              <w:spacing w:before="16" w:after="16"/>
              <w:jc w:val="right"/>
              <w:rPr>
                <w:rFonts w:ascii="Calibri" w:hAnsi="Calibri"/>
                <w:b/>
                <w:sz w:val="18"/>
                <w:szCs w:val="18"/>
                <w:lang w:eastAsia="en-AU"/>
              </w:rPr>
            </w:pPr>
          </w:p>
        </w:tc>
        <w:tc>
          <w:tcPr>
            <w:tcW w:w="564" w:type="dxa"/>
            <w:tcBorders>
              <w:top w:val="single" w:sz="4" w:space="0" w:color="auto"/>
            </w:tcBorders>
            <w:noWrap/>
          </w:tcPr>
          <w:p w:rsidR="00B93188" w:rsidRPr="00B93188" w:rsidRDefault="00B93188" w:rsidP="00B93188">
            <w:pPr>
              <w:spacing w:before="16" w:after="16"/>
              <w:rPr>
                <w:rFonts w:ascii="Calibri" w:hAnsi="Calibri"/>
                <w:b/>
                <w:sz w:val="18"/>
                <w:szCs w:val="18"/>
                <w:lang w:eastAsia="en-AU"/>
              </w:rPr>
            </w:pPr>
          </w:p>
        </w:tc>
        <w:tc>
          <w:tcPr>
            <w:tcW w:w="1011" w:type="dxa"/>
            <w:tcBorders>
              <w:top w:val="single" w:sz="4" w:space="0" w:color="auto"/>
            </w:tcBorders>
            <w:noWrap/>
          </w:tcPr>
          <w:p w:rsidR="00B93188" w:rsidRPr="00B93188" w:rsidRDefault="00B93188" w:rsidP="00B93188">
            <w:pPr>
              <w:spacing w:before="16" w:after="16"/>
              <w:jc w:val="right"/>
              <w:rPr>
                <w:rFonts w:ascii="Calibri" w:hAnsi="Calibri"/>
                <w:b/>
                <w:sz w:val="18"/>
                <w:szCs w:val="18"/>
                <w:lang w:eastAsia="en-AU"/>
              </w:rPr>
            </w:pPr>
          </w:p>
        </w:tc>
        <w:tc>
          <w:tcPr>
            <w:tcW w:w="1011" w:type="dxa"/>
            <w:tcBorders>
              <w:top w:val="single" w:sz="4" w:space="0" w:color="auto"/>
            </w:tcBorders>
            <w:noWrap/>
          </w:tcPr>
          <w:p w:rsidR="00B93188" w:rsidRPr="00B93188" w:rsidRDefault="00B93188" w:rsidP="00B93188">
            <w:pPr>
              <w:spacing w:before="16" w:after="16"/>
              <w:jc w:val="right"/>
              <w:rPr>
                <w:rFonts w:ascii="Calibri" w:hAnsi="Calibri"/>
                <w:b/>
                <w:sz w:val="18"/>
                <w:szCs w:val="18"/>
                <w:lang w:eastAsia="en-AU"/>
              </w:rPr>
            </w:pPr>
          </w:p>
        </w:tc>
        <w:tc>
          <w:tcPr>
            <w:tcW w:w="1011" w:type="dxa"/>
            <w:tcBorders>
              <w:top w:val="single" w:sz="4" w:space="0" w:color="auto"/>
            </w:tcBorders>
            <w:noWrap/>
          </w:tcPr>
          <w:p w:rsidR="00B93188" w:rsidRPr="00B93188" w:rsidRDefault="00B93188" w:rsidP="00B93188">
            <w:pPr>
              <w:spacing w:before="16" w:after="16"/>
              <w:jc w:val="right"/>
              <w:rPr>
                <w:rFonts w:ascii="Calibri" w:hAnsi="Calibri"/>
                <w:b/>
                <w:sz w:val="18"/>
                <w:szCs w:val="18"/>
                <w:lang w:eastAsia="en-AU"/>
              </w:rPr>
            </w:pP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23,530</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Traffic Infringement Fines</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20,229</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22,285</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10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23,171</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24,038</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24,936</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615</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Court Fines</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283</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283</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283</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283</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283</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10,444</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Parking Fines</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9,385</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12,392</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32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14,111</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14,725</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15,365</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410</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Other Fines</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375</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378</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387</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393</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401</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34,999</w:t>
            </w:r>
          </w:p>
        </w:tc>
        <w:tc>
          <w:tcPr>
            <w:tcW w:w="2217" w:type="dxa"/>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Fines</w:t>
            </w:r>
          </w:p>
        </w:tc>
        <w:tc>
          <w:tcPr>
            <w:tcW w:w="1321" w:type="dxa"/>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30,272</w:t>
            </w:r>
          </w:p>
        </w:tc>
        <w:tc>
          <w:tcPr>
            <w:tcW w:w="1011" w:type="dxa"/>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35,338</w:t>
            </w:r>
          </w:p>
        </w:tc>
        <w:tc>
          <w:tcPr>
            <w:tcW w:w="564" w:type="dxa"/>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17 </w:t>
            </w:r>
          </w:p>
        </w:tc>
        <w:tc>
          <w:tcPr>
            <w:tcW w:w="1011" w:type="dxa"/>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37,952</w:t>
            </w:r>
          </w:p>
        </w:tc>
        <w:tc>
          <w:tcPr>
            <w:tcW w:w="1011" w:type="dxa"/>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39,439</w:t>
            </w:r>
          </w:p>
        </w:tc>
        <w:tc>
          <w:tcPr>
            <w:tcW w:w="1011" w:type="dxa"/>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40,985</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p>
        </w:tc>
        <w:tc>
          <w:tcPr>
            <w:tcW w:w="2217" w:type="dxa"/>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Other</w:t>
            </w:r>
          </w:p>
        </w:tc>
        <w:tc>
          <w:tcPr>
            <w:tcW w:w="1321" w:type="dxa"/>
            <w:noWrap/>
          </w:tcPr>
          <w:p w:rsidR="00B93188" w:rsidRPr="00B93188" w:rsidRDefault="00B93188" w:rsidP="00B93188">
            <w:pPr>
              <w:jc w:val="right"/>
              <w:rPr>
                <w:rFonts w:ascii="Calibri" w:hAnsi="Calibri" w:cs="Arial"/>
                <w:b/>
                <w:bCs/>
                <w:sz w:val="18"/>
                <w:szCs w:val="18"/>
              </w:rPr>
            </w:pPr>
          </w:p>
        </w:tc>
        <w:tc>
          <w:tcPr>
            <w:tcW w:w="1011" w:type="dxa"/>
            <w:noWrap/>
          </w:tcPr>
          <w:p w:rsidR="00B93188" w:rsidRPr="00B93188" w:rsidRDefault="00B93188" w:rsidP="00B93188">
            <w:pPr>
              <w:jc w:val="right"/>
              <w:rPr>
                <w:rFonts w:ascii="Calibri" w:hAnsi="Calibri" w:cs="Arial"/>
                <w:b/>
                <w:bCs/>
                <w:sz w:val="18"/>
                <w:szCs w:val="18"/>
              </w:rPr>
            </w:pPr>
          </w:p>
        </w:tc>
        <w:tc>
          <w:tcPr>
            <w:tcW w:w="564" w:type="dxa"/>
            <w:noWrap/>
          </w:tcPr>
          <w:p w:rsidR="00B93188" w:rsidRPr="00B93188" w:rsidRDefault="00B93188" w:rsidP="00B93188">
            <w:pPr>
              <w:jc w:val="right"/>
              <w:rPr>
                <w:rFonts w:ascii="Calibri" w:hAnsi="Calibri" w:cs="Arial"/>
                <w:b/>
                <w:bCs/>
                <w:sz w:val="18"/>
                <w:szCs w:val="18"/>
              </w:rPr>
            </w:pPr>
          </w:p>
        </w:tc>
        <w:tc>
          <w:tcPr>
            <w:tcW w:w="1011" w:type="dxa"/>
            <w:noWrap/>
          </w:tcPr>
          <w:p w:rsidR="00B93188" w:rsidRPr="00B93188" w:rsidRDefault="00B93188" w:rsidP="00B93188">
            <w:pPr>
              <w:jc w:val="right"/>
              <w:rPr>
                <w:rFonts w:ascii="Calibri" w:hAnsi="Calibri" w:cs="Arial"/>
                <w:b/>
                <w:bCs/>
                <w:sz w:val="18"/>
                <w:szCs w:val="18"/>
              </w:rPr>
            </w:pPr>
          </w:p>
        </w:tc>
        <w:tc>
          <w:tcPr>
            <w:tcW w:w="1011" w:type="dxa"/>
            <w:noWrap/>
          </w:tcPr>
          <w:p w:rsidR="00B93188" w:rsidRPr="00B93188" w:rsidRDefault="00B93188" w:rsidP="00B93188">
            <w:pPr>
              <w:jc w:val="right"/>
              <w:rPr>
                <w:rFonts w:ascii="Calibri" w:hAnsi="Calibri" w:cs="Arial"/>
                <w:b/>
                <w:bCs/>
                <w:sz w:val="18"/>
                <w:szCs w:val="18"/>
              </w:rPr>
            </w:pPr>
          </w:p>
        </w:tc>
        <w:tc>
          <w:tcPr>
            <w:tcW w:w="1011" w:type="dxa"/>
            <w:noWrap/>
          </w:tcPr>
          <w:p w:rsidR="00B93188" w:rsidRPr="00B93188" w:rsidRDefault="00B93188" w:rsidP="00B93188">
            <w:pPr>
              <w:jc w:val="right"/>
              <w:rPr>
                <w:rFonts w:ascii="Calibri" w:hAnsi="Calibri" w:cs="Arial"/>
                <w:b/>
                <w:bCs/>
                <w:sz w:val="18"/>
                <w:szCs w:val="18"/>
              </w:rPr>
            </w:pP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14,224</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Superannuation Contribution</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14,438</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14,762</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2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14,274</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13,941</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14,005</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14,339</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Rents and Commutation</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16,033</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16,191</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16,654</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16,588</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17,208</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18,670</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Contributions</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18,670</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18,647</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18,647</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18,647</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18,647</w:t>
            </w:r>
          </w:p>
        </w:tc>
      </w:tr>
      <w:tr w:rsidR="00B93188" w:rsidRPr="00B93188" w:rsidTr="00B93188">
        <w:trPr>
          <w:trHeight w:val="170"/>
          <w:jc w:val="center"/>
        </w:trPr>
        <w:tc>
          <w:tcPr>
            <w:tcW w:w="10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49,189</w:t>
            </w:r>
          </w:p>
        </w:tc>
        <w:tc>
          <w:tcPr>
            <w:tcW w:w="2217" w:type="dxa"/>
            <w:noWrap/>
          </w:tcPr>
          <w:p w:rsidR="00B93188" w:rsidRPr="00B93188" w:rsidRDefault="00B93188" w:rsidP="00B93188">
            <w:pPr>
              <w:ind w:left="142" w:hanging="142"/>
              <w:rPr>
                <w:rFonts w:ascii="Calibri" w:hAnsi="Calibri"/>
                <w:sz w:val="18"/>
                <w:szCs w:val="18"/>
              </w:rPr>
            </w:pPr>
            <w:r w:rsidRPr="00B93188">
              <w:rPr>
                <w:rFonts w:ascii="Calibri" w:hAnsi="Calibri"/>
                <w:sz w:val="18"/>
                <w:szCs w:val="18"/>
              </w:rPr>
              <w:t>Other Miscellaneous Revenue</w:t>
            </w:r>
          </w:p>
        </w:tc>
        <w:tc>
          <w:tcPr>
            <w:tcW w:w="132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58,117</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49,907</w:t>
            </w:r>
          </w:p>
        </w:tc>
        <w:tc>
          <w:tcPr>
            <w:tcW w:w="564"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 xml:space="preserve">-14 </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50,243</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51,811</w:t>
            </w:r>
          </w:p>
        </w:tc>
        <w:tc>
          <w:tcPr>
            <w:tcW w:w="1011" w:type="dxa"/>
            <w:noWrap/>
          </w:tcPr>
          <w:p w:rsidR="00B93188" w:rsidRPr="00B93188" w:rsidRDefault="00B93188" w:rsidP="00B93188">
            <w:pPr>
              <w:jc w:val="right"/>
              <w:rPr>
                <w:rFonts w:ascii="Calibri" w:hAnsi="Calibri" w:cs="Arial"/>
                <w:sz w:val="18"/>
                <w:szCs w:val="18"/>
              </w:rPr>
            </w:pPr>
            <w:r w:rsidRPr="00B93188">
              <w:rPr>
                <w:rFonts w:ascii="Calibri" w:hAnsi="Calibri" w:cs="Arial"/>
                <w:sz w:val="18"/>
                <w:szCs w:val="18"/>
              </w:rPr>
              <w:t>52,685</w:t>
            </w:r>
          </w:p>
        </w:tc>
      </w:tr>
      <w:tr w:rsidR="00B93188" w:rsidRPr="00B93188" w:rsidTr="00B93188">
        <w:trPr>
          <w:trHeight w:val="170"/>
          <w:jc w:val="center"/>
        </w:trPr>
        <w:tc>
          <w:tcPr>
            <w:tcW w:w="1021" w:type="dxa"/>
            <w:tcBorders>
              <w:bottom w:val="single" w:sz="4" w:space="0" w:color="auto"/>
            </w:tcBorders>
            <w:noWrap/>
          </w:tcPr>
          <w:p w:rsidR="00B93188" w:rsidRPr="00B93188" w:rsidRDefault="00072D47" w:rsidP="00B93188">
            <w:pPr>
              <w:jc w:val="right"/>
              <w:rPr>
                <w:rFonts w:ascii="Calibri" w:hAnsi="Calibri" w:cs="Arial"/>
                <w:b/>
                <w:bCs/>
                <w:sz w:val="18"/>
                <w:szCs w:val="18"/>
              </w:rPr>
            </w:pPr>
            <w:r>
              <w:rPr>
                <w:rFonts w:ascii="Calibri" w:hAnsi="Calibri" w:cs="Arial"/>
                <w:b/>
                <w:bCs/>
                <w:sz w:val="18"/>
                <w:szCs w:val="18"/>
              </w:rPr>
              <w:t>96,422</w:t>
            </w:r>
          </w:p>
        </w:tc>
        <w:tc>
          <w:tcPr>
            <w:tcW w:w="2217" w:type="dxa"/>
            <w:tcBorders>
              <w:bottom w:val="single" w:sz="4" w:space="0" w:color="auto"/>
            </w:tcBorders>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Other</w:t>
            </w:r>
          </w:p>
        </w:tc>
        <w:tc>
          <w:tcPr>
            <w:tcW w:w="1321" w:type="dxa"/>
            <w:tcBorders>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107,258</w:t>
            </w:r>
          </w:p>
        </w:tc>
        <w:tc>
          <w:tcPr>
            <w:tcW w:w="1011" w:type="dxa"/>
            <w:tcBorders>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99,507</w:t>
            </w:r>
          </w:p>
        </w:tc>
        <w:tc>
          <w:tcPr>
            <w:tcW w:w="564" w:type="dxa"/>
            <w:tcBorders>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-7 </w:t>
            </w:r>
          </w:p>
        </w:tc>
        <w:tc>
          <w:tcPr>
            <w:tcW w:w="1011" w:type="dxa"/>
            <w:tcBorders>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99,818</w:t>
            </w:r>
          </w:p>
        </w:tc>
        <w:tc>
          <w:tcPr>
            <w:tcW w:w="1011" w:type="dxa"/>
            <w:tcBorders>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100,987</w:t>
            </w:r>
          </w:p>
        </w:tc>
        <w:tc>
          <w:tcPr>
            <w:tcW w:w="1011" w:type="dxa"/>
            <w:tcBorders>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102,545</w:t>
            </w:r>
          </w:p>
        </w:tc>
      </w:tr>
      <w:tr w:rsidR="00B93188" w:rsidRPr="00B93188" w:rsidTr="00B93188">
        <w:trPr>
          <w:trHeight w:val="170"/>
          <w:jc w:val="center"/>
        </w:trPr>
        <w:tc>
          <w:tcPr>
            <w:tcW w:w="1021" w:type="dxa"/>
            <w:tcBorders>
              <w:top w:val="single" w:sz="4" w:space="0" w:color="auto"/>
              <w:bottom w:val="single" w:sz="4" w:space="0" w:color="auto"/>
            </w:tcBorders>
            <w:noWrap/>
            <w:vAlign w:val="center"/>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131,421</w:t>
            </w:r>
          </w:p>
        </w:tc>
        <w:tc>
          <w:tcPr>
            <w:tcW w:w="2217" w:type="dxa"/>
            <w:tcBorders>
              <w:top w:val="single" w:sz="4" w:space="0" w:color="auto"/>
              <w:bottom w:val="single" w:sz="4" w:space="0" w:color="auto"/>
            </w:tcBorders>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Other Revenue</w:t>
            </w:r>
          </w:p>
        </w:tc>
        <w:tc>
          <w:tcPr>
            <w:tcW w:w="1321" w:type="dxa"/>
            <w:tcBorders>
              <w:top w:val="single" w:sz="4" w:space="0" w:color="auto"/>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137,530</w:t>
            </w:r>
          </w:p>
        </w:tc>
        <w:tc>
          <w:tcPr>
            <w:tcW w:w="1011" w:type="dxa"/>
            <w:tcBorders>
              <w:top w:val="single" w:sz="4" w:space="0" w:color="auto"/>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134,845</w:t>
            </w:r>
          </w:p>
        </w:tc>
        <w:tc>
          <w:tcPr>
            <w:tcW w:w="564" w:type="dxa"/>
            <w:tcBorders>
              <w:top w:val="single" w:sz="4" w:space="0" w:color="auto"/>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 xml:space="preserve">-2 </w:t>
            </w:r>
          </w:p>
        </w:tc>
        <w:tc>
          <w:tcPr>
            <w:tcW w:w="1011" w:type="dxa"/>
            <w:tcBorders>
              <w:top w:val="single" w:sz="4" w:space="0" w:color="auto"/>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137,770</w:t>
            </w:r>
          </w:p>
        </w:tc>
        <w:tc>
          <w:tcPr>
            <w:tcW w:w="1011" w:type="dxa"/>
            <w:tcBorders>
              <w:top w:val="single" w:sz="4" w:space="0" w:color="auto"/>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140,426</w:t>
            </w:r>
          </w:p>
        </w:tc>
        <w:tc>
          <w:tcPr>
            <w:tcW w:w="1011" w:type="dxa"/>
            <w:tcBorders>
              <w:top w:val="single" w:sz="4" w:space="0" w:color="auto"/>
              <w:bottom w:val="single" w:sz="4" w:space="0" w:color="auto"/>
            </w:tcBorders>
            <w:noWrap/>
          </w:tcPr>
          <w:p w:rsidR="00B93188" w:rsidRPr="00B93188" w:rsidRDefault="00B93188" w:rsidP="00B93188">
            <w:pPr>
              <w:jc w:val="right"/>
              <w:rPr>
                <w:rFonts w:ascii="Calibri" w:hAnsi="Calibri" w:cs="Arial"/>
                <w:b/>
                <w:bCs/>
                <w:sz w:val="18"/>
                <w:szCs w:val="18"/>
              </w:rPr>
            </w:pPr>
            <w:r w:rsidRPr="00B93188">
              <w:rPr>
                <w:rFonts w:ascii="Calibri" w:hAnsi="Calibri" w:cs="Arial"/>
                <w:b/>
                <w:bCs/>
                <w:sz w:val="18"/>
                <w:szCs w:val="18"/>
              </w:rPr>
              <w:t>143,530</w:t>
            </w:r>
          </w:p>
        </w:tc>
      </w:tr>
    </w:tbl>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Traffic Infringement Fines </w:t>
      </w:r>
    </w:p>
    <w:p w:rsidR="00B93188" w:rsidRPr="00B93188" w:rsidRDefault="00B93188" w:rsidP="00983072">
      <w:pPr>
        <w:keepNext/>
        <w:keepLines/>
        <w:spacing w:before="120" w:after="120"/>
        <w:jc w:val="both"/>
        <w:rPr>
          <w:rFonts w:ascii="Calibri" w:eastAsia="Arial Unicode MS" w:hAnsi="Calibri"/>
          <w:sz w:val="24"/>
          <w:highlight w:val="yellow"/>
        </w:rPr>
      </w:pPr>
      <w:r w:rsidRPr="00B93188">
        <w:rPr>
          <w:rFonts w:ascii="Calibri" w:hAnsi="Calibri"/>
          <w:sz w:val="24"/>
        </w:rPr>
        <w:t>The estimated revenue from traffic infringement fines in 2013-14 is $20.2 million and the forecast for 2014-15 is $22.3 million.  The increase of $2.</w:t>
      </w:r>
      <w:r w:rsidR="00072D47">
        <w:rPr>
          <w:rFonts w:ascii="Calibri" w:hAnsi="Calibri"/>
          <w:sz w:val="24"/>
        </w:rPr>
        <w:t>1</w:t>
      </w:r>
      <w:r w:rsidRPr="00B93188">
        <w:rPr>
          <w:rFonts w:ascii="Calibri" w:hAnsi="Calibri"/>
          <w:sz w:val="24"/>
        </w:rPr>
        <w:t xml:space="preserve"> million mainly reflects new initiatives and indexation.</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Parking Fines</w:t>
      </w:r>
    </w:p>
    <w:p w:rsidR="00B93188" w:rsidRPr="00B93188" w:rsidRDefault="00B93188" w:rsidP="00983072">
      <w:pPr>
        <w:keepNext/>
        <w:keepLines/>
        <w:spacing w:before="120" w:after="120"/>
        <w:jc w:val="both"/>
        <w:rPr>
          <w:rFonts w:ascii="Calibri" w:hAnsi="Calibri"/>
          <w:sz w:val="24"/>
          <w:lang w:eastAsia="en-AU"/>
        </w:rPr>
      </w:pPr>
      <w:r w:rsidRPr="00B93188">
        <w:rPr>
          <w:rFonts w:ascii="Calibri" w:hAnsi="Calibri"/>
          <w:sz w:val="24"/>
          <w:lang w:eastAsia="en-AU"/>
        </w:rPr>
        <w:t>Parking fine revenue is expected to increase from $9.4 million in 2013-14 to $12.4 </w:t>
      </w:r>
      <w:r w:rsidR="00794A37">
        <w:rPr>
          <w:rFonts w:ascii="Calibri" w:hAnsi="Calibri"/>
          <w:sz w:val="24"/>
          <w:lang w:eastAsia="en-AU"/>
        </w:rPr>
        <w:t xml:space="preserve">million </w:t>
      </w:r>
      <w:r w:rsidRPr="00B93188">
        <w:rPr>
          <w:rFonts w:ascii="Calibri" w:hAnsi="Calibri"/>
          <w:sz w:val="24"/>
          <w:lang w:eastAsia="en-AU"/>
        </w:rPr>
        <w:t xml:space="preserve">mainly due to new initiatives and indexation.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Superannuation Contributions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This item represents the payment of employer superannuation contributions to the Territory Banking Account (TBA) by the PTE sector and external sector (ActewAGL).  The contribution calculations are based on annual actuarially determined employer contribution rates for either the CSS or PSS membership.  This item also includes the employee contributions to the TBA by those Members of the Legislative Assembly who are members of the defined benefit superannuation arrangement.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Rents and Commutation</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Rents and commutation income is expected to increase by $1.7 million in the estimated outcome from the original budget mainly due to higher rental revenue under the land rent scheme.  </w:t>
      </w:r>
    </w:p>
    <w:p w:rsidR="00B93188" w:rsidRPr="00B93188" w:rsidRDefault="00B93188" w:rsidP="00983072">
      <w:pPr>
        <w:keepNext/>
        <w:keepLines/>
        <w:spacing w:before="120" w:after="120"/>
        <w:jc w:val="both"/>
        <w:rPr>
          <w:rFonts w:ascii="Calibri" w:hAnsi="Calibri"/>
          <w:sz w:val="24"/>
          <w:highlight w:val="yellow"/>
        </w:rPr>
      </w:pPr>
      <w:r w:rsidRPr="00B93188">
        <w:rPr>
          <w:rFonts w:ascii="Calibri" w:hAnsi="Calibri"/>
          <w:sz w:val="24"/>
        </w:rPr>
        <w:t>The 2014-15 Budget forecast of $16.2 million is broadly consistent with the 2013</w:t>
      </w:r>
      <w:r w:rsidR="004D3C7B">
        <w:rPr>
          <w:rFonts w:ascii="Calibri" w:hAnsi="Calibri"/>
          <w:sz w:val="24"/>
        </w:rPr>
        <w:t>-</w:t>
      </w:r>
      <w:r w:rsidRPr="00B93188">
        <w:rPr>
          <w:rFonts w:ascii="Calibri" w:hAnsi="Calibri"/>
          <w:sz w:val="24"/>
        </w:rPr>
        <w:t>14 estimated outcome.</w:t>
      </w:r>
    </w:p>
    <w:p w:rsidR="00B93188" w:rsidRPr="00B93188" w:rsidRDefault="00B93188" w:rsidP="00983072">
      <w:pPr>
        <w:keepNext/>
        <w:keepLines/>
        <w:spacing w:before="120" w:after="120"/>
        <w:outlineLvl w:val="3"/>
        <w:rPr>
          <w:rFonts w:ascii="Calibri" w:hAnsi="Calibri"/>
          <w:i/>
          <w:sz w:val="24"/>
        </w:rPr>
      </w:pPr>
      <w:r>
        <w:rPr>
          <w:rFonts w:ascii="Calibri" w:hAnsi="Calibri"/>
          <w:i/>
          <w:sz w:val="24"/>
        </w:rPr>
        <w:br w:type="page"/>
      </w:r>
      <w:r w:rsidRPr="00B93188">
        <w:rPr>
          <w:rFonts w:ascii="Calibri" w:hAnsi="Calibri"/>
          <w:i/>
          <w:sz w:val="24"/>
        </w:rPr>
        <w:lastRenderedPageBreak/>
        <w:t xml:space="preserve">Contributions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This item includes voluntary contributions, fundraising and excursion funds, and revenue from hire of school buildings, which are collected by Schools and the Education and Training Directorate.  </w:t>
      </w:r>
    </w:p>
    <w:p w:rsidR="00B93188" w:rsidRPr="00B93188" w:rsidRDefault="00B93188" w:rsidP="00983072">
      <w:pPr>
        <w:keepNext/>
        <w:keepLines/>
        <w:spacing w:before="120" w:after="120"/>
        <w:outlineLvl w:val="3"/>
        <w:rPr>
          <w:rFonts w:ascii="Calibri" w:hAnsi="Calibri"/>
          <w:i/>
          <w:sz w:val="24"/>
        </w:rPr>
      </w:pPr>
      <w:r w:rsidRPr="00B93188">
        <w:rPr>
          <w:rFonts w:ascii="Calibri" w:hAnsi="Calibri"/>
          <w:i/>
          <w:sz w:val="24"/>
        </w:rPr>
        <w:t xml:space="preserve">Other Miscellaneous Revenue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Other miscellaneous revenue is expected to decrease in 2014-15 compared to the 2013-14 estimated outcome by $8.2 million mainly due to lower legal recoveries.</w:t>
      </w:r>
    </w:p>
    <w:p w:rsidR="00B93188" w:rsidRPr="00B93188" w:rsidRDefault="00B93188" w:rsidP="00983072">
      <w:pPr>
        <w:keepNext/>
        <w:keepLines/>
        <w:spacing w:before="120" w:after="120"/>
        <w:jc w:val="both"/>
        <w:rPr>
          <w:rFonts w:ascii="Calibri" w:hAnsi="Calibri"/>
          <w:sz w:val="24"/>
          <w:highlight w:val="yellow"/>
        </w:rPr>
      </w:pPr>
      <w:r w:rsidRPr="00B93188">
        <w:rPr>
          <w:rFonts w:ascii="Calibri" w:hAnsi="Calibri"/>
          <w:sz w:val="24"/>
        </w:rPr>
        <w:t>Table 6.1.16 below provides a breakdown of other miscellaneous revenue.</w:t>
      </w:r>
    </w:p>
    <w:p w:rsidR="00B93188" w:rsidRPr="00B93188" w:rsidRDefault="00B93188" w:rsidP="00B93188">
      <w:pPr>
        <w:keepNext/>
        <w:keepLines/>
        <w:spacing w:before="60"/>
        <w:jc w:val="center"/>
        <w:rPr>
          <w:rFonts w:ascii="Arial" w:hAnsi="Arial"/>
          <w:b/>
        </w:rPr>
      </w:pPr>
      <w:r w:rsidRPr="00B93188">
        <w:rPr>
          <w:rFonts w:ascii="Arial" w:hAnsi="Arial"/>
          <w:b/>
        </w:rPr>
        <w:t>Table 6.1.16</w:t>
      </w:r>
    </w:p>
    <w:p w:rsidR="00B93188" w:rsidRPr="00B93188" w:rsidRDefault="00B93188" w:rsidP="00B93188">
      <w:pPr>
        <w:keepNext/>
        <w:keepLines/>
        <w:spacing w:after="120"/>
        <w:jc w:val="center"/>
        <w:rPr>
          <w:rFonts w:ascii="Arial" w:hAnsi="Arial"/>
          <w:b/>
        </w:rPr>
      </w:pPr>
      <w:r w:rsidRPr="00B93188">
        <w:rPr>
          <w:rFonts w:ascii="Arial" w:hAnsi="Arial"/>
          <w:b/>
        </w:rPr>
        <w:t>Breakdown – Other Miscellaneous Revenue</w:t>
      </w:r>
    </w:p>
    <w:tbl>
      <w:tblPr>
        <w:tblW w:w="9100" w:type="dxa"/>
        <w:tblLook w:val="0000"/>
      </w:tblPr>
      <w:tblGrid>
        <w:gridCol w:w="3351"/>
        <w:gridCol w:w="1405"/>
        <w:gridCol w:w="1086"/>
        <w:gridCol w:w="1086"/>
        <w:gridCol w:w="1086"/>
        <w:gridCol w:w="1086"/>
      </w:tblGrid>
      <w:tr w:rsidR="00B93188" w:rsidRPr="00B93188" w:rsidTr="00B93188">
        <w:trPr>
          <w:trHeight w:val="170"/>
        </w:trPr>
        <w:tc>
          <w:tcPr>
            <w:tcW w:w="3351"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405"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2013-14</w:t>
            </w:r>
          </w:p>
        </w:tc>
        <w:tc>
          <w:tcPr>
            <w:tcW w:w="1086"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2014-15</w:t>
            </w:r>
          </w:p>
        </w:tc>
        <w:tc>
          <w:tcPr>
            <w:tcW w:w="1086"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2015-16</w:t>
            </w:r>
          </w:p>
        </w:tc>
        <w:tc>
          <w:tcPr>
            <w:tcW w:w="1086"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2016-17</w:t>
            </w:r>
          </w:p>
        </w:tc>
        <w:tc>
          <w:tcPr>
            <w:tcW w:w="1086" w:type="dxa"/>
            <w:tcBorders>
              <w:top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2017-18</w:t>
            </w:r>
          </w:p>
        </w:tc>
      </w:tr>
      <w:tr w:rsidR="00B93188" w:rsidRPr="00B93188" w:rsidTr="00B93188">
        <w:trPr>
          <w:trHeight w:val="170"/>
        </w:trPr>
        <w:tc>
          <w:tcPr>
            <w:tcW w:w="3351" w:type="dxa"/>
            <w:noWrap/>
          </w:tcPr>
          <w:p w:rsidR="00B93188" w:rsidRPr="00B93188" w:rsidRDefault="00B93188" w:rsidP="00B93188">
            <w:pPr>
              <w:spacing w:before="10" w:after="10"/>
              <w:jc w:val="right"/>
              <w:rPr>
                <w:rFonts w:ascii="Calibri" w:hAnsi="Calibri"/>
                <w:b/>
                <w:sz w:val="18"/>
                <w:szCs w:val="18"/>
              </w:rPr>
            </w:pPr>
          </w:p>
        </w:tc>
        <w:tc>
          <w:tcPr>
            <w:tcW w:w="1405"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 Outcome</w:t>
            </w:r>
          </w:p>
        </w:tc>
        <w:tc>
          <w:tcPr>
            <w:tcW w:w="1086"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Budget</w:t>
            </w:r>
          </w:p>
        </w:tc>
        <w:tc>
          <w:tcPr>
            <w:tcW w:w="1086"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86"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c>
          <w:tcPr>
            <w:tcW w:w="1086" w:type="dxa"/>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Estimate</w:t>
            </w:r>
          </w:p>
        </w:tc>
      </w:tr>
      <w:tr w:rsidR="00B93188" w:rsidRPr="00B93188" w:rsidTr="00B93188">
        <w:trPr>
          <w:trHeight w:val="170"/>
        </w:trPr>
        <w:tc>
          <w:tcPr>
            <w:tcW w:w="3351"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 </w:t>
            </w:r>
          </w:p>
        </w:tc>
        <w:tc>
          <w:tcPr>
            <w:tcW w:w="1405"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86"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86"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86"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c>
          <w:tcPr>
            <w:tcW w:w="1086" w:type="dxa"/>
            <w:tcBorders>
              <w:bottom w:val="single" w:sz="4" w:space="0" w:color="auto"/>
            </w:tcBorders>
            <w:noWrap/>
          </w:tcPr>
          <w:p w:rsidR="00B93188" w:rsidRPr="00B93188" w:rsidRDefault="00B93188" w:rsidP="00B93188">
            <w:pPr>
              <w:spacing w:before="10" w:after="10"/>
              <w:jc w:val="right"/>
              <w:rPr>
                <w:rFonts w:ascii="Calibri" w:hAnsi="Calibri"/>
                <w:b/>
                <w:bCs/>
                <w:sz w:val="18"/>
                <w:szCs w:val="18"/>
              </w:rPr>
            </w:pPr>
            <w:r w:rsidRPr="00B93188">
              <w:rPr>
                <w:rFonts w:ascii="Calibri" w:hAnsi="Calibri"/>
                <w:b/>
                <w:bCs/>
                <w:sz w:val="18"/>
                <w:szCs w:val="18"/>
              </w:rPr>
              <w:t>$'000</w:t>
            </w:r>
          </w:p>
        </w:tc>
      </w:tr>
      <w:tr w:rsidR="00B93188" w:rsidRPr="00B93188" w:rsidTr="00B93188">
        <w:trPr>
          <w:trHeight w:val="170"/>
        </w:trPr>
        <w:tc>
          <w:tcPr>
            <w:tcW w:w="3351" w:type="dxa"/>
            <w:noWrap/>
            <w:vAlign w:val="bottom"/>
          </w:tcPr>
          <w:p w:rsidR="00B93188" w:rsidRPr="00B93188" w:rsidRDefault="00B93188" w:rsidP="00B93188">
            <w:pPr>
              <w:ind w:left="142" w:hanging="142"/>
              <w:rPr>
                <w:rFonts w:ascii="Calibri" w:hAnsi="Calibri"/>
                <w:sz w:val="18"/>
                <w:szCs w:val="18"/>
              </w:rPr>
            </w:pPr>
            <w:r w:rsidRPr="00B93188">
              <w:rPr>
                <w:rFonts w:ascii="Calibri" w:hAnsi="Calibri"/>
                <w:sz w:val="18"/>
                <w:szCs w:val="18"/>
              </w:rPr>
              <w:t>Revenue from Financial Investments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2,466</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1,172</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1,368</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1,470</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1,579</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Donations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1,064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1,084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1,104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1,124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1,137</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Sponsorships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198</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203</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203</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203</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203</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Other Grants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26,225</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26,074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26,487</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27,187</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27,545</w:t>
            </w:r>
          </w:p>
        </w:tc>
      </w:tr>
      <w:tr w:rsidR="00B93188" w:rsidRPr="00B93188" w:rsidTr="00B93188">
        <w:trPr>
          <w:trHeight w:val="151"/>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Recoveries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19,554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13,564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13,166</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13,840</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14,218</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Salary Packaging</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1,693</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1,716</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1,740</w:t>
            </w:r>
          </w:p>
        </w:tc>
        <w:tc>
          <w:tcPr>
            <w:tcW w:w="1086" w:type="dxa"/>
            <w:noWrap/>
            <w:vAlign w:val="bottom"/>
          </w:tcPr>
          <w:p w:rsidR="00B93188" w:rsidRPr="00B93188" w:rsidRDefault="00072D47" w:rsidP="00B93188">
            <w:pPr>
              <w:jc w:val="right"/>
              <w:rPr>
                <w:rFonts w:ascii="Calibri" w:hAnsi="Calibri"/>
                <w:sz w:val="18"/>
                <w:szCs w:val="18"/>
              </w:rPr>
            </w:pPr>
            <w:r>
              <w:rPr>
                <w:rFonts w:ascii="Calibri" w:hAnsi="Calibri"/>
                <w:sz w:val="18"/>
                <w:szCs w:val="18"/>
              </w:rPr>
              <w:t>1,</w:t>
            </w:r>
            <w:r w:rsidR="00B93188" w:rsidRPr="00B93188">
              <w:rPr>
                <w:rFonts w:ascii="Calibri" w:hAnsi="Calibri"/>
                <w:sz w:val="18"/>
                <w:szCs w:val="18"/>
              </w:rPr>
              <w:t>764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1,794</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Contributions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1,500</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1,035</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1,126</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1,124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1,124</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Perpetual Care Trust</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2,094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1,952</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2,001</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2,081</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2,133</w:t>
            </w:r>
          </w:p>
        </w:tc>
      </w:tr>
      <w:tr w:rsidR="00B93188" w:rsidRPr="00B93188" w:rsidTr="00B93188">
        <w:trPr>
          <w:trHeight w:val="170"/>
        </w:trPr>
        <w:tc>
          <w:tcPr>
            <w:tcW w:w="3351" w:type="dxa"/>
            <w:noWrap/>
            <w:vAlign w:val="bottom"/>
          </w:tcPr>
          <w:p w:rsidR="00B93188" w:rsidRPr="00B93188" w:rsidRDefault="00B93188" w:rsidP="00B93188">
            <w:pPr>
              <w:ind w:left="142" w:hanging="142"/>
              <w:rPr>
                <w:rFonts w:ascii="Calibri" w:hAnsi="Calibri"/>
                <w:sz w:val="18"/>
                <w:szCs w:val="18"/>
              </w:rPr>
            </w:pPr>
            <w:r w:rsidRPr="00B93188">
              <w:rPr>
                <w:rFonts w:ascii="Calibri" w:hAnsi="Calibri"/>
                <w:sz w:val="18"/>
                <w:szCs w:val="18"/>
              </w:rPr>
              <w:t>Problem Gambling Assistance Fund</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1,058</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1,085</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1,112</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1,140</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1,169</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Regulatory Fees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1,363</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1,364</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1,366</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1,368</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1,368</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rPr>
            </w:pPr>
            <w:r w:rsidRPr="00B93188">
              <w:rPr>
                <w:rFonts w:ascii="Calibri" w:hAnsi="Calibri"/>
                <w:sz w:val="18"/>
                <w:szCs w:val="18"/>
              </w:rPr>
              <w:t>Unclaimed Monies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31</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32</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32</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33</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33</w:t>
            </w:r>
          </w:p>
        </w:tc>
      </w:tr>
      <w:tr w:rsidR="00B93188" w:rsidRPr="00B93188" w:rsidTr="00B93188">
        <w:trPr>
          <w:trHeight w:val="170"/>
        </w:trPr>
        <w:tc>
          <w:tcPr>
            <w:tcW w:w="3351" w:type="dxa"/>
            <w:noWrap/>
            <w:vAlign w:val="bottom"/>
          </w:tcPr>
          <w:p w:rsidR="00B93188" w:rsidRPr="00B93188" w:rsidRDefault="00B93188" w:rsidP="00B93188">
            <w:pPr>
              <w:rPr>
                <w:rFonts w:ascii="Calibri" w:hAnsi="Calibri"/>
                <w:sz w:val="18"/>
                <w:szCs w:val="18"/>
                <w:highlight w:val="yellow"/>
              </w:rPr>
            </w:pPr>
            <w:r w:rsidRPr="00B93188">
              <w:rPr>
                <w:rFonts w:ascii="Calibri" w:hAnsi="Calibri"/>
                <w:sz w:val="18"/>
                <w:szCs w:val="18"/>
              </w:rPr>
              <w:t>Miscellaneous</w:t>
            </w:r>
          </w:p>
        </w:tc>
        <w:tc>
          <w:tcPr>
            <w:tcW w:w="1405"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871</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626</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538</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477</w:t>
            </w:r>
          </w:p>
        </w:tc>
        <w:tc>
          <w:tcPr>
            <w:tcW w:w="1086" w:type="dxa"/>
            <w:noWrap/>
            <w:vAlign w:val="bottom"/>
          </w:tcPr>
          <w:p w:rsidR="00B93188" w:rsidRPr="00B93188" w:rsidRDefault="00B93188" w:rsidP="00B93188">
            <w:pPr>
              <w:jc w:val="right"/>
              <w:rPr>
                <w:rFonts w:ascii="Calibri" w:hAnsi="Calibri"/>
                <w:sz w:val="18"/>
                <w:szCs w:val="18"/>
              </w:rPr>
            </w:pPr>
            <w:r w:rsidRPr="00B93188">
              <w:rPr>
                <w:rFonts w:ascii="Calibri" w:hAnsi="Calibri"/>
                <w:sz w:val="18"/>
                <w:szCs w:val="18"/>
              </w:rPr>
              <w:t>382</w:t>
            </w:r>
          </w:p>
        </w:tc>
      </w:tr>
      <w:tr w:rsidR="00B93188" w:rsidRPr="00B93188" w:rsidTr="00B93188">
        <w:trPr>
          <w:trHeight w:val="170"/>
        </w:trPr>
        <w:tc>
          <w:tcPr>
            <w:tcW w:w="3351" w:type="dxa"/>
            <w:tcBorders>
              <w:top w:val="single" w:sz="4" w:space="0" w:color="auto"/>
              <w:bottom w:val="single" w:sz="4" w:space="0" w:color="auto"/>
            </w:tcBorders>
            <w:noWrap/>
          </w:tcPr>
          <w:p w:rsidR="00B93188" w:rsidRPr="00B93188" w:rsidRDefault="00B93188" w:rsidP="00B93188">
            <w:pPr>
              <w:spacing w:before="16" w:after="16"/>
              <w:ind w:left="142" w:hanging="142"/>
              <w:rPr>
                <w:rFonts w:ascii="Calibri" w:hAnsi="Calibri"/>
                <w:b/>
                <w:sz w:val="18"/>
                <w:szCs w:val="18"/>
              </w:rPr>
            </w:pPr>
            <w:r w:rsidRPr="00B93188">
              <w:rPr>
                <w:rFonts w:ascii="Calibri" w:hAnsi="Calibri"/>
                <w:b/>
                <w:sz w:val="18"/>
                <w:szCs w:val="18"/>
              </w:rPr>
              <w:t>Total Other Miscellaneous Revenue</w:t>
            </w:r>
          </w:p>
        </w:tc>
        <w:tc>
          <w:tcPr>
            <w:tcW w:w="1405" w:type="dxa"/>
            <w:tcBorders>
              <w:top w:val="single" w:sz="4" w:space="0" w:color="auto"/>
              <w:bottom w:val="single" w:sz="4" w:space="0" w:color="auto"/>
            </w:tcBorders>
            <w:noWrap/>
            <w:vAlign w:val="bottom"/>
          </w:tcPr>
          <w:p w:rsidR="00B93188" w:rsidRPr="00B93188" w:rsidRDefault="00B93188" w:rsidP="00B93188">
            <w:pPr>
              <w:jc w:val="right"/>
              <w:rPr>
                <w:rFonts w:ascii="Calibri" w:hAnsi="Calibri"/>
                <w:b/>
                <w:bCs/>
                <w:sz w:val="18"/>
                <w:szCs w:val="18"/>
              </w:rPr>
            </w:pPr>
            <w:r w:rsidRPr="00B93188">
              <w:rPr>
                <w:rFonts w:ascii="Calibri" w:hAnsi="Calibri"/>
                <w:b/>
                <w:bCs/>
                <w:sz w:val="18"/>
                <w:szCs w:val="18"/>
              </w:rPr>
              <w:t>58,117</w:t>
            </w:r>
          </w:p>
        </w:tc>
        <w:tc>
          <w:tcPr>
            <w:tcW w:w="1086" w:type="dxa"/>
            <w:tcBorders>
              <w:top w:val="single" w:sz="4" w:space="0" w:color="auto"/>
              <w:bottom w:val="single" w:sz="4" w:space="0" w:color="auto"/>
            </w:tcBorders>
            <w:noWrap/>
            <w:vAlign w:val="bottom"/>
          </w:tcPr>
          <w:p w:rsidR="00B93188" w:rsidRPr="00B93188" w:rsidRDefault="00B93188" w:rsidP="00B93188">
            <w:pPr>
              <w:jc w:val="right"/>
              <w:rPr>
                <w:rFonts w:ascii="Calibri" w:hAnsi="Calibri"/>
                <w:b/>
                <w:bCs/>
                <w:sz w:val="18"/>
                <w:szCs w:val="18"/>
              </w:rPr>
            </w:pPr>
            <w:r w:rsidRPr="00B93188">
              <w:rPr>
                <w:rFonts w:ascii="Calibri" w:hAnsi="Calibri"/>
                <w:b/>
                <w:bCs/>
                <w:sz w:val="18"/>
                <w:szCs w:val="18"/>
              </w:rPr>
              <w:t>49,907</w:t>
            </w:r>
          </w:p>
        </w:tc>
        <w:tc>
          <w:tcPr>
            <w:tcW w:w="1086" w:type="dxa"/>
            <w:tcBorders>
              <w:top w:val="single" w:sz="4" w:space="0" w:color="auto"/>
              <w:bottom w:val="single" w:sz="4" w:space="0" w:color="auto"/>
            </w:tcBorders>
            <w:noWrap/>
            <w:vAlign w:val="bottom"/>
          </w:tcPr>
          <w:p w:rsidR="00B93188" w:rsidRPr="00B93188" w:rsidRDefault="00B93188" w:rsidP="00B93188">
            <w:pPr>
              <w:jc w:val="right"/>
              <w:rPr>
                <w:rFonts w:ascii="Calibri" w:hAnsi="Calibri"/>
                <w:b/>
                <w:bCs/>
                <w:sz w:val="18"/>
                <w:szCs w:val="18"/>
              </w:rPr>
            </w:pPr>
            <w:r w:rsidRPr="00B93188">
              <w:rPr>
                <w:rFonts w:ascii="Calibri" w:hAnsi="Calibri"/>
                <w:b/>
                <w:bCs/>
                <w:sz w:val="18"/>
                <w:szCs w:val="18"/>
              </w:rPr>
              <w:t>50,243</w:t>
            </w:r>
          </w:p>
        </w:tc>
        <w:tc>
          <w:tcPr>
            <w:tcW w:w="1086" w:type="dxa"/>
            <w:tcBorders>
              <w:top w:val="single" w:sz="4" w:space="0" w:color="auto"/>
              <w:bottom w:val="single" w:sz="4" w:space="0" w:color="auto"/>
            </w:tcBorders>
            <w:noWrap/>
            <w:vAlign w:val="bottom"/>
          </w:tcPr>
          <w:p w:rsidR="00B93188" w:rsidRPr="00B93188" w:rsidRDefault="00B93188" w:rsidP="00B93188">
            <w:pPr>
              <w:jc w:val="right"/>
              <w:rPr>
                <w:rFonts w:ascii="Calibri" w:hAnsi="Calibri"/>
                <w:b/>
                <w:bCs/>
                <w:sz w:val="18"/>
                <w:szCs w:val="18"/>
              </w:rPr>
            </w:pPr>
            <w:r w:rsidRPr="00B93188">
              <w:rPr>
                <w:rFonts w:ascii="Calibri" w:hAnsi="Calibri"/>
                <w:b/>
                <w:bCs/>
                <w:sz w:val="18"/>
                <w:szCs w:val="18"/>
              </w:rPr>
              <w:t>51,811</w:t>
            </w:r>
          </w:p>
        </w:tc>
        <w:tc>
          <w:tcPr>
            <w:tcW w:w="1086" w:type="dxa"/>
            <w:tcBorders>
              <w:top w:val="single" w:sz="4" w:space="0" w:color="auto"/>
              <w:bottom w:val="single" w:sz="4" w:space="0" w:color="auto"/>
            </w:tcBorders>
            <w:noWrap/>
            <w:vAlign w:val="bottom"/>
          </w:tcPr>
          <w:p w:rsidR="00B93188" w:rsidRPr="00B93188" w:rsidRDefault="00B93188" w:rsidP="00B93188">
            <w:pPr>
              <w:jc w:val="right"/>
              <w:rPr>
                <w:rFonts w:ascii="Calibri" w:hAnsi="Calibri"/>
                <w:b/>
                <w:bCs/>
                <w:sz w:val="18"/>
                <w:szCs w:val="18"/>
              </w:rPr>
            </w:pPr>
            <w:r w:rsidRPr="00B93188">
              <w:rPr>
                <w:rFonts w:ascii="Calibri" w:hAnsi="Calibri"/>
                <w:b/>
                <w:bCs/>
                <w:sz w:val="18"/>
                <w:szCs w:val="18"/>
              </w:rPr>
              <w:t>52,685</w:t>
            </w:r>
          </w:p>
        </w:tc>
      </w:tr>
    </w:tbl>
    <w:p w:rsidR="00B93188" w:rsidRDefault="00B93188">
      <w:pPr>
        <w:pStyle w:val="BodyText"/>
        <w:sectPr w:rsidR="00B93188" w:rsidSect="00291C3C">
          <w:footerReference w:type="default" r:id="rId10"/>
          <w:pgSz w:w="11907" w:h="16840" w:code="9"/>
          <w:pgMar w:top="1151" w:right="1440" w:bottom="1729" w:left="1440" w:header="720" w:footer="720" w:gutter="0"/>
          <w:pgNumType w:start="223"/>
          <w:cols w:space="720"/>
        </w:sectPr>
      </w:pPr>
    </w:p>
    <w:p w:rsidR="00B93188" w:rsidRPr="00B93188" w:rsidRDefault="00B93188" w:rsidP="00B93188">
      <w:pPr>
        <w:keepNext/>
        <w:pBdr>
          <w:bottom w:val="single" w:sz="18" w:space="2" w:color="auto"/>
        </w:pBdr>
        <w:spacing w:after="240"/>
        <w:outlineLvl w:val="0"/>
        <w:rPr>
          <w:rFonts w:ascii="Arial" w:hAnsi="Arial"/>
          <w:b/>
          <w:caps/>
          <w:kern w:val="28"/>
          <w:sz w:val="28"/>
        </w:rPr>
      </w:pPr>
      <w:r w:rsidRPr="00B93188">
        <w:rPr>
          <w:rFonts w:ascii="Arial" w:hAnsi="Arial"/>
          <w:b/>
          <w:caps/>
          <w:kern w:val="28"/>
          <w:sz w:val="28"/>
        </w:rPr>
        <w:lastRenderedPageBreak/>
        <w:t>6.2</w:t>
      </w:r>
      <w:r w:rsidRPr="00B93188">
        <w:rPr>
          <w:rFonts w:ascii="Arial" w:hAnsi="Arial"/>
          <w:b/>
          <w:caps/>
          <w:kern w:val="28"/>
          <w:sz w:val="28"/>
        </w:rPr>
        <w:tab/>
        <w:t>Taxation refoRm</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Government is committed to making the Territory’s taxation system fairer, simpler and more efficient for the future.  Significant reforms to the Territory’s taxation system, which the Government commenced in the 2012-13 Budget, continue in the 2014-15 Budget.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main reform initiative relates to the abolition of inefficient taxes, including conveyance duty (over a twenty year period) and insurance duty (over a five year period).  The revenue lost through the abolition of these inefficient taxes will be replaced through the general rates system.  This will ensure revenue neutrality overall, while preserving capacity for government services and ensuring future generations do not bear the higher economic costs of an unfair and inefficient tax system.  In addition, tax reform will result in significant economic gains in the wider economy due to the improvements in efficiency.</w:t>
      </w:r>
      <w:r w:rsidR="002B7288">
        <w:rPr>
          <w:rFonts w:ascii="Calibri" w:hAnsi="Calibri"/>
          <w:sz w:val="24"/>
        </w:rPr>
        <w:t xml:space="preserve">  Concessions form an important part of tax reform to ensure that low income households are not unduly impacted.</w:t>
      </w:r>
    </w:p>
    <w:p w:rsidR="00B93188" w:rsidRPr="00B93188" w:rsidRDefault="00B93188" w:rsidP="00983072">
      <w:pPr>
        <w:keepNext/>
        <w:keepLines/>
        <w:spacing w:before="120" w:after="120"/>
        <w:outlineLvl w:val="1"/>
        <w:rPr>
          <w:rFonts w:ascii="Calibri" w:hAnsi="Calibri"/>
          <w:b/>
          <w:snapToGrid w:val="0"/>
          <w:sz w:val="28"/>
        </w:rPr>
      </w:pPr>
      <w:r w:rsidRPr="00B93188">
        <w:rPr>
          <w:rFonts w:ascii="Calibri" w:hAnsi="Calibri"/>
          <w:b/>
          <w:snapToGrid w:val="0"/>
          <w:sz w:val="28"/>
        </w:rPr>
        <w:t xml:space="preserve">Building on the 2012-13 and 2013-14 Budgets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2014-15 Budget continues the reforms to abolish conveyance duty and duty on insurance policies first announced in the 2012-13 Budget.</w:t>
      </w:r>
    </w:p>
    <w:p w:rsidR="00B93188" w:rsidRPr="00B93188" w:rsidRDefault="00B93188" w:rsidP="00983072">
      <w:pPr>
        <w:keepNext/>
        <w:keepLines/>
        <w:spacing w:before="120" w:after="120"/>
        <w:outlineLvl w:val="2"/>
        <w:rPr>
          <w:rFonts w:ascii="Calibri" w:hAnsi="Calibri" w:cs="Arial"/>
          <w:b/>
          <w:bCs/>
          <w:i/>
          <w:sz w:val="24"/>
          <w:szCs w:val="26"/>
        </w:rPr>
      </w:pPr>
      <w:r w:rsidRPr="00B93188">
        <w:rPr>
          <w:rFonts w:ascii="Calibri" w:hAnsi="Calibri" w:cs="Arial"/>
          <w:b/>
          <w:bCs/>
          <w:i/>
          <w:sz w:val="24"/>
          <w:szCs w:val="26"/>
        </w:rPr>
        <w:t xml:space="preserve">Duty on Insurance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In the 2012-13 Budget, the Government announced the abolition of duty on insurance policies over a five year period by 2016-17.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From 1 July 2014, duty rates on general insurance will reduce from 6 per cent to 4 per cent.  Duty on life insurance will reduce from 3 per cent to 2 per cent.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rates for insurance duty until 2016-17 are shown in Table 6.2.1 below. </w:t>
      </w:r>
    </w:p>
    <w:p w:rsidR="00B93188" w:rsidRPr="00B93188" w:rsidRDefault="00B93188" w:rsidP="00B93188">
      <w:pPr>
        <w:spacing w:after="120"/>
        <w:jc w:val="center"/>
        <w:rPr>
          <w:rFonts w:ascii="Calibri" w:hAnsi="Calibri"/>
          <w:b/>
          <w:sz w:val="24"/>
        </w:rPr>
      </w:pPr>
      <w:r w:rsidRPr="00B93188">
        <w:rPr>
          <w:rFonts w:ascii="Calibri" w:hAnsi="Calibri"/>
          <w:b/>
          <w:sz w:val="24"/>
        </w:rPr>
        <w:t xml:space="preserve">Table 6.2.1: Duty on insurance taxes </w:t>
      </w:r>
    </w:p>
    <w:tbl>
      <w:tblPr>
        <w:tblW w:w="0" w:type="auto"/>
        <w:jc w:val="center"/>
        <w:tblLook w:val="04A0"/>
      </w:tblPr>
      <w:tblGrid>
        <w:gridCol w:w="2089"/>
        <w:gridCol w:w="886"/>
        <w:gridCol w:w="886"/>
        <w:gridCol w:w="886"/>
      </w:tblGrid>
      <w:tr w:rsidR="00B93188" w:rsidRPr="00B93188" w:rsidTr="00407FB7">
        <w:trPr>
          <w:trHeight w:val="20"/>
          <w:jc w:val="center"/>
        </w:trPr>
        <w:tc>
          <w:tcPr>
            <w:tcW w:w="2089" w:type="dxa"/>
            <w:tcBorders>
              <w:top w:val="single" w:sz="4" w:space="0" w:color="auto"/>
              <w:bottom w:val="single" w:sz="4" w:space="0" w:color="auto"/>
            </w:tcBorders>
            <w:shd w:val="clear" w:color="auto" w:fill="auto"/>
            <w:noWrap/>
            <w:vAlign w:val="bottom"/>
            <w:hideMark/>
          </w:tcPr>
          <w:p w:rsidR="00B93188" w:rsidRPr="00B93188" w:rsidRDefault="00B93188" w:rsidP="00B93188">
            <w:pPr>
              <w:jc w:val="center"/>
              <w:rPr>
                <w:rFonts w:ascii="Calibri" w:hAnsi="Calibri"/>
                <w:color w:val="000000"/>
                <w:lang w:eastAsia="en-AU"/>
              </w:rPr>
            </w:pPr>
          </w:p>
        </w:tc>
        <w:tc>
          <w:tcPr>
            <w:tcW w:w="0" w:type="auto"/>
            <w:tcBorders>
              <w:top w:val="single" w:sz="4" w:space="0" w:color="auto"/>
              <w:bottom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2014-15</w:t>
            </w:r>
          </w:p>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w:t>
            </w:r>
          </w:p>
        </w:tc>
        <w:tc>
          <w:tcPr>
            <w:tcW w:w="0" w:type="auto"/>
            <w:tcBorders>
              <w:top w:val="single" w:sz="4" w:space="0" w:color="auto"/>
              <w:bottom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2015-16</w:t>
            </w:r>
          </w:p>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w:t>
            </w:r>
          </w:p>
        </w:tc>
        <w:tc>
          <w:tcPr>
            <w:tcW w:w="0" w:type="auto"/>
            <w:tcBorders>
              <w:top w:val="single" w:sz="4" w:space="0" w:color="auto"/>
              <w:bottom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2016-17</w:t>
            </w:r>
          </w:p>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w:t>
            </w:r>
          </w:p>
        </w:tc>
      </w:tr>
      <w:tr w:rsidR="00B93188" w:rsidRPr="00B93188" w:rsidTr="00407FB7">
        <w:trPr>
          <w:trHeight w:val="20"/>
          <w:jc w:val="center"/>
        </w:trPr>
        <w:tc>
          <w:tcPr>
            <w:tcW w:w="2089" w:type="dxa"/>
            <w:tcBorders>
              <w:top w:val="single" w:sz="4" w:space="0" w:color="auto"/>
            </w:tcBorders>
            <w:shd w:val="clear" w:color="auto" w:fill="auto"/>
            <w:noWrap/>
            <w:vAlign w:val="bottom"/>
            <w:hideMark/>
          </w:tcPr>
          <w:p w:rsidR="00B93188" w:rsidRPr="00B93188" w:rsidRDefault="00B93188" w:rsidP="00B93188">
            <w:pPr>
              <w:ind w:firstLineChars="100" w:firstLine="200"/>
              <w:jc w:val="center"/>
              <w:rPr>
                <w:rFonts w:ascii="Calibri" w:hAnsi="Calibri"/>
                <w:color w:val="000000"/>
                <w:lang w:eastAsia="en-AU"/>
              </w:rPr>
            </w:pPr>
            <w:r w:rsidRPr="00B93188">
              <w:rPr>
                <w:rFonts w:ascii="Calibri" w:hAnsi="Calibri"/>
                <w:color w:val="000000"/>
                <w:lang w:eastAsia="en-AU"/>
              </w:rPr>
              <w:t>General insurance</w:t>
            </w:r>
          </w:p>
        </w:tc>
        <w:tc>
          <w:tcPr>
            <w:tcW w:w="0" w:type="auto"/>
            <w:tcBorders>
              <w:top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4</w:t>
            </w:r>
          </w:p>
        </w:tc>
        <w:tc>
          <w:tcPr>
            <w:tcW w:w="0" w:type="auto"/>
            <w:tcBorders>
              <w:top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2</w:t>
            </w:r>
          </w:p>
        </w:tc>
        <w:tc>
          <w:tcPr>
            <w:tcW w:w="0" w:type="auto"/>
            <w:tcBorders>
              <w:top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0</w:t>
            </w:r>
          </w:p>
        </w:tc>
      </w:tr>
      <w:tr w:rsidR="00B93188" w:rsidRPr="00B93188" w:rsidTr="00407FB7">
        <w:trPr>
          <w:trHeight w:val="20"/>
          <w:jc w:val="center"/>
        </w:trPr>
        <w:tc>
          <w:tcPr>
            <w:tcW w:w="2089" w:type="dxa"/>
            <w:tcBorders>
              <w:bottom w:val="single" w:sz="4" w:space="0" w:color="auto"/>
            </w:tcBorders>
            <w:shd w:val="clear" w:color="auto" w:fill="auto"/>
            <w:noWrap/>
            <w:vAlign w:val="bottom"/>
            <w:hideMark/>
          </w:tcPr>
          <w:p w:rsidR="00B93188" w:rsidRPr="00B93188" w:rsidRDefault="00B93188" w:rsidP="00B93188">
            <w:pPr>
              <w:ind w:firstLineChars="100" w:firstLine="200"/>
              <w:jc w:val="center"/>
              <w:rPr>
                <w:rFonts w:ascii="Calibri" w:hAnsi="Calibri"/>
                <w:color w:val="000000"/>
                <w:lang w:eastAsia="en-AU"/>
              </w:rPr>
            </w:pPr>
            <w:r w:rsidRPr="00B93188">
              <w:rPr>
                <w:rFonts w:ascii="Calibri" w:hAnsi="Calibri"/>
                <w:color w:val="000000"/>
                <w:lang w:eastAsia="en-AU"/>
              </w:rPr>
              <w:t>Life insurance</w:t>
            </w:r>
          </w:p>
        </w:tc>
        <w:tc>
          <w:tcPr>
            <w:tcW w:w="0" w:type="auto"/>
            <w:tcBorders>
              <w:bottom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2</w:t>
            </w:r>
          </w:p>
        </w:tc>
        <w:tc>
          <w:tcPr>
            <w:tcW w:w="0" w:type="auto"/>
            <w:tcBorders>
              <w:bottom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1</w:t>
            </w:r>
          </w:p>
        </w:tc>
        <w:tc>
          <w:tcPr>
            <w:tcW w:w="0" w:type="auto"/>
            <w:tcBorders>
              <w:bottom w:val="single" w:sz="4" w:space="0" w:color="auto"/>
            </w:tcBorders>
            <w:shd w:val="clear" w:color="auto" w:fill="auto"/>
            <w:vAlign w:val="bottom"/>
            <w:hideMark/>
          </w:tcPr>
          <w:p w:rsidR="00B93188" w:rsidRPr="00B93188" w:rsidRDefault="00B93188" w:rsidP="00B93188">
            <w:pPr>
              <w:jc w:val="right"/>
              <w:rPr>
                <w:rFonts w:ascii="Calibri" w:hAnsi="Calibri"/>
                <w:color w:val="000000"/>
                <w:lang w:eastAsia="en-AU"/>
              </w:rPr>
            </w:pPr>
            <w:r w:rsidRPr="00B93188">
              <w:rPr>
                <w:rFonts w:ascii="Calibri" w:hAnsi="Calibri"/>
                <w:color w:val="000000"/>
                <w:lang w:eastAsia="en-AU"/>
              </w:rPr>
              <w:t>0</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From 1 July 2014, an ACT household paying around $2,500 per year in insurance (property, motor vehicle) will save an additional $50 in 2014-15 as a result of this reform.  This equates to a total annual saving of $150 in 2014-15.</w:t>
      </w:r>
    </w:p>
    <w:p w:rsidR="00B93188" w:rsidRPr="00B93188" w:rsidRDefault="00B93188" w:rsidP="00983072">
      <w:pPr>
        <w:keepNext/>
        <w:keepLines/>
        <w:spacing w:before="120" w:after="120"/>
        <w:outlineLvl w:val="2"/>
        <w:rPr>
          <w:rFonts w:ascii="Calibri" w:hAnsi="Calibri" w:cs="Arial"/>
          <w:b/>
          <w:bCs/>
          <w:i/>
          <w:sz w:val="24"/>
          <w:szCs w:val="26"/>
        </w:rPr>
      </w:pPr>
      <w:r w:rsidRPr="00B93188">
        <w:rPr>
          <w:rFonts w:ascii="Calibri" w:hAnsi="Calibri" w:cs="Arial"/>
          <w:b/>
          <w:bCs/>
          <w:i/>
          <w:sz w:val="24"/>
          <w:szCs w:val="26"/>
        </w:rPr>
        <w:t>Conveyance Duty</w:t>
      </w:r>
    </w:p>
    <w:p w:rsidR="00B93188" w:rsidRDefault="00B93188" w:rsidP="00983072">
      <w:pPr>
        <w:keepNext/>
        <w:keepLines/>
        <w:spacing w:before="120" w:after="120"/>
        <w:jc w:val="both"/>
        <w:rPr>
          <w:rFonts w:ascii="Calibri" w:hAnsi="Calibri"/>
          <w:sz w:val="24"/>
        </w:rPr>
      </w:pPr>
      <w:r w:rsidRPr="00B93188">
        <w:rPr>
          <w:rFonts w:ascii="Calibri" w:hAnsi="Calibri"/>
          <w:sz w:val="24"/>
        </w:rPr>
        <w:t>In 2012-13, the Government announced the abolition of conveyance duty over a twenty year period.  This timeframe was set to ensure the reform was undertaken in a staged approach, and to allow households and the economy time to plan and make decisions with certainty as to the reform program.</w:t>
      </w:r>
    </w:p>
    <w:p w:rsidR="00B93188" w:rsidRPr="00B93188" w:rsidRDefault="00B93188" w:rsidP="00983072">
      <w:pPr>
        <w:keepNext/>
        <w:keepLines/>
        <w:spacing w:before="120" w:after="120"/>
        <w:jc w:val="both"/>
        <w:rPr>
          <w:rFonts w:ascii="Calibri" w:hAnsi="Calibri"/>
          <w:sz w:val="24"/>
        </w:rPr>
      </w:pPr>
      <w:r>
        <w:rPr>
          <w:rFonts w:ascii="Calibri" w:hAnsi="Calibri"/>
          <w:sz w:val="24"/>
        </w:rPr>
        <w:br w:type="page"/>
      </w:r>
      <w:r w:rsidRPr="00B93188">
        <w:rPr>
          <w:rFonts w:ascii="Calibri" w:hAnsi="Calibri"/>
          <w:sz w:val="24"/>
        </w:rPr>
        <w:lastRenderedPageBreak/>
        <w:t xml:space="preserve">As part of the 2012-13 Budget, the Government set a five year plan of conveyance duty rates until 2016-17. In this Budget, the Government has released a further year of conveyance duty rates for 2017-18 as part of a continuing rolling program (the 2014-15 rate scale will be effective for any transaction undertaken on or after 4 June 2014).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For the first time in the 2013-14 Budget, the Government established a flat rate of conveyance duty for large properties. The Government is continuing this initiative in this Budget with the flat rate reduced to 5.25 per cent for all properties (residential and commercial) with a sale value above $1.455 million. Table 6.2.2 shows the conveyance duty rate scale.</w:t>
      </w:r>
    </w:p>
    <w:p w:rsidR="00B93188" w:rsidRPr="00B93188" w:rsidRDefault="00B93188" w:rsidP="00B93188">
      <w:pPr>
        <w:spacing w:after="120"/>
        <w:ind w:left="720" w:hanging="720"/>
        <w:jc w:val="center"/>
        <w:rPr>
          <w:rFonts w:ascii="Calibri" w:hAnsi="Calibri"/>
          <w:b/>
          <w:sz w:val="24"/>
        </w:rPr>
      </w:pPr>
      <w:r w:rsidRPr="00B93188">
        <w:rPr>
          <w:rFonts w:ascii="Calibri" w:hAnsi="Calibri"/>
          <w:b/>
          <w:sz w:val="24"/>
        </w:rPr>
        <w:t>Table 6.2.2: Conveyance Duty Rates (%)</w:t>
      </w:r>
    </w:p>
    <w:tbl>
      <w:tblPr>
        <w:tblW w:w="9339" w:type="dxa"/>
        <w:jc w:val="center"/>
        <w:tblLook w:val="04A0"/>
      </w:tblPr>
      <w:tblGrid>
        <w:gridCol w:w="980"/>
        <w:gridCol w:w="2522"/>
        <w:gridCol w:w="1215"/>
        <w:gridCol w:w="1215"/>
        <w:gridCol w:w="1215"/>
        <w:gridCol w:w="1215"/>
        <w:gridCol w:w="977"/>
      </w:tblGrid>
      <w:tr w:rsidR="00B93188" w:rsidRPr="00B93188" w:rsidTr="00366B66">
        <w:trPr>
          <w:trHeight w:val="20"/>
          <w:jc w:val="center"/>
        </w:trPr>
        <w:tc>
          <w:tcPr>
            <w:tcW w:w="980" w:type="dxa"/>
            <w:tcBorders>
              <w:top w:val="single" w:sz="4" w:space="0" w:color="auto"/>
              <w:left w:val="nil"/>
              <w:bottom w:val="single" w:sz="4" w:space="0" w:color="auto"/>
              <w:right w:val="nil"/>
            </w:tcBorders>
            <w:shd w:val="clear" w:color="auto" w:fill="auto"/>
            <w:vAlign w:val="center"/>
          </w:tcPr>
          <w:p w:rsidR="00B93188" w:rsidRPr="00B93188" w:rsidRDefault="00B93188" w:rsidP="00B93188">
            <w:pPr>
              <w:jc w:val="center"/>
              <w:rPr>
                <w:rFonts w:ascii="Calibri" w:hAnsi="Calibri"/>
                <w:b/>
                <w:bCs/>
                <w:color w:val="000000"/>
                <w:lang w:eastAsia="en-AU"/>
              </w:rPr>
            </w:pPr>
            <w:r w:rsidRPr="00B93188">
              <w:rPr>
                <w:rFonts w:ascii="Calibri" w:hAnsi="Calibri"/>
                <w:b/>
                <w:bCs/>
                <w:color w:val="000000"/>
                <w:lang w:eastAsia="en-AU"/>
              </w:rPr>
              <w:t>2012-13</w:t>
            </w:r>
          </w:p>
        </w:tc>
        <w:tc>
          <w:tcPr>
            <w:tcW w:w="2522" w:type="dxa"/>
            <w:tcBorders>
              <w:top w:val="single" w:sz="4" w:space="0" w:color="auto"/>
              <w:left w:val="nil"/>
              <w:bottom w:val="single" w:sz="4" w:space="0" w:color="auto"/>
              <w:right w:val="nil"/>
            </w:tcBorders>
            <w:shd w:val="clear" w:color="auto" w:fill="auto"/>
            <w:noWrap/>
            <w:vAlign w:val="center"/>
            <w:hideMark/>
          </w:tcPr>
          <w:p w:rsidR="00B93188" w:rsidRPr="00B93188" w:rsidRDefault="00B93188" w:rsidP="00B93188">
            <w:pPr>
              <w:jc w:val="center"/>
              <w:rPr>
                <w:rFonts w:ascii="Calibri" w:hAnsi="Calibri"/>
                <w:b/>
                <w:color w:val="000000"/>
                <w:lang w:eastAsia="en-AU"/>
              </w:rPr>
            </w:pPr>
            <w:r w:rsidRPr="00B93188">
              <w:rPr>
                <w:rFonts w:ascii="Calibri" w:hAnsi="Calibri"/>
                <w:b/>
                <w:color w:val="000000"/>
                <w:lang w:eastAsia="en-AU"/>
              </w:rPr>
              <w:t>Threshold</w:t>
            </w:r>
          </w:p>
        </w:tc>
        <w:tc>
          <w:tcPr>
            <w:tcW w:w="1215" w:type="dxa"/>
            <w:tcBorders>
              <w:top w:val="single" w:sz="4" w:space="0" w:color="auto"/>
              <w:left w:val="nil"/>
              <w:bottom w:val="single" w:sz="4" w:space="0" w:color="auto"/>
              <w:right w:val="nil"/>
            </w:tcBorders>
            <w:shd w:val="clear" w:color="auto" w:fill="auto"/>
            <w:noWrap/>
            <w:vAlign w:val="center"/>
            <w:hideMark/>
          </w:tcPr>
          <w:p w:rsidR="00B93188" w:rsidRPr="00B93188" w:rsidRDefault="00B93188" w:rsidP="00B93188">
            <w:pPr>
              <w:jc w:val="center"/>
              <w:rPr>
                <w:rFonts w:ascii="Calibri" w:hAnsi="Calibri"/>
                <w:b/>
                <w:bCs/>
                <w:color w:val="000000"/>
                <w:lang w:eastAsia="en-AU"/>
              </w:rPr>
            </w:pPr>
            <w:r w:rsidRPr="00B93188">
              <w:rPr>
                <w:rFonts w:ascii="Calibri" w:hAnsi="Calibri"/>
                <w:b/>
                <w:bCs/>
                <w:color w:val="000000"/>
                <w:lang w:eastAsia="en-AU"/>
              </w:rPr>
              <w:t>2013-14</w:t>
            </w:r>
          </w:p>
        </w:tc>
        <w:tc>
          <w:tcPr>
            <w:tcW w:w="1215" w:type="dxa"/>
            <w:tcBorders>
              <w:top w:val="single" w:sz="4" w:space="0" w:color="auto"/>
              <w:left w:val="nil"/>
              <w:bottom w:val="single" w:sz="4" w:space="0" w:color="auto"/>
              <w:right w:val="nil"/>
            </w:tcBorders>
            <w:shd w:val="clear" w:color="auto" w:fill="auto"/>
            <w:noWrap/>
            <w:vAlign w:val="center"/>
            <w:hideMark/>
          </w:tcPr>
          <w:p w:rsidR="00B93188" w:rsidRPr="00B93188" w:rsidRDefault="00B93188" w:rsidP="00B93188">
            <w:pPr>
              <w:jc w:val="center"/>
              <w:rPr>
                <w:rFonts w:ascii="Calibri" w:hAnsi="Calibri"/>
                <w:b/>
                <w:bCs/>
                <w:color w:val="000000"/>
                <w:lang w:eastAsia="en-AU"/>
              </w:rPr>
            </w:pPr>
            <w:r w:rsidRPr="00B93188">
              <w:rPr>
                <w:rFonts w:ascii="Calibri" w:hAnsi="Calibri"/>
                <w:b/>
                <w:bCs/>
                <w:color w:val="000000"/>
                <w:lang w:eastAsia="en-AU"/>
              </w:rPr>
              <w:t>2014-15</w:t>
            </w:r>
          </w:p>
        </w:tc>
        <w:tc>
          <w:tcPr>
            <w:tcW w:w="1215" w:type="dxa"/>
            <w:tcBorders>
              <w:top w:val="single" w:sz="4" w:space="0" w:color="auto"/>
              <w:left w:val="nil"/>
              <w:bottom w:val="single" w:sz="4" w:space="0" w:color="auto"/>
              <w:right w:val="nil"/>
            </w:tcBorders>
            <w:shd w:val="clear" w:color="auto" w:fill="auto"/>
            <w:noWrap/>
            <w:vAlign w:val="center"/>
            <w:hideMark/>
          </w:tcPr>
          <w:p w:rsidR="00B93188" w:rsidRPr="00B93188" w:rsidRDefault="00B93188" w:rsidP="00B93188">
            <w:pPr>
              <w:jc w:val="center"/>
              <w:rPr>
                <w:rFonts w:ascii="Calibri" w:hAnsi="Calibri"/>
                <w:b/>
                <w:bCs/>
                <w:color w:val="000000"/>
                <w:lang w:eastAsia="en-AU"/>
              </w:rPr>
            </w:pPr>
            <w:r w:rsidRPr="00B93188">
              <w:rPr>
                <w:rFonts w:ascii="Calibri" w:hAnsi="Calibri"/>
                <w:b/>
                <w:bCs/>
                <w:color w:val="000000"/>
                <w:lang w:eastAsia="en-AU"/>
              </w:rPr>
              <w:t>2015-16</w:t>
            </w:r>
          </w:p>
        </w:tc>
        <w:tc>
          <w:tcPr>
            <w:tcW w:w="1215" w:type="dxa"/>
            <w:tcBorders>
              <w:top w:val="single" w:sz="4" w:space="0" w:color="auto"/>
              <w:left w:val="nil"/>
              <w:bottom w:val="single" w:sz="4" w:space="0" w:color="auto"/>
              <w:right w:val="nil"/>
            </w:tcBorders>
            <w:shd w:val="clear" w:color="auto" w:fill="auto"/>
            <w:noWrap/>
            <w:vAlign w:val="center"/>
            <w:hideMark/>
          </w:tcPr>
          <w:p w:rsidR="00B93188" w:rsidRPr="00B93188" w:rsidRDefault="00B93188" w:rsidP="00B93188">
            <w:pPr>
              <w:jc w:val="center"/>
              <w:rPr>
                <w:rFonts w:ascii="Calibri" w:hAnsi="Calibri"/>
                <w:b/>
                <w:bCs/>
                <w:color w:val="000000"/>
                <w:lang w:eastAsia="en-AU"/>
              </w:rPr>
            </w:pPr>
            <w:r w:rsidRPr="00B93188">
              <w:rPr>
                <w:rFonts w:ascii="Calibri" w:hAnsi="Calibri"/>
                <w:b/>
                <w:bCs/>
                <w:color w:val="000000"/>
                <w:lang w:eastAsia="en-AU"/>
              </w:rPr>
              <w:t>2016-17</w:t>
            </w:r>
          </w:p>
        </w:tc>
        <w:tc>
          <w:tcPr>
            <w:tcW w:w="977" w:type="dxa"/>
            <w:tcBorders>
              <w:top w:val="single" w:sz="4" w:space="0" w:color="auto"/>
              <w:left w:val="nil"/>
              <w:bottom w:val="single" w:sz="4" w:space="0" w:color="auto"/>
              <w:right w:val="nil"/>
            </w:tcBorders>
            <w:shd w:val="clear" w:color="auto" w:fill="auto"/>
            <w:vAlign w:val="center"/>
          </w:tcPr>
          <w:p w:rsidR="00B93188" w:rsidRPr="00B93188" w:rsidRDefault="00B93188" w:rsidP="00B93188">
            <w:pPr>
              <w:jc w:val="center"/>
              <w:rPr>
                <w:rFonts w:ascii="Calibri" w:hAnsi="Calibri"/>
                <w:b/>
                <w:bCs/>
                <w:color w:val="000000"/>
                <w:lang w:eastAsia="en-AU"/>
              </w:rPr>
            </w:pPr>
            <w:r w:rsidRPr="00B93188">
              <w:rPr>
                <w:rFonts w:ascii="Calibri" w:hAnsi="Calibri"/>
                <w:b/>
                <w:bCs/>
                <w:color w:val="000000"/>
                <w:lang w:eastAsia="en-AU"/>
              </w:rPr>
              <w:t>2017-18</w:t>
            </w:r>
          </w:p>
        </w:tc>
      </w:tr>
      <w:tr w:rsidR="00B93188" w:rsidRPr="00B93188" w:rsidTr="00B93188">
        <w:trPr>
          <w:trHeight w:val="20"/>
          <w:jc w:val="center"/>
        </w:trPr>
        <w:tc>
          <w:tcPr>
            <w:tcW w:w="980"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2.4</w:t>
            </w:r>
          </w:p>
        </w:tc>
        <w:tc>
          <w:tcPr>
            <w:tcW w:w="2522" w:type="dxa"/>
            <w:tcBorders>
              <w:top w:val="nil"/>
              <w:left w:val="nil"/>
              <w:bottom w:val="nil"/>
              <w:right w:val="nil"/>
            </w:tcBorders>
            <w:shd w:val="clear" w:color="000000" w:fill="FFFFFF"/>
            <w:vAlign w:val="center"/>
            <w:hideMark/>
          </w:tcPr>
          <w:p w:rsidR="00B93188" w:rsidRPr="00B93188" w:rsidRDefault="00B93188" w:rsidP="00B93188">
            <w:pPr>
              <w:rPr>
                <w:rFonts w:ascii="Calibri" w:hAnsi="Calibri"/>
                <w:color w:val="000000"/>
                <w:lang w:eastAsia="en-AU"/>
              </w:rPr>
            </w:pPr>
            <w:r w:rsidRPr="00B93188">
              <w:rPr>
                <w:rFonts w:ascii="Calibri" w:hAnsi="Calibri"/>
                <w:color w:val="000000"/>
                <w:lang w:val="en-GB" w:eastAsia="en-AU"/>
              </w:rPr>
              <w:t>Up to $200,000</w:t>
            </w:r>
          </w:p>
        </w:tc>
        <w:tc>
          <w:tcPr>
            <w:tcW w:w="1215" w:type="dxa"/>
            <w:tcBorders>
              <w:top w:val="nil"/>
              <w:left w:val="nil"/>
              <w:bottom w:val="nil"/>
              <w:right w:val="nil"/>
            </w:tcBorders>
            <w:shd w:val="clear" w:color="auto" w:fill="auto"/>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2.2</w:t>
            </w:r>
          </w:p>
        </w:tc>
        <w:tc>
          <w:tcPr>
            <w:tcW w:w="1215" w:type="dxa"/>
            <w:tcBorders>
              <w:top w:val="nil"/>
              <w:left w:val="nil"/>
              <w:bottom w:val="nil"/>
              <w:right w:val="nil"/>
            </w:tcBorders>
            <w:shd w:val="clear" w:color="auto" w:fill="D9D9D9"/>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2.0</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1.8</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1.48</w:t>
            </w:r>
          </w:p>
        </w:tc>
        <w:tc>
          <w:tcPr>
            <w:tcW w:w="977"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1.47</w:t>
            </w:r>
          </w:p>
        </w:tc>
      </w:tr>
      <w:tr w:rsidR="00B93188" w:rsidRPr="00B93188" w:rsidTr="00B93188">
        <w:trPr>
          <w:trHeight w:val="20"/>
          <w:jc w:val="center"/>
        </w:trPr>
        <w:tc>
          <w:tcPr>
            <w:tcW w:w="980"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3.75</w:t>
            </w:r>
          </w:p>
        </w:tc>
        <w:tc>
          <w:tcPr>
            <w:tcW w:w="2522" w:type="dxa"/>
            <w:tcBorders>
              <w:top w:val="nil"/>
              <w:left w:val="nil"/>
              <w:bottom w:val="nil"/>
              <w:right w:val="nil"/>
            </w:tcBorders>
            <w:shd w:val="clear" w:color="000000" w:fill="FFFFFF"/>
            <w:vAlign w:val="center"/>
            <w:hideMark/>
          </w:tcPr>
          <w:p w:rsidR="00B93188" w:rsidRPr="00B93188" w:rsidRDefault="00B93188" w:rsidP="00B93188">
            <w:pPr>
              <w:ind w:right="-78"/>
              <w:rPr>
                <w:rFonts w:ascii="Calibri" w:hAnsi="Calibri"/>
                <w:color w:val="000000"/>
                <w:lang w:eastAsia="en-AU"/>
              </w:rPr>
            </w:pPr>
            <w:r w:rsidRPr="00B93188">
              <w:rPr>
                <w:rFonts w:ascii="Calibri" w:hAnsi="Calibri"/>
                <w:color w:val="000000"/>
                <w:lang w:val="en-GB" w:eastAsia="en-AU"/>
              </w:rPr>
              <w:t>$200,001 to $300,000</w:t>
            </w:r>
          </w:p>
        </w:tc>
        <w:tc>
          <w:tcPr>
            <w:tcW w:w="1215" w:type="dxa"/>
            <w:tcBorders>
              <w:top w:val="nil"/>
              <w:left w:val="nil"/>
              <w:bottom w:val="nil"/>
              <w:right w:val="nil"/>
            </w:tcBorders>
            <w:shd w:val="clear" w:color="auto" w:fill="auto"/>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3.7</w:t>
            </w:r>
          </w:p>
        </w:tc>
        <w:tc>
          <w:tcPr>
            <w:tcW w:w="1215" w:type="dxa"/>
            <w:tcBorders>
              <w:top w:val="nil"/>
              <w:left w:val="nil"/>
              <w:bottom w:val="nil"/>
              <w:right w:val="nil"/>
            </w:tcBorders>
            <w:shd w:val="clear" w:color="auto" w:fill="D9D9D9"/>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3.5</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3.0</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2.5</w:t>
            </w:r>
          </w:p>
        </w:tc>
        <w:tc>
          <w:tcPr>
            <w:tcW w:w="977"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2.49</w:t>
            </w:r>
          </w:p>
        </w:tc>
      </w:tr>
      <w:tr w:rsidR="00B93188" w:rsidRPr="00B93188" w:rsidTr="00B93188">
        <w:trPr>
          <w:trHeight w:val="20"/>
          <w:jc w:val="center"/>
        </w:trPr>
        <w:tc>
          <w:tcPr>
            <w:tcW w:w="980"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4.75</w:t>
            </w:r>
          </w:p>
        </w:tc>
        <w:tc>
          <w:tcPr>
            <w:tcW w:w="2522" w:type="dxa"/>
            <w:tcBorders>
              <w:top w:val="nil"/>
              <w:left w:val="nil"/>
              <w:bottom w:val="nil"/>
              <w:right w:val="nil"/>
            </w:tcBorders>
            <w:shd w:val="clear" w:color="000000" w:fill="FFFFFF"/>
            <w:vAlign w:val="center"/>
            <w:hideMark/>
          </w:tcPr>
          <w:p w:rsidR="00B93188" w:rsidRPr="00B93188" w:rsidRDefault="00B93188" w:rsidP="00B93188">
            <w:pPr>
              <w:rPr>
                <w:rFonts w:ascii="Calibri" w:hAnsi="Calibri"/>
                <w:color w:val="000000"/>
                <w:lang w:eastAsia="en-AU"/>
              </w:rPr>
            </w:pPr>
            <w:r w:rsidRPr="00B93188">
              <w:rPr>
                <w:rFonts w:ascii="Calibri" w:hAnsi="Calibri"/>
                <w:color w:val="000000"/>
                <w:lang w:val="en-GB" w:eastAsia="en-AU"/>
              </w:rPr>
              <w:t>$300,001 to $500,000</w:t>
            </w:r>
          </w:p>
        </w:tc>
        <w:tc>
          <w:tcPr>
            <w:tcW w:w="1215" w:type="dxa"/>
            <w:tcBorders>
              <w:top w:val="nil"/>
              <w:left w:val="nil"/>
              <w:bottom w:val="nil"/>
              <w:right w:val="nil"/>
            </w:tcBorders>
            <w:shd w:val="clear" w:color="auto" w:fill="auto"/>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4.5</w:t>
            </w:r>
          </w:p>
        </w:tc>
        <w:tc>
          <w:tcPr>
            <w:tcW w:w="1215" w:type="dxa"/>
            <w:tcBorders>
              <w:top w:val="nil"/>
              <w:left w:val="nil"/>
              <w:bottom w:val="nil"/>
              <w:right w:val="nil"/>
            </w:tcBorders>
            <w:shd w:val="clear" w:color="auto" w:fill="D9D9D9"/>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4.15</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4.0</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4.0</w:t>
            </w:r>
          </w:p>
        </w:tc>
        <w:tc>
          <w:tcPr>
            <w:tcW w:w="977"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3.99</w:t>
            </w:r>
          </w:p>
        </w:tc>
      </w:tr>
      <w:tr w:rsidR="00B93188" w:rsidRPr="00B93188" w:rsidTr="00B93188">
        <w:trPr>
          <w:trHeight w:val="20"/>
          <w:jc w:val="center"/>
        </w:trPr>
        <w:tc>
          <w:tcPr>
            <w:tcW w:w="980"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5.5</w:t>
            </w:r>
          </w:p>
        </w:tc>
        <w:tc>
          <w:tcPr>
            <w:tcW w:w="2522" w:type="dxa"/>
            <w:tcBorders>
              <w:top w:val="nil"/>
              <w:left w:val="nil"/>
              <w:bottom w:val="nil"/>
              <w:right w:val="nil"/>
            </w:tcBorders>
            <w:shd w:val="clear" w:color="000000" w:fill="FFFFFF"/>
            <w:vAlign w:val="center"/>
            <w:hideMark/>
          </w:tcPr>
          <w:p w:rsidR="00B93188" w:rsidRPr="00B93188" w:rsidRDefault="00B93188" w:rsidP="00B93188">
            <w:pPr>
              <w:rPr>
                <w:rFonts w:ascii="Calibri" w:hAnsi="Calibri"/>
                <w:color w:val="000000"/>
                <w:lang w:eastAsia="en-AU"/>
              </w:rPr>
            </w:pPr>
            <w:r w:rsidRPr="00B93188">
              <w:rPr>
                <w:rFonts w:ascii="Calibri" w:hAnsi="Calibri"/>
                <w:color w:val="000000"/>
                <w:lang w:val="en-GB" w:eastAsia="en-AU"/>
              </w:rPr>
              <w:t>$500,001 to $750,000</w:t>
            </w:r>
          </w:p>
        </w:tc>
        <w:tc>
          <w:tcPr>
            <w:tcW w:w="1215" w:type="dxa"/>
            <w:tcBorders>
              <w:top w:val="nil"/>
              <w:left w:val="nil"/>
              <w:bottom w:val="nil"/>
              <w:right w:val="nil"/>
            </w:tcBorders>
            <w:shd w:val="clear" w:color="auto" w:fill="auto"/>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5.0</w:t>
            </w:r>
          </w:p>
        </w:tc>
        <w:tc>
          <w:tcPr>
            <w:tcW w:w="1215" w:type="dxa"/>
            <w:tcBorders>
              <w:top w:val="nil"/>
              <w:left w:val="nil"/>
              <w:bottom w:val="nil"/>
              <w:right w:val="nil"/>
            </w:tcBorders>
            <w:shd w:val="clear" w:color="auto" w:fill="D9D9D9"/>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5.0</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5.0</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5.0</w:t>
            </w:r>
          </w:p>
        </w:tc>
        <w:tc>
          <w:tcPr>
            <w:tcW w:w="977"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4.8</w:t>
            </w:r>
          </w:p>
        </w:tc>
      </w:tr>
      <w:tr w:rsidR="00B93188" w:rsidRPr="00B93188" w:rsidTr="00B93188">
        <w:trPr>
          <w:trHeight w:val="20"/>
          <w:jc w:val="center"/>
        </w:trPr>
        <w:tc>
          <w:tcPr>
            <w:tcW w:w="980" w:type="dxa"/>
            <w:tcBorders>
              <w:top w:val="nil"/>
              <w:left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6.5</w:t>
            </w:r>
          </w:p>
        </w:tc>
        <w:tc>
          <w:tcPr>
            <w:tcW w:w="2522" w:type="dxa"/>
            <w:tcBorders>
              <w:top w:val="nil"/>
              <w:left w:val="nil"/>
              <w:right w:val="nil"/>
            </w:tcBorders>
            <w:shd w:val="clear" w:color="000000" w:fill="FFFFFF"/>
            <w:vAlign w:val="center"/>
            <w:hideMark/>
          </w:tcPr>
          <w:p w:rsidR="00B93188" w:rsidRPr="00B93188" w:rsidRDefault="00B93188" w:rsidP="00B93188">
            <w:pPr>
              <w:rPr>
                <w:rFonts w:ascii="Calibri" w:hAnsi="Calibri"/>
                <w:color w:val="000000"/>
                <w:lang w:eastAsia="en-AU"/>
              </w:rPr>
            </w:pPr>
            <w:r w:rsidRPr="00B93188">
              <w:rPr>
                <w:rFonts w:ascii="Calibri" w:hAnsi="Calibri"/>
                <w:color w:val="000000"/>
                <w:lang w:val="en-GB" w:eastAsia="en-AU"/>
              </w:rPr>
              <w:t>$750,001 to $1,000,000</w:t>
            </w:r>
          </w:p>
        </w:tc>
        <w:tc>
          <w:tcPr>
            <w:tcW w:w="1215" w:type="dxa"/>
            <w:tcBorders>
              <w:top w:val="nil"/>
              <w:left w:val="nil"/>
              <w:right w:val="nil"/>
            </w:tcBorders>
            <w:shd w:val="clear" w:color="auto" w:fill="auto"/>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6.5</w:t>
            </w:r>
          </w:p>
        </w:tc>
        <w:tc>
          <w:tcPr>
            <w:tcW w:w="1215" w:type="dxa"/>
            <w:tcBorders>
              <w:top w:val="nil"/>
              <w:left w:val="nil"/>
              <w:right w:val="nil"/>
            </w:tcBorders>
            <w:shd w:val="clear" w:color="auto" w:fill="D9D9D9"/>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6.5</w:t>
            </w:r>
          </w:p>
        </w:tc>
        <w:tc>
          <w:tcPr>
            <w:tcW w:w="1215" w:type="dxa"/>
            <w:tcBorders>
              <w:top w:val="nil"/>
              <w:left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6.5</w:t>
            </w:r>
          </w:p>
        </w:tc>
        <w:tc>
          <w:tcPr>
            <w:tcW w:w="1215" w:type="dxa"/>
            <w:tcBorders>
              <w:top w:val="nil"/>
              <w:left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6.5</w:t>
            </w:r>
          </w:p>
        </w:tc>
        <w:tc>
          <w:tcPr>
            <w:tcW w:w="977" w:type="dxa"/>
            <w:tcBorders>
              <w:top w:val="nil"/>
              <w:left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6</w:t>
            </w:r>
          </w:p>
        </w:tc>
      </w:tr>
      <w:tr w:rsidR="00B93188" w:rsidRPr="00B93188" w:rsidTr="00B93188">
        <w:trPr>
          <w:trHeight w:val="20"/>
          <w:jc w:val="center"/>
        </w:trPr>
        <w:tc>
          <w:tcPr>
            <w:tcW w:w="980"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7.25</w:t>
            </w:r>
          </w:p>
        </w:tc>
        <w:tc>
          <w:tcPr>
            <w:tcW w:w="2522" w:type="dxa"/>
            <w:tcBorders>
              <w:top w:val="nil"/>
              <w:left w:val="nil"/>
              <w:bottom w:val="nil"/>
              <w:right w:val="nil"/>
            </w:tcBorders>
            <w:shd w:val="clear" w:color="000000" w:fill="FFFFFF"/>
            <w:vAlign w:val="center"/>
            <w:hideMark/>
          </w:tcPr>
          <w:p w:rsidR="00B93188" w:rsidRPr="00B93188" w:rsidRDefault="00B93188" w:rsidP="00B93188">
            <w:pPr>
              <w:rPr>
                <w:rFonts w:ascii="Calibri" w:hAnsi="Calibri"/>
                <w:color w:val="000000"/>
                <w:lang w:eastAsia="en-AU"/>
              </w:rPr>
            </w:pPr>
            <w:r w:rsidRPr="00B93188">
              <w:rPr>
                <w:rFonts w:ascii="Calibri" w:hAnsi="Calibri"/>
                <w:color w:val="000000"/>
                <w:lang w:val="en-GB" w:eastAsia="en-AU"/>
              </w:rPr>
              <w:t>$1,000,001 to $1,454,999</w:t>
            </w:r>
          </w:p>
        </w:tc>
        <w:tc>
          <w:tcPr>
            <w:tcW w:w="1215" w:type="dxa"/>
            <w:tcBorders>
              <w:top w:val="nil"/>
              <w:left w:val="nil"/>
              <w:bottom w:val="nil"/>
              <w:right w:val="nil"/>
            </w:tcBorders>
            <w:shd w:val="clear" w:color="auto" w:fill="auto"/>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7.0</w:t>
            </w:r>
          </w:p>
        </w:tc>
        <w:tc>
          <w:tcPr>
            <w:tcW w:w="1215" w:type="dxa"/>
            <w:tcBorders>
              <w:top w:val="nil"/>
              <w:left w:val="nil"/>
              <w:bottom w:val="nil"/>
              <w:right w:val="nil"/>
            </w:tcBorders>
            <w:shd w:val="clear" w:color="auto" w:fill="D9D9D9"/>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7.0</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7.0</w:t>
            </w:r>
          </w:p>
        </w:tc>
        <w:tc>
          <w:tcPr>
            <w:tcW w:w="1215" w:type="dxa"/>
            <w:tcBorders>
              <w:top w:val="nil"/>
              <w:left w:val="nil"/>
              <w:bottom w:val="nil"/>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7.0</w:t>
            </w:r>
          </w:p>
        </w:tc>
        <w:tc>
          <w:tcPr>
            <w:tcW w:w="977" w:type="dxa"/>
            <w:tcBorders>
              <w:top w:val="nil"/>
              <w:left w:val="nil"/>
              <w:bottom w:val="nil"/>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6.75</w:t>
            </w:r>
          </w:p>
        </w:tc>
      </w:tr>
      <w:tr w:rsidR="00B93188" w:rsidRPr="00B93188" w:rsidTr="00B93188">
        <w:trPr>
          <w:trHeight w:val="20"/>
          <w:jc w:val="center"/>
        </w:trPr>
        <w:tc>
          <w:tcPr>
            <w:tcW w:w="980" w:type="dxa"/>
            <w:tcBorders>
              <w:top w:val="nil"/>
              <w:left w:val="nil"/>
              <w:bottom w:val="single" w:sz="4" w:space="0" w:color="auto"/>
              <w:right w:val="nil"/>
            </w:tcBorders>
            <w:shd w:val="clear" w:color="000000" w:fill="FFFFFF"/>
            <w:vAlign w:val="center"/>
          </w:tcPr>
          <w:p w:rsidR="00B93188" w:rsidRPr="00B93188" w:rsidRDefault="00B93188" w:rsidP="00B93188">
            <w:pPr>
              <w:jc w:val="center"/>
              <w:rPr>
                <w:rFonts w:ascii="Calibri" w:hAnsi="Calibri"/>
                <w:color w:val="000000"/>
                <w:lang w:eastAsia="en-AU"/>
              </w:rPr>
            </w:pPr>
          </w:p>
        </w:tc>
        <w:tc>
          <w:tcPr>
            <w:tcW w:w="2522" w:type="dxa"/>
            <w:tcBorders>
              <w:top w:val="nil"/>
              <w:left w:val="nil"/>
              <w:bottom w:val="single" w:sz="4" w:space="0" w:color="auto"/>
              <w:right w:val="nil"/>
            </w:tcBorders>
            <w:shd w:val="clear" w:color="000000" w:fill="FFFFFF"/>
            <w:vAlign w:val="center"/>
            <w:hideMark/>
          </w:tcPr>
          <w:p w:rsidR="00B93188" w:rsidRPr="00B93188" w:rsidRDefault="00B93188" w:rsidP="00B93188">
            <w:pPr>
              <w:rPr>
                <w:rFonts w:ascii="Calibri" w:hAnsi="Calibri"/>
                <w:color w:val="000000"/>
                <w:lang w:val="en-GB" w:eastAsia="en-AU"/>
              </w:rPr>
            </w:pPr>
            <w:r w:rsidRPr="00B93188">
              <w:rPr>
                <w:rFonts w:ascii="Calibri" w:hAnsi="Calibri"/>
                <w:color w:val="000000"/>
                <w:lang w:val="en-GB" w:eastAsia="en-AU"/>
              </w:rPr>
              <w:t xml:space="preserve">$1,455,000 and above* </w:t>
            </w:r>
          </w:p>
        </w:tc>
        <w:tc>
          <w:tcPr>
            <w:tcW w:w="1215" w:type="dxa"/>
            <w:tcBorders>
              <w:top w:val="nil"/>
              <w:left w:val="nil"/>
              <w:bottom w:val="single" w:sz="4" w:space="0" w:color="auto"/>
              <w:right w:val="nil"/>
            </w:tcBorders>
            <w:shd w:val="clear" w:color="auto" w:fill="auto"/>
            <w:noWrap/>
            <w:vAlign w:val="center"/>
            <w:hideMark/>
          </w:tcPr>
          <w:p w:rsidR="00B93188" w:rsidRPr="00B93188" w:rsidRDefault="00B93188" w:rsidP="00B93188">
            <w:pPr>
              <w:jc w:val="center"/>
              <w:rPr>
                <w:rFonts w:ascii="Calibri" w:hAnsi="Calibri"/>
                <w:color w:val="000000"/>
                <w:lang w:eastAsia="en-AU"/>
              </w:rPr>
            </w:pPr>
          </w:p>
        </w:tc>
        <w:tc>
          <w:tcPr>
            <w:tcW w:w="1215" w:type="dxa"/>
            <w:tcBorders>
              <w:top w:val="nil"/>
              <w:left w:val="nil"/>
              <w:bottom w:val="single" w:sz="4" w:space="0" w:color="auto"/>
              <w:right w:val="nil"/>
            </w:tcBorders>
            <w:shd w:val="clear" w:color="auto" w:fill="D9D9D9"/>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5.25*</w:t>
            </w:r>
          </w:p>
        </w:tc>
        <w:tc>
          <w:tcPr>
            <w:tcW w:w="1215" w:type="dxa"/>
            <w:tcBorders>
              <w:top w:val="nil"/>
              <w:left w:val="nil"/>
              <w:bottom w:val="single" w:sz="4" w:space="0" w:color="auto"/>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5.25*</w:t>
            </w:r>
          </w:p>
        </w:tc>
        <w:tc>
          <w:tcPr>
            <w:tcW w:w="1215" w:type="dxa"/>
            <w:tcBorders>
              <w:top w:val="nil"/>
              <w:left w:val="nil"/>
              <w:bottom w:val="single" w:sz="4" w:space="0" w:color="auto"/>
              <w:right w:val="nil"/>
            </w:tcBorders>
            <w:shd w:val="clear" w:color="000000" w:fill="FFFFFF"/>
            <w:noWrap/>
            <w:vAlign w:val="center"/>
            <w:hideMark/>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5.25*</w:t>
            </w:r>
          </w:p>
        </w:tc>
        <w:tc>
          <w:tcPr>
            <w:tcW w:w="977" w:type="dxa"/>
            <w:tcBorders>
              <w:top w:val="nil"/>
              <w:left w:val="nil"/>
              <w:bottom w:val="single" w:sz="4" w:space="0" w:color="auto"/>
              <w:right w:val="nil"/>
            </w:tcBorders>
            <w:shd w:val="clear" w:color="000000" w:fill="FFFFFF"/>
            <w:vAlign w:val="center"/>
          </w:tcPr>
          <w:p w:rsidR="00B93188" w:rsidRPr="00B93188" w:rsidRDefault="00B93188" w:rsidP="00B93188">
            <w:pPr>
              <w:jc w:val="center"/>
              <w:rPr>
                <w:rFonts w:ascii="Calibri" w:hAnsi="Calibri"/>
                <w:color w:val="000000"/>
                <w:lang w:eastAsia="en-AU"/>
              </w:rPr>
            </w:pPr>
            <w:r w:rsidRPr="00B93188">
              <w:rPr>
                <w:rFonts w:ascii="Calibri" w:hAnsi="Calibri"/>
                <w:color w:val="000000"/>
                <w:lang w:eastAsia="en-AU"/>
              </w:rPr>
              <w:t>5.25*</w:t>
            </w:r>
          </w:p>
        </w:tc>
      </w:tr>
    </w:tbl>
    <w:p w:rsidR="00B93188" w:rsidRPr="00B93188" w:rsidRDefault="00B93188" w:rsidP="00B93188">
      <w:pPr>
        <w:spacing w:after="120"/>
        <w:rPr>
          <w:rFonts w:ascii="Calibri" w:hAnsi="Calibri"/>
          <w:sz w:val="24"/>
        </w:rPr>
      </w:pPr>
      <w:r w:rsidRPr="00B93188">
        <w:rPr>
          <w:rFonts w:ascii="Calibri" w:hAnsi="Calibri"/>
        </w:rPr>
        <w:t xml:space="preserve">* The 5.25 per cent rate is a flat rate.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Table 6.2.3 below shows the reduction in conveyance duty payable since the commencement of the reform program in 2012-13 for a range of different property values.  For example, as a result of taxation reform: </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 xml:space="preserve">for a property valued at $300,000, the saving is $2,000;  </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 xml:space="preserve">for a property valued at $500,000, the saving is $4,700; and </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 xml:space="preserve">for a property valued at $750,000, the saving is $6,575.  </w:t>
      </w:r>
    </w:p>
    <w:p w:rsidR="00B93188" w:rsidRPr="00B93188" w:rsidRDefault="00B93188" w:rsidP="00B93188">
      <w:pPr>
        <w:spacing w:after="120"/>
        <w:jc w:val="center"/>
        <w:rPr>
          <w:rFonts w:ascii="Calibri" w:hAnsi="Calibri"/>
          <w:b/>
          <w:sz w:val="24"/>
        </w:rPr>
      </w:pPr>
      <w:r w:rsidRPr="00B93188">
        <w:rPr>
          <w:rFonts w:ascii="Calibri" w:hAnsi="Calibri"/>
          <w:b/>
          <w:sz w:val="24"/>
        </w:rPr>
        <w:t>Table 6.2.3: Conveyance Duty by Threshold</w:t>
      </w:r>
    </w:p>
    <w:tbl>
      <w:tblPr>
        <w:tblW w:w="2984" w:type="pct"/>
        <w:jc w:val="center"/>
        <w:tblLook w:val="04A0"/>
      </w:tblPr>
      <w:tblGrid>
        <w:gridCol w:w="1316"/>
        <w:gridCol w:w="1467"/>
        <w:gridCol w:w="1316"/>
        <w:gridCol w:w="1417"/>
      </w:tblGrid>
      <w:tr w:rsidR="00BE0EE6" w:rsidRPr="00B93188" w:rsidTr="00BE0EE6">
        <w:trPr>
          <w:trHeight w:val="778"/>
          <w:jc w:val="center"/>
        </w:trPr>
        <w:tc>
          <w:tcPr>
            <w:tcW w:w="1193" w:type="pct"/>
            <w:tcBorders>
              <w:top w:val="single" w:sz="4" w:space="0" w:color="auto"/>
              <w:left w:val="nil"/>
              <w:bottom w:val="single" w:sz="4" w:space="0" w:color="auto"/>
              <w:right w:val="nil"/>
            </w:tcBorders>
            <w:shd w:val="clear" w:color="auto" w:fill="auto"/>
            <w:noWrap/>
            <w:hideMark/>
          </w:tcPr>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Duty Payable</w:t>
            </w:r>
          </w:p>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2011-12</w:t>
            </w:r>
          </w:p>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w:t>
            </w:r>
          </w:p>
        </w:tc>
        <w:tc>
          <w:tcPr>
            <w:tcW w:w="1330" w:type="pct"/>
            <w:tcBorders>
              <w:top w:val="single" w:sz="4" w:space="0" w:color="auto"/>
              <w:left w:val="nil"/>
              <w:bottom w:val="single" w:sz="4" w:space="0" w:color="auto"/>
              <w:right w:val="nil"/>
            </w:tcBorders>
            <w:shd w:val="clear" w:color="auto" w:fill="auto"/>
            <w:noWrap/>
            <w:hideMark/>
          </w:tcPr>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Property value</w:t>
            </w:r>
          </w:p>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w:t>
            </w:r>
          </w:p>
        </w:tc>
        <w:tc>
          <w:tcPr>
            <w:tcW w:w="1193" w:type="pct"/>
            <w:tcBorders>
              <w:top w:val="single" w:sz="4" w:space="0" w:color="auto"/>
              <w:left w:val="nil"/>
              <w:bottom w:val="single" w:sz="4" w:space="0" w:color="auto"/>
              <w:right w:val="nil"/>
            </w:tcBorders>
            <w:shd w:val="clear" w:color="auto" w:fill="auto"/>
            <w:noWrap/>
            <w:hideMark/>
          </w:tcPr>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Duty Payable</w:t>
            </w:r>
          </w:p>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2014-15</w:t>
            </w:r>
          </w:p>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w:t>
            </w:r>
          </w:p>
        </w:tc>
        <w:tc>
          <w:tcPr>
            <w:tcW w:w="1285" w:type="pct"/>
            <w:tcBorders>
              <w:top w:val="single" w:sz="4" w:space="0" w:color="auto"/>
              <w:left w:val="nil"/>
              <w:bottom w:val="single" w:sz="4" w:space="0" w:color="auto"/>
              <w:right w:val="nil"/>
            </w:tcBorders>
            <w:shd w:val="clear" w:color="auto" w:fill="auto"/>
            <w:hideMark/>
          </w:tcPr>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Total savings</w:t>
            </w:r>
          </w:p>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in 2014-15</w:t>
            </w:r>
          </w:p>
          <w:p w:rsidR="00BE0EE6" w:rsidRPr="00B93188" w:rsidRDefault="00BE0EE6" w:rsidP="00366B66">
            <w:pPr>
              <w:jc w:val="center"/>
              <w:rPr>
                <w:rFonts w:ascii="Calibri" w:hAnsi="Calibri"/>
                <w:b/>
                <w:bCs/>
                <w:color w:val="000000"/>
                <w:lang w:eastAsia="en-AU"/>
              </w:rPr>
            </w:pPr>
            <w:r w:rsidRPr="00B93188">
              <w:rPr>
                <w:rFonts w:ascii="Calibri" w:hAnsi="Calibri"/>
                <w:b/>
                <w:bCs/>
                <w:color w:val="000000"/>
                <w:lang w:eastAsia="en-AU"/>
              </w:rPr>
              <w:t>($)</w:t>
            </w:r>
          </w:p>
        </w:tc>
      </w:tr>
      <w:tr w:rsidR="00BE0EE6" w:rsidRPr="00B93188" w:rsidTr="00BE0EE6">
        <w:trPr>
          <w:trHeight w:val="259"/>
          <w:jc w:val="center"/>
        </w:trPr>
        <w:tc>
          <w:tcPr>
            <w:tcW w:w="1193"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5,500</w:t>
            </w:r>
          </w:p>
        </w:tc>
        <w:tc>
          <w:tcPr>
            <w:tcW w:w="1330"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b/>
                <w:bCs/>
                <w:color w:val="000000"/>
                <w:lang w:eastAsia="en-AU"/>
              </w:rPr>
            </w:pPr>
            <w:r w:rsidRPr="00B93188">
              <w:rPr>
                <w:rFonts w:ascii="Calibri" w:hAnsi="Calibri"/>
                <w:b/>
                <w:bCs/>
                <w:color w:val="000000"/>
                <w:lang w:eastAsia="en-AU"/>
              </w:rPr>
              <w:t>200,000</w:t>
            </w:r>
          </w:p>
        </w:tc>
        <w:tc>
          <w:tcPr>
            <w:tcW w:w="1193"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4,000</w:t>
            </w:r>
          </w:p>
        </w:tc>
        <w:tc>
          <w:tcPr>
            <w:tcW w:w="1285"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rPr>
              <w:t>1,500</w:t>
            </w:r>
          </w:p>
        </w:tc>
      </w:tr>
      <w:tr w:rsidR="00BE0EE6" w:rsidRPr="00B93188" w:rsidTr="00BE0EE6">
        <w:trPr>
          <w:trHeight w:val="259"/>
          <w:jc w:val="center"/>
        </w:trPr>
        <w:tc>
          <w:tcPr>
            <w:tcW w:w="1193"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9,500</w:t>
            </w:r>
          </w:p>
        </w:tc>
        <w:tc>
          <w:tcPr>
            <w:tcW w:w="1330"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b/>
                <w:bCs/>
                <w:color w:val="000000"/>
                <w:lang w:eastAsia="en-AU"/>
              </w:rPr>
            </w:pPr>
            <w:r w:rsidRPr="00B93188">
              <w:rPr>
                <w:rFonts w:ascii="Calibri" w:hAnsi="Calibri"/>
                <w:b/>
                <w:bCs/>
                <w:color w:val="000000"/>
                <w:lang w:eastAsia="en-AU"/>
              </w:rPr>
              <w:t>300,000</w:t>
            </w:r>
          </w:p>
        </w:tc>
        <w:tc>
          <w:tcPr>
            <w:tcW w:w="1193"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7,500</w:t>
            </w:r>
          </w:p>
        </w:tc>
        <w:tc>
          <w:tcPr>
            <w:tcW w:w="1285"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rPr>
              <w:t>2,000</w:t>
            </w:r>
          </w:p>
        </w:tc>
      </w:tr>
      <w:tr w:rsidR="00BE0EE6" w:rsidRPr="00B93188" w:rsidTr="00BE0EE6">
        <w:trPr>
          <w:trHeight w:val="259"/>
          <w:jc w:val="center"/>
        </w:trPr>
        <w:tc>
          <w:tcPr>
            <w:tcW w:w="1193"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20,500</w:t>
            </w:r>
          </w:p>
        </w:tc>
        <w:tc>
          <w:tcPr>
            <w:tcW w:w="1330"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b/>
                <w:bCs/>
                <w:color w:val="000000"/>
                <w:lang w:eastAsia="en-AU"/>
              </w:rPr>
            </w:pPr>
            <w:r w:rsidRPr="00B93188">
              <w:rPr>
                <w:rFonts w:ascii="Calibri" w:hAnsi="Calibri"/>
                <w:b/>
                <w:bCs/>
                <w:color w:val="000000"/>
                <w:lang w:eastAsia="en-AU"/>
              </w:rPr>
              <w:t>500,000</w:t>
            </w:r>
          </w:p>
        </w:tc>
        <w:tc>
          <w:tcPr>
            <w:tcW w:w="1193"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15,800</w:t>
            </w:r>
          </w:p>
        </w:tc>
        <w:tc>
          <w:tcPr>
            <w:tcW w:w="1285" w:type="pct"/>
            <w:tcBorders>
              <w:top w:val="nil"/>
              <w:left w:val="nil"/>
              <w:bottom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rPr>
              <w:t>4,700</w:t>
            </w:r>
          </w:p>
        </w:tc>
      </w:tr>
      <w:tr w:rsidR="00BE0EE6" w:rsidRPr="00B93188" w:rsidTr="00BE0EE6">
        <w:trPr>
          <w:trHeight w:val="259"/>
          <w:jc w:val="center"/>
        </w:trPr>
        <w:tc>
          <w:tcPr>
            <w:tcW w:w="1193" w:type="pct"/>
            <w:tcBorders>
              <w:top w:val="nil"/>
              <w:left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34,875</w:t>
            </w:r>
          </w:p>
        </w:tc>
        <w:tc>
          <w:tcPr>
            <w:tcW w:w="1330" w:type="pct"/>
            <w:tcBorders>
              <w:top w:val="nil"/>
              <w:left w:val="nil"/>
              <w:right w:val="nil"/>
            </w:tcBorders>
            <w:shd w:val="clear" w:color="auto" w:fill="auto"/>
            <w:noWrap/>
            <w:vAlign w:val="bottom"/>
            <w:hideMark/>
          </w:tcPr>
          <w:p w:rsidR="00BE0EE6" w:rsidRPr="00B93188" w:rsidRDefault="00BE0EE6" w:rsidP="00B93188">
            <w:pPr>
              <w:jc w:val="center"/>
              <w:rPr>
                <w:rFonts w:ascii="Calibri" w:hAnsi="Calibri"/>
                <w:b/>
                <w:bCs/>
                <w:color w:val="000000"/>
                <w:lang w:eastAsia="en-AU"/>
              </w:rPr>
            </w:pPr>
            <w:r w:rsidRPr="00B93188">
              <w:rPr>
                <w:rFonts w:ascii="Calibri" w:hAnsi="Calibri"/>
                <w:b/>
                <w:bCs/>
                <w:color w:val="000000"/>
                <w:lang w:eastAsia="en-AU"/>
              </w:rPr>
              <w:t>750,000</w:t>
            </w:r>
          </w:p>
        </w:tc>
        <w:tc>
          <w:tcPr>
            <w:tcW w:w="1193" w:type="pct"/>
            <w:tcBorders>
              <w:top w:val="nil"/>
              <w:left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28,300</w:t>
            </w:r>
          </w:p>
        </w:tc>
        <w:tc>
          <w:tcPr>
            <w:tcW w:w="1285" w:type="pct"/>
            <w:tcBorders>
              <w:top w:val="nil"/>
              <w:left w:val="nil"/>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rPr>
              <w:t>6,575</w:t>
            </w:r>
          </w:p>
        </w:tc>
      </w:tr>
      <w:tr w:rsidR="00BE0EE6" w:rsidRPr="00B93188" w:rsidTr="00BE0EE6">
        <w:trPr>
          <w:trHeight w:val="74"/>
          <w:jc w:val="center"/>
        </w:trPr>
        <w:tc>
          <w:tcPr>
            <w:tcW w:w="1193" w:type="pct"/>
            <w:tcBorders>
              <w:top w:val="nil"/>
              <w:left w:val="nil"/>
              <w:bottom w:val="single" w:sz="4" w:space="0" w:color="auto"/>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49,250</w:t>
            </w:r>
          </w:p>
        </w:tc>
        <w:tc>
          <w:tcPr>
            <w:tcW w:w="1330" w:type="pct"/>
            <w:tcBorders>
              <w:top w:val="nil"/>
              <w:left w:val="nil"/>
              <w:bottom w:val="single" w:sz="4" w:space="0" w:color="auto"/>
              <w:right w:val="nil"/>
            </w:tcBorders>
            <w:shd w:val="clear" w:color="auto" w:fill="auto"/>
            <w:noWrap/>
            <w:vAlign w:val="bottom"/>
            <w:hideMark/>
          </w:tcPr>
          <w:p w:rsidR="00BE0EE6" w:rsidRPr="00B93188" w:rsidRDefault="00BE0EE6" w:rsidP="00B93188">
            <w:pPr>
              <w:jc w:val="center"/>
              <w:rPr>
                <w:rFonts w:ascii="Calibri" w:hAnsi="Calibri"/>
                <w:b/>
                <w:bCs/>
                <w:color w:val="000000"/>
                <w:lang w:eastAsia="en-AU"/>
              </w:rPr>
            </w:pPr>
            <w:r w:rsidRPr="00B93188">
              <w:rPr>
                <w:rFonts w:ascii="Calibri" w:hAnsi="Calibri"/>
                <w:b/>
                <w:bCs/>
                <w:color w:val="000000"/>
                <w:lang w:eastAsia="en-AU"/>
              </w:rPr>
              <w:t>1,000,000</w:t>
            </w:r>
          </w:p>
        </w:tc>
        <w:tc>
          <w:tcPr>
            <w:tcW w:w="1193" w:type="pct"/>
            <w:tcBorders>
              <w:top w:val="nil"/>
              <w:left w:val="nil"/>
              <w:bottom w:val="single" w:sz="4" w:space="0" w:color="auto"/>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lang w:eastAsia="en-AU"/>
              </w:rPr>
              <w:t>44,550</w:t>
            </w:r>
          </w:p>
        </w:tc>
        <w:tc>
          <w:tcPr>
            <w:tcW w:w="1285" w:type="pct"/>
            <w:tcBorders>
              <w:top w:val="nil"/>
              <w:left w:val="nil"/>
              <w:bottom w:val="single" w:sz="4" w:space="0" w:color="auto"/>
              <w:right w:val="nil"/>
            </w:tcBorders>
            <w:shd w:val="clear" w:color="auto" w:fill="auto"/>
            <w:noWrap/>
            <w:vAlign w:val="bottom"/>
            <w:hideMark/>
          </w:tcPr>
          <w:p w:rsidR="00BE0EE6" w:rsidRPr="00B93188" w:rsidRDefault="00BE0EE6" w:rsidP="00B93188">
            <w:pPr>
              <w:jc w:val="center"/>
              <w:rPr>
                <w:rFonts w:ascii="Calibri" w:hAnsi="Calibri"/>
                <w:color w:val="000000"/>
                <w:lang w:eastAsia="en-AU"/>
              </w:rPr>
            </w:pPr>
            <w:r w:rsidRPr="00B93188">
              <w:rPr>
                <w:rFonts w:ascii="Calibri" w:hAnsi="Calibri"/>
                <w:color w:val="000000"/>
              </w:rPr>
              <w:t>4,700</w:t>
            </w:r>
          </w:p>
        </w:tc>
      </w:tr>
    </w:tbl>
    <w:p w:rsidR="00B93188" w:rsidRPr="00B93188" w:rsidRDefault="004B6050" w:rsidP="00983072">
      <w:pPr>
        <w:keepNext/>
        <w:keepLines/>
        <w:spacing w:before="120" w:after="120"/>
        <w:jc w:val="both"/>
        <w:rPr>
          <w:rFonts w:ascii="Calibri" w:hAnsi="Calibri"/>
          <w:sz w:val="24"/>
        </w:rPr>
      </w:pPr>
      <w:r>
        <w:rPr>
          <w:rFonts w:ascii="Calibri" w:hAnsi="Calibri"/>
          <w:sz w:val="24"/>
        </w:rPr>
        <w:br w:type="page"/>
      </w:r>
      <w:r w:rsidR="00B93188" w:rsidRPr="00B93188">
        <w:rPr>
          <w:rFonts w:ascii="Calibri" w:hAnsi="Calibri"/>
          <w:sz w:val="24"/>
        </w:rPr>
        <w:lastRenderedPageBreak/>
        <w:t>The Government’s reforms to conveyance duty will provide significant savings on higher value properties, which in the ACT are almost exclusively confined to the commercial sector.  For example:</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 xml:space="preserve">for a property valued at $2 million, the additional saving in 2014-15 is $5,000 with a total saving of $11,750 since taxation reform commenced; </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 xml:space="preserve">for a property valued at $5 million, the additional saving in 2014-15 is $12,500 with a total saving of $56,750 since taxation reform commenced; and </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 xml:space="preserve">for a property valued at $10 million, the additional saving in 2014-15 is $25,000 with a total saving of $131,750 since taxation reform commenced. </w:t>
      </w:r>
    </w:p>
    <w:p w:rsidR="00B93188" w:rsidRPr="00B93188" w:rsidRDefault="00B93188" w:rsidP="00B93188">
      <w:pPr>
        <w:spacing w:after="120"/>
        <w:jc w:val="both"/>
        <w:rPr>
          <w:rFonts w:ascii="Calibri" w:hAnsi="Calibri"/>
          <w:sz w:val="24"/>
        </w:rPr>
      </w:pPr>
      <w:r w:rsidRPr="00B93188">
        <w:rPr>
          <w:rFonts w:ascii="Calibri" w:hAnsi="Calibri"/>
          <w:sz w:val="24"/>
        </w:rPr>
        <w:t>Under this reform, conveyance duty in the ACT will be lower for all property values compared with Victoria.  Large properties valued at over $6 million will pay less conveyance duty in the ACT compared with NSW.</w:t>
      </w:r>
    </w:p>
    <w:p w:rsidR="00B93188" w:rsidRPr="00B93188" w:rsidRDefault="00B93188" w:rsidP="00983072">
      <w:pPr>
        <w:keepNext/>
        <w:keepLines/>
        <w:spacing w:before="120" w:after="120"/>
        <w:outlineLvl w:val="2"/>
        <w:rPr>
          <w:rFonts w:ascii="Calibri" w:hAnsi="Calibri" w:cs="Arial"/>
          <w:b/>
          <w:bCs/>
          <w:i/>
          <w:sz w:val="24"/>
          <w:szCs w:val="26"/>
        </w:rPr>
      </w:pPr>
      <w:r w:rsidRPr="00B93188">
        <w:rPr>
          <w:rFonts w:ascii="Calibri" w:hAnsi="Calibri" w:cs="Arial"/>
          <w:b/>
          <w:bCs/>
          <w:i/>
          <w:sz w:val="24"/>
          <w:szCs w:val="26"/>
        </w:rPr>
        <w:t>General Rates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In the 2012-13 Budget, the Government adjusted the General Rates system as part of the tax reform program, making it more progressive.  The progressivity of the General Rates system is being maintained as the reform program is progressed by increasing the marginal tax rates for higher thresholds proportionally more than for lower thresholds. </w:t>
      </w:r>
      <w:r w:rsidRPr="00B93188" w:rsidDel="006A2E9E">
        <w:rPr>
          <w:rFonts w:ascii="Calibri" w:hAnsi="Calibri"/>
          <w:sz w:val="24"/>
        </w:rPr>
        <w:t xml:space="preserv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thresholds and marginal rating factors set by the Government for the residential sector in the 2014-15 Budget are presented in Table 6.2.4 below.  The fixed charge will increase to $675. </w:t>
      </w:r>
    </w:p>
    <w:p w:rsidR="00B93188" w:rsidRPr="00B93188" w:rsidRDefault="00B93188" w:rsidP="00B93188">
      <w:pPr>
        <w:spacing w:after="120"/>
        <w:jc w:val="center"/>
        <w:rPr>
          <w:rFonts w:ascii="Calibri" w:hAnsi="Calibri"/>
          <w:b/>
          <w:sz w:val="24"/>
        </w:rPr>
      </w:pPr>
      <w:r w:rsidRPr="00B93188">
        <w:rPr>
          <w:rFonts w:ascii="Calibri" w:hAnsi="Calibri"/>
          <w:b/>
          <w:sz w:val="24"/>
        </w:rPr>
        <w:t>Table 6.2.4: 2014-15 Residential General Rates</w:t>
      </w:r>
    </w:p>
    <w:tbl>
      <w:tblPr>
        <w:tblW w:w="4691" w:type="dxa"/>
        <w:jc w:val="center"/>
        <w:tblCellMar>
          <w:left w:w="0" w:type="dxa"/>
          <w:right w:w="0" w:type="dxa"/>
        </w:tblCellMar>
        <w:tblLook w:val="04A0"/>
      </w:tblPr>
      <w:tblGrid>
        <w:gridCol w:w="2416"/>
        <w:gridCol w:w="2275"/>
      </w:tblGrid>
      <w:tr w:rsidR="00B93188" w:rsidRPr="00B93188" w:rsidTr="00407FB7">
        <w:trPr>
          <w:trHeight w:val="20"/>
          <w:jc w:val="center"/>
        </w:trPr>
        <w:tc>
          <w:tcPr>
            <w:tcW w:w="2416" w:type="dxa"/>
            <w:tcBorders>
              <w:top w:val="single" w:sz="4" w:space="0" w:color="auto"/>
              <w:left w:val="nil"/>
              <w:bottom w:val="single" w:sz="4" w:space="0" w:color="auto"/>
              <w:right w:val="nil"/>
            </w:tcBorders>
            <w:noWrap/>
            <w:tcMar>
              <w:top w:w="0" w:type="dxa"/>
              <w:left w:w="108" w:type="dxa"/>
              <w:bottom w:w="0" w:type="dxa"/>
              <w:right w:w="108" w:type="dxa"/>
            </w:tcMar>
            <w:vAlign w:val="bottom"/>
            <w:hideMark/>
          </w:tcPr>
          <w:p w:rsidR="00B93188" w:rsidRPr="00B93188" w:rsidRDefault="00B93188" w:rsidP="00B93188">
            <w:pPr>
              <w:rPr>
                <w:rFonts w:ascii="Calibri" w:eastAsia="Calibri" w:hAnsi="Calibri"/>
                <w:b/>
                <w:bCs/>
                <w:color w:val="000000"/>
              </w:rPr>
            </w:pPr>
            <w:r w:rsidRPr="00B93188">
              <w:rPr>
                <w:rFonts w:ascii="Calibri" w:hAnsi="Calibri" w:cs="Arial"/>
                <w:b/>
                <w:bCs/>
                <w:color w:val="000000"/>
              </w:rPr>
              <w:t>Thresholds (AUV)</w:t>
            </w:r>
          </w:p>
        </w:tc>
        <w:tc>
          <w:tcPr>
            <w:tcW w:w="2275" w:type="dxa"/>
            <w:tcBorders>
              <w:top w:val="single" w:sz="4" w:space="0" w:color="auto"/>
              <w:left w:val="nil"/>
              <w:bottom w:val="single" w:sz="4" w:space="0" w:color="auto"/>
              <w:right w:val="nil"/>
            </w:tcBorders>
            <w:shd w:val="clear" w:color="auto" w:fill="auto"/>
          </w:tcPr>
          <w:p w:rsidR="00B93188" w:rsidRPr="00B93188" w:rsidRDefault="00B93188" w:rsidP="00B93188">
            <w:pPr>
              <w:jc w:val="center"/>
              <w:rPr>
                <w:rFonts w:ascii="Calibri" w:hAnsi="Calibri"/>
                <w:b/>
                <w:bCs/>
                <w:color w:val="000000"/>
              </w:rPr>
            </w:pPr>
            <w:r w:rsidRPr="00B93188">
              <w:rPr>
                <w:rFonts w:ascii="Calibri" w:hAnsi="Calibri"/>
                <w:b/>
                <w:bCs/>
                <w:color w:val="000000"/>
              </w:rPr>
              <w:t>Marginal Rates</w:t>
            </w:r>
          </w:p>
        </w:tc>
      </w:tr>
      <w:tr w:rsidR="00B93188" w:rsidRPr="00B93188" w:rsidTr="00407FB7">
        <w:trPr>
          <w:trHeight w:val="20"/>
          <w:jc w:val="center"/>
        </w:trPr>
        <w:tc>
          <w:tcPr>
            <w:tcW w:w="2416" w:type="dxa"/>
            <w:tcBorders>
              <w:top w:val="single" w:sz="4" w:space="0" w:color="auto"/>
            </w:tcBorders>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0 to $150,000</w:t>
            </w:r>
          </w:p>
        </w:tc>
        <w:tc>
          <w:tcPr>
            <w:tcW w:w="2275" w:type="dxa"/>
            <w:tcBorders>
              <w:top w:val="single" w:sz="4" w:space="0" w:color="auto"/>
            </w:tcBorders>
            <w:shd w:val="clear" w:color="auto" w:fill="auto"/>
            <w:vAlign w:val="bottom"/>
          </w:tcPr>
          <w:p w:rsidR="00B93188" w:rsidRPr="00B93188" w:rsidRDefault="00B93188" w:rsidP="00B93188">
            <w:pPr>
              <w:jc w:val="center"/>
              <w:rPr>
                <w:rFonts w:ascii="Calibri" w:hAnsi="Calibri"/>
                <w:color w:val="000000"/>
              </w:rPr>
            </w:pPr>
            <w:r w:rsidRPr="00B93188">
              <w:rPr>
                <w:rFonts w:ascii="Calibri" w:hAnsi="Calibri" w:cs="Arial"/>
              </w:rPr>
              <w:t>0.2547%</w:t>
            </w:r>
          </w:p>
        </w:tc>
      </w:tr>
      <w:tr w:rsidR="00B93188" w:rsidRPr="00B93188" w:rsidTr="00B93188">
        <w:trPr>
          <w:trHeight w:val="20"/>
          <w:jc w:val="center"/>
        </w:trPr>
        <w:tc>
          <w:tcPr>
            <w:tcW w:w="2416" w:type="dxa"/>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$150,001 to $300,000</w:t>
            </w:r>
          </w:p>
        </w:tc>
        <w:tc>
          <w:tcPr>
            <w:tcW w:w="2275" w:type="dxa"/>
            <w:shd w:val="clear" w:color="auto" w:fill="auto"/>
            <w:vAlign w:val="bottom"/>
          </w:tcPr>
          <w:p w:rsidR="00B93188" w:rsidRPr="00B93188" w:rsidRDefault="00B93188" w:rsidP="00B93188">
            <w:pPr>
              <w:jc w:val="center"/>
              <w:rPr>
                <w:rFonts w:ascii="Calibri" w:hAnsi="Calibri"/>
                <w:color w:val="000000"/>
              </w:rPr>
            </w:pPr>
            <w:r w:rsidRPr="00B93188">
              <w:rPr>
                <w:rFonts w:ascii="Calibri" w:hAnsi="Calibri" w:cs="Arial"/>
              </w:rPr>
              <w:t>0.3571%</w:t>
            </w:r>
          </w:p>
        </w:tc>
      </w:tr>
      <w:tr w:rsidR="00B93188" w:rsidRPr="00B93188" w:rsidTr="00B93188">
        <w:trPr>
          <w:trHeight w:val="20"/>
          <w:jc w:val="center"/>
        </w:trPr>
        <w:tc>
          <w:tcPr>
            <w:tcW w:w="2416" w:type="dxa"/>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$300,001 to $450,000</w:t>
            </w:r>
          </w:p>
        </w:tc>
        <w:tc>
          <w:tcPr>
            <w:tcW w:w="2275" w:type="dxa"/>
            <w:shd w:val="clear" w:color="auto" w:fill="auto"/>
            <w:vAlign w:val="bottom"/>
          </w:tcPr>
          <w:p w:rsidR="00B93188" w:rsidRPr="00B93188" w:rsidRDefault="00B93188" w:rsidP="00B93188">
            <w:pPr>
              <w:jc w:val="center"/>
              <w:rPr>
                <w:rFonts w:ascii="Calibri" w:hAnsi="Calibri"/>
                <w:color w:val="000000"/>
              </w:rPr>
            </w:pPr>
            <w:r w:rsidRPr="00B93188">
              <w:rPr>
                <w:rFonts w:ascii="Calibri" w:hAnsi="Calibri" w:cs="Arial"/>
              </w:rPr>
              <w:t>0.4287%</w:t>
            </w:r>
          </w:p>
        </w:tc>
      </w:tr>
      <w:tr w:rsidR="00B93188" w:rsidRPr="00B93188" w:rsidTr="00407FB7">
        <w:trPr>
          <w:trHeight w:val="20"/>
          <w:jc w:val="center"/>
        </w:trPr>
        <w:tc>
          <w:tcPr>
            <w:tcW w:w="2416" w:type="dxa"/>
            <w:tcBorders>
              <w:top w:val="nil"/>
              <w:left w:val="nil"/>
              <w:bottom w:val="single" w:sz="4" w:space="0" w:color="auto"/>
              <w:right w:val="nil"/>
            </w:tcBorders>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$450,001 and above</w:t>
            </w:r>
          </w:p>
        </w:tc>
        <w:tc>
          <w:tcPr>
            <w:tcW w:w="2275" w:type="dxa"/>
            <w:tcBorders>
              <w:top w:val="nil"/>
              <w:left w:val="nil"/>
              <w:bottom w:val="single" w:sz="4" w:space="0" w:color="auto"/>
              <w:right w:val="nil"/>
            </w:tcBorders>
            <w:shd w:val="clear" w:color="auto" w:fill="auto"/>
            <w:vAlign w:val="bottom"/>
          </w:tcPr>
          <w:p w:rsidR="00B93188" w:rsidRPr="00B93188" w:rsidRDefault="00B93188" w:rsidP="00B93188">
            <w:pPr>
              <w:jc w:val="center"/>
              <w:rPr>
                <w:rFonts w:ascii="Calibri" w:hAnsi="Calibri"/>
                <w:color w:val="000000"/>
              </w:rPr>
            </w:pPr>
            <w:r w:rsidRPr="00B93188">
              <w:rPr>
                <w:rFonts w:ascii="Calibri" w:hAnsi="Calibri" w:cs="Arial"/>
              </w:rPr>
              <w:t>0.4873%</w:t>
            </w:r>
          </w:p>
        </w:tc>
      </w:tr>
      <w:tr w:rsidR="00B93188" w:rsidRPr="00B93188" w:rsidTr="00407FB7">
        <w:trPr>
          <w:trHeight w:val="20"/>
          <w:jc w:val="center"/>
        </w:trPr>
        <w:tc>
          <w:tcPr>
            <w:tcW w:w="2416" w:type="dxa"/>
            <w:tcBorders>
              <w:top w:val="single" w:sz="4" w:space="0" w:color="auto"/>
              <w:left w:val="nil"/>
              <w:bottom w:val="single" w:sz="4" w:space="0" w:color="auto"/>
              <w:right w:val="nil"/>
            </w:tcBorders>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Fixed Charge</w:t>
            </w:r>
          </w:p>
        </w:tc>
        <w:tc>
          <w:tcPr>
            <w:tcW w:w="2275" w:type="dxa"/>
            <w:tcBorders>
              <w:top w:val="single" w:sz="4" w:space="0" w:color="auto"/>
              <w:left w:val="nil"/>
              <w:bottom w:val="single" w:sz="4" w:space="0" w:color="auto"/>
              <w:right w:val="nil"/>
            </w:tcBorders>
            <w:shd w:val="clear" w:color="auto" w:fill="auto"/>
          </w:tcPr>
          <w:p w:rsidR="00B93188" w:rsidRPr="00B93188" w:rsidRDefault="00B93188" w:rsidP="00B93188">
            <w:pPr>
              <w:jc w:val="center"/>
              <w:rPr>
                <w:rFonts w:ascii="Calibri" w:hAnsi="Calibri"/>
                <w:color w:val="000000"/>
              </w:rPr>
            </w:pPr>
            <w:r w:rsidRPr="00B93188">
              <w:rPr>
                <w:rFonts w:ascii="Calibri" w:hAnsi="Calibri"/>
                <w:color w:val="000000"/>
              </w:rPr>
              <w:t>$675</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br/>
        <w:t xml:space="preserve">On average, General Rates on residential properties will increase by around 10 per cent in 2014-15 continuing the tax reform program, by replacing inefficient taxes on conveyancing and insurance with an efficient land based tax.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thresholds and marginal rating factors set by the Government for the commercial sector in the 2014-15 Budget are presented in Table 6.2.5 below. The fixed charge will increase to $1,915.  </w:t>
      </w:r>
    </w:p>
    <w:p w:rsidR="00B93188" w:rsidRPr="00B93188" w:rsidRDefault="00B93188" w:rsidP="00B93188">
      <w:pPr>
        <w:spacing w:after="120"/>
        <w:jc w:val="center"/>
        <w:rPr>
          <w:rFonts w:ascii="Calibri" w:hAnsi="Calibri"/>
          <w:b/>
          <w:sz w:val="24"/>
        </w:rPr>
      </w:pPr>
      <w:r w:rsidRPr="00B93188">
        <w:rPr>
          <w:rFonts w:ascii="Calibri" w:hAnsi="Calibri"/>
          <w:b/>
          <w:sz w:val="24"/>
        </w:rPr>
        <w:t>Table 6.2.5: 2014-15 Commercial General Rates</w:t>
      </w:r>
    </w:p>
    <w:tbl>
      <w:tblPr>
        <w:tblW w:w="4615" w:type="dxa"/>
        <w:jc w:val="center"/>
        <w:tblCellMar>
          <w:left w:w="0" w:type="dxa"/>
          <w:right w:w="0" w:type="dxa"/>
        </w:tblCellMar>
        <w:tblLook w:val="04A0"/>
      </w:tblPr>
      <w:tblGrid>
        <w:gridCol w:w="2416"/>
        <w:gridCol w:w="2199"/>
      </w:tblGrid>
      <w:tr w:rsidR="00B93188" w:rsidRPr="00B93188" w:rsidTr="00407FB7">
        <w:trPr>
          <w:trHeight w:val="20"/>
          <w:jc w:val="center"/>
        </w:trPr>
        <w:tc>
          <w:tcPr>
            <w:tcW w:w="2416" w:type="dxa"/>
            <w:tcBorders>
              <w:top w:val="single" w:sz="4" w:space="0" w:color="auto"/>
              <w:left w:val="nil"/>
              <w:bottom w:val="single" w:sz="4" w:space="0" w:color="auto"/>
              <w:right w:val="nil"/>
            </w:tcBorders>
            <w:noWrap/>
            <w:tcMar>
              <w:top w:w="0" w:type="dxa"/>
              <w:left w:w="108" w:type="dxa"/>
              <w:bottom w:w="0" w:type="dxa"/>
              <w:right w:w="108" w:type="dxa"/>
            </w:tcMar>
            <w:vAlign w:val="bottom"/>
            <w:hideMark/>
          </w:tcPr>
          <w:p w:rsidR="00B93188" w:rsidRPr="00B93188" w:rsidRDefault="00B93188" w:rsidP="00B93188">
            <w:pPr>
              <w:keepNext/>
              <w:keepLines/>
              <w:jc w:val="both"/>
              <w:rPr>
                <w:rFonts w:ascii="Calibri" w:eastAsia="Calibri" w:hAnsi="Calibri"/>
                <w:b/>
                <w:bCs/>
                <w:color w:val="000000"/>
              </w:rPr>
            </w:pPr>
            <w:r w:rsidRPr="00B93188">
              <w:rPr>
                <w:rFonts w:ascii="Calibri" w:hAnsi="Calibri" w:cs="Arial"/>
                <w:b/>
                <w:bCs/>
                <w:color w:val="000000"/>
              </w:rPr>
              <w:t>Thresholds (AUV)</w:t>
            </w:r>
          </w:p>
        </w:tc>
        <w:tc>
          <w:tcPr>
            <w:tcW w:w="2199" w:type="dxa"/>
            <w:tcBorders>
              <w:top w:val="single" w:sz="4" w:space="0" w:color="auto"/>
              <w:left w:val="nil"/>
              <w:bottom w:val="single" w:sz="4" w:space="0" w:color="auto"/>
              <w:right w:val="nil"/>
            </w:tcBorders>
            <w:shd w:val="clear" w:color="auto" w:fill="auto"/>
          </w:tcPr>
          <w:p w:rsidR="00B93188" w:rsidRPr="00B93188" w:rsidRDefault="00B93188" w:rsidP="00B93188">
            <w:pPr>
              <w:ind w:hanging="70"/>
              <w:jc w:val="center"/>
              <w:rPr>
                <w:rFonts w:ascii="Calibri" w:hAnsi="Calibri"/>
                <w:b/>
                <w:bCs/>
                <w:color w:val="000000"/>
              </w:rPr>
            </w:pPr>
            <w:r w:rsidRPr="00B93188">
              <w:rPr>
                <w:rFonts w:ascii="Calibri" w:hAnsi="Calibri"/>
                <w:b/>
                <w:bCs/>
                <w:color w:val="000000"/>
              </w:rPr>
              <w:t>Marginal Rates</w:t>
            </w:r>
          </w:p>
        </w:tc>
      </w:tr>
      <w:tr w:rsidR="00B93188" w:rsidRPr="00B93188" w:rsidTr="00B93188">
        <w:trPr>
          <w:trHeight w:val="20"/>
          <w:jc w:val="center"/>
        </w:trPr>
        <w:tc>
          <w:tcPr>
            <w:tcW w:w="2416" w:type="dxa"/>
            <w:tcBorders>
              <w:top w:val="single" w:sz="4" w:space="0" w:color="auto"/>
            </w:tcBorders>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0 to $150,000</w:t>
            </w:r>
          </w:p>
        </w:tc>
        <w:tc>
          <w:tcPr>
            <w:tcW w:w="2199" w:type="dxa"/>
            <w:tcBorders>
              <w:top w:val="single" w:sz="4" w:space="0" w:color="auto"/>
            </w:tcBorders>
            <w:shd w:val="clear" w:color="auto" w:fill="auto"/>
            <w:vAlign w:val="bottom"/>
          </w:tcPr>
          <w:p w:rsidR="00B93188" w:rsidRPr="00B93188" w:rsidRDefault="00B93188" w:rsidP="00B93188">
            <w:pPr>
              <w:jc w:val="center"/>
              <w:rPr>
                <w:rFonts w:ascii="Calibri" w:hAnsi="Calibri"/>
                <w:color w:val="000000"/>
              </w:rPr>
            </w:pPr>
            <w:r w:rsidRPr="00B93188">
              <w:rPr>
                <w:rFonts w:ascii="Calibri" w:hAnsi="Calibri" w:cs="Arial"/>
              </w:rPr>
              <w:t>2.4134%</w:t>
            </w:r>
          </w:p>
        </w:tc>
      </w:tr>
      <w:tr w:rsidR="00B93188" w:rsidRPr="00B93188" w:rsidTr="00B93188">
        <w:trPr>
          <w:trHeight w:val="20"/>
          <w:jc w:val="center"/>
        </w:trPr>
        <w:tc>
          <w:tcPr>
            <w:tcW w:w="2416" w:type="dxa"/>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$150,001 to $275,000</w:t>
            </w:r>
          </w:p>
        </w:tc>
        <w:tc>
          <w:tcPr>
            <w:tcW w:w="2199" w:type="dxa"/>
            <w:shd w:val="clear" w:color="auto" w:fill="auto"/>
            <w:vAlign w:val="bottom"/>
          </w:tcPr>
          <w:p w:rsidR="00B93188" w:rsidRPr="00B93188" w:rsidRDefault="00B93188" w:rsidP="00B93188">
            <w:pPr>
              <w:jc w:val="center"/>
              <w:rPr>
                <w:rFonts w:ascii="Calibri" w:hAnsi="Calibri"/>
                <w:color w:val="000000"/>
              </w:rPr>
            </w:pPr>
            <w:r w:rsidRPr="00B93188">
              <w:rPr>
                <w:rFonts w:ascii="Calibri" w:hAnsi="Calibri" w:cs="Arial"/>
              </w:rPr>
              <w:t>2.7957%</w:t>
            </w:r>
          </w:p>
        </w:tc>
      </w:tr>
      <w:tr w:rsidR="00B93188" w:rsidRPr="00B93188" w:rsidTr="00407FB7">
        <w:trPr>
          <w:trHeight w:val="20"/>
          <w:jc w:val="center"/>
        </w:trPr>
        <w:tc>
          <w:tcPr>
            <w:tcW w:w="2416" w:type="dxa"/>
            <w:tcBorders>
              <w:top w:val="nil"/>
              <w:left w:val="nil"/>
              <w:bottom w:val="single" w:sz="4" w:space="0" w:color="auto"/>
              <w:right w:val="nil"/>
            </w:tcBorders>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$275,001 and above</w:t>
            </w:r>
          </w:p>
        </w:tc>
        <w:tc>
          <w:tcPr>
            <w:tcW w:w="2199" w:type="dxa"/>
            <w:tcBorders>
              <w:top w:val="nil"/>
              <w:left w:val="nil"/>
              <w:bottom w:val="single" w:sz="4" w:space="0" w:color="auto"/>
              <w:right w:val="nil"/>
            </w:tcBorders>
            <w:shd w:val="clear" w:color="auto" w:fill="auto"/>
            <w:vAlign w:val="bottom"/>
          </w:tcPr>
          <w:p w:rsidR="00B93188" w:rsidRPr="00B93188" w:rsidRDefault="00B93188" w:rsidP="00B93188">
            <w:pPr>
              <w:jc w:val="center"/>
              <w:rPr>
                <w:rFonts w:ascii="Calibri" w:hAnsi="Calibri"/>
                <w:color w:val="000000"/>
              </w:rPr>
            </w:pPr>
            <w:r w:rsidRPr="00B93188">
              <w:rPr>
                <w:rFonts w:ascii="Calibri" w:hAnsi="Calibri" w:cs="Arial"/>
              </w:rPr>
              <w:t>4.0245%</w:t>
            </w:r>
          </w:p>
        </w:tc>
      </w:tr>
      <w:tr w:rsidR="00B93188" w:rsidRPr="00B93188" w:rsidTr="00407FB7">
        <w:trPr>
          <w:trHeight w:val="20"/>
          <w:jc w:val="center"/>
        </w:trPr>
        <w:tc>
          <w:tcPr>
            <w:tcW w:w="2416" w:type="dxa"/>
            <w:tcBorders>
              <w:top w:val="single" w:sz="4" w:space="0" w:color="auto"/>
              <w:left w:val="nil"/>
              <w:bottom w:val="single" w:sz="4" w:space="0" w:color="auto"/>
              <w:right w:val="nil"/>
            </w:tcBorders>
            <w:noWrap/>
            <w:tcMar>
              <w:top w:w="0" w:type="dxa"/>
              <w:left w:w="108" w:type="dxa"/>
              <w:bottom w:w="0" w:type="dxa"/>
              <w:right w:w="108" w:type="dxa"/>
            </w:tcMar>
            <w:vAlign w:val="bottom"/>
            <w:hideMark/>
          </w:tcPr>
          <w:p w:rsidR="00B93188" w:rsidRPr="00B93188" w:rsidRDefault="00B93188" w:rsidP="00B93188">
            <w:pPr>
              <w:rPr>
                <w:rFonts w:ascii="Calibri" w:eastAsia="Calibri" w:hAnsi="Calibri"/>
                <w:color w:val="000000"/>
              </w:rPr>
            </w:pPr>
            <w:r w:rsidRPr="00B93188">
              <w:rPr>
                <w:rFonts w:ascii="Calibri" w:hAnsi="Calibri"/>
                <w:color w:val="000000"/>
              </w:rPr>
              <w:t>Fixed Charge</w:t>
            </w:r>
          </w:p>
        </w:tc>
        <w:tc>
          <w:tcPr>
            <w:tcW w:w="2199" w:type="dxa"/>
            <w:tcBorders>
              <w:top w:val="single" w:sz="4" w:space="0" w:color="auto"/>
              <w:left w:val="nil"/>
              <w:bottom w:val="single" w:sz="4" w:space="0" w:color="auto"/>
              <w:right w:val="nil"/>
            </w:tcBorders>
            <w:shd w:val="clear" w:color="auto" w:fill="auto"/>
          </w:tcPr>
          <w:p w:rsidR="00B93188" w:rsidRPr="00B93188" w:rsidRDefault="00B93188" w:rsidP="00B93188">
            <w:pPr>
              <w:keepNext/>
              <w:jc w:val="center"/>
              <w:outlineLvl w:val="1"/>
              <w:rPr>
                <w:rFonts w:ascii="Calibri" w:hAnsi="Calibri"/>
                <w:color w:val="000000"/>
              </w:rPr>
            </w:pPr>
            <w:r w:rsidRPr="00B93188">
              <w:rPr>
                <w:rFonts w:ascii="Calibri" w:hAnsi="Calibri"/>
              </w:rPr>
              <w:t>$1,915</w:t>
            </w:r>
          </w:p>
        </w:tc>
      </w:tr>
    </w:tbl>
    <w:p w:rsidR="00BE0EE6" w:rsidRDefault="00B93188" w:rsidP="00983072">
      <w:pPr>
        <w:keepNext/>
        <w:keepLines/>
        <w:spacing w:before="120" w:after="120"/>
        <w:rPr>
          <w:rFonts w:ascii="Calibri" w:hAnsi="Calibri"/>
          <w:sz w:val="24"/>
        </w:rPr>
      </w:pPr>
      <w:r w:rsidRPr="00B93188">
        <w:rPr>
          <w:rFonts w:ascii="Calibri" w:hAnsi="Calibri"/>
          <w:sz w:val="24"/>
        </w:rPr>
        <w:lastRenderedPageBreak/>
        <w:t xml:space="preserve">On average, General Rates on commercial properties will increase by </w:t>
      </w:r>
      <w:r w:rsidR="00BE0EE6">
        <w:rPr>
          <w:rFonts w:ascii="Calibri" w:hAnsi="Calibri"/>
          <w:sz w:val="24"/>
        </w:rPr>
        <w:t>around 10 per cent in 2014-15.</w:t>
      </w:r>
    </w:p>
    <w:p w:rsidR="00B93188" w:rsidRPr="00B93188" w:rsidRDefault="00B93188" w:rsidP="00983072">
      <w:pPr>
        <w:keepNext/>
        <w:keepLines/>
        <w:spacing w:before="120" w:after="120"/>
        <w:rPr>
          <w:rFonts w:ascii="Calibri" w:hAnsi="Calibri"/>
          <w:sz w:val="24"/>
        </w:rPr>
      </w:pPr>
      <w:r w:rsidRPr="00B93188">
        <w:rPr>
          <w:rFonts w:ascii="Calibri" w:hAnsi="Calibri"/>
          <w:sz w:val="24"/>
        </w:rPr>
        <w:t>Duties on insurance will be fully abolished by 1 July 2016, and as such, from 2016</w:t>
      </w:r>
      <w:r w:rsidR="004D3C7B">
        <w:rPr>
          <w:rFonts w:ascii="Calibri" w:hAnsi="Calibri"/>
          <w:sz w:val="24"/>
        </w:rPr>
        <w:t>-</w:t>
      </w:r>
      <w:r w:rsidRPr="00B93188">
        <w:rPr>
          <w:rFonts w:ascii="Calibri" w:hAnsi="Calibri"/>
          <w:sz w:val="24"/>
        </w:rPr>
        <w:t>17 onwards, general rates on commercial and residential properties will no longer need to include a revenue replacement component for insurance taxes.</w:t>
      </w:r>
    </w:p>
    <w:p w:rsidR="00B93188" w:rsidRPr="00B93188" w:rsidRDefault="00B93188" w:rsidP="00983072">
      <w:pPr>
        <w:keepNext/>
        <w:keepLines/>
        <w:spacing w:before="120" w:after="120"/>
        <w:outlineLvl w:val="1"/>
        <w:rPr>
          <w:rFonts w:ascii="Calibri" w:hAnsi="Calibri"/>
          <w:b/>
          <w:snapToGrid w:val="0"/>
          <w:sz w:val="28"/>
        </w:rPr>
      </w:pPr>
      <w:r w:rsidRPr="00B93188">
        <w:rPr>
          <w:rFonts w:ascii="Calibri" w:hAnsi="Calibri"/>
          <w:b/>
          <w:snapToGrid w:val="0"/>
          <w:sz w:val="28"/>
        </w:rPr>
        <w:t xml:space="preserve">2014-15 Tax Reform Measures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Government is also introducing a number of other new tax reform initiatives in the 2014-15 Budget, including: </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 xml:space="preserve">the introduction of a new rating structure for residential land tax; </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an increase to the payroll tax threshold from $1.75 million to $1.85 million; and</w:t>
      </w:r>
    </w:p>
    <w:p w:rsidR="00B93188" w:rsidRPr="00B93188" w:rsidRDefault="00B93188" w:rsidP="00983072">
      <w:pPr>
        <w:keepNext/>
        <w:keepLines/>
        <w:numPr>
          <w:ilvl w:val="0"/>
          <w:numId w:val="46"/>
        </w:numPr>
        <w:spacing w:after="120"/>
        <w:ind w:left="284" w:hanging="284"/>
        <w:rPr>
          <w:rFonts w:ascii="Calibri" w:hAnsi="Calibri"/>
          <w:sz w:val="24"/>
        </w:rPr>
      </w:pPr>
      <w:r w:rsidRPr="00B93188">
        <w:rPr>
          <w:rFonts w:ascii="Calibri" w:hAnsi="Calibri"/>
          <w:sz w:val="24"/>
        </w:rPr>
        <w:t>payroll tax</w:t>
      </w:r>
      <w:r w:rsidR="000D1D97">
        <w:rPr>
          <w:rFonts w:ascii="Calibri" w:hAnsi="Calibri"/>
          <w:sz w:val="24"/>
        </w:rPr>
        <w:t xml:space="preserve"> harmonisation</w:t>
      </w:r>
      <w:r w:rsidRPr="00B93188">
        <w:rPr>
          <w:rFonts w:ascii="Calibri" w:hAnsi="Calibri"/>
          <w:sz w:val="24"/>
        </w:rPr>
        <w:t>.</w:t>
      </w:r>
    </w:p>
    <w:p w:rsidR="00B93188" w:rsidRPr="00B93188" w:rsidRDefault="00B93188" w:rsidP="00983072">
      <w:pPr>
        <w:keepNext/>
        <w:keepLines/>
        <w:spacing w:before="120" w:after="120"/>
        <w:rPr>
          <w:rFonts w:ascii="Calibri" w:hAnsi="Calibri"/>
          <w:sz w:val="24"/>
        </w:rPr>
      </w:pPr>
      <w:r w:rsidRPr="00B93188">
        <w:rPr>
          <w:rFonts w:ascii="Calibri" w:hAnsi="Calibri"/>
          <w:sz w:val="24"/>
        </w:rPr>
        <w:t xml:space="preserve">These new tax reforms are outlined below.  </w:t>
      </w:r>
    </w:p>
    <w:p w:rsidR="00B93188" w:rsidRPr="00B93188" w:rsidRDefault="00B93188" w:rsidP="00B93188">
      <w:pPr>
        <w:keepNext/>
        <w:keepLines/>
        <w:spacing w:before="240" w:after="60"/>
        <w:outlineLvl w:val="2"/>
        <w:rPr>
          <w:rFonts w:ascii="Calibri" w:hAnsi="Calibri" w:cs="Arial"/>
          <w:b/>
          <w:bCs/>
          <w:i/>
          <w:sz w:val="24"/>
          <w:szCs w:val="26"/>
        </w:rPr>
      </w:pPr>
      <w:r w:rsidRPr="00B93188">
        <w:rPr>
          <w:rFonts w:ascii="Calibri" w:hAnsi="Calibri" w:cs="Arial"/>
          <w:b/>
          <w:bCs/>
          <w:i/>
          <w:sz w:val="24"/>
          <w:szCs w:val="26"/>
        </w:rPr>
        <w:t>Land Tax</w:t>
      </w:r>
    </w:p>
    <w:tbl>
      <w:tblPr>
        <w:tblW w:w="8959" w:type="dxa"/>
        <w:tblLayout w:type="fixed"/>
        <w:tblLook w:val="04A0"/>
      </w:tblPr>
      <w:tblGrid>
        <w:gridCol w:w="3869"/>
        <w:gridCol w:w="1018"/>
        <w:gridCol w:w="1018"/>
        <w:gridCol w:w="1018"/>
        <w:gridCol w:w="1018"/>
        <w:gridCol w:w="1018"/>
      </w:tblGrid>
      <w:tr w:rsidR="00B93188" w:rsidRPr="00B93188" w:rsidTr="00B93188">
        <w:trPr>
          <w:trHeight w:val="20"/>
        </w:trPr>
        <w:tc>
          <w:tcPr>
            <w:tcW w:w="3869"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1018"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1018"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1018"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1018"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1018"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B93188">
        <w:trPr>
          <w:trHeight w:val="20"/>
        </w:trPr>
        <w:tc>
          <w:tcPr>
            <w:tcW w:w="3869"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1018"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1018"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1018"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1018"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1018"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B93188">
        <w:trPr>
          <w:trHeight w:val="20"/>
        </w:trPr>
        <w:tc>
          <w:tcPr>
            <w:tcW w:w="3869"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color w:val="000000"/>
                <w:lang w:eastAsia="en-AU"/>
              </w:rPr>
            </w:pPr>
            <w:r w:rsidRPr="00B93188">
              <w:rPr>
                <w:rFonts w:ascii="Calibri" w:hAnsi="Calibri" w:cs="Calibri"/>
                <w:color w:val="000000"/>
                <w:lang w:eastAsia="en-AU"/>
              </w:rPr>
              <w:t xml:space="preserve">Revenue </w:t>
            </w:r>
          </w:p>
        </w:tc>
        <w:tc>
          <w:tcPr>
            <w:tcW w:w="1018"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1018"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1018"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1018"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1018"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40,000</w:t>
            </w:r>
          </w:p>
        </w:tc>
      </w:tr>
    </w:tbl>
    <w:p w:rsidR="00B93188" w:rsidRPr="00B93188" w:rsidRDefault="00B93188" w:rsidP="00983072">
      <w:pPr>
        <w:keepNext/>
        <w:keepLines/>
        <w:spacing w:before="120" w:after="120"/>
        <w:rPr>
          <w:rFonts w:ascii="Calibri" w:hAnsi="Calibri"/>
          <w:sz w:val="24"/>
        </w:rPr>
      </w:pPr>
      <w:r w:rsidRPr="00B93188">
        <w:rPr>
          <w:rFonts w:ascii="Calibri" w:hAnsi="Calibri"/>
          <w:sz w:val="24"/>
        </w:rPr>
        <w:t xml:space="preserve">Land tax is levied on residential property when held for investment purposes.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Government will introduce a new rating structure for land tax in the 2014-15 Budget. This structure will comprise a fixed charge component and lower marginal rating factors, in the calculation of land tax.  This fixed charge of $900 will help to ensure equity within the land tax system and more appropriately spread the burden between houses (with generally higher AUVs) and units (with generally lower AUVs).  The p</w:t>
      </w:r>
      <w:r w:rsidR="004D3C7B">
        <w:rPr>
          <w:rFonts w:ascii="Calibri" w:hAnsi="Calibri"/>
          <w:sz w:val="24"/>
        </w:rPr>
        <w:t xml:space="preserve">roposed marginal rates for </w:t>
      </w:r>
      <w:r w:rsidR="004D3C7B">
        <w:rPr>
          <w:rFonts w:ascii="Calibri" w:hAnsi="Calibri"/>
          <w:sz w:val="24"/>
        </w:rPr>
        <w:br/>
        <w:t>2014-</w:t>
      </w:r>
      <w:r w:rsidRPr="00B93188">
        <w:rPr>
          <w:rFonts w:ascii="Calibri" w:hAnsi="Calibri"/>
          <w:sz w:val="24"/>
        </w:rPr>
        <w:t xml:space="preserve">15 are shown in the Table 6.2.6 below. </w:t>
      </w:r>
    </w:p>
    <w:p w:rsidR="00B93188" w:rsidRPr="00B93188" w:rsidRDefault="00B93188" w:rsidP="00B93188">
      <w:pPr>
        <w:tabs>
          <w:tab w:val="center" w:pos="4153"/>
          <w:tab w:val="right" w:pos="8306"/>
        </w:tabs>
        <w:spacing w:after="120" w:line="360" w:lineRule="auto"/>
        <w:ind w:left="360"/>
        <w:jc w:val="center"/>
        <w:rPr>
          <w:rFonts w:ascii="Calibri" w:hAnsi="Calibri"/>
          <w:b/>
          <w:sz w:val="24"/>
          <w:szCs w:val="24"/>
          <w:lang w:eastAsia="en-AU"/>
        </w:rPr>
      </w:pPr>
      <w:r w:rsidRPr="00B93188">
        <w:rPr>
          <w:rFonts w:ascii="Calibri" w:hAnsi="Calibri"/>
          <w:b/>
          <w:sz w:val="24"/>
          <w:szCs w:val="24"/>
          <w:lang w:eastAsia="en-AU"/>
        </w:rPr>
        <w:t>Table 6.2.6: 2014-15 land tax marginal rates and fixed costs</w:t>
      </w:r>
    </w:p>
    <w:tbl>
      <w:tblPr>
        <w:tblW w:w="0" w:type="auto"/>
        <w:jc w:val="center"/>
        <w:tblLook w:val="04A0"/>
      </w:tblPr>
      <w:tblGrid>
        <w:gridCol w:w="1998"/>
        <w:gridCol w:w="2100"/>
        <w:gridCol w:w="2100"/>
      </w:tblGrid>
      <w:tr w:rsidR="000D1D97" w:rsidRPr="00B93188" w:rsidTr="001F48B3">
        <w:trPr>
          <w:trHeight w:val="293"/>
          <w:jc w:val="center"/>
        </w:trPr>
        <w:tc>
          <w:tcPr>
            <w:tcW w:w="0" w:type="auto"/>
            <w:tcBorders>
              <w:top w:val="single" w:sz="4" w:space="0" w:color="auto"/>
              <w:left w:val="nil"/>
              <w:bottom w:val="single" w:sz="4" w:space="0" w:color="auto"/>
              <w:right w:val="nil"/>
            </w:tcBorders>
            <w:shd w:val="clear" w:color="auto" w:fill="auto"/>
            <w:noWrap/>
            <w:vAlign w:val="bottom"/>
            <w:hideMark/>
          </w:tcPr>
          <w:p w:rsidR="000D1D97" w:rsidRPr="00B93188" w:rsidRDefault="000D1D97" w:rsidP="00B93188">
            <w:pPr>
              <w:rPr>
                <w:rFonts w:ascii="Calibri" w:hAnsi="Calibri" w:cs="Arial"/>
                <w:b/>
                <w:bCs/>
                <w:color w:val="000000"/>
              </w:rPr>
            </w:pPr>
            <w:r w:rsidRPr="00B93188">
              <w:rPr>
                <w:rFonts w:ascii="Calibri" w:hAnsi="Calibri" w:cs="Arial"/>
                <w:b/>
                <w:bCs/>
                <w:color w:val="000000"/>
              </w:rPr>
              <w:t>Thresholds (AUV)</w:t>
            </w:r>
          </w:p>
        </w:tc>
        <w:tc>
          <w:tcPr>
            <w:tcW w:w="2100" w:type="dxa"/>
            <w:tcBorders>
              <w:top w:val="single" w:sz="4" w:space="0" w:color="auto"/>
              <w:left w:val="nil"/>
              <w:bottom w:val="single" w:sz="4" w:space="0" w:color="auto"/>
              <w:right w:val="nil"/>
            </w:tcBorders>
          </w:tcPr>
          <w:p w:rsidR="000D1D97" w:rsidRPr="00B93188" w:rsidRDefault="000D1D97" w:rsidP="00B93188">
            <w:pPr>
              <w:jc w:val="right"/>
              <w:rPr>
                <w:rFonts w:ascii="Calibri" w:hAnsi="Calibri" w:cs="Arial"/>
                <w:b/>
                <w:bCs/>
                <w:color w:val="000000"/>
              </w:rPr>
            </w:pPr>
            <w:r>
              <w:rPr>
                <w:rFonts w:ascii="Calibri" w:hAnsi="Calibri" w:cs="Arial"/>
                <w:b/>
                <w:bCs/>
                <w:color w:val="000000"/>
              </w:rPr>
              <w:t>Old Marginal Rates</w:t>
            </w:r>
          </w:p>
        </w:tc>
        <w:tc>
          <w:tcPr>
            <w:tcW w:w="2100" w:type="dxa"/>
            <w:tcBorders>
              <w:top w:val="single" w:sz="4" w:space="0" w:color="auto"/>
              <w:left w:val="nil"/>
              <w:bottom w:val="single" w:sz="4" w:space="0" w:color="auto"/>
              <w:right w:val="nil"/>
            </w:tcBorders>
            <w:shd w:val="clear" w:color="auto" w:fill="auto"/>
          </w:tcPr>
          <w:p w:rsidR="000D1D97" w:rsidRPr="00B93188" w:rsidRDefault="000D1D97" w:rsidP="00B93188">
            <w:pPr>
              <w:jc w:val="right"/>
              <w:rPr>
                <w:rFonts w:ascii="Calibri" w:hAnsi="Calibri" w:cs="Arial"/>
                <w:b/>
                <w:bCs/>
                <w:color w:val="000000"/>
              </w:rPr>
            </w:pPr>
            <w:r>
              <w:rPr>
                <w:rFonts w:ascii="Calibri" w:hAnsi="Calibri" w:cs="Arial"/>
                <w:b/>
                <w:bCs/>
                <w:color w:val="000000"/>
              </w:rPr>
              <w:t xml:space="preserve">New </w:t>
            </w:r>
            <w:r w:rsidRPr="00B93188">
              <w:rPr>
                <w:rFonts w:ascii="Calibri" w:hAnsi="Calibri" w:cs="Arial"/>
                <w:b/>
                <w:bCs/>
                <w:color w:val="000000"/>
              </w:rPr>
              <w:t>Marginal Rates</w:t>
            </w:r>
          </w:p>
        </w:tc>
      </w:tr>
      <w:tr w:rsidR="000D1D97" w:rsidRPr="00B93188" w:rsidTr="001F48B3">
        <w:trPr>
          <w:trHeight w:val="153"/>
          <w:jc w:val="center"/>
        </w:trPr>
        <w:tc>
          <w:tcPr>
            <w:tcW w:w="0" w:type="auto"/>
            <w:tcBorders>
              <w:top w:val="nil"/>
              <w:left w:val="nil"/>
              <w:bottom w:val="nil"/>
              <w:right w:val="nil"/>
            </w:tcBorders>
            <w:shd w:val="clear" w:color="auto" w:fill="auto"/>
            <w:noWrap/>
            <w:hideMark/>
          </w:tcPr>
          <w:p w:rsidR="000D1D97" w:rsidRPr="00B93188" w:rsidRDefault="000D1D97" w:rsidP="00B93188">
            <w:pPr>
              <w:rPr>
                <w:rFonts w:ascii="Calibri" w:hAnsi="Calibri" w:cs="Arial"/>
                <w:color w:val="000000"/>
              </w:rPr>
            </w:pPr>
            <w:r w:rsidRPr="00B93188">
              <w:rPr>
                <w:rFonts w:ascii="Calibri" w:hAnsi="Calibri" w:cs="Arial"/>
                <w:color w:val="000000"/>
              </w:rPr>
              <w:t>0 to $75,000</w:t>
            </w:r>
          </w:p>
        </w:tc>
        <w:tc>
          <w:tcPr>
            <w:tcW w:w="2100" w:type="dxa"/>
            <w:tcBorders>
              <w:top w:val="nil"/>
              <w:left w:val="nil"/>
              <w:bottom w:val="nil"/>
              <w:right w:val="nil"/>
            </w:tcBorders>
          </w:tcPr>
          <w:p w:rsidR="000D1D97" w:rsidRPr="000D1D97" w:rsidRDefault="000D1D97" w:rsidP="000D1D97">
            <w:pPr>
              <w:jc w:val="right"/>
              <w:rPr>
                <w:rFonts w:ascii="Calibri" w:hAnsi="Calibri" w:cs="Arial"/>
                <w:color w:val="000000"/>
              </w:rPr>
            </w:pPr>
            <w:r w:rsidRPr="000D1D97">
              <w:rPr>
                <w:rFonts w:ascii="Calibri" w:hAnsi="Calibri" w:cs="Arial"/>
                <w:color w:val="000000"/>
              </w:rPr>
              <w:t>0.60%</w:t>
            </w:r>
          </w:p>
        </w:tc>
        <w:tc>
          <w:tcPr>
            <w:tcW w:w="2100" w:type="dxa"/>
            <w:tcBorders>
              <w:top w:val="nil"/>
              <w:left w:val="nil"/>
              <w:bottom w:val="nil"/>
              <w:right w:val="nil"/>
            </w:tcBorders>
            <w:shd w:val="clear" w:color="auto" w:fill="auto"/>
          </w:tcPr>
          <w:p w:rsidR="000D1D97" w:rsidRPr="00B93188" w:rsidRDefault="000D1D97" w:rsidP="000D1D97">
            <w:pPr>
              <w:jc w:val="right"/>
              <w:rPr>
                <w:rFonts w:ascii="Calibri" w:hAnsi="Calibri" w:cs="Arial"/>
                <w:color w:val="000000"/>
              </w:rPr>
            </w:pPr>
            <w:r w:rsidRPr="00B93188">
              <w:rPr>
                <w:rFonts w:ascii="Calibri" w:hAnsi="Calibri" w:cs="Arial"/>
                <w:color w:val="000000"/>
              </w:rPr>
              <w:t>0.41%</w:t>
            </w:r>
          </w:p>
        </w:tc>
      </w:tr>
      <w:tr w:rsidR="000D1D97" w:rsidRPr="00B93188" w:rsidTr="001F48B3">
        <w:trPr>
          <w:trHeight w:val="153"/>
          <w:jc w:val="center"/>
        </w:trPr>
        <w:tc>
          <w:tcPr>
            <w:tcW w:w="0" w:type="auto"/>
            <w:tcBorders>
              <w:top w:val="nil"/>
              <w:left w:val="nil"/>
              <w:bottom w:val="nil"/>
              <w:right w:val="nil"/>
            </w:tcBorders>
            <w:shd w:val="clear" w:color="auto" w:fill="auto"/>
            <w:noWrap/>
            <w:hideMark/>
          </w:tcPr>
          <w:p w:rsidR="000D1D97" w:rsidRPr="00B93188" w:rsidRDefault="000D1D97" w:rsidP="00B93188">
            <w:pPr>
              <w:rPr>
                <w:rFonts w:ascii="Calibri" w:hAnsi="Calibri" w:cs="Arial"/>
                <w:color w:val="000000"/>
              </w:rPr>
            </w:pPr>
            <w:r w:rsidRPr="00B93188">
              <w:rPr>
                <w:rFonts w:ascii="Calibri" w:hAnsi="Calibri" w:cs="Arial"/>
                <w:color w:val="000000"/>
              </w:rPr>
              <w:t>$75,001 to $150,000</w:t>
            </w:r>
          </w:p>
        </w:tc>
        <w:tc>
          <w:tcPr>
            <w:tcW w:w="2100" w:type="dxa"/>
            <w:tcBorders>
              <w:top w:val="nil"/>
              <w:left w:val="nil"/>
              <w:bottom w:val="nil"/>
              <w:right w:val="nil"/>
            </w:tcBorders>
          </w:tcPr>
          <w:p w:rsidR="000D1D97" w:rsidRPr="000D1D97" w:rsidRDefault="000D1D97" w:rsidP="000D1D97">
            <w:pPr>
              <w:jc w:val="right"/>
              <w:rPr>
                <w:rFonts w:ascii="Calibri" w:hAnsi="Calibri" w:cs="Arial"/>
                <w:color w:val="000000"/>
              </w:rPr>
            </w:pPr>
            <w:r w:rsidRPr="000D1D97">
              <w:rPr>
                <w:rFonts w:ascii="Calibri" w:hAnsi="Calibri" w:cs="Arial"/>
                <w:color w:val="000000"/>
              </w:rPr>
              <w:t>0.70%</w:t>
            </w:r>
          </w:p>
        </w:tc>
        <w:tc>
          <w:tcPr>
            <w:tcW w:w="2100" w:type="dxa"/>
            <w:tcBorders>
              <w:top w:val="nil"/>
              <w:left w:val="nil"/>
              <w:bottom w:val="nil"/>
              <w:right w:val="nil"/>
            </w:tcBorders>
            <w:shd w:val="clear" w:color="auto" w:fill="auto"/>
          </w:tcPr>
          <w:p w:rsidR="000D1D97" w:rsidRPr="00B93188" w:rsidRDefault="000D1D97" w:rsidP="000D1D97">
            <w:pPr>
              <w:jc w:val="right"/>
              <w:rPr>
                <w:rFonts w:ascii="Calibri" w:hAnsi="Calibri" w:cs="Arial"/>
                <w:color w:val="000000"/>
              </w:rPr>
            </w:pPr>
            <w:r w:rsidRPr="00B93188">
              <w:rPr>
                <w:rFonts w:ascii="Calibri" w:hAnsi="Calibri" w:cs="Arial"/>
                <w:color w:val="000000"/>
              </w:rPr>
              <w:t>0.48%</w:t>
            </w:r>
          </w:p>
        </w:tc>
      </w:tr>
      <w:tr w:rsidR="000D1D97" w:rsidRPr="00B93188" w:rsidTr="001F48B3">
        <w:trPr>
          <w:trHeight w:val="99"/>
          <w:jc w:val="center"/>
        </w:trPr>
        <w:tc>
          <w:tcPr>
            <w:tcW w:w="0" w:type="auto"/>
            <w:tcBorders>
              <w:top w:val="nil"/>
              <w:left w:val="nil"/>
              <w:right w:val="nil"/>
            </w:tcBorders>
            <w:shd w:val="clear" w:color="auto" w:fill="auto"/>
            <w:noWrap/>
            <w:hideMark/>
          </w:tcPr>
          <w:p w:rsidR="000D1D97" w:rsidRPr="00B93188" w:rsidRDefault="000D1D97" w:rsidP="00B93188">
            <w:pPr>
              <w:rPr>
                <w:rFonts w:ascii="Calibri" w:hAnsi="Calibri" w:cs="Arial"/>
                <w:color w:val="000000"/>
              </w:rPr>
            </w:pPr>
            <w:r w:rsidRPr="00B93188">
              <w:rPr>
                <w:rFonts w:ascii="Calibri" w:hAnsi="Calibri" w:cs="Arial"/>
                <w:color w:val="000000"/>
              </w:rPr>
              <w:t>$150,001 to $275,000</w:t>
            </w:r>
          </w:p>
        </w:tc>
        <w:tc>
          <w:tcPr>
            <w:tcW w:w="2100" w:type="dxa"/>
            <w:tcBorders>
              <w:top w:val="nil"/>
              <w:left w:val="nil"/>
              <w:right w:val="nil"/>
            </w:tcBorders>
          </w:tcPr>
          <w:p w:rsidR="000D1D97" w:rsidRPr="000D1D97" w:rsidRDefault="000D1D97" w:rsidP="000D1D97">
            <w:pPr>
              <w:jc w:val="right"/>
              <w:rPr>
                <w:rFonts w:ascii="Calibri" w:hAnsi="Calibri" w:cs="Arial"/>
                <w:color w:val="000000"/>
              </w:rPr>
            </w:pPr>
            <w:r w:rsidRPr="000D1D97">
              <w:rPr>
                <w:rFonts w:ascii="Calibri" w:hAnsi="Calibri" w:cs="Arial"/>
                <w:color w:val="000000"/>
              </w:rPr>
              <w:t>0.89%</w:t>
            </w:r>
          </w:p>
        </w:tc>
        <w:tc>
          <w:tcPr>
            <w:tcW w:w="2100" w:type="dxa"/>
            <w:tcBorders>
              <w:top w:val="nil"/>
              <w:left w:val="nil"/>
              <w:right w:val="nil"/>
            </w:tcBorders>
            <w:shd w:val="clear" w:color="auto" w:fill="auto"/>
          </w:tcPr>
          <w:p w:rsidR="000D1D97" w:rsidRPr="00B93188" w:rsidRDefault="000D1D97" w:rsidP="000D1D97">
            <w:pPr>
              <w:jc w:val="right"/>
              <w:rPr>
                <w:rFonts w:ascii="Calibri" w:hAnsi="Calibri" w:cs="Arial"/>
                <w:color w:val="000000"/>
              </w:rPr>
            </w:pPr>
            <w:r w:rsidRPr="00B93188">
              <w:rPr>
                <w:rFonts w:ascii="Calibri" w:hAnsi="Calibri" w:cs="Arial"/>
                <w:color w:val="000000"/>
              </w:rPr>
              <w:t>0.61%</w:t>
            </w:r>
          </w:p>
        </w:tc>
      </w:tr>
      <w:tr w:rsidR="000D1D97" w:rsidRPr="00B93188" w:rsidTr="001F48B3">
        <w:trPr>
          <w:trHeight w:val="90"/>
          <w:jc w:val="center"/>
        </w:trPr>
        <w:tc>
          <w:tcPr>
            <w:tcW w:w="0" w:type="auto"/>
            <w:tcBorders>
              <w:top w:val="nil"/>
              <w:left w:val="nil"/>
              <w:bottom w:val="single" w:sz="4" w:space="0" w:color="auto"/>
              <w:right w:val="nil"/>
            </w:tcBorders>
            <w:shd w:val="clear" w:color="auto" w:fill="auto"/>
            <w:noWrap/>
            <w:hideMark/>
          </w:tcPr>
          <w:p w:rsidR="000D1D97" w:rsidRPr="00B93188" w:rsidRDefault="000D1D97" w:rsidP="00B93188">
            <w:pPr>
              <w:rPr>
                <w:rFonts w:ascii="Calibri" w:hAnsi="Calibri" w:cs="Arial"/>
                <w:color w:val="000000"/>
              </w:rPr>
            </w:pPr>
            <w:r w:rsidRPr="00B93188">
              <w:rPr>
                <w:rFonts w:ascii="Calibri" w:hAnsi="Calibri" w:cs="Arial"/>
                <w:color w:val="000000"/>
              </w:rPr>
              <w:t>$275,001+</w:t>
            </w:r>
          </w:p>
        </w:tc>
        <w:tc>
          <w:tcPr>
            <w:tcW w:w="2100" w:type="dxa"/>
            <w:tcBorders>
              <w:top w:val="nil"/>
              <w:left w:val="nil"/>
              <w:bottom w:val="single" w:sz="4" w:space="0" w:color="auto"/>
              <w:right w:val="nil"/>
            </w:tcBorders>
          </w:tcPr>
          <w:p w:rsidR="000D1D97" w:rsidRPr="000D1D97" w:rsidRDefault="000D1D97" w:rsidP="000D1D97">
            <w:pPr>
              <w:jc w:val="right"/>
              <w:rPr>
                <w:rFonts w:ascii="Calibri" w:hAnsi="Calibri" w:cs="Arial"/>
                <w:color w:val="000000"/>
              </w:rPr>
            </w:pPr>
            <w:r w:rsidRPr="000D1D97">
              <w:rPr>
                <w:rFonts w:ascii="Calibri" w:hAnsi="Calibri" w:cs="Arial"/>
                <w:color w:val="000000"/>
              </w:rPr>
              <w:t>1.80%</w:t>
            </w:r>
          </w:p>
        </w:tc>
        <w:tc>
          <w:tcPr>
            <w:tcW w:w="2100" w:type="dxa"/>
            <w:tcBorders>
              <w:top w:val="nil"/>
              <w:left w:val="nil"/>
              <w:bottom w:val="single" w:sz="4" w:space="0" w:color="auto"/>
              <w:right w:val="nil"/>
            </w:tcBorders>
            <w:shd w:val="clear" w:color="auto" w:fill="auto"/>
          </w:tcPr>
          <w:p w:rsidR="000D1D97" w:rsidRPr="00B93188" w:rsidRDefault="000D1D97" w:rsidP="000D1D97">
            <w:pPr>
              <w:jc w:val="right"/>
              <w:rPr>
                <w:rFonts w:ascii="Calibri" w:hAnsi="Calibri" w:cs="Arial"/>
                <w:color w:val="000000"/>
              </w:rPr>
            </w:pPr>
            <w:r w:rsidRPr="00B93188">
              <w:rPr>
                <w:rFonts w:ascii="Calibri" w:hAnsi="Calibri" w:cs="Arial"/>
                <w:color w:val="000000"/>
              </w:rPr>
              <w:t>1.23%</w:t>
            </w:r>
          </w:p>
        </w:tc>
      </w:tr>
      <w:tr w:rsidR="000D1D97" w:rsidRPr="00B93188" w:rsidTr="001F48B3">
        <w:trPr>
          <w:trHeight w:val="90"/>
          <w:jc w:val="center"/>
        </w:trPr>
        <w:tc>
          <w:tcPr>
            <w:tcW w:w="0" w:type="auto"/>
            <w:tcBorders>
              <w:top w:val="single" w:sz="4" w:space="0" w:color="auto"/>
              <w:left w:val="nil"/>
              <w:bottom w:val="single" w:sz="4" w:space="0" w:color="auto"/>
              <w:right w:val="nil"/>
            </w:tcBorders>
            <w:shd w:val="clear" w:color="auto" w:fill="auto"/>
            <w:noWrap/>
            <w:hideMark/>
          </w:tcPr>
          <w:p w:rsidR="000D1D97" w:rsidRPr="00B93188" w:rsidRDefault="000D1D97" w:rsidP="00B93188">
            <w:pPr>
              <w:rPr>
                <w:rFonts w:ascii="Calibri" w:hAnsi="Calibri" w:cs="Arial"/>
                <w:color w:val="000000"/>
              </w:rPr>
            </w:pPr>
            <w:r w:rsidRPr="00B93188">
              <w:rPr>
                <w:rFonts w:ascii="Calibri" w:hAnsi="Calibri" w:cs="Arial"/>
                <w:color w:val="000000"/>
              </w:rPr>
              <w:t>Fixed Charge</w:t>
            </w:r>
          </w:p>
        </w:tc>
        <w:tc>
          <w:tcPr>
            <w:tcW w:w="2100" w:type="dxa"/>
            <w:tcBorders>
              <w:top w:val="single" w:sz="4" w:space="0" w:color="auto"/>
              <w:left w:val="nil"/>
              <w:bottom w:val="single" w:sz="4" w:space="0" w:color="auto"/>
              <w:right w:val="nil"/>
            </w:tcBorders>
          </w:tcPr>
          <w:p w:rsidR="000D1D97" w:rsidRPr="00B93188" w:rsidRDefault="000D1D97" w:rsidP="000D1D97">
            <w:pPr>
              <w:jc w:val="right"/>
              <w:rPr>
                <w:rFonts w:ascii="Calibri" w:hAnsi="Calibri" w:cs="Arial"/>
                <w:color w:val="000000"/>
              </w:rPr>
            </w:pPr>
            <w:r>
              <w:rPr>
                <w:rFonts w:ascii="Calibri" w:hAnsi="Calibri" w:cs="Arial"/>
                <w:color w:val="000000"/>
              </w:rPr>
              <w:t>$0</w:t>
            </w:r>
          </w:p>
        </w:tc>
        <w:tc>
          <w:tcPr>
            <w:tcW w:w="2100" w:type="dxa"/>
            <w:tcBorders>
              <w:top w:val="single" w:sz="4" w:space="0" w:color="auto"/>
              <w:left w:val="nil"/>
              <w:bottom w:val="single" w:sz="4" w:space="0" w:color="auto"/>
              <w:right w:val="nil"/>
            </w:tcBorders>
            <w:shd w:val="clear" w:color="auto" w:fill="auto"/>
          </w:tcPr>
          <w:p w:rsidR="000D1D97" w:rsidRPr="00B93188" w:rsidRDefault="000D1D97" w:rsidP="000D1D97">
            <w:pPr>
              <w:jc w:val="right"/>
              <w:rPr>
                <w:rFonts w:ascii="Calibri" w:hAnsi="Calibri" w:cs="Arial"/>
                <w:color w:val="000000"/>
              </w:rPr>
            </w:pPr>
            <w:r w:rsidRPr="00B93188">
              <w:rPr>
                <w:rFonts w:ascii="Calibri" w:hAnsi="Calibri" w:cs="Arial"/>
                <w:color w:val="000000"/>
              </w:rPr>
              <w:t>$900</w:t>
            </w:r>
          </w:p>
        </w:tc>
      </w:tr>
    </w:tbl>
    <w:p w:rsidR="00560E4B" w:rsidRDefault="00560E4B" w:rsidP="004B6050">
      <w:pPr>
        <w:keepNext/>
        <w:keepLines/>
        <w:spacing w:before="120" w:after="120"/>
        <w:jc w:val="both"/>
        <w:rPr>
          <w:rFonts w:ascii="Calibri" w:hAnsi="Calibri"/>
          <w:sz w:val="24"/>
        </w:rPr>
      </w:pPr>
    </w:p>
    <w:p w:rsidR="00B93188" w:rsidRPr="00B93188" w:rsidRDefault="00560E4B" w:rsidP="004B6050">
      <w:pPr>
        <w:keepNext/>
        <w:keepLines/>
        <w:spacing w:before="120" w:after="120"/>
        <w:jc w:val="both"/>
        <w:rPr>
          <w:rFonts w:ascii="Calibri" w:hAnsi="Calibri"/>
          <w:sz w:val="24"/>
        </w:rPr>
      </w:pPr>
      <w:r>
        <w:rPr>
          <w:rFonts w:ascii="Calibri" w:hAnsi="Calibri"/>
          <w:sz w:val="24"/>
        </w:rPr>
        <w:br w:type="page"/>
      </w:r>
      <w:r w:rsidR="00B93188" w:rsidRPr="00B93188">
        <w:rPr>
          <w:rFonts w:ascii="Calibri" w:hAnsi="Calibri"/>
          <w:sz w:val="24"/>
        </w:rPr>
        <w:lastRenderedPageBreak/>
        <w:t>This reform will change the amount of land tax investors will pay for all land values.  For example:</w:t>
      </w:r>
    </w:p>
    <w:p w:rsidR="004D5E62" w:rsidRPr="00983072" w:rsidRDefault="004D5E62" w:rsidP="00983072">
      <w:pPr>
        <w:keepNext/>
        <w:keepLines/>
        <w:numPr>
          <w:ilvl w:val="0"/>
          <w:numId w:val="46"/>
        </w:numPr>
        <w:spacing w:after="120"/>
        <w:ind w:left="284" w:hanging="284"/>
        <w:rPr>
          <w:rFonts w:ascii="Calibri" w:hAnsi="Calibri"/>
          <w:sz w:val="24"/>
        </w:rPr>
      </w:pPr>
      <w:r w:rsidRPr="00983072">
        <w:rPr>
          <w:rFonts w:ascii="Calibri" w:hAnsi="Calibri"/>
          <w:sz w:val="24"/>
        </w:rPr>
        <w:t>an investor who owns a property with an AUV of $50,000, will pay land tax of $1,105.72 in 2014-15;</w:t>
      </w:r>
    </w:p>
    <w:p w:rsidR="004D5E62" w:rsidRPr="00983072" w:rsidRDefault="004D5E62" w:rsidP="00983072">
      <w:pPr>
        <w:keepNext/>
        <w:keepLines/>
        <w:numPr>
          <w:ilvl w:val="0"/>
          <w:numId w:val="46"/>
        </w:numPr>
        <w:spacing w:after="120"/>
        <w:ind w:left="284" w:hanging="284"/>
        <w:rPr>
          <w:rFonts w:ascii="Calibri" w:hAnsi="Calibri"/>
          <w:sz w:val="24"/>
        </w:rPr>
      </w:pPr>
      <w:r w:rsidRPr="00983072">
        <w:rPr>
          <w:rFonts w:ascii="Calibri" w:hAnsi="Calibri"/>
          <w:sz w:val="24"/>
        </w:rPr>
        <w:t xml:space="preserve">an investor who owns a property with an AUV of $150,000, will pay land tax of $1,568 in 2014-15; </w:t>
      </w:r>
    </w:p>
    <w:p w:rsidR="00983072" w:rsidRDefault="004D5E62" w:rsidP="00983072">
      <w:pPr>
        <w:keepNext/>
        <w:keepLines/>
        <w:numPr>
          <w:ilvl w:val="0"/>
          <w:numId w:val="46"/>
        </w:numPr>
        <w:spacing w:after="120"/>
        <w:ind w:left="284" w:hanging="284"/>
        <w:rPr>
          <w:rFonts w:ascii="Calibri" w:hAnsi="Calibri"/>
          <w:sz w:val="24"/>
        </w:rPr>
      </w:pPr>
      <w:r w:rsidRPr="00983072">
        <w:rPr>
          <w:rFonts w:ascii="Calibri" w:hAnsi="Calibri"/>
          <w:sz w:val="24"/>
        </w:rPr>
        <w:t>an investor who owns a property with an AUV of $250,000, will pay lan</w:t>
      </w:r>
      <w:r w:rsidR="00983072">
        <w:rPr>
          <w:rFonts w:ascii="Calibri" w:hAnsi="Calibri"/>
          <w:sz w:val="24"/>
        </w:rPr>
        <w:t>d tax of $2,178 in 2014-15; and</w:t>
      </w:r>
    </w:p>
    <w:p w:rsidR="004D5E62" w:rsidRPr="00983072" w:rsidRDefault="004D5E62" w:rsidP="00983072">
      <w:pPr>
        <w:keepNext/>
        <w:keepLines/>
        <w:numPr>
          <w:ilvl w:val="0"/>
          <w:numId w:val="46"/>
        </w:numPr>
        <w:spacing w:after="120"/>
        <w:ind w:left="284" w:hanging="284"/>
        <w:rPr>
          <w:rFonts w:ascii="Calibri" w:hAnsi="Calibri"/>
          <w:sz w:val="24"/>
        </w:rPr>
      </w:pPr>
      <w:r w:rsidRPr="00983072">
        <w:rPr>
          <w:rFonts w:ascii="Calibri" w:hAnsi="Calibri"/>
          <w:sz w:val="24"/>
        </w:rPr>
        <w:t>an investor who owns a property with an AUV of $350,000, will pay land tax of $3,257 in 2014-1</w:t>
      </w:r>
      <w:r w:rsidR="00560E4B">
        <w:rPr>
          <w:rFonts w:ascii="Calibri" w:hAnsi="Calibri"/>
          <w:sz w:val="24"/>
        </w:rPr>
        <w:t>5.</w:t>
      </w:r>
    </w:p>
    <w:p w:rsidR="00B93188" w:rsidRPr="00B93188" w:rsidRDefault="00B93188" w:rsidP="00B93188">
      <w:pPr>
        <w:keepNext/>
        <w:keepLines/>
        <w:spacing w:before="240" w:after="60"/>
        <w:outlineLvl w:val="2"/>
        <w:rPr>
          <w:rFonts w:ascii="Calibri" w:hAnsi="Calibri" w:cs="Arial"/>
          <w:b/>
          <w:bCs/>
          <w:i/>
          <w:sz w:val="24"/>
          <w:szCs w:val="26"/>
        </w:rPr>
      </w:pPr>
      <w:r w:rsidRPr="00B93188">
        <w:rPr>
          <w:rFonts w:ascii="Calibri" w:hAnsi="Calibri" w:cs="Arial"/>
          <w:b/>
          <w:bCs/>
          <w:i/>
          <w:sz w:val="24"/>
          <w:szCs w:val="26"/>
        </w:rPr>
        <w:t xml:space="preserve">Payroll Tax </w:t>
      </w:r>
    </w:p>
    <w:p w:rsidR="00B93188" w:rsidRPr="00B93188" w:rsidRDefault="00B93188" w:rsidP="00B93188">
      <w:pPr>
        <w:keepNext/>
        <w:keepLines/>
        <w:spacing w:before="120" w:after="120"/>
        <w:outlineLvl w:val="3"/>
        <w:rPr>
          <w:rFonts w:ascii="Calibri" w:hAnsi="Calibri"/>
          <w:i/>
          <w:sz w:val="24"/>
        </w:rPr>
      </w:pPr>
      <w:r w:rsidRPr="00B93188">
        <w:rPr>
          <w:rFonts w:ascii="Calibri" w:hAnsi="Calibri"/>
          <w:i/>
          <w:sz w:val="24"/>
        </w:rPr>
        <w:t>New Threshold</w:t>
      </w:r>
    </w:p>
    <w:tbl>
      <w:tblPr>
        <w:tblW w:w="8959" w:type="dxa"/>
        <w:tblLook w:val="04A0"/>
      </w:tblPr>
      <w:tblGrid>
        <w:gridCol w:w="4054"/>
        <w:gridCol w:w="981"/>
        <w:gridCol w:w="981"/>
        <w:gridCol w:w="981"/>
        <w:gridCol w:w="981"/>
        <w:gridCol w:w="981"/>
      </w:tblGrid>
      <w:tr w:rsidR="00B93188" w:rsidRPr="00B93188" w:rsidTr="004B6050">
        <w:trPr>
          <w:trHeight w:val="20"/>
        </w:trPr>
        <w:tc>
          <w:tcPr>
            <w:tcW w:w="0" w:type="auto"/>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4B6050">
        <w:trPr>
          <w:trHeight w:val="20"/>
        </w:trPr>
        <w:tc>
          <w:tcPr>
            <w:tcW w:w="0" w:type="auto"/>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4B6050">
        <w:trPr>
          <w:trHeight w:val="20"/>
        </w:trPr>
        <w:tc>
          <w:tcPr>
            <w:tcW w:w="0" w:type="auto"/>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color w:val="000000"/>
                <w:lang w:eastAsia="en-AU"/>
              </w:rPr>
            </w:pPr>
            <w:r w:rsidRPr="00B93188">
              <w:rPr>
                <w:rFonts w:ascii="Calibri" w:hAnsi="Calibri" w:cs="Calibri"/>
                <w:color w:val="000000"/>
                <w:lang w:eastAsia="en-AU"/>
              </w:rPr>
              <w:t>Revenue</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-2,100</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-2,255</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-2,422</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-2,602</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-9,379</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Government will accelerate the reform agenda for payroll tax, by increasing the payroll tax threshold from $1.75 million to $1.85 million in 2014-15.  The rate of payroll tax of 6.85 per cent will remain.</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This initiative will support local businesses.  For example, businesses with a payroll of $2 million will benefit under this reform, by paying $6,850 less in payroll tax per annum.  In addition, the Government estimates that 39 businesses will leave the payroll tax system entirely.</w:t>
      </w:r>
    </w:p>
    <w:p w:rsidR="00B93188" w:rsidRPr="00B93188" w:rsidRDefault="0066100A" w:rsidP="00B93188">
      <w:pPr>
        <w:keepNext/>
        <w:keepLines/>
        <w:spacing w:before="120" w:after="120"/>
        <w:outlineLvl w:val="3"/>
        <w:rPr>
          <w:rFonts w:ascii="Calibri" w:hAnsi="Calibri"/>
          <w:i/>
          <w:sz w:val="24"/>
        </w:rPr>
      </w:pPr>
      <w:r>
        <w:rPr>
          <w:rFonts w:ascii="Calibri" w:hAnsi="Calibri"/>
          <w:i/>
          <w:sz w:val="24"/>
        </w:rPr>
        <w:t>Harmonisation</w:t>
      </w:r>
      <w:r w:rsidR="00BE0EE6">
        <w:rPr>
          <w:rFonts w:ascii="Calibri" w:hAnsi="Calibri"/>
          <w:i/>
          <w:sz w:val="24"/>
        </w:rPr>
        <w:t xml:space="preserve"> of exemption</w:t>
      </w:r>
    </w:p>
    <w:tbl>
      <w:tblPr>
        <w:tblW w:w="9150" w:type="dxa"/>
        <w:tblLook w:val="04A0"/>
      </w:tblPr>
      <w:tblGrid>
        <w:gridCol w:w="4250"/>
        <w:gridCol w:w="980"/>
        <w:gridCol w:w="980"/>
        <w:gridCol w:w="980"/>
        <w:gridCol w:w="980"/>
        <w:gridCol w:w="980"/>
      </w:tblGrid>
      <w:tr w:rsidR="00B93188" w:rsidRPr="00B93188" w:rsidTr="00B93188">
        <w:trPr>
          <w:trHeight w:val="20"/>
        </w:trPr>
        <w:tc>
          <w:tcPr>
            <w:tcW w:w="4250"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0"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980"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980"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980"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980"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B93188">
        <w:trPr>
          <w:trHeight w:val="20"/>
        </w:trPr>
        <w:tc>
          <w:tcPr>
            <w:tcW w:w="4250"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0"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0"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0"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0"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0"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B93188">
        <w:trPr>
          <w:trHeight w:val="20"/>
        </w:trPr>
        <w:tc>
          <w:tcPr>
            <w:tcW w:w="4250"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color w:val="000000"/>
                <w:lang w:eastAsia="en-AU"/>
              </w:rPr>
            </w:pPr>
            <w:r w:rsidRPr="00B93188">
              <w:rPr>
                <w:rFonts w:ascii="Calibri" w:hAnsi="Calibri" w:cs="Calibri"/>
                <w:color w:val="000000"/>
                <w:lang w:eastAsia="en-AU"/>
              </w:rPr>
              <w:t xml:space="preserve">Revenue </w:t>
            </w:r>
          </w:p>
        </w:tc>
        <w:tc>
          <w:tcPr>
            <w:tcW w:w="980"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980"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980"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980"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10,000</w:t>
            </w:r>
          </w:p>
        </w:tc>
        <w:tc>
          <w:tcPr>
            <w:tcW w:w="980"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40,000</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ACT is the only jurisdiction where a </w:t>
      </w:r>
      <w:r w:rsidRPr="00B93188">
        <w:rPr>
          <w:rFonts w:ascii="Calibri" w:hAnsi="Calibri"/>
          <w:i/>
          <w:sz w:val="24"/>
        </w:rPr>
        <w:t>genuine employer</w:t>
      </w:r>
      <w:r w:rsidRPr="00B93188">
        <w:rPr>
          <w:rFonts w:ascii="Calibri" w:hAnsi="Calibri"/>
          <w:sz w:val="24"/>
        </w:rPr>
        <w:t xml:space="preserve"> exemption exists in the calculation of payroll tax for employment agents.  Under current legislation, the criteria for establishing a </w:t>
      </w:r>
      <w:r w:rsidRPr="00B93188">
        <w:rPr>
          <w:rFonts w:ascii="Calibri" w:hAnsi="Calibri"/>
          <w:i/>
          <w:sz w:val="24"/>
        </w:rPr>
        <w:t>genuine employer</w:t>
      </w:r>
      <w:r w:rsidRPr="00B93188">
        <w:rPr>
          <w:rFonts w:ascii="Calibri" w:hAnsi="Calibri"/>
          <w:sz w:val="24"/>
        </w:rPr>
        <w:t xml:space="preserve"> for this purpose are not clear, which has made the tax legislation complex and difficult to interpret in this respect.</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w:t>
      </w:r>
      <w:r w:rsidRPr="00B93188">
        <w:rPr>
          <w:rFonts w:ascii="Calibri" w:hAnsi="Calibri"/>
          <w:i/>
          <w:sz w:val="24"/>
        </w:rPr>
        <w:t>Payroll Tax Act 2011</w:t>
      </w:r>
      <w:r w:rsidRPr="00B93188">
        <w:rPr>
          <w:rFonts w:ascii="Calibri" w:hAnsi="Calibri"/>
          <w:sz w:val="24"/>
        </w:rPr>
        <w:t xml:space="preserve"> will be amended to remove the </w:t>
      </w:r>
      <w:r w:rsidRPr="00B93188">
        <w:rPr>
          <w:rFonts w:ascii="Calibri" w:hAnsi="Calibri"/>
          <w:i/>
          <w:sz w:val="24"/>
        </w:rPr>
        <w:t>genuine employer</w:t>
      </w:r>
      <w:r w:rsidRPr="00B93188">
        <w:rPr>
          <w:rFonts w:ascii="Calibri" w:hAnsi="Calibri"/>
          <w:sz w:val="24"/>
        </w:rPr>
        <w:t xml:space="preserve"> exemption to bring the ACT more into line with other jurisdictions.  The ACT will continue to offer six other exemption categories that employment agents may claim.  This amendment will provide more certainty to Canberra employment agents and to the contractor community with regards to their payroll tax liabilities.  </w:t>
      </w:r>
    </w:p>
    <w:p w:rsidR="00B93188" w:rsidRPr="00B93188" w:rsidRDefault="00560E4B" w:rsidP="00983072">
      <w:pPr>
        <w:keepNext/>
        <w:keepLines/>
        <w:spacing w:before="120" w:after="120"/>
        <w:outlineLvl w:val="2"/>
        <w:rPr>
          <w:rFonts w:ascii="Calibri" w:hAnsi="Calibri" w:cs="Arial"/>
          <w:b/>
          <w:bCs/>
          <w:i/>
          <w:sz w:val="24"/>
          <w:szCs w:val="26"/>
        </w:rPr>
      </w:pPr>
      <w:r>
        <w:rPr>
          <w:rFonts w:ascii="Calibri" w:hAnsi="Calibri" w:cs="Arial"/>
          <w:b/>
          <w:bCs/>
          <w:i/>
          <w:sz w:val="24"/>
          <w:szCs w:val="26"/>
        </w:rPr>
        <w:br w:type="page"/>
      </w:r>
      <w:r w:rsidR="00B93188" w:rsidRPr="00B93188">
        <w:rPr>
          <w:rFonts w:ascii="Calibri" w:hAnsi="Calibri" w:cs="Arial"/>
          <w:b/>
          <w:bCs/>
          <w:i/>
          <w:sz w:val="24"/>
          <w:szCs w:val="26"/>
        </w:rPr>
        <w:lastRenderedPageBreak/>
        <w:t>Concessions</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Government is making a number of changes to various concessions offered in the Territory to ensure that concessions remain fair and well targeted.  </w:t>
      </w:r>
    </w:p>
    <w:p w:rsidR="00B93188" w:rsidRPr="00B93188" w:rsidRDefault="00B93188" w:rsidP="00B93188">
      <w:pPr>
        <w:keepNext/>
        <w:keepLines/>
        <w:spacing w:before="120" w:after="120"/>
        <w:outlineLvl w:val="3"/>
        <w:rPr>
          <w:rFonts w:ascii="Calibri" w:hAnsi="Calibri"/>
          <w:i/>
          <w:sz w:val="24"/>
        </w:rPr>
      </w:pPr>
      <w:r w:rsidRPr="00B93188">
        <w:rPr>
          <w:rFonts w:ascii="Calibri" w:hAnsi="Calibri"/>
          <w:i/>
          <w:sz w:val="24"/>
        </w:rPr>
        <w:t>Over 60s Home Bonus</w:t>
      </w:r>
    </w:p>
    <w:tbl>
      <w:tblPr>
        <w:tblW w:w="8959" w:type="dxa"/>
        <w:tblLook w:val="04A0"/>
      </w:tblPr>
      <w:tblGrid>
        <w:gridCol w:w="4253"/>
        <w:gridCol w:w="981"/>
        <w:gridCol w:w="981"/>
        <w:gridCol w:w="981"/>
        <w:gridCol w:w="981"/>
        <w:gridCol w:w="981"/>
      </w:tblGrid>
      <w:tr w:rsidR="00B93188" w:rsidRPr="00B93188" w:rsidTr="004B6050">
        <w:trPr>
          <w:trHeight w:val="20"/>
        </w:trPr>
        <w:tc>
          <w:tcPr>
            <w:tcW w:w="4253"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4B6050">
        <w:trPr>
          <w:trHeight w:val="20"/>
        </w:trPr>
        <w:tc>
          <w:tcPr>
            <w:tcW w:w="4253"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4B6050">
        <w:trPr>
          <w:trHeight w:val="20"/>
        </w:trPr>
        <w:tc>
          <w:tcPr>
            <w:tcW w:w="4253"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iCs/>
                <w:color w:val="000000"/>
                <w:lang w:eastAsia="en-AU"/>
              </w:rPr>
            </w:pPr>
            <w:r w:rsidRPr="00B93188">
              <w:rPr>
                <w:rFonts w:ascii="Calibri" w:hAnsi="Calibri" w:cs="Calibri"/>
                <w:iCs/>
                <w:color w:val="000000"/>
                <w:lang w:eastAsia="en-AU"/>
              </w:rPr>
              <w:t>Revenue</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-2,200</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-3,100</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0</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0</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-5,300</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In the 2014-15 Budget, the Government will extend the current </w:t>
      </w:r>
      <w:r w:rsidRPr="00B93188">
        <w:rPr>
          <w:rFonts w:ascii="Calibri" w:hAnsi="Calibri"/>
          <w:i/>
          <w:sz w:val="24"/>
        </w:rPr>
        <w:t>Pensioner Duty Concession Scheme</w:t>
      </w:r>
      <w:r w:rsidRPr="00B93188">
        <w:rPr>
          <w:rFonts w:ascii="Calibri" w:hAnsi="Calibri"/>
          <w:sz w:val="24"/>
        </w:rPr>
        <w:t xml:space="preserve"> to people over the age of 60 years, providing the opportunity to benefit from a concession on the conveyance duty associated with the </w:t>
      </w:r>
      <w:r w:rsidR="00430B08">
        <w:rPr>
          <w:rFonts w:ascii="Calibri" w:hAnsi="Calibri"/>
          <w:sz w:val="24"/>
        </w:rPr>
        <w:t>purchase of a house or land. The</w:t>
      </w:r>
      <w:r w:rsidRPr="00B93188">
        <w:rPr>
          <w:rFonts w:ascii="Calibri" w:hAnsi="Calibri"/>
          <w:sz w:val="24"/>
        </w:rPr>
        <w:t xml:space="preserve"> new </w:t>
      </w:r>
      <w:r w:rsidR="00430B08">
        <w:rPr>
          <w:rFonts w:ascii="Calibri" w:hAnsi="Calibri"/>
          <w:i/>
          <w:sz w:val="24"/>
        </w:rPr>
        <w:t>Over 60s Home Bonus</w:t>
      </w:r>
      <w:r w:rsidRPr="00B93188">
        <w:rPr>
          <w:rFonts w:ascii="Calibri" w:hAnsi="Calibri"/>
          <w:sz w:val="24"/>
        </w:rPr>
        <w:t xml:space="preserve"> will run for two years commencing on 4 June 2014.</w:t>
      </w:r>
      <w:r w:rsidRPr="00B93188" w:rsidDel="0073077B">
        <w:rPr>
          <w:rFonts w:ascii="Calibri" w:hAnsi="Calibri"/>
          <w:sz w:val="24"/>
        </w:rPr>
        <w:t xml:space="preserve">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This expansion will provide assistance to non-pensioners who have previously been unable to access the scheme and who may find conveyance duty an impediment to downsizing and moving to accommodation more suited to their needs. This initiative may also free up larger housing stock for families, bringing broader flow-on benefits to the property market and in particular to housing affordability.  </w:t>
      </w:r>
    </w:p>
    <w:p w:rsidR="00B93188" w:rsidRPr="00B93188" w:rsidRDefault="00B93188" w:rsidP="00B93188">
      <w:pPr>
        <w:keepNext/>
        <w:keepLines/>
        <w:spacing w:before="120" w:after="120"/>
        <w:outlineLvl w:val="3"/>
        <w:rPr>
          <w:rFonts w:ascii="Calibri" w:hAnsi="Calibri"/>
          <w:i/>
          <w:sz w:val="24"/>
        </w:rPr>
      </w:pPr>
      <w:r w:rsidRPr="00B93188">
        <w:rPr>
          <w:rFonts w:ascii="Calibri" w:hAnsi="Calibri"/>
          <w:i/>
          <w:sz w:val="24"/>
        </w:rPr>
        <w:t xml:space="preserve">Water and Sewerage Rebate </w:t>
      </w:r>
    </w:p>
    <w:tbl>
      <w:tblPr>
        <w:tblW w:w="8959" w:type="dxa"/>
        <w:tblLook w:val="04A0"/>
      </w:tblPr>
      <w:tblGrid>
        <w:gridCol w:w="4253"/>
        <w:gridCol w:w="981"/>
        <w:gridCol w:w="981"/>
        <w:gridCol w:w="981"/>
        <w:gridCol w:w="981"/>
        <w:gridCol w:w="981"/>
      </w:tblGrid>
      <w:tr w:rsidR="00B93188" w:rsidRPr="00B93188" w:rsidTr="004B6050">
        <w:trPr>
          <w:trHeight w:val="20"/>
        </w:trPr>
        <w:tc>
          <w:tcPr>
            <w:tcW w:w="4253"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4B6050">
        <w:trPr>
          <w:trHeight w:val="20"/>
        </w:trPr>
        <w:tc>
          <w:tcPr>
            <w:tcW w:w="4253"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4B6050">
        <w:trPr>
          <w:trHeight w:val="20"/>
        </w:trPr>
        <w:tc>
          <w:tcPr>
            <w:tcW w:w="4253" w:type="dxa"/>
            <w:tcBorders>
              <w:top w:val="single" w:sz="4" w:space="0" w:color="auto"/>
              <w:left w:val="nil"/>
              <w:bottom w:val="single" w:sz="4" w:space="0" w:color="auto"/>
              <w:right w:val="nil"/>
            </w:tcBorders>
            <w:shd w:val="clear" w:color="auto" w:fill="auto"/>
            <w:vAlign w:val="bottom"/>
            <w:hideMark/>
          </w:tcPr>
          <w:p w:rsidR="00B93188" w:rsidRPr="00B93188" w:rsidRDefault="00B93188" w:rsidP="00B93188">
            <w:pPr>
              <w:rPr>
                <w:rFonts w:ascii="Calibri" w:hAnsi="Calibri" w:cs="Calibri"/>
                <w:iCs/>
                <w:color w:val="000000"/>
                <w:lang w:eastAsia="en-AU"/>
              </w:rPr>
            </w:pPr>
            <w:r w:rsidRPr="00B93188">
              <w:rPr>
                <w:rFonts w:ascii="Calibri" w:hAnsi="Calibri" w:cs="Calibri"/>
                <w:iCs/>
                <w:color w:val="000000"/>
                <w:lang w:eastAsia="en-AU"/>
              </w:rPr>
              <w:t>Revenue</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-484</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-500</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-518</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-536</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-2,038</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ACT Government currently provides the water and sewerage rebate at a maximum rate of 68 per cent of the service charge per quarter.  Under the current scheme, to be eligible you must be the primary holder of a Centrelink Pensioner Concession Card, a Centrelink Low Income Health Care Card, a Veteran’s Affairs Pensioner Concession Card, a DVA Gold card holder or be an asylum seeker.  However, while a water rebate is available to Low Income Health Care Card holders, currently the sewerage rebate is not.  </w:t>
      </w:r>
    </w:p>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In 2014-15, the Government will expand eligibility for the sewerage rebate to those on a Low Income Health Care Card.  This will ensure that all Canberrans on a Low Income Health Care Card are able to benefit from the concessions provided, improving the broad equity of these concession arrangements.  </w:t>
      </w:r>
    </w:p>
    <w:p w:rsidR="00B93188" w:rsidRPr="00B93188" w:rsidRDefault="00B93188" w:rsidP="00B93188">
      <w:pPr>
        <w:keepNext/>
        <w:keepLines/>
        <w:spacing w:before="120" w:after="120"/>
        <w:outlineLvl w:val="3"/>
        <w:rPr>
          <w:rFonts w:ascii="Calibri" w:hAnsi="Calibri"/>
          <w:i/>
          <w:sz w:val="24"/>
        </w:rPr>
      </w:pPr>
      <w:r w:rsidRPr="00B93188">
        <w:rPr>
          <w:rFonts w:ascii="Calibri" w:hAnsi="Calibri"/>
          <w:i/>
          <w:sz w:val="24"/>
        </w:rPr>
        <w:t xml:space="preserve">Spectacles Subsidy Scheme </w:t>
      </w:r>
    </w:p>
    <w:tbl>
      <w:tblPr>
        <w:tblW w:w="8959" w:type="dxa"/>
        <w:tblInd w:w="93" w:type="dxa"/>
        <w:tblLook w:val="04A0"/>
      </w:tblPr>
      <w:tblGrid>
        <w:gridCol w:w="4250"/>
        <w:gridCol w:w="980"/>
        <w:gridCol w:w="980"/>
        <w:gridCol w:w="980"/>
        <w:gridCol w:w="980"/>
        <w:gridCol w:w="980"/>
      </w:tblGrid>
      <w:tr w:rsidR="00B93188" w:rsidRPr="00B93188" w:rsidTr="004B6050">
        <w:trPr>
          <w:trHeight w:val="20"/>
        </w:trPr>
        <w:tc>
          <w:tcPr>
            <w:tcW w:w="4253"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4B6050">
        <w:trPr>
          <w:trHeight w:val="20"/>
        </w:trPr>
        <w:tc>
          <w:tcPr>
            <w:tcW w:w="4253"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4B6050">
        <w:trPr>
          <w:trHeight w:val="20"/>
        </w:trPr>
        <w:tc>
          <w:tcPr>
            <w:tcW w:w="4253"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iCs/>
                <w:color w:val="000000"/>
                <w:lang w:eastAsia="en-AU"/>
              </w:rPr>
            </w:pPr>
            <w:r w:rsidRPr="00B93188">
              <w:rPr>
                <w:rFonts w:ascii="Calibri" w:hAnsi="Calibri" w:cs="Calibri"/>
                <w:iCs/>
                <w:color w:val="000000"/>
                <w:lang w:eastAsia="en-AU"/>
              </w:rPr>
              <w:t>Revenue</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107</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109</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112</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115</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443</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In the 2014-15 Budget, the Government will cap the rebate for the Spectacles Subsidy Scheme at $</w:t>
      </w:r>
      <w:r w:rsidRPr="00CA5E1A">
        <w:rPr>
          <w:rFonts w:ascii="Calibri" w:hAnsi="Calibri"/>
          <w:sz w:val="24"/>
        </w:rPr>
        <w:t xml:space="preserve">200 every two years.  </w:t>
      </w:r>
      <w:r w:rsidR="00CA5E1A" w:rsidRPr="00CA5E1A">
        <w:rPr>
          <w:rFonts w:ascii="Calibri" w:hAnsi="Calibri"/>
          <w:sz w:val="24"/>
        </w:rPr>
        <w:t>The Government will spend $1.9 million</w:t>
      </w:r>
      <w:r w:rsidR="00BE0EE6" w:rsidRPr="00CA5E1A">
        <w:rPr>
          <w:rFonts w:ascii="Calibri" w:hAnsi="Calibri"/>
          <w:sz w:val="24"/>
        </w:rPr>
        <w:t xml:space="preserve"> on the Spectacles Subsidy Scheme.</w:t>
      </w:r>
    </w:p>
    <w:p w:rsidR="00B93188" w:rsidRPr="00B93188" w:rsidRDefault="0072569F" w:rsidP="00B93188">
      <w:pPr>
        <w:keepNext/>
        <w:keepLines/>
        <w:spacing w:before="120" w:after="120"/>
        <w:outlineLvl w:val="3"/>
        <w:rPr>
          <w:rFonts w:ascii="Calibri" w:hAnsi="Calibri"/>
          <w:i/>
          <w:sz w:val="24"/>
        </w:rPr>
      </w:pPr>
      <w:r>
        <w:rPr>
          <w:rFonts w:ascii="Calibri" w:hAnsi="Calibri"/>
          <w:i/>
          <w:sz w:val="24"/>
        </w:rPr>
        <w:br w:type="page"/>
      </w:r>
      <w:r w:rsidR="00B93188" w:rsidRPr="00B93188">
        <w:rPr>
          <w:rFonts w:ascii="Calibri" w:hAnsi="Calibri"/>
          <w:i/>
          <w:sz w:val="24"/>
        </w:rPr>
        <w:lastRenderedPageBreak/>
        <w:t xml:space="preserve">Taxi Subsidy Scheme </w:t>
      </w:r>
    </w:p>
    <w:tbl>
      <w:tblPr>
        <w:tblW w:w="8959" w:type="dxa"/>
        <w:tblInd w:w="93" w:type="dxa"/>
        <w:tblLook w:val="04A0"/>
      </w:tblPr>
      <w:tblGrid>
        <w:gridCol w:w="4250"/>
        <w:gridCol w:w="980"/>
        <w:gridCol w:w="980"/>
        <w:gridCol w:w="980"/>
        <w:gridCol w:w="980"/>
        <w:gridCol w:w="980"/>
      </w:tblGrid>
      <w:tr w:rsidR="00B93188" w:rsidRPr="00B93188" w:rsidTr="004B6050">
        <w:trPr>
          <w:trHeight w:val="20"/>
        </w:trPr>
        <w:tc>
          <w:tcPr>
            <w:tcW w:w="4253"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4B6050">
        <w:trPr>
          <w:trHeight w:val="20"/>
        </w:trPr>
        <w:tc>
          <w:tcPr>
            <w:tcW w:w="4253"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4B6050">
        <w:trPr>
          <w:trHeight w:val="20"/>
        </w:trPr>
        <w:tc>
          <w:tcPr>
            <w:tcW w:w="4253"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iCs/>
                <w:color w:val="000000"/>
                <w:lang w:eastAsia="en-AU"/>
              </w:rPr>
            </w:pPr>
            <w:r w:rsidRPr="00B93188">
              <w:rPr>
                <w:rFonts w:ascii="Calibri" w:hAnsi="Calibri" w:cs="Calibri"/>
                <w:iCs/>
                <w:color w:val="000000"/>
                <w:lang w:eastAsia="en-AU"/>
              </w:rPr>
              <w:t>Revenue</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-137</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-145</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-153</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-161</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-596</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The Government will increase the Taxi Subsidy Scheme by 9 per cent from $22.50 to $24 for ordinary taxis and from $34.50 to $37 for wheelchair accessible taxis in 2014-15.  This change reflects increases in taxi fares since 2011, the last time the rate was increased.</w:t>
      </w:r>
    </w:p>
    <w:p w:rsidR="00B93188" w:rsidRPr="00B93188" w:rsidRDefault="00B93188" w:rsidP="00B93188">
      <w:pPr>
        <w:keepNext/>
        <w:keepLines/>
        <w:spacing w:before="120" w:after="120"/>
        <w:outlineLvl w:val="3"/>
        <w:rPr>
          <w:rFonts w:ascii="Calibri" w:hAnsi="Calibri"/>
          <w:i/>
          <w:sz w:val="24"/>
        </w:rPr>
      </w:pPr>
      <w:r w:rsidRPr="00B93188">
        <w:rPr>
          <w:rFonts w:ascii="Calibri" w:hAnsi="Calibri"/>
          <w:i/>
          <w:sz w:val="24"/>
          <w:lang w:eastAsia="en-AU"/>
        </w:rPr>
        <w:t>ACTION off-peak Concession Scheme</w:t>
      </w:r>
    </w:p>
    <w:tbl>
      <w:tblPr>
        <w:tblW w:w="8959" w:type="dxa"/>
        <w:tblLook w:val="04A0"/>
      </w:tblPr>
      <w:tblGrid>
        <w:gridCol w:w="4253"/>
        <w:gridCol w:w="981"/>
        <w:gridCol w:w="981"/>
        <w:gridCol w:w="981"/>
        <w:gridCol w:w="981"/>
        <w:gridCol w:w="981"/>
      </w:tblGrid>
      <w:tr w:rsidR="00B93188" w:rsidRPr="00B93188" w:rsidTr="004B6050">
        <w:trPr>
          <w:trHeight w:val="20"/>
        </w:trPr>
        <w:tc>
          <w:tcPr>
            <w:tcW w:w="4253" w:type="dxa"/>
            <w:tcBorders>
              <w:top w:val="single" w:sz="4" w:space="0" w:color="auto"/>
              <w:left w:val="nil"/>
              <w:bottom w:val="nil"/>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2014-15</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2015-16</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2016-17</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2017-18</w:t>
            </w:r>
          </w:p>
        </w:tc>
        <w:tc>
          <w:tcPr>
            <w:tcW w:w="981" w:type="dxa"/>
            <w:tcBorders>
              <w:top w:val="single" w:sz="4" w:space="0" w:color="auto"/>
              <w:left w:val="nil"/>
              <w:bottom w:val="nil"/>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Total</w:t>
            </w:r>
          </w:p>
        </w:tc>
      </w:tr>
      <w:tr w:rsidR="00B93188" w:rsidRPr="00B93188" w:rsidTr="004B6050">
        <w:trPr>
          <w:trHeight w:val="20"/>
        </w:trPr>
        <w:tc>
          <w:tcPr>
            <w:tcW w:w="4253" w:type="dxa"/>
            <w:tcBorders>
              <w:top w:val="nil"/>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b/>
                <w:bCs/>
                <w:color w:val="000000"/>
                <w:lang w:eastAsia="en-AU"/>
              </w:rPr>
            </w:pPr>
            <w:r w:rsidRPr="00B93188">
              <w:rPr>
                <w:rFonts w:ascii="Calibri" w:hAnsi="Calibri" w:cs="Calibri"/>
                <w:b/>
                <w:bCs/>
                <w:color w:val="000000"/>
                <w:lang w:eastAsia="en-AU"/>
              </w:rPr>
              <w:t> </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Cs/>
                <w:color w:val="000000"/>
                <w:lang w:eastAsia="en-AU"/>
              </w:rPr>
            </w:pPr>
            <w:r w:rsidRPr="00B93188">
              <w:rPr>
                <w:rFonts w:ascii="Calibri" w:hAnsi="Calibri" w:cs="Calibri"/>
                <w:bCs/>
                <w:color w:val="000000"/>
                <w:lang w:eastAsia="en-AU"/>
              </w:rPr>
              <w:t>$'000</w:t>
            </w:r>
          </w:p>
        </w:tc>
        <w:tc>
          <w:tcPr>
            <w:tcW w:w="981" w:type="dxa"/>
            <w:tcBorders>
              <w:top w:val="nil"/>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bCs/>
                <w:color w:val="000000"/>
                <w:lang w:eastAsia="en-AU"/>
              </w:rPr>
            </w:pPr>
            <w:r w:rsidRPr="00B93188">
              <w:rPr>
                <w:rFonts w:ascii="Calibri" w:hAnsi="Calibri" w:cs="Calibri"/>
                <w:b/>
                <w:bCs/>
                <w:color w:val="000000"/>
                <w:lang w:eastAsia="en-AU"/>
              </w:rPr>
              <w:t>$'000</w:t>
            </w:r>
          </w:p>
        </w:tc>
      </w:tr>
      <w:tr w:rsidR="00B93188" w:rsidRPr="00B93188" w:rsidTr="004B6050">
        <w:trPr>
          <w:trHeight w:val="20"/>
        </w:trPr>
        <w:tc>
          <w:tcPr>
            <w:tcW w:w="4253"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rPr>
                <w:rFonts w:ascii="Calibri" w:hAnsi="Calibri" w:cs="Calibri"/>
                <w:iCs/>
                <w:color w:val="000000"/>
                <w:lang w:eastAsia="en-AU"/>
              </w:rPr>
            </w:pPr>
            <w:r w:rsidRPr="00B93188">
              <w:rPr>
                <w:rFonts w:ascii="Calibri" w:hAnsi="Calibri" w:cs="Calibri"/>
                <w:iCs/>
                <w:color w:val="000000"/>
                <w:lang w:eastAsia="en-AU"/>
              </w:rPr>
              <w:t xml:space="preserve">Revenue </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253</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524</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864</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color w:val="000000"/>
                <w:lang w:eastAsia="en-AU"/>
              </w:rPr>
            </w:pPr>
            <w:r w:rsidRPr="00B93188">
              <w:rPr>
                <w:rFonts w:ascii="Calibri" w:hAnsi="Calibri" w:cs="Calibri"/>
                <w:color w:val="000000"/>
                <w:lang w:eastAsia="en-AU"/>
              </w:rPr>
              <w:t>921</w:t>
            </w:r>
          </w:p>
        </w:tc>
        <w:tc>
          <w:tcPr>
            <w:tcW w:w="981" w:type="dxa"/>
            <w:tcBorders>
              <w:top w:val="single" w:sz="4" w:space="0" w:color="auto"/>
              <w:left w:val="nil"/>
              <w:bottom w:val="single" w:sz="4" w:space="0" w:color="auto"/>
              <w:right w:val="nil"/>
            </w:tcBorders>
            <w:shd w:val="clear" w:color="auto" w:fill="auto"/>
            <w:noWrap/>
            <w:vAlign w:val="bottom"/>
            <w:hideMark/>
          </w:tcPr>
          <w:p w:rsidR="00B93188" w:rsidRPr="00B93188" w:rsidRDefault="00B93188" w:rsidP="00B93188">
            <w:pPr>
              <w:jc w:val="right"/>
              <w:rPr>
                <w:rFonts w:ascii="Calibri" w:hAnsi="Calibri" w:cs="Calibri"/>
                <w:b/>
                <w:color w:val="000000"/>
                <w:lang w:eastAsia="en-AU"/>
              </w:rPr>
            </w:pPr>
            <w:r w:rsidRPr="00B93188">
              <w:rPr>
                <w:rFonts w:ascii="Calibri" w:hAnsi="Calibri" w:cs="Calibri"/>
                <w:b/>
                <w:color w:val="000000"/>
                <w:lang w:eastAsia="en-AU"/>
              </w:rPr>
              <w:t>2,562</w:t>
            </w:r>
          </w:p>
        </w:tc>
      </w:tr>
    </w:tbl>
    <w:p w:rsidR="00B93188" w:rsidRPr="00B93188" w:rsidRDefault="00B93188" w:rsidP="00983072">
      <w:pPr>
        <w:keepNext/>
        <w:keepLines/>
        <w:spacing w:before="120" w:after="120"/>
        <w:jc w:val="both"/>
        <w:rPr>
          <w:rFonts w:ascii="Calibri" w:hAnsi="Calibri"/>
          <w:sz w:val="24"/>
        </w:rPr>
      </w:pPr>
      <w:r w:rsidRPr="00B93188">
        <w:rPr>
          <w:rFonts w:ascii="Calibri" w:hAnsi="Calibri"/>
          <w:sz w:val="24"/>
        </w:rPr>
        <w:t xml:space="preserve">The Government will realign the MyWay off peak single concession fare, increasing it over a three year period, to establish the concession fare at the level of 50% of the standard fare by 2016-17.  </w:t>
      </w:r>
    </w:p>
    <w:p w:rsidR="00B93188" w:rsidRPr="00B93188" w:rsidRDefault="00B93188" w:rsidP="00983072">
      <w:pPr>
        <w:keepNext/>
        <w:keepLines/>
        <w:spacing w:before="120" w:after="120"/>
        <w:outlineLvl w:val="2"/>
        <w:rPr>
          <w:rFonts w:ascii="Calibri" w:hAnsi="Calibri" w:cs="Arial"/>
          <w:b/>
          <w:bCs/>
          <w:i/>
          <w:sz w:val="24"/>
          <w:szCs w:val="26"/>
        </w:rPr>
      </w:pPr>
      <w:r w:rsidRPr="00B93188">
        <w:rPr>
          <w:rFonts w:ascii="Calibri" w:hAnsi="Calibri" w:cs="Arial"/>
          <w:b/>
          <w:bCs/>
          <w:i/>
          <w:sz w:val="24"/>
          <w:szCs w:val="26"/>
        </w:rPr>
        <w:t xml:space="preserve">Motor Vehicle Registration </w:t>
      </w:r>
    </w:p>
    <w:p w:rsidR="004D5E62" w:rsidRPr="004D5E62" w:rsidRDefault="004D5E62" w:rsidP="00983072">
      <w:pPr>
        <w:keepNext/>
        <w:keepLines/>
        <w:spacing w:before="120" w:after="120"/>
        <w:jc w:val="both"/>
        <w:rPr>
          <w:rFonts w:ascii="Calibri" w:hAnsi="Calibri"/>
          <w:sz w:val="24"/>
          <w:szCs w:val="24"/>
        </w:rPr>
      </w:pPr>
      <w:r w:rsidRPr="004D5E62">
        <w:rPr>
          <w:rFonts w:ascii="Calibri" w:hAnsi="Calibri"/>
          <w:sz w:val="24"/>
          <w:szCs w:val="24"/>
        </w:rPr>
        <w:t>The Government will reduce the administration fee for motor vehicle registration, from $25 to $15 per transaction, for those motorists who choose to pay their motor vehicle registra</w:t>
      </w:r>
      <w:r>
        <w:rPr>
          <w:rFonts w:ascii="Calibri" w:hAnsi="Calibri"/>
          <w:sz w:val="24"/>
          <w:szCs w:val="24"/>
        </w:rPr>
        <w:t>tion quarterly or half yearly.</w:t>
      </w:r>
    </w:p>
    <w:p w:rsidR="004D5E62" w:rsidRPr="004D5E62" w:rsidRDefault="004D5E62" w:rsidP="00983072">
      <w:pPr>
        <w:keepNext/>
        <w:keepLines/>
        <w:spacing w:before="120" w:after="120"/>
        <w:jc w:val="both"/>
        <w:rPr>
          <w:rFonts w:ascii="Calibri" w:hAnsi="Calibri"/>
          <w:sz w:val="24"/>
          <w:szCs w:val="24"/>
        </w:rPr>
      </w:pPr>
      <w:r w:rsidRPr="004D5E62">
        <w:rPr>
          <w:rFonts w:ascii="Calibri" w:hAnsi="Calibri"/>
          <w:sz w:val="24"/>
          <w:szCs w:val="24"/>
        </w:rPr>
        <w:t>Under this new structure, on average, motorists who choose to pay their motor vehicle registration quarterly will be better off in real terms by around 5.5 per cent, and those who pay half yearly will b</w:t>
      </w:r>
      <w:r>
        <w:rPr>
          <w:rFonts w:ascii="Calibri" w:hAnsi="Calibri"/>
          <w:sz w:val="24"/>
          <w:szCs w:val="24"/>
        </w:rPr>
        <w:t>e better by around 1 per cent.</w:t>
      </w:r>
    </w:p>
    <w:p w:rsidR="004D5E62" w:rsidRPr="004D5E62" w:rsidRDefault="004D5E62" w:rsidP="00983072">
      <w:pPr>
        <w:keepNext/>
        <w:keepLines/>
        <w:spacing w:before="120" w:after="120"/>
        <w:jc w:val="both"/>
        <w:rPr>
          <w:rFonts w:ascii="Calibri" w:hAnsi="Calibri"/>
          <w:sz w:val="24"/>
          <w:szCs w:val="24"/>
        </w:rPr>
      </w:pPr>
      <w:r w:rsidRPr="004D5E62">
        <w:rPr>
          <w:rFonts w:ascii="Calibri" w:hAnsi="Calibri"/>
          <w:sz w:val="24"/>
          <w:szCs w:val="24"/>
        </w:rPr>
        <w:t>Motorists who pay their motor vehicle registration annually will be rewarded through</w:t>
      </w:r>
      <w:r>
        <w:rPr>
          <w:rFonts w:ascii="Calibri" w:hAnsi="Calibri"/>
          <w:sz w:val="24"/>
          <w:szCs w:val="24"/>
        </w:rPr>
        <w:t xml:space="preserve"> a 2 per cent annual discount.</w:t>
      </w:r>
    </w:p>
    <w:p w:rsidR="00B93188" w:rsidRPr="004D5E62" w:rsidRDefault="004D5E62" w:rsidP="00983072">
      <w:pPr>
        <w:keepNext/>
        <w:keepLines/>
        <w:spacing w:before="120" w:after="120"/>
        <w:jc w:val="both"/>
        <w:rPr>
          <w:rFonts w:ascii="Calibri" w:hAnsi="Calibri"/>
          <w:sz w:val="24"/>
          <w:szCs w:val="24"/>
        </w:rPr>
      </w:pPr>
      <w:r w:rsidRPr="004D5E62">
        <w:rPr>
          <w:rFonts w:ascii="Calibri" w:hAnsi="Calibri"/>
          <w:sz w:val="24"/>
          <w:szCs w:val="24"/>
        </w:rPr>
        <w:t>To offset these reforms, motor vehicle registration will increase by 6 per cent in 2014-15.</w:t>
      </w:r>
    </w:p>
    <w:p w:rsidR="00C90A99" w:rsidRDefault="004B6050">
      <w:pPr>
        <w:pStyle w:val="BodyText"/>
      </w:pPr>
      <w:r>
        <w:br w:type="page"/>
      </w:r>
    </w:p>
    <w:sectPr w:rsidR="00C90A99" w:rsidSect="00291C3C">
      <w:footerReference w:type="default" r:id="rId11"/>
      <w:pgSz w:w="11907" w:h="16840" w:code="9"/>
      <w:pgMar w:top="1151" w:right="1440" w:bottom="1729" w:left="1440" w:header="720" w:footer="720" w:gutter="0"/>
      <w:pgNumType w:start="247"/>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ED2" w:rsidRDefault="003F7ED2">
      <w:r>
        <w:separator/>
      </w:r>
    </w:p>
  </w:endnote>
  <w:endnote w:type="continuationSeparator" w:id="0">
    <w:p w:rsidR="003F7ED2" w:rsidRDefault="003F7E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Courier New"/>
    <w:panose1 w:val="00000000000000000000"/>
    <w:charset w:val="02"/>
    <w:family w:val="auto"/>
    <w:notTrueType/>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OfficinaSerif-Book">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072" w:rsidRPr="00C90A99" w:rsidRDefault="00983072">
    <w:pPr>
      <w:pStyle w:val="FooterBP"/>
      <w:rPr>
        <w:rFonts w:ascii="Calibri" w:hAnsi="Calibri" w:cs="Calibri"/>
      </w:rPr>
    </w:pPr>
    <w:r w:rsidRPr="00C90A99">
      <w:rPr>
        <w:rFonts w:ascii="Calibri" w:hAnsi="Calibri" w:cs="Calibri"/>
      </w:rPr>
      <w:t>201</w:t>
    </w:r>
    <w:r>
      <w:rPr>
        <w:rFonts w:ascii="Calibri" w:hAnsi="Calibri" w:cs="Calibri"/>
      </w:rPr>
      <w:t>3</w:t>
    </w:r>
    <w:r w:rsidRPr="00C90A99">
      <w:rPr>
        <w:rFonts w:ascii="Calibri" w:hAnsi="Calibri" w:cs="Calibri"/>
      </w:rPr>
      <w:t>-1</w:t>
    </w:r>
    <w:r>
      <w:rPr>
        <w:rFonts w:ascii="Calibri" w:hAnsi="Calibri" w:cs="Calibri"/>
      </w:rPr>
      <w:t>4</w:t>
    </w:r>
    <w:r w:rsidRPr="00C90A99">
      <w:rPr>
        <w:rFonts w:ascii="Calibri" w:hAnsi="Calibri" w:cs="Calibri"/>
      </w:rPr>
      <w:t xml:space="preserve"> Budget Paper No. 3</w:t>
    </w:r>
    <w:r w:rsidRPr="00C90A99">
      <w:rPr>
        <w:rFonts w:ascii="Calibri" w:hAnsi="Calibri" w:cs="Calibri"/>
      </w:rPr>
      <w:tab/>
    </w:r>
    <w:r w:rsidRPr="00C90A99">
      <w:rPr>
        <w:rStyle w:val="PageNumber"/>
        <w:rFonts w:ascii="Calibri" w:hAnsi="Calibri" w:cs="Calibri"/>
      </w:rPr>
      <w:fldChar w:fldCharType="begin"/>
    </w:r>
    <w:r w:rsidRPr="00C90A99">
      <w:rPr>
        <w:rStyle w:val="PageNumber"/>
        <w:rFonts w:ascii="Calibri" w:hAnsi="Calibri" w:cs="Calibri"/>
      </w:rPr>
      <w:instrText xml:space="preserve"> PAGE </w:instrText>
    </w:r>
    <w:r w:rsidRPr="00C90A99">
      <w:rPr>
        <w:rStyle w:val="PageNumber"/>
        <w:rFonts w:ascii="Calibri" w:hAnsi="Calibri" w:cs="Calibri"/>
      </w:rPr>
      <w:fldChar w:fldCharType="separate"/>
    </w:r>
    <w:r w:rsidR="00663C09">
      <w:rPr>
        <w:rStyle w:val="PageNumber"/>
        <w:rFonts w:ascii="Calibri" w:hAnsi="Calibri" w:cs="Calibri"/>
        <w:noProof/>
      </w:rPr>
      <w:t>221</w:t>
    </w:r>
    <w:r w:rsidRPr="00C90A99">
      <w:rPr>
        <w:rStyle w:val="PageNumber"/>
        <w:rFonts w:ascii="Calibri" w:hAnsi="Calibri" w:cs="Calibri"/>
      </w:rPr>
      <w:fldChar w:fldCharType="end"/>
    </w:r>
    <w:r w:rsidRPr="00C90A99">
      <w:rPr>
        <w:rFonts w:ascii="Calibri" w:hAnsi="Calibri" w:cs="Calibri"/>
      </w:rPr>
      <w:tab/>
    </w:r>
    <w:r>
      <w:rPr>
        <w:rFonts w:ascii="Calibri" w:hAnsi="Calibri" w:cs="Calibri"/>
      </w:rPr>
      <w:t>Revenue</w:t>
    </w:r>
    <w:r w:rsidRPr="00C90A99">
      <w:rPr>
        <w:rFonts w:ascii="Calibri" w:hAnsi="Calibri" w:cs="Calibri"/>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072" w:rsidRPr="00B93188" w:rsidRDefault="00983072">
    <w:pPr>
      <w:pStyle w:val="FooterBP"/>
      <w:rPr>
        <w:rFonts w:ascii="Calibri" w:hAnsi="Calibri"/>
      </w:rPr>
    </w:pPr>
    <w:r w:rsidRPr="00B93188">
      <w:rPr>
        <w:rFonts w:ascii="Calibri" w:hAnsi="Calibri"/>
      </w:rPr>
      <w:t>2014-15 Budget Paper No. 3</w:t>
    </w:r>
    <w:r w:rsidRPr="00B93188">
      <w:rPr>
        <w:rFonts w:ascii="Calibri" w:hAnsi="Calibri"/>
      </w:rPr>
      <w:tab/>
    </w:r>
    <w:r w:rsidRPr="00E33169">
      <w:rPr>
        <w:rStyle w:val="PageNumber"/>
        <w:rFonts w:ascii="Calibri" w:hAnsi="Calibri" w:cs="Calibri"/>
      </w:rPr>
      <w:fldChar w:fldCharType="begin"/>
    </w:r>
    <w:r w:rsidRPr="00E33169">
      <w:rPr>
        <w:rStyle w:val="PageNumber"/>
        <w:rFonts w:ascii="Calibri" w:hAnsi="Calibri" w:cs="Calibri"/>
      </w:rPr>
      <w:instrText xml:space="preserve"> PAGE   \* MERGEFORMAT </w:instrText>
    </w:r>
    <w:r w:rsidRPr="00E33169">
      <w:rPr>
        <w:rStyle w:val="PageNumber"/>
        <w:rFonts w:ascii="Calibri" w:hAnsi="Calibri" w:cs="Calibri"/>
      </w:rPr>
      <w:fldChar w:fldCharType="separate"/>
    </w:r>
    <w:r w:rsidR="006B3D21">
      <w:rPr>
        <w:rStyle w:val="PageNumber"/>
        <w:rFonts w:ascii="Calibri" w:hAnsi="Calibri" w:cs="Calibri"/>
        <w:noProof/>
      </w:rPr>
      <w:t>246</w:t>
    </w:r>
    <w:r w:rsidRPr="00E33169">
      <w:rPr>
        <w:rStyle w:val="PageNumber"/>
        <w:rFonts w:ascii="Calibri" w:hAnsi="Calibri" w:cs="Calibri"/>
      </w:rPr>
      <w:fldChar w:fldCharType="end"/>
    </w:r>
    <w:r w:rsidRPr="00B93188">
      <w:rPr>
        <w:rFonts w:ascii="Calibri" w:hAnsi="Calibri"/>
      </w:rPr>
      <w:tab/>
      <w:t>Revenue and Forward Estimates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072" w:rsidRPr="00B93188" w:rsidRDefault="00983072">
    <w:pPr>
      <w:pStyle w:val="FooterBP"/>
      <w:rPr>
        <w:rFonts w:ascii="Calibri" w:hAnsi="Calibri"/>
      </w:rPr>
    </w:pPr>
    <w:r w:rsidRPr="00B93188">
      <w:rPr>
        <w:rFonts w:ascii="Calibri" w:hAnsi="Calibri"/>
      </w:rPr>
      <w:t>2014-15 Budget Paper No. 3</w:t>
    </w:r>
    <w:r w:rsidRPr="00B93188">
      <w:rPr>
        <w:rFonts w:ascii="Calibri" w:hAnsi="Calibri"/>
      </w:rPr>
      <w:tab/>
    </w:r>
    <w:r w:rsidR="00E33169" w:rsidRPr="00E33169">
      <w:rPr>
        <w:rFonts w:ascii="Calibri" w:hAnsi="Calibri"/>
      </w:rPr>
      <w:fldChar w:fldCharType="begin"/>
    </w:r>
    <w:r w:rsidR="00E33169" w:rsidRPr="00E33169">
      <w:rPr>
        <w:rFonts w:ascii="Calibri" w:hAnsi="Calibri"/>
      </w:rPr>
      <w:instrText xml:space="preserve"> PAGE   \* MERGEFORMAT </w:instrText>
    </w:r>
    <w:r w:rsidR="00E33169" w:rsidRPr="00E33169">
      <w:rPr>
        <w:rFonts w:ascii="Calibri" w:hAnsi="Calibri"/>
      </w:rPr>
      <w:fldChar w:fldCharType="separate"/>
    </w:r>
    <w:r w:rsidR="006B3D21">
      <w:rPr>
        <w:rFonts w:ascii="Calibri" w:hAnsi="Calibri"/>
        <w:noProof/>
      </w:rPr>
      <w:t>254</w:t>
    </w:r>
    <w:r w:rsidR="00E33169" w:rsidRPr="00E33169">
      <w:rPr>
        <w:rFonts w:ascii="Calibri" w:hAnsi="Calibri"/>
      </w:rPr>
      <w:fldChar w:fldCharType="end"/>
    </w:r>
    <w:r w:rsidRPr="00B93188">
      <w:rPr>
        <w:rFonts w:ascii="Calibri" w:hAnsi="Calibri"/>
      </w:rPr>
      <w:tab/>
      <w:t>Taxation Reform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ED2" w:rsidRDefault="003F7ED2">
      <w:r>
        <w:separator/>
      </w:r>
    </w:p>
  </w:footnote>
  <w:footnote w:type="continuationSeparator" w:id="0">
    <w:p w:rsidR="003F7ED2" w:rsidRDefault="003F7E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765074"/>
    <w:lvl w:ilvl="0">
      <w:start w:val="1"/>
      <w:numFmt w:val="decimal"/>
      <w:lvlText w:val="%1."/>
      <w:lvlJc w:val="left"/>
      <w:pPr>
        <w:tabs>
          <w:tab w:val="num" w:pos="1492"/>
        </w:tabs>
        <w:ind w:left="1492" w:hanging="360"/>
      </w:pPr>
    </w:lvl>
  </w:abstractNum>
  <w:abstractNum w:abstractNumId="1">
    <w:nsid w:val="FFFFFF7D"/>
    <w:multiLevelType w:val="singleLevel"/>
    <w:tmpl w:val="35D0DF8E"/>
    <w:lvl w:ilvl="0">
      <w:start w:val="1"/>
      <w:numFmt w:val="decimal"/>
      <w:lvlText w:val="%1."/>
      <w:lvlJc w:val="left"/>
      <w:pPr>
        <w:tabs>
          <w:tab w:val="num" w:pos="1209"/>
        </w:tabs>
        <w:ind w:left="1209" w:hanging="360"/>
      </w:pPr>
    </w:lvl>
  </w:abstractNum>
  <w:abstractNum w:abstractNumId="2">
    <w:nsid w:val="FFFFFF7E"/>
    <w:multiLevelType w:val="singleLevel"/>
    <w:tmpl w:val="C1E0677C"/>
    <w:lvl w:ilvl="0">
      <w:start w:val="1"/>
      <w:numFmt w:val="decimal"/>
      <w:lvlText w:val="%1."/>
      <w:lvlJc w:val="left"/>
      <w:pPr>
        <w:tabs>
          <w:tab w:val="num" w:pos="926"/>
        </w:tabs>
        <w:ind w:left="926" w:hanging="360"/>
      </w:pPr>
    </w:lvl>
  </w:abstractNum>
  <w:abstractNum w:abstractNumId="3">
    <w:nsid w:val="FFFFFF7F"/>
    <w:multiLevelType w:val="singleLevel"/>
    <w:tmpl w:val="63B481F2"/>
    <w:lvl w:ilvl="0">
      <w:start w:val="1"/>
      <w:numFmt w:val="decimal"/>
      <w:lvlText w:val="%1."/>
      <w:lvlJc w:val="left"/>
      <w:pPr>
        <w:tabs>
          <w:tab w:val="num" w:pos="643"/>
        </w:tabs>
        <w:ind w:left="643" w:hanging="360"/>
      </w:pPr>
    </w:lvl>
  </w:abstractNum>
  <w:abstractNum w:abstractNumId="4">
    <w:nsid w:val="FFFFFF80"/>
    <w:multiLevelType w:val="singleLevel"/>
    <w:tmpl w:val="047455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C940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0B637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BFA88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52CF1FE"/>
    <w:lvl w:ilvl="0">
      <w:start w:val="1"/>
      <w:numFmt w:val="decimal"/>
      <w:lvlText w:val="%1."/>
      <w:lvlJc w:val="left"/>
      <w:pPr>
        <w:tabs>
          <w:tab w:val="num" w:pos="360"/>
        </w:tabs>
        <w:ind w:left="360" w:hanging="360"/>
      </w:pPr>
    </w:lvl>
  </w:abstractNum>
  <w:abstractNum w:abstractNumId="9">
    <w:nsid w:val="FFFFFF89"/>
    <w:multiLevelType w:val="singleLevel"/>
    <w:tmpl w:val="66EE3942"/>
    <w:lvl w:ilvl="0">
      <w:start w:val="1"/>
      <w:numFmt w:val="bullet"/>
      <w:lvlText w:val=""/>
      <w:lvlJc w:val="left"/>
      <w:pPr>
        <w:tabs>
          <w:tab w:val="num" w:pos="360"/>
        </w:tabs>
        <w:ind w:left="360" w:hanging="360"/>
      </w:pPr>
      <w:rPr>
        <w:rFonts w:ascii="Symbol" w:hAnsi="Symbol" w:hint="default"/>
      </w:rPr>
    </w:lvl>
  </w:abstractNum>
  <w:abstractNum w:abstractNumId="10">
    <w:nsid w:val="025930D5"/>
    <w:multiLevelType w:val="multilevel"/>
    <w:tmpl w:val="19E23728"/>
    <w:lvl w:ilvl="0">
      <w:start w:val="1"/>
      <w:numFmt w:val="lowerLetter"/>
      <w:pStyle w:val="TSYBullets"/>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4BA11C5"/>
    <w:multiLevelType w:val="hybridMultilevel"/>
    <w:tmpl w:val="05F4BB08"/>
    <w:lvl w:ilvl="0" w:tplc="445C04A8">
      <w:start w:val="1"/>
      <w:numFmt w:val="bullet"/>
      <w:pStyle w:val="BodyTextIndent2"/>
      <w:lvlText w:val="–"/>
      <w:lvlJc w:val="left"/>
      <w:pPr>
        <w:tabs>
          <w:tab w:val="num" w:pos="717"/>
        </w:tabs>
        <w:ind w:left="717" w:hanging="360"/>
      </w:pPr>
      <w:rPr>
        <w:rFonts w:ascii="Times New Roman" w:hAnsi="Times New Roman" w:cs="Times New Roman"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12">
    <w:nsid w:val="08E60934"/>
    <w:multiLevelType w:val="hybridMultilevel"/>
    <w:tmpl w:val="93AA6100"/>
    <w:lvl w:ilvl="0" w:tplc="D4682E1E">
      <w:start w:val="1"/>
      <w:numFmt w:val="bullet"/>
      <w:pStyle w:val="BodyTextIndent4"/>
      <w:lvlText w:val="–"/>
      <w:lvlJc w:val="left"/>
      <w:pPr>
        <w:tabs>
          <w:tab w:val="num" w:pos="2016"/>
        </w:tabs>
        <w:ind w:left="2016" w:hanging="360"/>
      </w:pPr>
      <w:rPr>
        <w:rFonts w:ascii="Times New Roman" w:hAnsi="Times New Roman" w:cs="Times New Roman" w:hint="default"/>
      </w:rPr>
    </w:lvl>
    <w:lvl w:ilvl="1" w:tplc="0C090003" w:tentative="1">
      <w:start w:val="1"/>
      <w:numFmt w:val="bullet"/>
      <w:lvlText w:val="o"/>
      <w:lvlJc w:val="left"/>
      <w:pPr>
        <w:tabs>
          <w:tab w:val="num" w:pos="2880"/>
        </w:tabs>
        <w:ind w:left="2880" w:hanging="360"/>
      </w:pPr>
      <w:rPr>
        <w:rFonts w:ascii="Courier New" w:hAnsi="Courier New" w:cs="Courier New" w:hint="default"/>
      </w:rPr>
    </w:lvl>
    <w:lvl w:ilvl="2" w:tplc="0C090005" w:tentative="1">
      <w:start w:val="1"/>
      <w:numFmt w:val="bullet"/>
      <w:lvlText w:val=""/>
      <w:lvlJc w:val="left"/>
      <w:pPr>
        <w:tabs>
          <w:tab w:val="num" w:pos="3600"/>
        </w:tabs>
        <w:ind w:left="3600" w:hanging="360"/>
      </w:pPr>
      <w:rPr>
        <w:rFonts w:ascii="Wingdings" w:hAnsi="Wingdings" w:hint="default"/>
      </w:rPr>
    </w:lvl>
    <w:lvl w:ilvl="3" w:tplc="0C090001" w:tentative="1">
      <w:start w:val="1"/>
      <w:numFmt w:val="bullet"/>
      <w:lvlText w:val=""/>
      <w:lvlJc w:val="left"/>
      <w:pPr>
        <w:tabs>
          <w:tab w:val="num" w:pos="4320"/>
        </w:tabs>
        <w:ind w:left="4320" w:hanging="360"/>
      </w:pPr>
      <w:rPr>
        <w:rFonts w:ascii="Symbol" w:hAnsi="Symbol" w:hint="default"/>
      </w:rPr>
    </w:lvl>
    <w:lvl w:ilvl="4" w:tplc="0C090003" w:tentative="1">
      <w:start w:val="1"/>
      <w:numFmt w:val="bullet"/>
      <w:lvlText w:val="o"/>
      <w:lvlJc w:val="left"/>
      <w:pPr>
        <w:tabs>
          <w:tab w:val="num" w:pos="5040"/>
        </w:tabs>
        <w:ind w:left="5040" w:hanging="360"/>
      </w:pPr>
      <w:rPr>
        <w:rFonts w:ascii="Courier New" w:hAnsi="Courier New" w:cs="Courier New" w:hint="default"/>
      </w:rPr>
    </w:lvl>
    <w:lvl w:ilvl="5" w:tplc="0C090005" w:tentative="1">
      <w:start w:val="1"/>
      <w:numFmt w:val="bullet"/>
      <w:lvlText w:val=""/>
      <w:lvlJc w:val="left"/>
      <w:pPr>
        <w:tabs>
          <w:tab w:val="num" w:pos="5760"/>
        </w:tabs>
        <w:ind w:left="5760" w:hanging="360"/>
      </w:pPr>
      <w:rPr>
        <w:rFonts w:ascii="Wingdings" w:hAnsi="Wingdings" w:hint="default"/>
      </w:rPr>
    </w:lvl>
    <w:lvl w:ilvl="6" w:tplc="0C090001" w:tentative="1">
      <w:start w:val="1"/>
      <w:numFmt w:val="bullet"/>
      <w:lvlText w:val=""/>
      <w:lvlJc w:val="left"/>
      <w:pPr>
        <w:tabs>
          <w:tab w:val="num" w:pos="6480"/>
        </w:tabs>
        <w:ind w:left="6480" w:hanging="360"/>
      </w:pPr>
      <w:rPr>
        <w:rFonts w:ascii="Symbol" w:hAnsi="Symbol" w:hint="default"/>
      </w:rPr>
    </w:lvl>
    <w:lvl w:ilvl="7" w:tplc="0C090003" w:tentative="1">
      <w:start w:val="1"/>
      <w:numFmt w:val="bullet"/>
      <w:lvlText w:val="o"/>
      <w:lvlJc w:val="left"/>
      <w:pPr>
        <w:tabs>
          <w:tab w:val="num" w:pos="7200"/>
        </w:tabs>
        <w:ind w:left="7200" w:hanging="360"/>
      </w:pPr>
      <w:rPr>
        <w:rFonts w:ascii="Courier New" w:hAnsi="Courier New" w:cs="Courier New" w:hint="default"/>
      </w:rPr>
    </w:lvl>
    <w:lvl w:ilvl="8" w:tplc="0C090005" w:tentative="1">
      <w:start w:val="1"/>
      <w:numFmt w:val="bullet"/>
      <w:lvlText w:val=""/>
      <w:lvlJc w:val="left"/>
      <w:pPr>
        <w:tabs>
          <w:tab w:val="num" w:pos="7920"/>
        </w:tabs>
        <w:ind w:left="7920" w:hanging="360"/>
      </w:pPr>
      <w:rPr>
        <w:rFonts w:ascii="Wingdings" w:hAnsi="Wingdings" w:hint="default"/>
      </w:rPr>
    </w:lvl>
  </w:abstractNum>
  <w:abstractNum w:abstractNumId="13">
    <w:nsid w:val="0F6F51F0"/>
    <w:multiLevelType w:val="singleLevel"/>
    <w:tmpl w:val="45EA7380"/>
    <w:lvl w:ilvl="0">
      <w:start w:val="1"/>
      <w:numFmt w:val="bullet"/>
      <w:pStyle w:val="Bullet-1"/>
      <w:lvlText w:val=""/>
      <w:lvlJc w:val="left"/>
      <w:pPr>
        <w:tabs>
          <w:tab w:val="num" w:pos="360"/>
        </w:tabs>
        <w:ind w:left="288" w:hanging="288"/>
      </w:pPr>
      <w:rPr>
        <w:rFonts w:ascii="Symbol" w:hAnsi="Symbol" w:cs="Symbol" w:hint="default"/>
        <w:sz w:val="18"/>
        <w:szCs w:val="18"/>
      </w:rPr>
    </w:lvl>
  </w:abstractNum>
  <w:abstractNum w:abstractNumId="14">
    <w:nsid w:val="17E6149C"/>
    <w:multiLevelType w:val="hybridMultilevel"/>
    <w:tmpl w:val="CC8458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CE24066"/>
    <w:multiLevelType w:val="hybridMultilevel"/>
    <w:tmpl w:val="9D24EB2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nsid w:val="1F926884"/>
    <w:multiLevelType w:val="hybridMultilevel"/>
    <w:tmpl w:val="D5DE3FF4"/>
    <w:lvl w:ilvl="0" w:tplc="A6D237E2">
      <w:start w:val="1"/>
      <w:numFmt w:val="lowerLetter"/>
      <w:pStyle w:val="AIIndent"/>
      <w:lvlText w:val="%1."/>
      <w:lvlJc w:val="left"/>
      <w:pPr>
        <w:tabs>
          <w:tab w:val="num" w:pos="360"/>
        </w:tabs>
        <w:ind w:left="357" w:hanging="357"/>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7">
    <w:nsid w:val="2042450A"/>
    <w:multiLevelType w:val="singleLevel"/>
    <w:tmpl w:val="22E0411C"/>
    <w:lvl w:ilvl="0">
      <w:start w:val="1"/>
      <w:numFmt w:val="bullet"/>
      <w:pStyle w:val="DotPoint"/>
      <w:lvlText w:val=""/>
      <w:lvlJc w:val="left"/>
      <w:pPr>
        <w:tabs>
          <w:tab w:val="num" w:pos="709"/>
        </w:tabs>
        <w:ind w:left="709" w:hanging="425"/>
      </w:pPr>
      <w:rPr>
        <w:rFonts w:ascii="Symbol" w:hAnsi="Symbol" w:cs="Symbol" w:hint="default"/>
      </w:rPr>
    </w:lvl>
  </w:abstractNum>
  <w:abstractNum w:abstractNumId="18">
    <w:nsid w:val="204403A6"/>
    <w:multiLevelType w:val="hybridMultilevel"/>
    <w:tmpl w:val="AF782D9E"/>
    <w:lvl w:ilvl="0" w:tplc="D34E0BDE">
      <w:start w:val="1"/>
      <w:numFmt w:val="bullet"/>
      <w:pStyle w:val="Caption"/>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4C2DBA"/>
    <w:multiLevelType w:val="hybridMultilevel"/>
    <w:tmpl w:val="1DBE5F94"/>
    <w:lvl w:ilvl="0" w:tplc="3096549E">
      <w:start w:val="1"/>
      <w:numFmt w:val="bullet"/>
      <w:pStyle w:val="BodyTextIndent3"/>
      <w:lvlText w:val=""/>
      <w:lvlJc w:val="left"/>
      <w:pPr>
        <w:tabs>
          <w:tab w:val="num" w:pos="1797"/>
        </w:tabs>
        <w:ind w:left="1797" w:hanging="360"/>
      </w:pPr>
      <w:rPr>
        <w:rFonts w:ascii="Symbol" w:hAnsi="Symbol" w:hint="default"/>
      </w:rPr>
    </w:lvl>
    <w:lvl w:ilvl="1" w:tplc="0C090003" w:tentative="1">
      <w:start w:val="1"/>
      <w:numFmt w:val="bullet"/>
      <w:lvlText w:val="o"/>
      <w:lvlJc w:val="left"/>
      <w:pPr>
        <w:tabs>
          <w:tab w:val="num" w:pos="2517"/>
        </w:tabs>
        <w:ind w:left="2517" w:hanging="360"/>
      </w:pPr>
      <w:rPr>
        <w:rFonts w:ascii="Courier New" w:hAnsi="Courier New" w:cs="Courier New" w:hint="default"/>
      </w:rPr>
    </w:lvl>
    <w:lvl w:ilvl="2" w:tplc="0C090005" w:tentative="1">
      <w:start w:val="1"/>
      <w:numFmt w:val="bullet"/>
      <w:lvlText w:val=""/>
      <w:lvlJc w:val="left"/>
      <w:pPr>
        <w:tabs>
          <w:tab w:val="num" w:pos="3237"/>
        </w:tabs>
        <w:ind w:left="3237" w:hanging="360"/>
      </w:pPr>
      <w:rPr>
        <w:rFonts w:ascii="Wingdings" w:hAnsi="Wingdings" w:hint="default"/>
      </w:rPr>
    </w:lvl>
    <w:lvl w:ilvl="3" w:tplc="0C090001" w:tentative="1">
      <w:start w:val="1"/>
      <w:numFmt w:val="bullet"/>
      <w:lvlText w:val=""/>
      <w:lvlJc w:val="left"/>
      <w:pPr>
        <w:tabs>
          <w:tab w:val="num" w:pos="3957"/>
        </w:tabs>
        <w:ind w:left="3957" w:hanging="360"/>
      </w:pPr>
      <w:rPr>
        <w:rFonts w:ascii="Symbol" w:hAnsi="Symbol" w:hint="default"/>
      </w:rPr>
    </w:lvl>
    <w:lvl w:ilvl="4" w:tplc="0C090003" w:tentative="1">
      <w:start w:val="1"/>
      <w:numFmt w:val="bullet"/>
      <w:lvlText w:val="o"/>
      <w:lvlJc w:val="left"/>
      <w:pPr>
        <w:tabs>
          <w:tab w:val="num" w:pos="4677"/>
        </w:tabs>
        <w:ind w:left="4677" w:hanging="360"/>
      </w:pPr>
      <w:rPr>
        <w:rFonts w:ascii="Courier New" w:hAnsi="Courier New" w:cs="Courier New" w:hint="default"/>
      </w:rPr>
    </w:lvl>
    <w:lvl w:ilvl="5" w:tplc="0C090005" w:tentative="1">
      <w:start w:val="1"/>
      <w:numFmt w:val="bullet"/>
      <w:lvlText w:val=""/>
      <w:lvlJc w:val="left"/>
      <w:pPr>
        <w:tabs>
          <w:tab w:val="num" w:pos="5397"/>
        </w:tabs>
        <w:ind w:left="5397" w:hanging="360"/>
      </w:pPr>
      <w:rPr>
        <w:rFonts w:ascii="Wingdings" w:hAnsi="Wingdings" w:hint="default"/>
      </w:rPr>
    </w:lvl>
    <w:lvl w:ilvl="6" w:tplc="0C090001" w:tentative="1">
      <w:start w:val="1"/>
      <w:numFmt w:val="bullet"/>
      <w:lvlText w:val=""/>
      <w:lvlJc w:val="left"/>
      <w:pPr>
        <w:tabs>
          <w:tab w:val="num" w:pos="6117"/>
        </w:tabs>
        <w:ind w:left="6117" w:hanging="360"/>
      </w:pPr>
      <w:rPr>
        <w:rFonts w:ascii="Symbol" w:hAnsi="Symbol" w:hint="default"/>
      </w:rPr>
    </w:lvl>
    <w:lvl w:ilvl="7" w:tplc="0C090003" w:tentative="1">
      <w:start w:val="1"/>
      <w:numFmt w:val="bullet"/>
      <w:lvlText w:val="o"/>
      <w:lvlJc w:val="left"/>
      <w:pPr>
        <w:tabs>
          <w:tab w:val="num" w:pos="6837"/>
        </w:tabs>
        <w:ind w:left="6837" w:hanging="360"/>
      </w:pPr>
      <w:rPr>
        <w:rFonts w:ascii="Courier New" w:hAnsi="Courier New" w:cs="Courier New" w:hint="default"/>
      </w:rPr>
    </w:lvl>
    <w:lvl w:ilvl="8" w:tplc="0C090005" w:tentative="1">
      <w:start w:val="1"/>
      <w:numFmt w:val="bullet"/>
      <w:lvlText w:val=""/>
      <w:lvlJc w:val="left"/>
      <w:pPr>
        <w:tabs>
          <w:tab w:val="num" w:pos="7557"/>
        </w:tabs>
        <w:ind w:left="7557" w:hanging="360"/>
      </w:pPr>
      <w:rPr>
        <w:rFonts w:ascii="Wingdings" w:hAnsi="Wingdings" w:hint="default"/>
      </w:rPr>
    </w:lvl>
  </w:abstractNum>
  <w:abstractNum w:abstractNumId="20">
    <w:nsid w:val="224E3BDC"/>
    <w:multiLevelType w:val="hybridMultilevel"/>
    <w:tmpl w:val="D842061A"/>
    <w:lvl w:ilvl="0" w:tplc="653AE3A8">
      <w:start w:val="1"/>
      <w:numFmt w:val="bullet"/>
      <w:pStyle w:val="BodyTextIndent"/>
      <w:lvlText w:val=""/>
      <w:lvlJc w:val="left"/>
      <w:pPr>
        <w:tabs>
          <w:tab w:val="num" w:pos="360"/>
        </w:tabs>
        <w:ind w:left="360" w:hanging="360"/>
      </w:pPr>
      <w:rPr>
        <w:rFonts w:ascii="Symbol" w:hAnsi="Symbol" w:cs="Times New Roman"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1">
    <w:nsid w:val="25C07455"/>
    <w:multiLevelType w:val="hybridMultilevel"/>
    <w:tmpl w:val="A5FE7EB2"/>
    <w:lvl w:ilvl="0" w:tplc="1C7C2F9A">
      <w:start w:val="1"/>
      <w:numFmt w:val="decimal"/>
      <w:lvlText w:val="%1."/>
      <w:lvlJc w:val="left"/>
      <w:pPr>
        <w:tabs>
          <w:tab w:val="num" w:pos="785"/>
        </w:tabs>
        <w:ind w:left="785" w:hanging="360"/>
      </w:pPr>
      <w:rPr>
        <w:rFonts w:ascii="Times New Roman" w:hAnsi="Times New Roman" w:hint="default"/>
        <w:b w:val="0"/>
        <w:i w:val="0"/>
        <w:caps w:val="0"/>
        <w:strike w:val="0"/>
        <w:dstrike w:val="0"/>
        <w:outline w:val="0"/>
        <w:shadow w:val="0"/>
        <w:emboss w:val="0"/>
        <w:imprint w:val="0"/>
        <w:vanish w:val="0"/>
        <w:sz w:val="16"/>
        <w:vertAlign w:val="superscrip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2B7B4B71"/>
    <w:multiLevelType w:val="hybridMultilevel"/>
    <w:tmpl w:val="5BD4521A"/>
    <w:lvl w:ilvl="0" w:tplc="21BA466A">
      <w:start w:val="1"/>
      <w:numFmt w:val="bullet"/>
      <w:pStyle w:val="dot"/>
      <w:lvlText w:val=""/>
      <w:lvlJc w:val="left"/>
      <w:pPr>
        <w:tabs>
          <w:tab w:val="num" w:pos="360"/>
        </w:tabs>
        <w:ind w:left="360" w:hanging="360"/>
      </w:pPr>
      <w:rPr>
        <w:rFonts w:ascii="Symbol" w:hAnsi="Symbol" w:cs="Symbol" w:hint="default"/>
        <w:sz w:val="20"/>
        <w:szCs w:val="20"/>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cs="Wingdings" w:hint="default"/>
      </w:rPr>
    </w:lvl>
    <w:lvl w:ilvl="3" w:tplc="04090001">
      <w:start w:val="1"/>
      <w:numFmt w:val="bullet"/>
      <w:lvlText w:val=""/>
      <w:lvlJc w:val="left"/>
      <w:pPr>
        <w:tabs>
          <w:tab w:val="num" w:pos="1800"/>
        </w:tabs>
        <w:ind w:left="1800" w:hanging="360"/>
      </w:pPr>
      <w:rPr>
        <w:rFonts w:ascii="Symbol" w:hAnsi="Symbol" w:cs="Symbol" w:hint="default"/>
      </w:rPr>
    </w:lvl>
    <w:lvl w:ilvl="4" w:tplc="04090003">
      <w:start w:val="1"/>
      <w:numFmt w:val="bullet"/>
      <w:lvlText w:val="o"/>
      <w:lvlJc w:val="left"/>
      <w:pPr>
        <w:tabs>
          <w:tab w:val="num" w:pos="2520"/>
        </w:tabs>
        <w:ind w:left="2520" w:hanging="360"/>
      </w:pPr>
      <w:rPr>
        <w:rFonts w:ascii="Courier New" w:hAnsi="Courier New" w:cs="Courier New" w:hint="default"/>
      </w:rPr>
    </w:lvl>
    <w:lvl w:ilvl="5" w:tplc="04090005">
      <w:start w:val="1"/>
      <w:numFmt w:val="bullet"/>
      <w:lvlText w:val=""/>
      <w:lvlJc w:val="left"/>
      <w:pPr>
        <w:tabs>
          <w:tab w:val="num" w:pos="3240"/>
        </w:tabs>
        <w:ind w:left="3240" w:hanging="360"/>
      </w:pPr>
      <w:rPr>
        <w:rFonts w:ascii="Wingdings" w:hAnsi="Wingdings" w:cs="Wingdings" w:hint="default"/>
      </w:rPr>
    </w:lvl>
    <w:lvl w:ilvl="6" w:tplc="04090001">
      <w:start w:val="1"/>
      <w:numFmt w:val="bullet"/>
      <w:lvlText w:val=""/>
      <w:lvlJc w:val="left"/>
      <w:pPr>
        <w:tabs>
          <w:tab w:val="num" w:pos="3960"/>
        </w:tabs>
        <w:ind w:left="3960" w:hanging="360"/>
      </w:pPr>
      <w:rPr>
        <w:rFonts w:ascii="Symbol" w:hAnsi="Symbol" w:cs="Symbol" w:hint="default"/>
      </w:rPr>
    </w:lvl>
    <w:lvl w:ilvl="7" w:tplc="04090003">
      <w:start w:val="1"/>
      <w:numFmt w:val="bullet"/>
      <w:lvlText w:val="o"/>
      <w:lvlJc w:val="left"/>
      <w:pPr>
        <w:tabs>
          <w:tab w:val="num" w:pos="4680"/>
        </w:tabs>
        <w:ind w:left="4680" w:hanging="360"/>
      </w:pPr>
      <w:rPr>
        <w:rFonts w:ascii="Courier New" w:hAnsi="Courier New" w:cs="Courier New" w:hint="default"/>
      </w:rPr>
    </w:lvl>
    <w:lvl w:ilvl="8" w:tplc="04090005">
      <w:start w:val="1"/>
      <w:numFmt w:val="bullet"/>
      <w:lvlText w:val=""/>
      <w:lvlJc w:val="left"/>
      <w:pPr>
        <w:tabs>
          <w:tab w:val="num" w:pos="5400"/>
        </w:tabs>
        <w:ind w:left="5400" w:hanging="360"/>
      </w:pPr>
      <w:rPr>
        <w:rFonts w:ascii="Wingdings" w:hAnsi="Wingdings" w:cs="Wingdings" w:hint="default"/>
      </w:rPr>
    </w:lvl>
  </w:abstractNum>
  <w:abstractNum w:abstractNumId="23">
    <w:nsid w:val="2C9E6CD2"/>
    <w:multiLevelType w:val="hybridMultilevel"/>
    <w:tmpl w:val="AD08B1D2"/>
    <w:lvl w:ilvl="0" w:tplc="ED1C0C46">
      <w:start w:val="1"/>
      <w:numFmt w:val="bullet"/>
      <w:pStyle w:val="TableText"/>
      <w:lvlText w:val=""/>
      <w:lvlJc w:val="left"/>
      <w:pPr>
        <w:tabs>
          <w:tab w:val="num" w:pos="2700"/>
        </w:tabs>
        <w:ind w:left="2700" w:hanging="360"/>
      </w:pPr>
      <w:rPr>
        <w:rFonts w:ascii="Symbol" w:hAnsi="Symbol" w:cs="Symbol"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302B1D18"/>
    <w:multiLevelType w:val="hybridMultilevel"/>
    <w:tmpl w:val="45367C18"/>
    <w:lvl w:ilvl="0" w:tplc="43604ABA">
      <w:start w:val="1"/>
      <w:numFmt w:val="decimal"/>
      <w:pStyle w:val="Numbers"/>
      <w:lvlText w:val="%1."/>
      <w:lvlJc w:val="left"/>
      <w:pPr>
        <w:tabs>
          <w:tab w:val="num" w:pos="743"/>
        </w:tabs>
        <w:ind w:left="743" w:hanging="454"/>
      </w:pPr>
      <w:rPr>
        <w:rFonts w:hint="default"/>
      </w:rPr>
    </w:lvl>
    <w:lvl w:ilvl="1" w:tplc="FFFFFFFF">
      <w:start w:val="1"/>
      <w:numFmt w:val="lowerRoman"/>
      <w:lvlText w:val="%2."/>
      <w:lvlJc w:val="right"/>
      <w:pPr>
        <w:tabs>
          <w:tab w:val="num" w:pos="1009"/>
        </w:tabs>
        <w:ind w:left="1009" w:hanging="360"/>
      </w:pPr>
    </w:lvl>
    <w:lvl w:ilvl="2" w:tplc="FFFFFFFF">
      <w:start w:val="1"/>
      <w:numFmt w:val="lowerRoman"/>
      <w:lvlText w:val="%3."/>
      <w:lvlJc w:val="right"/>
      <w:pPr>
        <w:tabs>
          <w:tab w:val="num" w:pos="2449"/>
        </w:tabs>
        <w:ind w:left="2449" w:hanging="180"/>
      </w:pPr>
    </w:lvl>
    <w:lvl w:ilvl="3" w:tplc="FFFFFFFF">
      <w:start w:val="1"/>
      <w:numFmt w:val="decimal"/>
      <w:lvlText w:val="%4."/>
      <w:lvlJc w:val="left"/>
      <w:pPr>
        <w:tabs>
          <w:tab w:val="num" w:pos="3169"/>
        </w:tabs>
        <w:ind w:left="3169" w:hanging="360"/>
      </w:pPr>
    </w:lvl>
    <w:lvl w:ilvl="4" w:tplc="FFFFFFFF">
      <w:start w:val="1"/>
      <w:numFmt w:val="lowerLetter"/>
      <w:lvlText w:val="%5."/>
      <w:lvlJc w:val="left"/>
      <w:pPr>
        <w:tabs>
          <w:tab w:val="num" w:pos="3889"/>
        </w:tabs>
        <w:ind w:left="3889" w:hanging="360"/>
      </w:pPr>
    </w:lvl>
    <w:lvl w:ilvl="5" w:tplc="FFFFFFFF">
      <w:start w:val="1"/>
      <w:numFmt w:val="lowerRoman"/>
      <w:lvlText w:val="%6."/>
      <w:lvlJc w:val="right"/>
      <w:pPr>
        <w:tabs>
          <w:tab w:val="num" w:pos="4609"/>
        </w:tabs>
        <w:ind w:left="4609" w:hanging="180"/>
      </w:pPr>
    </w:lvl>
    <w:lvl w:ilvl="6" w:tplc="FFFFFFFF">
      <w:start w:val="1"/>
      <w:numFmt w:val="decimal"/>
      <w:lvlText w:val="%7."/>
      <w:lvlJc w:val="left"/>
      <w:pPr>
        <w:tabs>
          <w:tab w:val="num" w:pos="5329"/>
        </w:tabs>
        <w:ind w:left="5329" w:hanging="360"/>
      </w:pPr>
    </w:lvl>
    <w:lvl w:ilvl="7" w:tplc="FFFFFFFF">
      <w:start w:val="1"/>
      <w:numFmt w:val="lowerLetter"/>
      <w:lvlText w:val="%8."/>
      <w:lvlJc w:val="left"/>
      <w:pPr>
        <w:tabs>
          <w:tab w:val="num" w:pos="6049"/>
        </w:tabs>
        <w:ind w:left="6049" w:hanging="360"/>
      </w:pPr>
    </w:lvl>
    <w:lvl w:ilvl="8" w:tplc="FFFFFFFF">
      <w:start w:val="1"/>
      <w:numFmt w:val="lowerRoman"/>
      <w:lvlText w:val="%9."/>
      <w:lvlJc w:val="right"/>
      <w:pPr>
        <w:tabs>
          <w:tab w:val="num" w:pos="6769"/>
        </w:tabs>
        <w:ind w:left="6769" w:hanging="180"/>
      </w:pPr>
    </w:lvl>
  </w:abstractNum>
  <w:abstractNum w:abstractNumId="25">
    <w:nsid w:val="31D908A4"/>
    <w:multiLevelType w:val="hybridMultilevel"/>
    <w:tmpl w:val="A0926F52"/>
    <w:lvl w:ilvl="0" w:tplc="3AB21CB0">
      <w:start w:val="1"/>
      <w:numFmt w:val="decimal"/>
      <w:pStyle w:val="NoteText"/>
      <w:lvlText w:val="%1."/>
      <w:lvlJc w:val="left"/>
      <w:pPr>
        <w:tabs>
          <w:tab w:val="num" w:pos="360"/>
        </w:tabs>
        <w:ind w:left="360" w:hanging="360"/>
      </w:pPr>
      <w:rPr>
        <w:rFonts w:hint="default"/>
        <w:b w:val="0"/>
        <w:i w:val="0"/>
        <w:vertAlign w:val="baseline"/>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6">
    <w:nsid w:val="320761C4"/>
    <w:multiLevelType w:val="multilevel"/>
    <w:tmpl w:val="4A144AC4"/>
    <w:lvl w:ilvl="0">
      <w:start w:val="1"/>
      <w:numFmt w:val="bullet"/>
      <w:pStyle w:val="NumberedNotes"/>
      <w:lvlText w:val="­"/>
      <w:lvlJc w:val="left"/>
      <w:pPr>
        <w:tabs>
          <w:tab w:val="num" w:pos="782"/>
        </w:tabs>
        <w:ind w:left="782" w:hanging="357"/>
      </w:pPr>
      <w:rPr>
        <w:rFonts w:ascii="Courier New" w:hAnsi="Courier New"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C2A64D0"/>
    <w:multiLevelType w:val="multilevel"/>
    <w:tmpl w:val="9D3C89F8"/>
    <w:lvl w:ilvl="0">
      <w:start w:val="1"/>
      <w:numFmt w:val="decimal"/>
      <w:lvlText w:val="%1"/>
      <w:lvlJc w:val="left"/>
      <w:pPr>
        <w:tabs>
          <w:tab w:val="num" w:pos="1980"/>
        </w:tabs>
        <w:ind w:left="1980" w:hanging="1980"/>
      </w:pPr>
      <w:rPr>
        <w:rFonts w:hint="default"/>
      </w:rPr>
    </w:lvl>
    <w:lvl w:ilvl="1">
      <w:start w:val="2"/>
      <w:numFmt w:val="decimal"/>
      <w:lvlText w:val="%1.%2"/>
      <w:lvlJc w:val="left"/>
      <w:pPr>
        <w:tabs>
          <w:tab w:val="num" w:pos="1980"/>
        </w:tabs>
        <w:ind w:left="1980" w:hanging="1980"/>
      </w:pPr>
      <w:rPr>
        <w:rFonts w:hint="default"/>
      </w:rPr>
    </w:lvl>
    <w:lvl w:ilvl="2">
      <w:start w:val="1"/>
      <w:numFmt w:val="decimal"/>
      <w:lvlText w:val="%1.%2.%3"/>
      <w:lvlJc w:val="left"/>
      <w:pPr>
        <w:tabs>
          <w:tab w:val="num" w:pos="1980"/>
        </w:tabs>
        <w:ind w:left="1980" w:hanging="1980"/>
      </w:pPr>
      <w:rPr>
        <w:rFonts w:hint="default"/>
      </w:rPr>
    </w:lvl>
    <w:lvl w:ilvl="3">
      <w:start w:val="1"/>
      <w:numFmt w:val="decimal"/>
      <w:lvlText w:val="%1.%2.%3.%4"/>
      <w:lvlJc w:val="left"/>
      <w:pPr>
        <w:tabs>
          <w:tab w:val="num" w:pos="1980"/>
        </w:tabs>
        <w:ind w:left="1980" w:hanging="1980"/>
      </w:pPr>
      <w:rPr>
        <w:rFonts w:hint="default"/>
      </w:rPr>
    </w:lvl>
    <w:lvl w:ilvl="4">
      <w:start w:val="1"/>
      <w:numFmt w:val="decimal"/>
      <w:lvlText w:val="%1.%2.%3.%4.%5"/>
      <w:lvlJc w:val="left"/>
      <w:pPr>
        <w:tabs>
          <w:tab w:val="num" w:pos="1980"/>
        </w:tabs>
        <w:ind w:left="1980" w:hanging="1980"/>
      </w:pPr>
      <w:rPr>
        <w:rFonts w:hint="default"/>
      </w:rPr>
    </w:lvl>
    <w:lvl w:ilvl="5">
      <w:start w:val="1"/>
      <w:numFmt w:val="decimal"/>
      <w:lvlText w:val="%1.%2.%3.%4.%5.%6"/>
      <w:lvlJc w:val="left"/>
      <w:pPr>
        <w:tabs>
          <w:tab w:val="num" w:pos="1980"/>
        </w:tabs>
        <w:ind w:left="1980" w:hanging="1980"/>
      </w:pPr>
      <w:rPr>
        <w:rFonts w:hint="default"/>
      </w:rPr>
    </w:lvl>
    <w:lvl w:ilvl="6">
      <w:start w:val="1"/>
      <w:numFmt w:val="decimal"/>
      <w:lvlText w:val="%1.%2.%3.%4.%5.%6.%7"/>
      <w:lvlJc w:val="left"/>
      <w:pPr>
        <w:tabs>
          <w:tab w:val="num" w:pos="1980"/>
        </w:tabs>
        <w:ind w:left="1980" w:hanging="1980"/>
      </w:pPr>
      <w:rPr>
        <w:rFonts w:hint="default"/>
      </w:rPr>
    </w:lvl>
    <w:lvl w:ilvl="7">
      <w:start w:val="1"/>
      <w:numFmt w:val="decimal"/>
      <w:lvlText w:val="%1.%2.%3.%4.%5.%6.%7.%8"/>
      <w:lvlJc w:val="left"/>
      <w:pPr>
        <w:tabs>
          <w:tab w:val="num" w:pos="1980"/>
        </w:tabs>
        <w:ind w:left="1980" w:hanging="198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3FF556C5"/>
    <w:multiLevelType w:val="singleLevel"/>
    <w:tmpl w:val="96301D66"/>
    <w:lvl w:ilvl="0">
      <w:start w:val="1"/>
      <w:numFmt w:val="bullet"/>
      <w:pStyle w:val="bullet"/>
      <w:lvlText w:val=""/>
      <w:lvlJc w:val="left"/>
      <w:pPr>
        <w:tabs>
          <w:tab w:val="num" w:pos="454"/>
        </w:tabs>
        <w:ind w:left="454" w:hanging="454"/>
      </w:pPr>
      <w:rPr>
        <w:rFonts w:ascii="Monotype Sorts" w:hAnsi="Monotype Sorts" w:cs="Monotype Sorts" w:hint="default"/>
      </w:rPr>
    </w:lvl>
  </w:abstractNum>
  <w:abstractNum w:abstractNumId="29">
    <w:nsid w:val="41B57477"/>
    <w:multiLevelType w:val="multilevel"/>
    <w:tmpl w:val="F6605FA0"/>
    <w:lvl w:ilvl="0">
      <w:start w:val="1"/>
      <w:numFmt w:val="decimal"/>
      <w:lvlText w:val="%1."/>
      <w:lvlJc w:val="left"/>
      <w:pPr>
        <w:tabs>
          <w:tab w:val="num" w:pos="782"/>
        </w:tabs>
        <w:ind w:left="782"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3705C9E"/>
    <w:multiLevelType w:val="hybridMultilevel"/>
    <w:tmpl w:val="B06A47A4"/>
    <w:lvl w:ilvl="0" w:tplc="63D452CE">
      <w:start w:val="1"/>
      <w:numFmt w:val="decimal"/>
      <w:lvlText w:val="%1."/>
      <w:lvlJc w:val="left"/>
      <w:pPr>
        <w:tabs>
          <w:tab w:val="num" w:pos="360"/>
        </w:tabs>
        <w:ind w:left="360" w:hanging="360"/>
      </w:pPr>
      <w:rPr>
        <w:rFonts w:hint="default"/>
        <w:b w:val="0"/>
        <w:i w:val="0"/>
        <w:vertAlign w:val="baseline"/>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1">
    <w:nsid w:val="43F95DA6"/>
    <w:multiLevelType w:val="hybridMultilevel"/>
    <w:tmpl w:val="DECA7E6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nsid w:val="4CE70068"/>
    <w:multiLevelType w:val="singleLevel"/>
    <w:tmpl w:val="0C090001"/>
    <w:lvl w:ilvl="0">
      <w:start w:val="1"/>
      <w:numFmt w:val="bullet"/>
      <w:lvlText w:val=""/>
      <w:lvlJc w:val="left"/>
      <w:pPr>
        <w:tabs>
          <w:tab w:val="num" w:pos="360"/>
        </w:tabs>
        <w:ind w:left="360" w:hanging="360"/>
      </w:pPr>
      <w:rPr>
        <w:rFonts w:ascii="Symbol" w:hAnsi="Symbol" w:cs="Symbol" w:hint="default"/>
      </w:rPr>
    </w:lvl>
  </w:abstractNum>
  <w:abstractNum w:abstractNumId="33">
    <w:nsid w:val="4F5D7A34"/>
    <w:multiLevelType w:val="hybridMultilevel"/>
    <w:tmpl w:val="FF1440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1255168"/>
    <w:multiLevelType w:val="hybridMultilevel"/>
    <w:tmpl w:val="943A1E60"/>
    <w:lvl w:ilvl="0" w:tplc="485AF4B6">
      <w:start w:val="1"/>
      <w:numFmt w:val="lowerLetter"/>
      <w:pStyle w:val="TableTextIndent"/>
      <w:lvlText w:val="%1."/>
      <w:lvlJc w:val="left"/>
      <w:pPr>
        <w:tabs>
          <w:tab w:val="num" w:pos="360"/>
        </w:tabs>
        <w:ind w:left="357" w:hanging="357"/>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5">
    <w:nsid w:val="51D5189C"/>
    <w:multiLevelType w:val="hybridMultilevel"/>
    <w:tmpl w:val="B6C4176C"/>
    <w:lvl w:ilvl="0" w:tplc="63D452CE">
      <w:start w:val="1"/>
      <w:numFmt w:val="decimal"/>
      <w:lvlText w:val="%1."/>
      <w:lvlJc w:val="left"/>
      <w:pPr>
        <w:tabs>
          <w:tab w:val="num" w:pos="360"/>
        </w:tabs>
        <w:ind w:left="360" w:hanging="360"/>
      </w:pPr>
      <w:rPr>
        <w:rFonts w:hint="default"/>
        <w:b w:val="0"/>
        <w:i w:val="0"/>
        <w:vertAlign w:val="baseline"/>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6">
    <w:nsid w:val="58C94D56"/>
    <w:multiLevelType w:val="multilevel"/>
    <w:tmpl w:val="A75C209E"/>
    <w:lvl w:ilvl="0">
      <w:start w:val="1"/>
      <w:numFmt w:val="lowerLetter"/>
      <w:lvlText w:val="%1."/>
      <w:lvlJc w:val="left"/>
      <w:pPr>
        <w:tabs>
          <w:tab w:val="num" w:pos="360"/>
        </w:tabs>
        <w:ind w:left="357" w:hanging="357"/>
      </w:pPr>
      <w:rPr>
        <w:rFonts w:hint="default"/>
      </w:rPr>
    </w:lvl>
    <w:lvl w:ilvl="1">
      <w:start w:val="1"/>
      <w:numFmt w:val="lowerLetter"/>
      <w:pStyle w:val="Style1Indent"/>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0B079EC"/>
    <w:multiLevelType w:val="hybridMultilevel"/>
    <w:tmpl w:val="1CB00ED4"/>
    <w:lvl w:ilvl="0" w:tplc="53E4CEE6">
      <w:start w:val="1"/>
      <w:numFmt w:val="decimal"/>
      <w:pStyle w:val="Sub-Heading1"/>
      <w:lvlText w:val="%1."/>
      <w:lvlJc w:val="left"/>
      <w:pPr>
        <w:tabs>
          <w:tab w:val="num" w:pos="720"/>
        </w:tabs>
        <w:ind w:left="720" w:hanging="360"/>
      </w:pPr>
    </w:lvl>
    <w:lvl w:ilvl="1" w:tplc="DF80B2CC">
      <w:start w:val="1"/>
      <w:numFmt w:val="lowerLetter"/>
      <w:lvlText w:val="%2."/>
      <w:lvlJc w:val="left"/>
      <w:pPr>
        <w:tabs>
          <w:tab w:val="num" w:pos="1440"/>
        </w:tabs>
        <w:ind w:left="1440" w:hanging="360"/>
      </w:pPr>
    </w:lvl>
    <w:lvl w:ilvl="2" w:tplc="EE828640">
      <w:start w:val="1"/>
      <w:numFmt w:val="lowerRoman"/>
      <w:lvlText w:val="%3."/>
      <w:lvlJc w:val="right"/>
      <w:pPr>
        <w:tabs>
          <w:tab w:val="num" w:pos="2160"/>
        </w:tabs>
        <w:ind w:left="2160" w:hanging="180"/>
      </w:pPr>
    </w:lvl>
    <w:lvl w:ilvl="3" w:tplc="BFC8D36A">
      <w:start w:val="1"/>
      <w:numFmt w:val="decimal"/>
      <w:lvlText w:val="%4."/>
      <w:lvlJc w:val="left"/>
      <w:pPr>
        <w:tabs>
          <w:tab w:val="num" w:pos="2880"/>
        </w:tabs>
        <w:ind w:left="2880" w:hanging="360"/>
      </w:pPr>
    </w:lvl>
    <w:lvl w:ilvl="4" w:tplc="3DA423A0">
      <w:start w:val="1"/>
      <w:numFmt w:val="lowerLetter"/>
      <w:lvlText w:val="%5."/>
      <w:lvlJc w:val="left"/>
      <w:pPr>
        <w:tabs>
          <w:tab w:val="num" w:pos="3600"/>
        </w:tabs>
        <w:ind w:left="3600" w:hanging="360"/>
      </w:pPr>
    </w:lvl>
    <w:lvl w:ilvl="5" w:tplc="345AB4E2">
      <w:start w:val="1"/>
      <w:numFmt w:val="lowerRoman"/>
      <w:lvlText w:val="%6."/>
      <w:lvlJc w:val="right"/>
      <w:pPr>
        <w:tabs>
          <w:tab w:val="num" w:pos="4320"/>
        </w:tabs>
        <w:ind w:left="4320" w:hanging="180"/>
      </w:pPr>
    </w:lvl>
    <w:lvl w:ilvl="6" w:tplc="BE08B0E8">
      <w:start w:val="1"/>
      <w:numFmt w:val="decimal"/>
      <w:lvlText w:val="%7."/>
      <w:lvlJc w:val="left"/>
      <w:pPr>
        <w:tabs>
          <w:tab w:val="num" w:pos="5040"/>
        </w:tabs>
        <w:ind w:left="5040" w:hanging="360"/>
      </w:pPr>
    </w:lvl>
    <w:lvl w:ilvl="7" w:tplc="320EA79A">
      <w:start w:val="1"/>
      <w:numFmt w:val="lowerLetter"/>
      <w:lvlText w:val="%8."/>
      <w:lvlJc w:val="left"/>
      <w:pPr>
        <w:tabs>
          <w:tab w:val="num" w:pos="5760"/>
        </w:tabs>
        <w:ind w:left="5760" w:hanging="360"/>
      </w:pPr>
    </w:lvl>
    <w:lvl w:ilvl="8" w:tplc="317A5DDA">
      <w:start w:val="1"/>
      <w:numFmt w:val="lowerRoman"/>
      <w:lvlText w:val="%9."/>
      <w:lvlJc w:val="right"/>
      <w:pPr>
        <w:tabs>
          <w:tab w:val="num" w:pos="6480"/>
        </w:tabs>
        <w:ind w:left="6480" w:hanging="180"/>
      </w:pPr>
    </w:lvl>
  </w:abstractNum>
  <w:abstractNum w:abstractNumId="38">
    <w:nsid w:val="64560CB7"/>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9287A3D"/>
    <w:multiLevelType w:val="hybridMultilevel"/>
    <w:tmpl w:val="93F0E396"/>
    <w:lvl w:ilvl="0" w:tplc="DC6E0470">
      <w:start w:val="1"/>
      <w:numFmt w:val="decimal"/>
      <w:lvlText w:val="%1."/>
      <w:lvlJc w:val="left"/>
      <w:pPr>
        <w:tabs>
          <w:tab w:val="num" w:pos="360"/>
        </w:tabs>
        <w:ind w:left="360" w:hanging="360"/>
      </w:pPr>
      <w:rPr>
        <w:rFonts w:hint="default"/>
        <w:b w:val="0"/>
        <w:i w:val="0"/>
        <w:vertAlign w:val="baseline"/>
      </w:rPr>
    </w:lvl>
    <w:lvl w:ilvl="1" w:tplc="0C090003" w:tentative="1">
      <w:start w:val="1"/>
      <w:numFmt w:val="lowerLetter"/>
      <w:lvlText w:val="%2."/>
      <w:lvlJc w:val="left"/>
      <w:pPr>
        <w:tabs>
          <w:tab w:val="num" w:pos="1440"/>
        </w:tabs>
        <w:ind w:left="1440" w:hanging="360"/>
      </w:pPr>
    </w:lvl>
    <w:lvl w:ilvl="2" w:tplc="0C090005" w:tentative="1">
      <w:start w:val="1"/>
      <w:numFmt w:val="lowerRoman"/>
      <w:lvlText w:val="%3."/>
      <w:lvlJc w:val="right"/>
      <w:pPr>
        <w:tabs>
          <w:tab w:val="num" w:pos="2160"/>
        </w:tabs>
        <w:ind w:left="2160" w:hanging="180"/>
      </w:pPr>
    </w:lvl>
    <w:lvl w:ilvl="3" w:tplc="0C090001" w:tentative="1">
      <w:start w:val="1"/>
      <w:numFmt w:val="decimal"/>
      <w:lvlText w:val="%4."/>
      <w:lvlJc w:val="left"/>
      <w:pPr>
        <w:tabs>
          <w:tab w:val="num" w:pos="2880"/>
        </w:tabs>
        <w:ind w:left="2880" w:hanging="360"/>
      </w:pPr>
    </w:lvl>
    <w:lvl w:ilvl="4" w:tplc="0C090003" w:tentative="1">
      <w:start w:val="1"/>
      <w:numFmt w:val="lowerLetter"/>
      <w:lvlText w:val="%5."/>
      <w:lvlJc w:val="left"/>
      <w:pPr>
        <w:tabs>
          <w:tab w:val="num" w:pos="3600"/>
        </w:tabs>
        <w:ind w:left="3600" w:hanging="360"/>
      </w:pPr>
    </w:lvl>
    <w:lvl w:ilvl="5" w:tplc="0C090005" w:tentative="1">
      <w:start w:val="1"/>
      <w:numFmt w:val="lowerRoman"/>
      <w:lvlText w:val="%6."/>
      <w:lvlJc w:val="right"/>
      <w:pPr>
        <w:tabs>
          <w:tab w:val="num" w:pos="4320"/>
        </w:tabs>
        <w:ind w:left="4320" w:hanging="180"/>
      </w:pPr>
    </w:lvl>
    <w:lvl w:ilvl="6" w:tplc="0C090001" w:tentative="1">
      <w:start w:val="1"/>
      <w:numFmt w:val="decimal"/>
      <w:lvlText w:val="%7."/>
      <w:lvlJc w:val="left"/>
      <w:pPr>
        <w:tabs>
          <w:tab w:val="num" w:pos="5040"/>
        </w:tabs>
        <w:ind w:left="5040" w:hanging="360"/>
      </w:pPr>
    </w:lvl>
    <w:lvl w:ilvl="7" w:tplc="0C090003" w:tentative="1">
      <w:start w:val="1"/>
      <w:numFmt w:val="lowerLetter"/>
      <w:lvlText w:val="%8."/>
      <w:lvlJc w:val="left"/>
      <w:pPr>
        <w:tabs>
          <w:tab w:val="num" w:pos="5760"/>
        </w:tabs>
        <w:ind w:left="5760" w:hanging="360"/>
      </w:pPr>
    </w:lvl>
    <w:lvl w:ilvl="8" w:tplc="0C090005" w:tentative="1">
      <w:start w:val="1"/>
      <w:numFmt w:val="lowerRoman"/>
      <w:lvlText w:val="%9."/>
      <w:lvlJc w:val="right"/>
      <w:pPr>
        <w:tabs>
          <w:tab w:val="num" w:pos="6480"/>
        </w:tabs>
        <w:ind w:left="6480" w:hanging="180"/>
      </w:pPr>
    </w:lvl>
  </w:abstractNum>
  <w:abstractNum w:abstractNumId="40">
    <w:nsid w:val="6EE474F0"/>
    <w:multiLevelType w:val="hybridMultilevel"/>
    <w:tmpl w:val="C5060DC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6FAC5B4F"/>
    <w:multiLevelType w:val="multilevel"/>
    <w:tmpl w:val="519C56BE"/>
    <w:lvl w:ilvl="0">
      <w:start w:val="1"/>
      <w:numFmt w:val="decimal"/>
      <w:lvlText w:val="%1"/>
      <w:lvlJc w:val="left"/>
      <w:pPr>
        <w:tabs>
          <w:tab w:val="num" w:pos="1980"/>
        </w:tabs>
        <w:ind w:left="1980" w:hanging="1980"/>
      </w:pPr>
      <w:rPr>
        <w:rFonts w:hint="default"/>
      </w:rPr>
    </w:lvl>
    <w:lvl w:ilvl="1">
      <w:start w:val="4"/>
      <w:numFmt w:val="decimal"/>
      <w:lvlText w:val="%1.%2"/>
      <w:lvlJc w:val="left"/>
      <w:pPr>
        <w:tabs>
          <w:tab w:val="num" w:pos="2264"/>
        </w:tabs>
        <w:ind w:left="2264" w:hanging="1980"/>
      </w:pPr>
      <w:rPr>
        <w:rFonts w:hint="default"/>
      </w:rPr>
    </w:lvl>
    <w:lvl w:ilvl="2">
      <w:start w:val="1"/>
      <w:numFmt w:val="decimal"/>
      <w:lvlText w:val="%1.%2.%3"/>
      <w:lvlJc w:val="left"/>
      <w:pPr>
        <w:tabs>
          <w:tab w:val="num" w:pos="1980"/>
        </w:tabs>
        <w:ind w:left="1980" w:hanging="1980"/>
      </w:pPr>
      <w:rPr>
        <w:rFonts w:hint="default"/>
      </w:rPr>
    </w:lvl>
    <w:lvl w:ilvl="3">
      <w:start w:val="1"/>
      <w:numFmt w:val="decimal"/>
      <w:lvlText w:val="%1.%2.%3.%4"/>
      <w:lvlJc w:val="left"/>
      <w:pPr>
        <w:tabs>
          <w:tab w:val="num" w:pos="1980"/>
        </w:tabs>
        <w:ind w:left="1980" w:hanging="1980"/>
      </w:pPr>
      <w:rPr>
        <w:rFonts w:hint="default"/>
      </w:rPr>
    </w:lvl>
    <w:lvl w:ilvl="4">
      <w:start w:val="1"/>
      <w:numFmt w:val="decimal"/>
      <w:lvlText w:val="%1.%2.%3.%4.%5"/>
      <w:lvlJc w:val="left"/>
      <w:pPr>
        <w:tabs>
          <w:tab w:val="num" w:pos="1980"/>
        </w:tabs>
        <w:ind w:left="1980" w:hanging="1980"/>
      </w:pPr>
      <w:rPr>
        <w:rFonts w:hint="default"/>
      </w:rPr>
    </w:lvl>
    <w:lvl w:ilvl="5">
      <w:start w:val="1"/>
      <w:numFmt w:val="decimal"/>
      <w:lvlText w:val="%1.%2.%3.%4.%5.%6"/>
      <w:lvlJc w:val="left"/>
      <w:pPr>
        <w:tabs>
          <w:tab w:val="num" w:pos="1980"/>
        </w:tabs>
        <w:ind w:left="1980" w:hanging="1980"/>
      </w:pPr>
      <w:rPr>
        <w:rFonts w:hint="default"/>
      </w:rPr>
    </w:lvl>
    <w:lvl w:ilvl="6">
      <w:start w:val="1"/>
      <w:numFmt w:val="decimal"/>
      <w:lvlText w:val="%1.%2.%3.%4.%5.%6.%7"/>
      <w:lvlJc w:val="left"/>
      <w:pPr>
        <w:tabs>
          <w:tab w:val="num" w:pos="1980"/>
        </w:tabs>
        <w:ind w:left="1980" w:hanging="1980"/>
      </w:pPr>
      <w:rPr>
        <w:rFonts w:hint="default"/>
      </w:rPr>
    </w:lvl>
    <w:lvl w:ilvl="7">
      <w:start w:val="1"/>
      <w:numFmt w:val="decimal"/>
      <w:lvlText w:val="%1.%2.%3.%4.%5.%6.%7.%8"/>
      <w:lvlJc w:val="left"/>
      <w:pPr>
        <w:tabs>
          <w:tab w:val="num" w:pos="1980"/>
        </w:tabs>
        <w:ind w:left="1980" w:hanging="198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35141C2"/>
    <w:multiLevelType w:val="hybridMultilevel"/>
    <w:tmpl w:val="86CA7EFE"/>
    <w:lvl w:ilvl="0">
      <w:start w:val="1"/>
      <w:numFmt w:val="decimal"/>
      <w:pStyle w:val="AINotes"/>
      <w:lvlText w:val="%1."/>
      <w:lvlJc w:val="left"/>
      <w:pPr>
        <w:tabs>
          <w:tab w:val="num" w:pos="357"/>
        </w:tabs>
        <w:ind w:left="357" w:hanging="35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4E015FF"/>
    <w:multiLevelType w:val="singleLevel"/>
    <w:tmpl w:val="BAF4DC00"/>
    <w:lvl w:ilvl="0">
      <w:numFmt w:val="bullet"/>
      <w:pStyle w:val="TickPoint"/>
      <w:lvlText w:val=""/>
      <w:lvlJc w:val="left"/>
      <w:pPr>
        <w:tabs>
          <w:tab w:val="num" w:pos="360"/>
        </w:tabs>
        <w:ind w:left="360" w:hanging="360"/>
      </w:pPr>
      <w:rPr>
        <w:rFonts w:ascii="Wingdings" w:hAnsi="Wingdings" w:cs="Wingdings" w:hint="default"/>
        <w:sz w:val="22"/>
        <w:szCs w:val="22"/>
      </w:rPr>
    </w:lvl>
  </w:abstractNum>
  <w:abstractNum w:abstractNumId="44">
    <w:nsid w:val="77973333"/>
    <w:multiLevelType w:val="multilevel"/>
    <w:tmpl w:val="0C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5">
    <w:nsid w:val="7B3730AD"/>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7F1B0FA6"/>
    <w:multiLevelType w:val="hybridMultilevel"/>
    <w:tmpl w:val="1DE8C258"/>
    <w:lvl w:ilvl="0">
      <w:start w:val="1"/>
      <w:numFmt w:val="lowerLetter"/>
      <w:pStyle w:val="Tabletextindenta"/>
      <w:lvlText w:val="%1."/>
      <w:lvlJc w:val="left"/>
      <w:pPr>
        <w:tabs>
          <w:tab w:val="num" w:pos="360"/>
        </w:tabs>
        <w:ind w:left="357" w:hanging="35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0"/>
  </w:num>
  <w:num w:numId="2">
    <w:abstractNumId w:val="11"/>
  </w:num>
  <w:num w:numId="3">
    <w:abstractNumId w:val="19"/>
  </w:num>
  <w:num w:numId="4">
    <w:abstractNumId w:val="12"/>
  </w:num>
  <w:num w:numId="5">
    <w:abstractNumId w:val="46"/>
  </w:num>
  <w:num w:numId="6">
    <w:abstractNumId w:val="21"/>
  </w:num>
  <w:num w:numId="7">
    <w:abstractNumId w:val="39"/>
  </w:num>
  <w:num w:numId="8">
    <w:abstractNumId w:val="35"/>
  </w:num>
  <w:num w:numId="9">
    <w:abstractNumId w:val="25"/>
  </w:num>
  <w:num w:numId="10">
    <w:abstractNumId w:val="46"/>
  </w:num>
  <w:num w:numId="11">
    <w:abstractNumId w:val="20"/>
  </w:num>
  <w:num w:numId="12">
    <w:abstractNumId w:val="25"/>
    <w:lvlOverride w:ilvl="0">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6"/>
  </w:num>
  <w:num w:numId="24">
    <w:abstractNumId w:val="42"/>
  </w:num>
  <w:num w:numId="25">
    <w:abstractNumId w:val="30"/>
  </w:num>
  <w:num w:numId="26">
    <w:abstractNumId w:val="29"/>
  </w:num>
  <w:num w:numId="27">
    <w:abstractNumId w:val="27"/>
  </w:num>
  <w:num w:numId="28">
    <w:abstractNumId w:val="41"/>
  </w:num>
  <w:num w:numId="29">
    <w:abstractNumId w:val="26"/>
  </w:num>
  <w:num w:numId="30">
    <w:abstractNumId w:val="36"/>
  </w:num>
  <w:num w:numId="31">
    <w:abstractNumId w:val="10"/>
  </w:num>
  <w:num w:numId="32">
    <w:abstractNumId w:val="18"/>
  </w:num>
  <w:num w:numId="33">
    <w:abstractNumId w:val="28"/>
  </w:num>
  <w:num w:numId="34">
    <w:abstractNumId w:val="13"/>
  </w:num>
  <w:num w:numId="35">
    <w:abstractNumId w:val="22"/>
  </w:num>
  <w:num w:numId="36">
    <w:abstractNumId w:val="17"/>
  </w:num>
  <w:num w:numId="37">
    <w:abstractNumId w:val="37"/>
  </w:num>
  <w:num w:numId="38">
    <w:abstractNumId w:val="24"/>
  </w:num>
  <w:num w:numId="39">
    <w:abstractNumId w:val="23"/>
  </w:num>
  <w:num w:numId="40">
    <w:abstractNumId w:val="43"/>
  </w:num>
  <w:num w:numId="41">
    <w:abstractNumId w:val="32"/>
  </w:num>
  <w:num w:numId="42">
    <w:abstractNumId w:val="45"/>
  </w:num>
  <w:num w:numId="43">
    <w:abstractNumId w:val="38"/>
  </w:num>
  <w:num w:numId="44">
    <w:abstractNumId w:val="44"/>
  </w:num>
  <w:num w:numId="45">
    <w:abstractNumId w:val="34"/>
  </w:num>
  <w:num w:numId="46">
    <w:abstractNumId w:val="31"/>
  </w:num>
  <w:num w:numId="47">
    <w:abstractNumId w:val="15"/>
  </w:num>
  <w:num w:numId="48">
    <w:abstractNumId w:val="14"/>
  </w:num>
  <w:num w:numId="49">
    <w:abstractNumId w:val="33"/>
  </w:num>
  <w:num w:numId="50">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1F08"/>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C90A99"/>
    <w:rsid w:val="000453BB"/>
    <w:rsid w:val="00071826"/>
    <w:rsid w:val="00072D47"/>
    <w:rsid w:val="000846B0"/>
    <w:rsid w:val="00087E79"/>
    <w:rsid w:val="000C669C"/>
    <w:rsid w:val="000D1D97"/>
    <w:rsid w:val="000F1535"/>
    <w:rsid w:val="00102518"/>
    <w:rsid w:val="001749DF"/>
    <w:rsid w:val="001871D5"/>
    <w:rsid w:val="001C70C0"/>
    <w:rsid w:val="001F079E"/>
    <w:rsid w:val="001F48B3"/>
    <w:rsid w:val="00203471"/>
    <w:rsid w:val="002827AB"/>
    <w:rsid w:val="00291C3C"/>
    <w:rsid w:val="00296A7E"/>
    <w:rsid w:val="002B7288"/>
    <w:rsid w:val="002D2B62"/>
    <w:rsid w:val="003008D6"/>
    <w:rsid w:val="00324E3F"/>
    <w:rsid w:val="00341123"/>
    <w:rsid w:val="00342701"/>
    <w:rsid w:val="00346857"/>
    <w:rsid w:val="00366B66"/>
    <w:rsid w:val="00372160"/>
    <w:rsid w:val="00380703"/>
    <w:rsid w:val="003A557D"/>
    <w:rsid w:val="003A724E"/>
    <w:rsid w:val="003E0D5F"/>
    <w:rsid w:val="003E29BB"/>
    <w:rsid w:val="003F7E81"/>
    <w:rsid w:val="003F7ED2"/>
    <w:rsid w:val="00407FB7"/>
    <w:rsid w:val="00421994"/>
    <w:rsid w:val="00430B08"/>
    <w:rsid w:val="00431981"/>
    <w:rsid w:val="00441548"/>
    <w:rsid w:val="00441BF3"/>
    <w:rsid w:val="0046730D"/>
    <w:rsid w:val="00495442"/>
    <w:rsid w:val="004B6050"/>
    <w:rsid w:val="004D3C7B"/>
    <w:rsid w:val="004D5E62"/>
    <w:rsid w:val="004E1312"/>
    <w:rsid w:val="004E73AD"/>
    <w:rsid w:val="00560E4B"/>
    <w:rsid w:val="00562595"/>
    <w:rsid w:val="00577C7E"/>
    <w:rsid w:val="005933DB"/>
    <w:rsid w:val="005B1B41"/>
    <w:rsid w:val="005F3157"/>
    <w:rsid w:val="006509EF"/>
    <w:rsid w:val="0066100A"/>
    <w:rsid w:val="00663C09"/>
    <w:rsid w:val="006B3D21"/>
    <w:rsid w:val="0072569F"/>
    <w:rsid w:val="0073335C"/>
    <w:rsid w:val="00740527"/>
    <w:rsid w:val="00794A37"/>
    <w:rsid w:val="007A3230"/>
    <w:rsid w:val="00814BDA"/>
    <w:rsid w:val="00831567"/>
    <w:rsid w:val="00933602"/>
    <w:rsid w:val="0096776D"/>
    <w:rsid w:val="00980154"/>
    <w:rsid w:val="00983072"/>
    <w:rsid w:val="009C4DA0"/>
    <w:rsid w:val="00A306F8"/>
    <w:rsid w:val="00A31E3D"/>
    <w:rsid w:val="00A366F5"/>
    <w:rsid w:val="00A52562"/>
    <w:rsid w:val="00A533C8"/>
    <w:rsid w:val="00A83639"/>
    <w:rsid w:val="00A9696C"/>
    <w:rsid w:val="00AE4A72"/>
    <w:rsid w:val="00B30439"/>
    <w:rsid w:val="00B93188"/>
    <w:rsid w:val="00B944B2"/>
    <w:rsid w:val="00BA59ED"/>
    <w:rsid w:val="00BE0EE6"/>
    <w:rsid w:val="00C2788A"/>
    <w:rsid w:val="00C65746"/>
    <w:rsid w:val="00C6605B"/>
    <w:rsid w:val="00C90A99"/>
    <w:rsid w:val="00CA5E1A"/>
    <w:rsid w:val="00CC2261"/>
    <w:rsid w:val="00D012ED"/>
    <w:rsid w:val="00D96B83"/>
    <w:rsid w:val="00DA0EE3"/>
    <w:rsid w:val="00E1003E"/>
    <w:rsid w:val="00E33169"/>
    <w:rsid w:val="00E666D2"/>
    <w:rsid w:val="00E70BE3"/>
    <w:rsid w:val="00EF21DE"/>
    <w:rsid w:val="00F14C7E"/>
    <w:rsid w:val="00F1764C"/>
    <w:rsid w:val="00F2465D"/>
    <w:rsid w:val="00F41812"/>
    <w:rsid w:val="00F61D99"/>
    <w:rsid w:val="00FA287B"/>
    <w:rsid w:val="00FC03A5"/>
    <w:rsid w:val="00FC319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pBdr>
        <w:bottom w:val="single" w:sz="18" w:space="2" w:color="auto"/>
      </w:pBdr>
      <w:spacing w:after="240"/>
      <w:outlineLvl w:val="0"/>
    </w:pPr>
    <w:rPr>
      <w:rFonts w:ascii="Arial" w:hAnsi="Arial"/>
      <w:b/>
      <w:caps/>
      <w:kern w:val="28"/>
      <w:sz w:val="28"/>
    </w:rPr>
  </w:style>
  <w:style w:type="paragraph" w:styleId="Heading2">
    <w:name w:val="heading 2"/>
    <w:basedOn w:val="Normal"/>
    <w:next w:val="Normal"/>
    <w:qFormat/>
    <w:pPr>
      <w:keepNext/>
      <w:spacing w:before="60" w:after="60"/>
      <w:jc w:val="center"/>
      <w:outlineLvl w:val="1"/>
    </w:pPr>
    <w:rPr>
      <w:b/>
      <w:snapToGrid w:val="0"/>
      <w:color w:val="000000"/>
    </w:rPr>
  </w:style>
  <w:style w:type="paragraph" w:styleId="Heading3">
    <w:name w:val="heading 3"/>
    <w:basedOn w:val="Normal"/>
    <w:next w:val="Normal"/>
    <w:link w:val="Heading3Char"/>
    <w:qFormat/>
    <w:pPr>
      <w:keepNext/>
      <w:spacing w:before="240" w:after="60"/>
      <w:outlineLvl w:val="2"/>
    </w:pPr>
    <w:rPr>
      <w:rFonts w:ascii="Arial" w:hAnsi="Arial" w:cs="Arial"/>
      <w:b/>
      <w:bCs/>
      <w:szCs w:val="26"/>
    </w:rPr>
  </w:style>
  <w:style w:type="paragraph" w:styleId="Heading4">
    <w:name w:val="heading 4"/>
    <w:basedOn w:val="Normal"/>
    <w:next w:val="Normal"/>
    <w:link w:val="Heading4Char"/>
    <w:qFormat/>
    <w:pPr>
      <w:keepNext/>
      <w:spacing w:before="240" w:after="120"/>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jc w:val="right"/>
      <w:outlineLvl w:val="5"/>
    </w:pPr>
    <w:rPr>
      <w:b/>
      <w:color w:val="000000"/>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keepNext/>
      <w:ind w:left="142" w:hanging="142"/>
      <w:outlineLvl w:val="7"/>
    </w:pPr>
    <w:rPr>
      <w:rFonts w:ascii="Arial" w:hAnsi="Arial"/>
      <w:b/>
      <w:snapToGrid w:val="0"/>
      <w:color w:val="000000"/>
    </w:rPr>
  </w:style>
  <w:style w:type="paragraph" w:styleId="Heading9">
    <w:name w:val="heading 9"/>
    <w:basedOn w:val="Normal"/>
    <w:next w:val="Normal"/>
    <w:qFormat/>
    <w:pPr>
      <w:keepNext/>
      <w:spacing w:after="120"/>
      <w:outlineLvl w:val="8"/>
    </w:pPr>
    <w:rPr>
      <w:rFonts w:ascii="Arial" w:hAnsi="Arial" w:cs="Arial"/>
      <w:b/>
      <w:snapToGrid w:val="0"/>
      <w:color w:val="000000"/>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ableHeadingCentre-BP4">
    <w:name w:val="Table Heading Centre - BP4"/>
    <w:basedOn w:val="Normal"/>
    <w:pPr>
      <w:keepNext/>
      <w:jc w:val="center"/>
    </w:pPr>
    <w:rPr>
      <w:b/>
      <w:sz w:val="18"/>
    </w:rPr>
  </w:style>
  <w:style w:type="character" w:customStyle="1" w:styleId="Heading3Char">
    <w:name w:val="Heading 3 Char"/>
    <w:basedOn w:val="DefaultParagraphFont"/>
    <w:link w:val="Heading3"/>
    <w:rPr>
      <w:rFonts w:ascii="Arial" w:hAnsi="Arial" w:cs="Arial"/>
      <w:b/>
      <w:bCs/>
      <w:sz w:val="24"/>
      <w:szCs w:val="26"/>
      <w:lang w:val="en-AU" w:eastAsia="en-US" w:bidi="ar-SA"/>
    </w:rPr>
  </w:style>
  <w:style w:type="paragraph" w:styleId="BodyText">
    <w:name w:val="Body Text"/>
    <w:basedOn w:val="Normal"/>
    <w:link w:val="BodyTextChar"/>
    <w:pPr>
      <w:spacing w:before="120" w:after="120"/>
      <w:jc w:val="both"/>
    </w:pPr>
  </w:style>
  <w:style w:type="paragraph" w:styleId="BodyTextIndent">
    <w:name w:val="Body Text Indent"/>
    <w:basedOn w:val="Normal"/>
    <w:link w:val="BodyTextIndentChar"/>
    <w:pPr>
      <w:numPr>
        <w:numId w:val="11"/>
      </w:numPr>
      <w:spacing w:after="120"/>
      <w:jc w:val="both"/>
    </w:pPr>
  </w:style>
  <w:style w:type="paragraph" w:styleId="BodyTextIndent2">
    <w:name w:val="Body Text Indent 2"/>
    <w:basedOn w:val="Normal"/>
    <w:pPr>
      <w:numPr>
        <w:numId w:val="2"/>
      </w:numPr>
      <w:spacing w:after="120"/>
      <w:jc w:val="both"/>
    </w:pPr>
  </w:style>
  <w:style w:type="paragraph" w:styleId="BodyTextIndent3">
    <w:name w:val="Body Text Indent 3"/>
    <w:basedOn w:val="Normal"/>
    <w:pPr>
      <w:numPr>
        <w:numId w:val="3"/>
      </w:numPr>
      <w:tabs>
        <w:tab w:val="left" w:pos="1134"/>
      </w:tabs>
      <w:spacing w:after="120"/>
      <w:ind w:left="1134" w:hanging="340"/>
      <w:jc w:val="both"/>
    </w:pPr>
    <w:rPr>
      <w:szCs w:val="24"/>
    </w:rPr>
  </w:style>
  <w:style w:type="paragraph" w:customStyle="1" w:styleId="BodyTextIndent4">
    <w:name w:val="Body Text Indent 4"/>
    <w:basedOn w:val="BodyText"/>
    <w:next w:val="BodyText"/>
    <w:pPr>
      <w:numPr>
        <w:numId w:val="4"/>
      </w:numPr>
      <w:spacing w:before="0"/>
    </w:pPr>
  </w:style>
  <w:style w:type="paragraph" w:customStyle="1" w:styleId="SIHeading1">
    <w:name w:val="SI Heading 1"/>
    <w:basedOn w:val="Normal"/>
    <w:pPr>
      <w:keepNext/>
      <w:keepLines/>
      <w:spacing w:before="240"/>
      <w:jc w:val="center"/>
      <w:outlineLvl w:val="0"/>
    </w:pPr>
    <w:rPr>
      <w:rFonts w:ascii="Arial" w:hAnsi="Arial"/>
      <w:b/>
      <w:kern w:val="28"/>
    </w:rPr>
  </w:style>
  <w:style w:type="paragraph" w:customStyle="1" w:styleId="SIHeading2">
    <w:name w:val="SI Heading 2"/>
    <w:basedOn w:val="Normal"/>
    <w:pPr>
      <w:keepNext/>
      <w:keepLines/>
      <w:jc w:val="center"/>
      <w:outlineLvl w:val="0"/>
    </w:pPr>
    <w:rPr>
      <w:rFonts w:ascii="Arial" w:hAnsi="Arial"/>
      <w:kern w:val="28"/>
    </w:rPr>
  </w:style>
  <w:style w:type="paragraph" w:customStyle="1" w:styleId="Tabletextindenta">
    <w:name w:val="Table text indent a"/>
    <w:aliases w:val="b,c... BP3,c..."/>
    <w:basedOn w:val="Normal"/>
    <w:pPr>
      <w:numPr>
        <w:numId w:val="10"/>
      </w:numPr>
      <w:spacing w:before="60"/>
    </w:pPr>
    <w:rPr>
      <w:kern w:val="16"/>
      <w:szCs w:val="24"/>
    </w:rPr>
  </w:style>
  <w:style w:type="paragraph" w:customStyle="1" w:styleId="TableTextRightBold-BP4">
    <w:name w:val="Table Text Right Bold - BP4"/>
    <w:basedOn w:val="Normal"/>
    <w:pPr>
      <w:jc w:val="right"/>
    </w:pPr>
    <w:rPr>
      <w:b/>
      <w:sz w:val="18"/>
    </w:rPr>
  </w:style>
  <w:style w:type="paragraph" w:customStyle="1" w:styleId="TableHeadingRight-BP4">
    <w:name w:val="Table Heading Right - BP4"/>
    <w:basedOn w:val="Normal"/>
    <w:pPr>
      <w:keepNext/>
      <w:jc w:val="right"/>
    </w:pPr>
    <w:rPr>
      <w:b/>
      <w:sz w:val="18"/>
      <w:szCs w:val="24"/>
    </w:rPr>
  </w:style>
  <w:style w:type="paragraph" w:customStyle="1" w:styleId="NoteText">
    <w:name w:val="Note Text"/>
    <w:basedOn w:val="Normal"/>
    <w:pPr>
      <w:numPr>
        <w:numId w:val="9"/>
      </w:numPr>
      <w:tabs>
        <w:tab w:val="clear" w:pos="360"/>
        <w:tab w:val="left" w:pos="357"/>
      </w:tabs>
      <w:ind w:left="385" w:hanging="357"/>
      <w:jc w:val="both"/>
    </w:pPr>
    <w:rPr>
      <w:iCs/>
      <w:sz w:val="16"/>
    </w:rPr>
  </w:style>
  <w:style w:type="paragraph" w:styleId="Header">
    <w:name w:val="header"/>
    <w:basedOn w:val="Normal"/>
    <w:pPr>
      <w:tabs>
        <w:tab w:val="center" w:pos="4153"/>
        <w:tab w:val="right" w:pos="8306"/>
      </w:tabs>
    </w:pPr>
  </w:style>
  <w:style w:type="paragraph" w:customStyle="1" w:styleId="Noteheading">
    <w:name w:val="Note heading"/>
    <w:basedOn w:val="Normal"/>
    <w:pPr>
      <w:spacing w:before="120"/>
      <w:ind w:left="28"/>
    </w:pPr>
    <w:rPr>
      <w:b/>
      <w:bCs/>
      <w:sz w:val="18"/>
    </w:rPr>
  </w:style>
  <w:style w:type="character" w:customStyle="1" w:styleId="BodyTextIndentChar">
    <w:name w:val="Body Text Indent Char"/>
    <w:basedOn w:val="DefaultParagraphFont"/>
    <w:link w:val="BodyTextIndent"/>
    <w:rPr>
      <w:sz w:val="24"/>
      <w:lang w:val="en-AU" w:eastAsia="en-US" w:bidi="ar-SA"/>
    </w:rPr>
  </w:style>
  <w:style w:type="paragraph" w:customStyle="1" w:styleId="TableHeadingLeft-BP4">
    <w:name w:val="Table Heading Left - BP4"/>
    <w:basedOn w:val="Normal"/>
    <w:link w:val="TableHeadingLeft-BP4CharChar"/>
    <w:pPr>
      <w:keepNext/>
    </w:pPr>
    <w:rPr>
      <w:b/>
      <w:sz w:val="18"/>
      <w:lang w:eastAsia="en-AU"/>
    </w:rPr>
  </w:style>
  <w:style w:type="paragraph" w:customStyle="1" w:styleId="TableTextRight-BP4">
    <w:name w:val="Table Text Right - BP4"/>
    <w:basedOn w:val="Normal"/>
    <w:pPr>
      <w:jc w:val="right"/>
    </w:pPr>
    <w:rPr>
      <w:sz w:val="18"/>
    </w:rPr>
  </w:style>
  <w:style w:type="paragraph" w:customStyle="1" w:styleId="TableTextLeftBold-BP4">
    <w:name w:val="Table Text Left Bold - BP4"/>
    <w:basedOn w:val="Normal"/>
    <w:link w:val="TableTextLeftBold-BP4CharChar"/>
    <w:pPr>
      <w:ind w:left="142" w:hanging="142"/>
    </w:pPr>
    <w:rPr>
      <w:b/>
      <w:sz w:val="18"/>
    </w:rPr>
  </w:style>
  <w:style w:type="paragraph" w:customStyle="1" w:styleId="TableTextLeft-BP4">
    <w:name w:val="Table Text Left - BP4"/>
    <w:basedOn w:val="Normal"/>
    <w:pPr>
      <w:ind w:left="142" w:hanging="142"/>
    </w:pPr>
    <w:rPr>
      <w:sz w:val="18"/>
      <w:szCs w:val="18"/>
    </w:rPr>
  </w:style>
  <w:style w:type="paragraph" w:customStyle="1" w:styleId="TableNumbersRight-BP4">
    <w:name w:val="Table Numbers Right - BP4"/>
    <w:basedOn w:val="Normal"/>
    <w:pPr>
      <w:jc w:val="right"/>
    </w:pPr>
    <w:rPr>
      <w:sz w:val="18"/>
    </w:rPr>
  </w:style>
  <w:style w:type="character" w:customStyle="1" w:styleId="TableHeadingLeft-BP4CharChar">
    <w:name w:val="Table Heading Left - BP4 Char Char"/>
    <w:basedOn w:val="DefaultParagraphFont"/>
    <w:link w:val="TableHeadingLeft-BP4"/>
    <w:rPr>
      <w:b/>
      <w:sz w:val="18"/>
      <w:lang w:val="en-AU" w:eastAsia="en-AU" w:bidi="ar-SA"/>
    </w:rPr>
  </w:style>
  <w:style w:type="paragraph" w:customStyle="1" w:styleId="FooterBP">
    <w:name w:val="Footer BP"/>
    <w:basedOn w:val="Normal"/>
    <w:next w:val="Normal"/>
    <w:pPr>
      <w:pBdr>
        <w:top w:val="single" w:sz="4" w:space="1" w:color="auto"/>
      </w:pBdr>
      <w:tabs>
        <w:tab w:val="center" w:pos="4536"/>
        <w:tab w:val="right" w:pos="9356"/>
      </w:tabs>
      <w:ind w:left="-284" w:right="-329"/>
    </w:pPr>
    <w:rPr>
      <w:i/>
    </w:rPr>
  </w:style>
  <w:style w:type="paragraph" w:styleId="Footer">
    <w:name w:val="footer"/>
    <w:basedOn w:val="Normal"/>
    <w:pPr>
      <w:tabs>
        <w:tab w:val="center" w:pos="4153"/>
        <w:tab w:val="right" w:pos="8306"/>
      </w:tabs>
    </w:pPr>
  </w:style>
  <w:style w:type="character" w:customStyle="1" w:styleId="TableTextLeftBold-BP4CharChar">
    <w:name w:val="Table Text Left Bold - BP4 Char Char"/>
    <w:basedOn w:val="DefaultParagraphFont"/>
    <w:link w:val="TableTextLeftBold-BP4"/>
    <w:rPr>
      <w:b/>
      <w:sz w:val="18"/>
      <w:lang w:val="en-AU" w:eastAsia="en-US" w:bidi="ar-SA"/>
    </w:rPr>
  </w:style>
  <w:style w:type="paragraph" w:customStyle="1" w:styleId="Heading3TopofPage">
    <w:name w:val="Heading 3 Top of Page"/>
    <w:basedOn w:val="Heading3"/>
    <w:pPr>
      <w:spacing w:before="0"/>
    </w:pPr>
    <w:rPr>
      <w:rFonts w:cs="Times New Roman"/>
      <w:lang w:eastAsia="en-AU"/>
    </w:rPr>
  </w:style>
  <w:style w:type="paragraph" w:customStyle="1" w:styleId="Heading3Centred">
    <w:name w:val="Heading 3 Centred"/>
    <w:basedOn w:val="Heading3"/>
    <w:pPr>
      <w:spacing w:before="0"/>
      <w:jc w:val="center"/>
    </w:pPr>
    <w:rPr>
      <w:rFonts w:cs="Times New Roman"/>
      <w:lang w:eastAsia="en-AU"/>
    </w:rPr>
  </w:style>
  <w:style w:type="paragraph" w:customStyle="1" w:styleId="AITableText">
    <w:name w:val="AI Table Text"/>
    <w:basedOn w:val="Normal"/>
    <w:link w:val="AITableTextChar"/>
    <w:pPr>
      <w:jc w:val="right"/>
    </w:pPr>
    <w:rPr>
      <w:szCs w:val="24"/>
    </w:rPr>
  </w:style>
  <w:style w:type="character" w:customStyle="1" w:styleId="AITableTextChar">
    <w:name w:val="AI Table Text Char"/>
    <w:basedOn w:val="DefaultParagraphFont"/>
    <w:link w:val="AITableText"/>
    <w:rPr>
      <w:szCs w:val="24"/>
      <w:lang w:val="en-AU" w:eastAsia="en-US" w:bidi="ar-SA"/>
    </w:rPr>
  </w:style>
  <w:style w:type="paragraph" w:customStyle="1" w:styleId="SinglePara">
    <w:name w:val="Single Para"/>
    <w:basedOn w:val="Normal"/>
  </w:style>
  <w:style w:type="paragraph" w:customStyle="1" w:styleId="xl25">
    <w:name w:val="xl25"/>
    <w:basedOn w:val="Normal"/>
    <w:pPr>
      <w:spacing w:before="100" w:beforeAutospacing="1" w:after="100" w:afterAutospacing="1"/>
    </w:pPr>
    <w:rPr>
      <w:rFonts w:eastAsia="Arial Unicode MS"/>
      <w:sz w:val="18"/>
      <w:szCs w:val="18"/>
    </w:rPr>
  </w:style>
  <w:style w:type="paragraph" w:styleId="PlainText">
    <w:name w:val="Plain Text"/>
    <w:basedOn w:val="Normal"/>
    <w:link w:val="PlainTextChar"/>
    <w:rPr>
      <w:rFonts w:ascii="Courier New" w:hAnsi="Courier New"/>
      <w:lang w:val="en-US"/>
    </w:rPr>
  </w:style>
  <w:style w:type="paragraph" w:styleId="BalloonText">
    <w:name w:val="Balloon Text"/>
    <w:basedOn w:val="Normal"/>
    <w:semiHidden/>
    <w:rPr>
      <w:rFonts w:ascii="Tahoma" w:hAnsi="Tahoma" w:cs="Tahoma"/>
      <w:sz w:val="16"/>
      <w:szCs w:val="16"/>
    </w:rPr>
  </w:style>
  <w:style w:type="paragraph" w:customStyle="1" w:styleId="Sub-Heading">
    <w:name w:val="Sub-Heading"/>
    <w:basedOn w:val="Normal"/>
    <w:pPr>
      <w:keepNext/>
      <w:spacing w:before="240" w:after="120"/>
      <w:outlineLvl w:val="0"/>
    </w:pPr>
    <w:rPr>
      <w:rFonts w:ascii="Arial" w:hAnsi="Arial"/>
      <w:i/>
    </w:rPr>
  </w:style>
  <w:style w:type="paragraph" w:customStyle="1" w:styleId="Sub-Heading2">
    <w:name w:val="Sub-Heading 2"/>
    <w:basedOn w:val="BodyText"/>
    <w:rPr>
      <w:i/>
    </w:rPr>
  </w:style>
  <w:style w:type="paragraph" w:customStyle="1" w:styleId="TableName">
    <w:name w:val="Table Name"/>
    <w:basedOn w:val="Normal"/>
    <w:pPr>
      <w:keepNext/>
      <w:jc w:val="center"/>
    </w:pPr>
    <w:rPr>
      <w:rFonts w:ascii="Arial" w:hAnsi="Arial"/>
      <w:b/>
    </w:rPr>
  </w:style>
  <w:style w:type="paragraph" w:customStyle="1" w:styleId="AIblurb">
    <w:name w:val="AI blurb"/>
    <w:basedOn w:val="Normal"/>
    <w:pPr>
      <w:spacing w:before="120" w:after="240"/>
      <w:ind w:left="380"/>
      <w:jc w:val="both"/>
    </w:pPr>
  </w:style>
  <w:style w:type="paragraph" w:customStyle="1" w:styleId="AIIndent">
    <w:name w:val="AI Indent"/>
    <w:basedOn w:val="Normal"/>
    <w:pPr>
      <w:numPr>
        <w:numId w:val="23"/>
      </w:numPr>
    </w:pPr>
  </w:style>
  <w:style w:type="paragraph" w:customStyle="1" w:styleId="AINotes">
    <w:name w:val="AI Notes"/>
    <w:basedOn w:val="Normal"/>
    <w:pPr>
      <w:numPr>
        <w:numId w:val="24"/>
      </w:numPr>
      <w:spacing w:after="60"/>
      <w:jc w:val="both"/>
    </w:pPr>
    <w:rPr>
      <w:sz w:val="16"/>
    </w:rPr>
  </w:style>
  <w:style w:type="paragraph" w:customStyle="1" w:styleId="n">
    <w:name w:val="n"/>
    <w:basedOn w:val="AITableText"/>
    <w:pPr>
      <w:jc w:val="both"/>
    </w:pPr>
    <w:rPr>
      <w:sz w:val="16"/>
    </w:rPr>
  </w:style>
  <w:style w:type="paragraph" w:customStyle="1" w:styleId="Notes">
    <w:name w:val="Notes"/>
    <w:basedOn w:val="AITableText"/>
    <w:pPr>
      <w:spacing w:before="120"/>
      <w:ind w:left="28"/>
      <w:jc w:val="left"/>
    </w:pPr>
    <w:rPr>
      <w:b/>
    </w:rPr>
  </w:style>
  <w:style w:type="paragraph" w:customStyle="1" w:styleId="TableHeadingCentre-BP3">
    <w:name w:val="Table Heading Centre - BP3"/>
    <w:basedOn w:val="TableHeadingCentre-BP4"/>
    <w:rPr>
      <w:sz w:val="20"/>
    </w:rPr>
  </w:style>
  <w:style w:type="paragraph" w:customStyle="1" w:styleId="TableHeadingLeft-BP3">
    <w:name w:val="Table Heading Left - BP3"/>
    <w:basedOn w:val="TableHeadingLeft-BP4"/>
    <w:rPr>
      <w:sz w:val="20"/>
    </w:rPr>
  </w:style>
  <w:style w:type="paragraph" w:customStyle="1" w:styleId="TableHeadingRight-BP3">
    <w:name w:val="Table Heading Right - BP3"/>
    <w:basedOn w:val="TableHeadingRight-BP4"/>
    <w:rPr>
      <w:sz w:val="20"/>
    </w:rPr>
  </w:style>
  <w:style w:type="paragraph" w:customStyle="1" w:styleId="TableNumbersRight-BP3">
    <w:name w:val="Table Numbers Right - BP3"/>
    <w:basedOn w:val="TableNumbersRight-BP4"/>
    <w:rPr>
      <w:sz w:val="20"/>
    </w:rPr>
  </w:style>
  <w:style w:type="paragraph" w:customStyle="1" w:styleId="TableTextLeft-BP3">
    <w:name w:val="Table Text Left - BP3"/>
    <w:basedOn w:val="TableTextLeft-BP4"/>
    <w:rPr>
      <w:sz w:val="20"/>
    </w:rPr>
  </w:style>
  <w:style w:type="paragraph" w:customStyle="1" w:styleId="TableTextLeftBold-BP3">
    <w:name w:val="Table Text Left Bold - BP3"/>
    <w:basedOn w:val="TableTextLeftBold-BP4"/>
    <w:rPr>
      <w:sz w:val="20"/>
    </w:rPr>
  </w:style>
  <w:style w:type="paragraph" w:customStyle="1" w:styleId="TableTextRight-BP3">
    <w:name w:val="Table Text Right - BP3"/>
    <w:basedOn w:val="TableTextRight-BP4"/>
    <w:rPr>
      <w:sz w:val="20"/>
    </w:rPr>
  </w:style>
  <w:style w:type="paragraph" w:customStyle="1" w:styleId="TableTextRightBold-BP3">
    <w:name w:val="Table Text Right Bold - BP3"/>
    <w:basedOn w:val="TableTextRightBold-BP4"/>
  </w:style>
  <w:style w:type="paragraph" w:customStyle="1" w:styleId="TableTextLeft-BP4FS">
    <w:name w:val="Table Text Left - BP4 FS"/>
    <w:basedOn w:val="TableTextLeft-BP4"/>
    <w:pPr>
      <w:ind w:left="227"/>
    </w:pPr>
  </w:style>
  <w:style w:type="character" w:styleId="PageNumber">
    <w:name w:val="page number"/>
    <w:basedOn w:val="DefaultParagraphFont"/>
  </w:style>
  <w:style w:type="paragraph" w:styleId="BodyText2">
    <w:name w:val="Body Text 2"/>
    <w:basedOn w:val="Normal"/>
    <w:pPr>
      <w:jc w:val="center"/>
    </w:pPr>
    <w:rPr>
      <w:rFonts w:ascii="Arial" w:hAnsi="Arial"/>
      <w:b/>
      <w:sz w:val="36"/>
    </w:rPr>
  </w:style>
  <w:style w:type="paragraph" w:customStyle="1" w:styleId="TableHeadingCentre-BP410pt">
    <w:name w:val="Table Heading Centre - BP4 10pt"/>
    <w:basedOn w:val="TableHeadingCentre-BP4"/>
    <w:rPr>
      <w:sz w:val="20"/>
    </w:rPr>
  </w:style>
  <w:style w:type="paragraph" w:customStyle="1" w:styleId="TableHeadingLeft-BP410pt">
    <w:name w:val="Table Heading Left - BP4 10pt"/>
    <w:basedOn w:val="TableHeadingLeft-BP4"/>
    <w:rPr>
      <w:sz w:val="20"/>
    </w:rPr>
  </w:style>
  <w:style w:type="paragraph" w:customStyle="1" w:styleId="TableHeadingRight-BP410pt">
    <w:name w:val="Table Heading Right - BP4 10pt"/>
    <w:basedOn w:val="TableHeadingRight-BP4"/>
    <w:rPr>
      <w:sz w:val="20"/>
    </w:rPr>
  </w:style>
  <w:style w:type="paragraph" w:customStyle="1" w:styleId="TableTextLeft-BP410pt">
    <w:name w:val="Table Text Left - BP4 10pt"/>
    <w:basedOn w:val="TableTextLeft-BP4"/>
    <w:rPr>
      <w:sz w:val="20"/>
    </w:rPr>
  </w:style>
  <w:style w:type="paragraph" w:customStyle="1" w:styleId="TableTextLeftBold-BP410pt">
    <w:name w:val="Table Text Left Bold - BP4 10pt"/>
    <w:basedOn w:val="TableTextLeftBold-BP4"/>
    <w:rPr>
      <w:sz w:val="20"/>
    </w:rPr>
  </w:style>
  <w:style w:type="paragraph" w:customStyle="1" w:styleId="TableTextRight-BP410pt">
    <w:name w:val="Table Text Right - BP4 10pt"/>
    <w:basedOn w:val="TableTextRight-BP4"/>
    <w:rPr>
      <w:sz w:val="20"/>
    </w:rPr>
  </w:style>
  <w:style w:type="paragraph" w:customStyle="1" w:styleId="TableTextRightBold-BP410pt">
    <w:name w:val="Table Text Right Bold - BP4 10pt"/>
    <w:basedOn w:val="TableTextRightBold-BP4"/>
    <w:rPr>
      <w:sz w:val="20"/>
    </w:rPr>
  </w:style>
  <w:style w:type="paragraph" w:customStyle="1" w:styleId="Chapters">
    <w:name w:val="Chapters"/>
    <w:basedOn w:val="Normal"/>
    <w:pPr>
      <w:tabs>
        <w:tab w:val="left" w:pos="284"/>
        <w:tab w:val="left" w:pos="1985"/>
        <w:tab w:val="left" w:pos="7797"/>
        <w:tab w:val="right" w:pos="8505"/>
      </w:tabs>
    </w:pPr>
    <w:rPr>
      <w:rFonts w:ascii="Arial" w:hAnsi="Arial"/>
      <w:b/>
      <w:sz w:val="28"/>
    </w:rPr>
  </w:style>
  <w:style w:type="numbering" w:customStyle="1" w:styleId="NoList1">
    <w:name w:val="No List1"/>
    <w:next w:val="NoList"/>
    <w:uiPriority w:val="99"/>
    <w:semiHidden/>
    <w:unhideWhenUsed/>
    <w:rsid w:val="00B93188"/>
  </w:style>
  <w:style w:type="paragraph" w:customStyle="1" w:styleId="TableHeadingCentre">
    <w:name w:val="Table Heading Centre"/>
    <w:basedOn w:val="Normal"/>
    <w:rsid w:val="00B93188"/>
    <w:pPr>
      <w:keepNext/>
      <w:jc w:val="center"/>
    </w:pPr>
    <w:rPr>
      <w:rFonts w:ascii="Calibri" w:hAnsi="Calibri"/>
      <w:b/>
    </w:rPr>
  </w:style>
  <w:style w:type="character" w:customStyle="1" w:styleId="Heading3Char1">
    <w:name w:val="Heading 3 Char1"/>
    <w:basedOn w:val="DefaultParagraphFont"/>
    <w:rsid w:val="00B93188"/>
    <w:rPr>
      <w:rFonts w:ascii="Arial" w:hAnsi="Arial" w:cs="Arial"/>
      <w:b/>
      <w:bCs/>
      <w:sz w:val="24"/>
      <w:szCs w:val="26"/>
      <w:lang w:val="en-AU" w:eastAsia="en-US" w:bidi="ar-SA"/>
    </w:rPr>
  </w:style>
  <w:style w:type="paragraph" w:customStyle="1" w:styleId="TableTextRightBold">
    <w:name w:val="Table Text Right Bold"/>
    <w:basedOn w:val="Normal"/>
    <w:rsid w:val="00B93188"/>
    <w:pPr>
      <w:ind w:left="357" w:hanging="357"/>
      <w:jc w:val="right"/>
    </w:pPr>
    <w:rPr>
      <w:rFonts w:ascii="Calibri" w:hAnsi="Calibri"/>
      <w:b/>
    </w:rPr>
  </w:style>
  <w:style w:type="paragraph" w:customStyle="1" w:styleId="TableHeadingRight">
    <w:name w:val="Table Heading Right"/>
    <w:basedOn w:val="Normal"/>
    <w:rsid w:val="00B93188"/>
    <w:pPr>
      <w:keepNext/>
      <w:jc w:val="right"/>
    </w:pPr>
    <w:rPr>
      <w:rFonts w:ascii="Calibri" w:hAnsi="Calibri"/>
      <w:b/>
      <w:szCs w:val="24"/>
    </w:rPr>
  </w:style>
  <w:style w:type="paragraph" w:customStyle="1" w:styleId="NoteHeading1">
    <w:name w:val="Note Heading1"/>
    <w:basedOn w:val="Normal"/>
    <w:autoRedefine/>
    <w:semiHidden/>
    <w:rsid w:val="00B93188"/>
    <w:pPr>
      <w:spacing w:before="120"/>
      <w:ind w:left="28"/>
    </w:pPr>
    <w:rPr>
      <w:rFonts w:ascii="Calibri" w:hAnsi="Calibri"/>
      <w:b/>
      <w:bCs/>
    </w:rPr>
  </w:style>
  <w:style w:type="paragraph" w:customStyle="1" w:styleId="TableHeadingLeft">
    <w:name w:val="Table Heading Left"/>
    <w:basedOn w:val="Normal"/>
    <w:link w:val="TableHeadingLeftChar"/>
    <w:rsid w:val="00B93188"/>
    <w:pPr>
      <w:keepNext/>
    </w:pPr>
    <w:rPr>
      <w:rFonts w:ascii="Calibri" w:hAnsi="Calibri"/>
      <w:b/>
      <w:lang w:eastAsia="en-AU"/>
    </w:rPr>
  </w:style>
  <w:style w:type="paragraph" w:customStyle="1" w:styleId="TableTextRight">
    <w:name w:val="Table Text Right"/>
    <w:basedOn w:val="Normal"/>
    <w:rsid w:val="00B93188"/>
    <w:pPr>
      <w:ind w:left="357" w:hanging="357"/>
      <w:jc w:val="right"/>
    </w:pPr>
    <w:rPr>
      <w:rFonts w:ascii="Calibri" w:hAnsi="Calibri"/>
    </w:rPr>
  </w:style>
  <w:style w:type="paragraph" w:customStyle="1" w:styleId="TableTextLeftBold">
    <w:name w:val="Table Text Left Bold"/>
    <w:basedOn w:val="Normal"/>
    <w:link w:val="TableTextLeftBoldChar"/>
    <w:rsid w:val="00B93188"/>
    <w:pPr>
      <w:ind w:left="357" w:hanging="357"/>
    </w:pPr>
    <w:rPr>
      <w:rFonts w:ascii="Calibri" w:hAnsi="Calibri"/>
      <w:b/>
    </w:rPr>
  </w:style>
  <w:style w:type="paragraph" w:customStyle="1" w:styleId="TableTextLeft">
    <w:name w:val="Table Text Left"/>
    <w:basedOn w:val="Normal"/>
    <w:rsid w:val="00B93188"/>
    <w:pPr>
      <w:ind w:left="357" w:hanging="357"/>
    </w:pPr>
    <w:rPr>
      <w:rFonts w:ascii="Calibri" w:hAnsi="Calibri"/>
      <w:szCs w:val="18"/>
    </w:rPr>
  </w:style>
  <w:style w:type="paragraph" w:customStyle="1" w:styleId="TableNumbersRight">
    <w:name w:val="Table Numbers Right"/>
    <w:basedOn w:val="TableHeadingRight"/>
    <w:rsid w:val="00B93188"/>
    <w:rPr>
      <w:b w:val="0"/>
    </w:rPr>
  </w:style>
  <w:style w:type="character" w:customStyle="1" w:styleId="TableHeadingLeftChar">
    <w:name w:val="Table Heading Left Char"/>
    <w:basedOn w:val="DefaultParagraphFont"/>
    <w:link w:val="TableHeadingLeft"/>
    <w:rsid w:val="00B93188"/>
    <w:rPr>
      <w:rFonts w:ascii="Calibri" w:hAnsi="Calibri"/>
      <w:b/>
    </w:rPr>
  </w:style>
  <w:style w:type="character" w:customStyle="1" w:styleId="TableTextLeftBoldChar">
    <w:name w:val="Table Text Left Bold Char"/>
    <w:basedOn w:val="DefaultParagraphFont"/>
    <w:link w:val="TableTextLeftBold"/>
    <w:rsid w:val="00B93188"/>
    <w:rPr>
      <w:rFonts w:ascii="Calibri" w:hAnsi="Calibri"/>
      <w:b/>
      <w:lang w:eastAsia="en-US"/>
    </w:rPr>
  </w:style>
  <w:style w:type="numbering" w:styleId="ArticleSection">
    <w:name w:val="Outline List 3"/>
    <w:basedOn w:val="NoList"/>
    <w:rsid w:val="00B93188"/>
    <w:pPr>
      <w:numPr>
        <w:numId w:val="44"/>
      </w:numPr>
    </w:pPr>
  </w:style>
  <w:style w:type="paragraph" w:styleId="BodyText3">
    <w:name w:val="Body Text 3"/>
    <w:basedOn w:val="Normal"/>
    <w:link w:val="BodyText3Char"/>
    <w:rsid w:val="00B93188"/>
    <w:pPr>
      <w:spacing w:after="120"/>
    </w:pPr>
    <w:rPr>
      <w:rFonts w:ascii="Calibri" w:hAnsi="Calibri"/>
      <w:sz w:val="16"/>
      <w:szCs w:val="16"/>
    </w:rPr>
  </w:style>
  <w:style w:type="character" w:customStyle="1" w:styleId="BodyText3Char">
    <w:name w:val="Body Text 3 Char"/>
    <w:basedOn w:val="DefaultParagraphFont"/>
    <w:link w:val="BodyText3"/>
    <w:rsid w:val="00B93188"/>
    <w:rPr>
      <w:rFonts w:ascii="Calibri" w:hAnsi="Calibri"/>
      <w:sz w:val="16"/>
      <w:szCs w:val="16"/>
      <w:lang w:eastAsia="en-US"/>
    </w:rPr>
  </w:style>
  <w:style w:type="numbering" w:styleId="1ai">
    <w:name w:val="Outline List 1"/>
    <w:basedOn w:val="NoList"/>
    <w:rsid w:val="00B93188"/>
    <w:pPr>
      <w:numPr>
        <w:numId w:val="43"/>
      </w:numPr>
    </w:pPr>
  </w:style>
  <w:style w:type="numbering" w:styleId="111111">
    <w:name w:val="Outline List 2"/>
    <w:basedOn w:val="NoList"/>
    <w:rsid w:val="00B93188"/>
    <w:pPr>
      <w:numPr>
        <w:numId w:val="42"/>
      </w:numPr>
    </w:pPr>
  </w:style>
  <w:style w:type="paragraph" w:styleId="BlockText">
    <w:name w:val="Block Text"/>
    <w:basedOn w:val="Normal"/>
    <w:rsid w:val="00B93188"/>
    <w:pPr>
      <w:spacing w:after="120"/>
      <w:ind w:left="1440" w:right="1440"/>
    </w:pPr>
    <w:rPr>
      <w:rFonts w:ascii="Calibri" w:hAnsi="Calibri"/>
      <w:sz w:val="24"/>
    </w:rPr>
  </w:style>
  <w:style w:type="paragraph" w:styleId="BodyTextFirstIndent">
    <w:name w:val="Body Text First Indent"/>
    <w:basedOn w:val="BodyText"/>
    <w:rsid w:val="00B93188"/>
    <w:pPr>
      <w:keepNext/>
      <w:keepLines/>
      <w:spacing w:before="0"/>
      <w:ind w:firstLine="210"/>
      <w:jc w:val="left"/>
    </w:pPr>
    <w:rPr>
      <w:rFonts w:ascii="Calibri" w:hAnsi="Calibri"/>
      <w:sz w:val="24"/>
    </w:rPr>
  </w:style>
  <w:style w:type="character" w:customStyle="1" w:styleId="BodyTextChar">
    <w:name w:val="Body Text Char"/>
    <w:basedOn w:val="DefaultParagraphFont"/>
    <w:link w:val="BodyText"/>
    <w:rsid w:val="00B93188"/>
    <w:rPr>
      <w:lang w:eastAsia="en-US"/>
    </w:rPr>
  </w:style>
  <w:style w:type="character" w:customStyle="1" w:styleId="BodyTextFirstIndentChar">
    <w:name w:val="Body Text First Indent Char"/>
    <w:basedOn w:val="BodyTextChar"/>
    <w:link w:val="BodyTextFirstIndent"/>
    <w:rsid w:val="00B93188"/>
  </w:style>
  <w:style w:type="paragraph" w:styleId="BodyTextFirstIndent2">
    <w:name w:val="Body Text First Indent 2"/>
    <w:basedOn w:val="BodyTextIndent"/>
    <w:link w:val="BodyTextFirstIndent2Char"/>
    <w:rsid w:val="00B93188"/>
    <w:pPr>
      <w:keepNext/>
      <w:keepLines/>
      <w:numPr>
        <w:numId w:val="0"/>
      </w:numPr>
      <w:ind w:left="283" w:firstLine="210"/>
      <w:jc w:val="left"/>
    </w:pPr>
    <w:rPr>
      <w:rFonts w:ascii="Calibri" w:hAnsi="Calibri"/>
      <w:sz w:val="24"/>
      <w:szCs w:val="24"/>
    </w:rPr>
  </w:style>
  <w:style w:type="character" w:customStyle="1" w:styleId="BodyTextFirstIndent2Char">
    <w:name w:val="Body Text First Indent 2 Char"/>
    <w:basedOn w:val="BodyTextIndentChar"/>
    <w:link w:val="BodyTextFirstIndent2"/>
    <w:rsid w:val="00B93188"/>
    <w:rPr>
      <w:rFonts w:ascii="Calibri" w:hAnsi="Calibri"/>
      <w:szCs w:val="24"/>
    </w:rPr>
  </w:style>
  <w:style w:type="paragraph" w:styleId="Closing">
    <w:name w:val="Closing"/>
    <w:basedOn w:val="Normal"/>
    <w:link w:val="ClosingChar"/>
    <w:rsid w:val="00B93188"/>
    <w:pPr>
      <w:ind w:left="4252"/>
    </w:pPr>
    <w:rPr>
      <w:rFonts w:ascii="Calibri" w:hAnsi="Calibri"/>
      <w:sz w:val="24"/>
    </w:rPr>
  </w:style>
  <w:style w:type="character" w:customStyle="1" w:styleId="ClosingChar">
    <w:name w:val="Closing Char"/>
    <w:basedOn w:val="DefaultParagraphFont"/>
    <w:link w:val="Closing"/>
    <w:rsid w:val="00B93188"/>
    <w:rPr>
      <w:rFonts w:ascii="Calibri" w:hAnsi="Calibri"/>
      <w:sz w:val="24"/>
      <w:lang w:eastAsia="en-US"/>
    </w:rPr>
  </w:style>
  <w:style w:type="paragraph" w:styleId="Date">
    <w:name w:val="Date"/>
    <w:basedOn w:val="Normal"/>
    <w:next w:val="Normal"/>
    <w:link w:val="DateChar"/>
    <w:rsid w:val="00B93188"/>
    <w:rPr>
      <w:rFonts w:ascii="Calibri" w:hAnsi="Calibri"/>
      <w:sz w:val="24"/>
    </w:rPr>
  </w:style>
  <w:style w:type="character" w:customStyle="1" w:styleId="DateChar">
    <w:name w:val="Date Char"/>
    <w:basedOn w:val="DefaultParagraphFont"/>
    <w:link w:val="Date"/>
    <w:rsid w:val="00B93188"/>
    <w:rPr>
      <w:rFonts w:ascii="Calibri" w:hAnsi="Calibri"/>
      <w:sz w:val="24"/>
      <w:lang w:eastAsia="en-US"/>
    </w:rPr>
  </w:style>
  <w:style w:type="paragraph" w:styleId="E-mailSignature">
    <w:name w:val="E-mail Signature"/>
    <w:basedOn w:val="Normal"/>
    <w:link w:val="E-mailSignatureChar"/>
    <w:rsid w:val="00B93188"/>
    <w:rPr>
      <w:rFonts w:ascii="Calibri" w:hAnsi="Calibri"/>
      <w:sz w:val="24"/>
    </w:rPr>
  </w:style>
  <w:style w:type="character" w:customStyle="1" w:styleId="E-mailSignatureChar">
    <w:name w:val="E-mail Signature Char"/>
    <w:basedOn w:val="DefaultParagraphFont"/>
    <w:link w:val="E-mailSignature"/>
    <w:rsid w:val="00B93188"/>
    <w:rPr>
      <w:rFonts w:ascii="Calibri" w:hAnsi="Calibri"/>
      <w:sz w:val="24"/>
      <w:lang w:eastAsia="en-US"/>
    </w:rPr>
  </w:style>
  <w:style w:type="character" w:styleId="Emphasis">
    <w:name w:val="Emphasis"/>
    <w:basedOn w:val="DefaultParagraphFont"/>
    <w:qFormat/>
    <w:rsid w:val="00B93188"/>
    <w:rPr>
      <w:rFonts w:ascii="Calibri" w:hAnsi="Calibri"/>
      <w:i/>
      <w:iCs/>
    </w:rPr>
  </w:style>
  <w:style w:type="paragraph" w:styleId="EnvelopeAddress">
    <w:name w:val="envelope address"/>
    <w:basedOn w:val="Normal"/>
    <w:rsid w:val="00B93188"/>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B93188"/>
    <w:rPr>
      <w:rFonts w:ascii="Arial" w:hAnsi="Arial" w:cs="Arial"/>
    </w:rPr>
  </w:style>
  <w:style w:type="character" w:styleId="FollowedHyperlink">
    <w:name w:val="FollowedHyperlink"/>
    <w:basedOn w:val="DefaultParagraphFont"/>
    <w:rsid w:val="00B93188"/>
    <w:rPr>
      <w:color w:val="800080"/>
      <w:u w:val="single"/>
    </w:rPr>
  </w:style>
  <w:style w:type="character" w:styleId="HTMLAcronym">
    <w:name w:val="HTML Acronym"/>
    <w:basedOn w:val="DefaultParagraphFont"/>
    <w:rsid w:val="00B93188"/>
  </w:style>
  <w:style w:type="paragraph" w:styleId="HTMLAddress">
    <w:name w:val="HTML Address"/>
    <w:basedOn w:val="Normal"/>
    <w:link w:val="HTMLAddressChar"/>
    <w:rsid w:val="00B93188"/>
    <w:rPr>
      <w:rFonts w:ascii="Calibri" w:hAnsi="Calibri"/>
      <w:i/>
      <w:iCs/>
      <w:sz w:val="24"/>
    </w:rPr>
  </w:style>
  <w:style w:type="character" w:customStyle="1" w:styleId="HTMLAddressChar">
    <w:name w:val="HTML Address Char"/>
    <w:basedOn w:val="DefaultParagraphFont"/>
    <w:link w:val="HTMLAddress"/>
    <w:rsid w:val="00B93188"/>
    <w:rPr>
      <w:rFonts w:ascii="Calibri" w:hAnsi="Calibri"/>
      <w:i/>
      <w:iCs/>
      <w:sz w:val="24"/>
      <w:lang w:eastAsia="en-US"/>
    </w:rPr>
  </w:style>
  <w:style w:type="character" w:styleId="HTMLCite">
    <w:name w:val="HTML Cite"/>
    <w:basedOn w:val="DefaultParagraphFont"/>
    <w:rsid w:val="00B93188"/>
    <w:rPr>
      <w:i/>
      <w:iCs/>
    </w:rPr>
  </w:style>
  <w:style w:type="character" w:styleId="HTMLCode">
    <w:name w:val="HTML Code"/>
    <w:basedOn w:val="DefaultParagraphFont"/>
    <w:rsid w:val="00B93188"/>
    <w:rPr>
      <w:rFonts w:ascii="Courier New" w:hAnsi="Courier New" w:cs="Courier New"/>
      <w:sz w:val="20"/>
      <w:szCs w:val="20"/>
    </w:rPr>
  </w:style>
  <w:style w:type="character" w:styleId="HTMLDefinition">
    <w:name w:val="HTML Definition"/>
    <w:basedOn w:val="DefaultParagraphFont"/>
    <w:rsid w:val="00B93188"/>
    <w:rPr>
      <w:i/>
      <w:iCs/>
    </w:rPr>
  </w:style>
  <w:style w:type="character" w:styleId="HTMLKeyboard">
    <w:name w:val="HTML Keyboard"/>
    <w:basedOn w:val="DefaultParagraphFont"/>
    <w:rsid w:val="00B93188"/>
    <w:rPr>
      <w:rFonts w:ascii="Courier New" w:hAnsi="Courier New" w:cs="Courier New"/>
      <w:sz w:val="20"/>
      <w:szCs w:val="20"/>
    </w:rPr>
  </w:style>
  <w:style w:type="paragraph" w:styleId="HTMLPreformatted">
    <w:name w:val="HTML Preformatted"/>
    <w:basedOn w:val="Normal"/>
    <w:link w:val="HTMLPreformattedChar"/>
    <w:rsid w:val="00B93188"/>
    <w:rPr>
      <w:rFonts w:ascii="Courier New" w:hAnsi="Courier New" w:cs="Courier New"/>
    </w:rPr>
  </w:style>
  <w:style w:type="character" w:customStyle="1" w:styleId="HTMLPreformattedChar">
    <w:name w:val="HTML Preformatted Char"/>
    <w:basedOn w:val="DefaultParagraphFont"/>
    <w:link w:val="HTMLPreformatted"/>
    <w:rsid w:val="00B93188"/>
    <w:rPr>
      <w:rFonts w:ascii="Courier New" w:hAnsi="Courier New" w:cs="Courier New"/>
      <w:lang w:eastAsia="en-US"/>
    </w:rPr>
  </w:style>
  <w:style w:type="character" w:styleId="HTMLSample">
    <w:name w:val="HTML Sample"/>
    <w:basedOn w:val="DefaultParagraphFont"/>
    <w:rsid w:val="00B93188"/>
    <w:rPr>
      <w:rFonts w:ascii="Courier New" w:hAnsi="Courier New" w:cs="Courier New"/>
    </w:rPr>
  </w:style>
  <w:style w:type="character" w:styleId="HTMLTypewriter">
    <w:name w:val="HTML Typewriter"/>
    <w:basedOn w:val="DefaultParagraphFont"/>
    <w:rsid w:val="00B93188"/>
    <w:rPr>
      <w:rFonts w:ascii="Courier New" w:hAnsi="Courier New" w:cs="Courier New"/>
      <w:sz w:val="20"/>
      <w:szCs w:val="20"/>
    </w:rPr>
  </w:style>
  <w:style w:type="character" w:styleId="HTMLVariable">
    <w:name w:val="HTML Variable"/>
    <w:basedOn w:val="DefaultParagraphFont"/>
    <w:rsid w:val="00B93188"/>
    <w:rPr>
      <w:i/>
      <w:iCs/>
    </w:rPr>
  </w:style>
  <w:style w:type="character" w:styleId="Hyperlink">
    <w:name w:val="Hyperlink"/>
    <w:basedOn w:val="DefaultParagraphFont"/>
    <w:rsid w:val="00B93188"/>
    <w:rPr>
      <w:color w:val="0000FF"/>
      <w:u w:val="single"/>
    </w:rPr>
  </w:style>
  <w:style w:type="character" w:styleId="LineNumber">
    <w:name w:val="line number"/>
    <w:basedOn w:val="DefaultParagraphFont"/>
    <w:rsid w:val="00B93188"/>
  </w:style>
  <w:style w:type="paragraph" w:styleId="List">
    <w:name w:val="List"/>
    <w:basedOn w:val="Normal"/>
    <w:rsid w:val="00B93188"/>
    <w:pPr>
      <w:ind w:left="283" w:hanging="283"/>
    </w:pPr>
    <w:rPr>
      <w:rFonts w:ascii="Calibri" w:hAnsi="Calibri"/>
      <w:sz w:val="24"/>
    </w:rPr>
  </w:style>
  <w:style w:type="paragraph" w:styleId="List2">
    <w:name w:val="List 2"/>
    <w:basedOn w:val="Normal"/>
    <w:rsid w:val="00B93188"/>
    <w:pPr>
      <w:ind w:left="566" w:hanging="283"/>
    </w:pPr>
    <w:rPr>
      <w:rFonts w:ascii="Calibri" w:hAnsi="Calibri"/>
      <w:sz w:val="24"/>
    </w:rPr>
  </w:style>
  <w:style w:type="paragraph" w:styleId="List3">
    <w:name w:val="List 3"/>
    <w:basedOn w:val="Normal"/>
    <w:rsid w:val="00B93188"/>
    <w:pPr>
      <w:ind w:left="849" w:hanging="283"/>
    </w:pPr>
    <w:rPr>
      <w:rFonts w:ascii="Calibri" w:hAnsi="Calibri"/>
      <w:sz w:val="24"/>
    </w:rPr>
  </w:style>
  <w:style w:type="paragraph" w:styleId="List4">
    <w:name w:val="List 4"/>
    <w:basedOn w:val="Normal"/>
    <w:rsid w:val="00B93188"/>
    <w:pPr>
      <w:ind w:left="1132" w:hanging="283"/>
    </w:pPr>
    <w:rPr>
      <w:rFonts w:ascii="Calibri" w:hAnsi="Calibri"/>
      <w:sz w:val="24"/>
    </w:rPr>
  </w:style>
  <w:style w:type="paragraph" w:styleId="List5">
    <w:name w:val="List 5"/>
    <w:basedOn w:val="Normal"/>
    <w:rsid w:val="00B93188"/>
    <w:pPr>
      <w:ind w:left="1415" w:hanging="283"/>
    </w:pPr>
    <w:rPr>
      <w:rFonts w:ascii="Calibri" w:hAnsi="Calibri"/>
      <w:sz w:val="24"/>
    </w:rPr>
  </w:style>
  <w:style w:type="paragraph" w:styleId="ListBullet">
    <w:name w:val="List Bullet"/>
    <w:basedOn w:val="Normal"/>
    <w:rsid w:val="00B93188"/>
    <w:pPr>
      <w:tabs>
        <w:tab w:val="num" w:pos="360"/>
      </w:tabs>
      <w:ind w:left="360" w:hanging="360"/>
    </w:pPr>
    <w:rPr>
      <w:rFonts w:ascii="Calibri" w:hAnsi="Calibri"/>
      <w:sz w:val="24"/>
    </w:rPr>
  </w:style>
  <w:style w:type="paragraph" w:styleId="ListBullet2">
    <w:name w:val="List Bullet 2"/>
    <w:basedOn w:val="Normal"/>
    <w:rsid w:val="00B93188"/>
    <w:pPr>
      <w:tabs>
        <w:tab w:val="num" w:pos="643"/>
      </w:tabs>
      <w:ind w:left="643" w:hanging="360"/>
    </w:pPr>
    <w:rPr>
      <w:rFonts w:ascii="Calibri" w:hAnsi="Calibri"/>
      <w:sz w:val="24"/>
    </w:rPr>
  </w:style>
  <w:style w:type="paragraph" w:styleId="ListBullet3">
    <w:name w:val="List Bullet 3"/>
    <w:basedOn w:val="Normal"/>
    <w:rsid w:val="00B93188"/>
    <w:pPr>
      <w:tabs>
        <w:tab w:val="num" w:pos="926"/>
      </w:tabs>
      <w:ind w:left="926" w:hanging="360"/>
    </w:pPr>
    <w:rPr>
      <w:rFonts w:ascii="Calibri" w:hAnsi="Calibri"/>
      <w:sz w:val="24"/>
    </w:rPr>
  </w:style>
  <w:style w:type="paragraph" w:styleId="ListBullet4">
    <w:name w:val="List Bullet 4"/>
    <w:basedOn w:val="Normal"/>
    <w:rsid w:val="00B93188"/>
    <w:pPr>
      <w:tabs>
        <w:tab w:val="num" w:pos="1209"/>
      </w:tabs>
      <w:ind w:left="1209" w:hanging="360"/>
    </w:pPr>
    <w:rPr>
      <w:rFonts w:ascii="Calibri" w:hAnsi="Calibri"/>
      <w:sz w:val="24"/>
    </w:rPr>
  </w:style>
  <w:style w:type="paragraph" w:styleId="ListBullet5">
    <w:name w:val="List Bullet 5"/>
    <w:basedOn w:val="Normal"/>
    <w:rsid w:val="00B93188"/>
    <w:pPr>
      <w:tabs>
        <w:tab w:val="num" w:pos="1492"/>
      </w:tabs>
      <w:ind w:left="1492" w:hanging="360"/>
    </w:pPr>
    <w:rPr>
      <w:rFonts w:ascii="Calibri" w:hAnsi="Calibri"/>
      <w:sz w:val="24"/>
    </w:rPr>
  </w:style>
  <w:style w:type="paragraph" w:styleId="ListContinue">
    <w:name w:val="List Continue"/>
    <w:basedOn w:val="Normal"/>
    <w:rsid w:val="00B93188"/>
    <w:pPr>
      <w:spacing w:after="120"/>
      <w:ind w:left="283"/>
    </w:pPr>
    <w:rPr>
      <w:rFonts w:ascii="Calibri" w:hAnsi="Calibri"/>
      <w:sz w:val="24"/>
    </w:rPr>
  </w:style>
  <w:style w:type="paragraph" w:styleId="ListContinue2">
    <w:name w:val="List Continue 2"/>
    <w:basedOn w:val="Normal"/>
    <w:rsid w:val="00B93188"/>
    <w:pPr>
      <w:spacing w:after="120"/>
      <w:ind w:left="566"/>
    </w:pPr>
    <w:rPr>
      <w:rFonts w:ascii="Calibri" w:hAnsi="Calibri"/>
      <w:sz w:val="24"/>
    </w:rPr>
  </w:style>
  <w:style w:type="paragraph" w:styleId="ListContinue3">
    <w:name w:val="List Continue 3"/>
    <w:basedOn w:val="Normal"/>
    <w:rsid w:val="00B93188"/>
    <w:pPr>
      <w:spacing w:after="120"/>
      <w:ind w:left="849"/>
    </w:pPr>
    <w:rPr>
      <w:rFonts w:ascii="Calibri" w:hAnsi="Calibri"/>
      <w:sz w:val="24"/>
    </w:rPr>
  </w:style>
  <w:style w:type="paragraph" w:styleId="ListContinue4">
    <w:name w:val="List Continue 4"/>
    <w:basedOn w:val="Normal"/>
    <w:rsid w:val="00B93188"/>
    <w:pPr>
      <w:spacing w:after="120"/>
      <w:ind w:left="1132"/>
    </w:pPr>
    <w:rPr>
      <w:rFonts w:ascii="Calibri" w:hAnsi="Calibri"/>
      <w:sz w:val="24"/>
    </w:rPr>
  </w:style>
  <w:style w:type="paragraph" w:styleId="ListContinue5">
    <w:name w:val="List Continue 5"/>
    <w:basedOn w:val="Normal"/>
    <w:rsid w:val="00B93188"/>
    <w:pPr>
      <w:spacing w:after="120"/>
      <w:ind w:left="1415"/>
    </w:pPr>
    <w:rPr>
      <w:rFonts w:ascii="Calibri" w:hAnsi="Calibri"/>
      <w:sz w:val="24"/>
    </w:rPr>
  </w:style>
  <w:style w:type="paragraph" w:styleId="ListNumber">
    <w:name w:val="List Number"/>
    <w:basedOn w:val="Normal"/>
    <w:rsid w:val="00B93188"/>
    <w:pPr>
      <w:tabs>
        <w:tab w:val="num" w:pos="360"/>
      </w:tabs>
      <w:ind w:left="360" w:hanging="360"/>
    </w:pPr>
    <w:rPr>
      <w:rFonts w:ascii="Calibri" w:hAnsi="Calibri"/>
      <w:sz w:val="24"/>
    </w:rPr>
  </w:style>
  <w:style w:type="paragraph" w:styleId="ListNumber2">
    <w:name w:val="List Number 2"/>
    <w:basedOn w:val="Normal"/>
    <w:rsid w:val="00B93188"/>
    <w:pPr>
      <w:tabs>
        <w:tab w:val="num" w:pos="643"/>
      </w:tabs>
      <w:ind w:left="643" w:hanging="360"/>
    </w:pPr>
    <w:rPr>
      <w:rFonts w:ascii="Calibri" w:hAnsi="Calibri"/>
      <w:sz w:val="24"/>
    </w:rPr>
  </w:style>
  <w:style w:type="paragraph" w:styleId="ListNumber3">
    <w:name w:val="List Number 3"/>
    <w:basedOn w:val="Normal"/>
    <w:rsid w:val="00B93188"/>
    <w:pPr>
      <w:tabs>
        <w:tab w:val="num" w:pos="926"/>
      </w:tabs>
      <w:ind w:left="926" w:hanging="360"/>
    </w:pPr>
    <w:rPr>
      <w:rFonts w:ascii="Calibri" w:hAnsi="Calibri"/>
      <w:sz w:val="24"/>
    </w:rPr>
  </w:style>
  <w:style w:type="paragraph" w:styleId="ListNumber4">
    <w:name w:val="List Number 4"/>
    <w:basedOn w:val="Normal"/>
    <w:rsid w:val="00B93188"/>
    <w:pPr>
      <w:tabs>
        <w:tab w:val="num" w:pos="1209"/>
      </w:tabs>
      <w:ind w:left="1209" w:hanging="360"/>
    </w:pPr>
    <w:rPr>
      <w:rFonts w:ascii="Calibri" w:hAnsi="Calibri"/>
      <w:sz w:val="24"/>
    </w:rPr>
  </w:style>
  <w:style w:type="paragraph" w:styleId="ListNumber5">
    <w:name w:val="List Number 5"/>
    <w:basedOn w:val="Normal"/>
    <w:rsid w:val="00B93188"/>
    <w:pPr>
      <w:tabs>
        <w:tab w:val="num" w:pos="1492"/>
      </w:tabs>
      <w:ind w:left="1492" w:hanging="360"/>
    </w:pPr>
    <w:rPr>
      <w:rFonts w:ascii="Calibri" w:hAnsi="Calibri"/>
      <w:sz w:val="24"/>
    </w:rPr>
  </w:style>
  <w:style w:type="paragraph" w:styleId="MessageHeader">
    <w:name w:val="Message Header"/>
    <w:basedOn w:val="Normal"/>
    <w:link w:val="MessageHeaderChar"/>
    <w:rsid w:val="00B9318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B93188"/>
    <w:rPr>
      <w:rFonts w:ascii="Arial" w:hAnsi="Arial" w:cs="Arial"/>
      <w:sz w:val="24"/>
      <w:szCs w:val="24"/>
      <w:shd w:val="pct20" w:color="auto" w:fill="auto"/>
      <w:lang w:eastAsia="en-US"/>
    </w:rPr>
  </w:style>
  <w:style w:type="paragraph" w:styleId="NormalWeb">
    <w:name w:val="Normal (Web)"/>
    <w:basedOn w:val="Normal"/>
    <w:rsid w:val="00B93188"/>
    <w:rPr>
      <w:rFonts w:ascii="Calibri" w:hAnsi="Calibri"/>
      <w:sz w:val="24"/>
      <w:szCs w:val="24"/>
    </w:rPr>
  </w:style>
  <w:style w:type="paragraph" w:styleId="NormalIndent">
    <w:name w:val="Normal Indent"/>
    <w:basedOn w:val="Normal"/>
    <w:rsid w:val="00B93188"/>
    <w:pPr>
      <w:ind w:left="720"/>
    </w:pPr>
    <w:rPr>
      <w:rFonts w:ascii="Calibri" w:hAnsi="Calibri"/>
      <w:sz w:val="24"/>
    </w:rPr>
  </w:style>
  <w:style w:type="paragraph" w:styleId="Salutation">
    <w:name w:val="Salutation"/>
    <w:basedOn w:val="Normal"/>
    <w:next w:val="Normal"/>
    <w:link w:val="SalutationChar"/>
    <w:rsid w:val="00B93188"/>
    <w:rPr>
      <w:rFonts w:ascii="Calibri" w:hAnsi="Calibri"/>
      <w:sz w:val="24"/>
    </w:rPr>
  </w:style>
  <w:style w:type="character" w:customStyle="1" w:styleId="SalutationChar">
    <w:name w:val="Salutation Char"/>
    <w:basedOn w:val="DefaultParagraphFont"/>
    <w:link w:val="Salutation"/>
    <w:rsid w:val="00B93188"/>
    <w:rPr>
      <w:rFonts w:ascii="Calibri" w:hAnsi="Calibri"/>
      <w:sz w:val="24"/>
      <w:lang w:eastAsia="en-US"/>
    </w:rPr>
  </w:style>
  <w:style w:type="paragraph" w:styleId="Signature">
    <w:name w:val="Signature"/>
    <w:basedOn w:val="Normal"/>
    <w:link w:val="SignatureChar"/>
    <w:rsid w:val="00B93188"/>
    <w:pPr>
      <w:ind w:left="4252"/>
    </w:pPr>
    <w:rPr>
      <w:rFonts w:ascii="Calibri" w:hAnsi="Calibri"/>
      <w:sz w:val="24"/>
    </w:rPr>
  </w:style>
  <w:style w:type="character" w:customStyle="1" w:styleId="SignatureChar">
    <w:name w:val="Signature Char"/>
    <w:basedOn w:val="DefaultParagraphFont"/>
    <w:link w:val="Signature"/>
    <w:rsid w:val="00B93188"/>
    <w:rPr>
      <w:rFonts w:ascii="Calibri" w:hAnsi="Calibri"/>
      <w:sz w:val="24"/>
      <w:lang w:eastAsia="en-US"/>
    </w:rPr>
  </w:style>
  <w:style w:type="character" w:styleId="Strong">
    <w:name w:val="Strong"/>
    <w:basedOn w:val="DefaultParagraphFont"/>
    <w:qFormat/>
    <w:rsid w:val="00B93188"/>
    <w:rPr>
      <w:b/>
      <w:bCs/>
    </w:rPr>
  </w:style>
  <w:style w:type="paragraph" w:styleId="Subtitle">
    <w:name w:val="Subtitle"/>
    <w:basedOn w:val="Normal"/>
    <w:link w:val="SubtitleChar"/>
    <w:qFormat/>
    <w:rsid w:val="00B93188"/>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B93188"/>
    <w:rPr>
      <w:rFonts w:ascii="Arial" w:hAnsi="Arial" w:cs="Arial"/>
      <w:sz w:val="24"/>
      <w:szCs w:val="24"/>
      <w:lang w:eastAsia="en-US"/>
    </w:rPr>
  </w:style>
  <w:style w:type="table" w:styleId="Table3Deffects1">
    <w:name w:val="Table 3D effects 1"/>
    <w:basedOn w:val="TableNormal"/>
    <w:rsid w:val="00B9318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9318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9318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9318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9318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9318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9318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9318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9318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9318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9318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9318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9318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9318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9318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9318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9318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B931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B9318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9318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9318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9318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9318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9318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9318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9318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9318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9318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9318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9318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9318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9318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9318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9318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9318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9318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9318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9318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9318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9318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931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B9318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9318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9318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93188"/>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B93188"/>
    <w:rPr>
      <w:rFonts w:ascii="Arial" w:hAnsi="Arial" w:cs="Arial"/>
      <w:b/>
      <w:bCs/>
      <w:kern w:val="28"/>
      <w:sz w:val="32"/>
      <w:szCs w:val="32"/>
      <w:lang w:eastAsia="en-US"/>
    </w:rPr>
  </w:style>
  <w:style w:type="paragraph" w:styleId="NoteHeading0">
    <w:name w:val="Note Heading"/>
    <w:basedOn w:val="Normal"/>
    <w:next w:val="Normal"/>
    <w:link w:val="NoteHeadingChar"/>
    <w:rsid w:val="00B93188"/>
    <w:pPr>
      <w:spacing w:before="120"/>
    </w:pPr>
    <w:rPr>
      <w:rFonts w:ascii="Calibri" w:hAnsi="Calibri"/>
      <w:b/>
      <w:sz w:val="16"/>
    </w:rPr>
  </w:style>
  <w:style w:type="character" w:customStyle="1" w:styleId="NoteHeadingChar">
    <w:name w:val="Note Heading Char"/>
    <w:basedOn w:val="DefaultParagraphFont"/>
    <w:link w:val="NoteHeading0"/>
    <w:rsid w:val="00B93188"/>
    <w:rPr>
      <w:rFonts w:ascii="Calibri" w:hAnsi="Calibri"/>
      <w:b/>
      <w:sz w:val="16"/>
      <w:lang w:eastAsia="en-US"/>
    </w:rPr>
  </w:style>
  <w:style w:type="paragraph" w:customStyle="1" w:styleId="TableNumber">
    <w:name w:val="Table Number"/>
    <w:basedOn w:val="TableName"/>
    <w:next w:val="TableName"/>
    <w:rsid w:val="00B93188"/>
    <w:pPr>
      <w:keepLines/>
      <w:spacing w:before="60"/>
    </w:pPr>
  </w:style>
  <w:style w:type="paragraph" w:customStyle="1" w:styleId="TableTextIndent">
    <w:name w:val="Table Text Indent"/>
    <w:rsid w:val="00B93188"/>
    <w:pPr>
      <w:numPr>
        <w:numId w:val="45"/>
      </w:numPr>
      <w:spacing w:before="60"/>
    </w:pPr>
    <w:rPr>
      <w:rFonts w:ascii="Calibri" w:hAnsi="Calibri"/>
      <w:szCs w:val="24"/>
      <w:lang w:eastAsia="en-US"/>
    </w:rPr>
  </w:style>
  <w:style w:type="paragraph" w:customStyle="1" w:styleId="xl26">
    <w:name w:val="xl26"/>
    <w:basedOn w:val="Normal"/>
    <w:rsid w:val="00B93188"/>
    <w:pPr>
      <w:spacing w:before="100" w:beforeAutospacing="1" w:after="100" w:afterAutospacing="1"/>
    </w:pPr>
    <w:rPr>
      <w:rFonts w:ascii="Calibri" w:eastAsia="Arial Unicode MS" w:hAnsi="Calibri"/>
      <w:b/>
      <w:bCs/>
      <w:sz w:val="24"/>
    </w:rPr>
  </w:style>
  <w:style w:type="paragraph" w:customStyle="1" w:styleId="xl27">
    <w:name w:val="xl27"/>
    <w:basedOn w:val="Normal"/>
    <w:rsid w:val="00B93188"/>
    <w:pPr>
      <w:spacing w:before="100" w:beforeAutospacing="1" w:after="100" w:afterAutospacing="1"/>
      <w:textAlignment w:val="top"/>
    </w:pPr>
    <w:rPr>
      <w:rFonts w:ascii="Calibri" w:eastAsia="Arial Unicode MS" w:hAnsi="Calibri"/>
      <w:b/>
      <w:bCs/>
      <w:sz w:val="24"/>
    </w:rPr>
  </w:style>
  <w:style w:type="paragraph" w:customStyle="1" w:styleId="xl28">
    <w:name w:val="xl28"/>
    <w:basedOn w:val="Normal"/>
    <w:rsid w:val="00B93188"/>
    <w:pPr>
      <w:spacing w:before="100" w:beforeAutospacing="1" w:after="100" w:afterAutospacing="1"/>
      <w:textAlignment w:val="top"/>
    </w:pPr>
    <w:rPr>
      <w:rFonts w:ascii="Calibri" w:eastAsia="Arial Unicode MS" w:hAnsi="Calibri"/>
      <w:sz w:val="24"/>
    </w:rPr>
  </w:style>
  <w:style w:type="paragraph" w:customStyle="1" w:styleId="xl29">
    <w:name w:val="xl29"/>
    <w:basedOn w:val="Normal"/>
    <w:rsid w:val="00B93188"/>
    <w:pPr>
      <w:pBdr>
        <w:top w:val="single" w:sz="4" w:space="0" w:color="auto"/>
        <w:left w:val="single" w:sz="4" w:space="0" w:color="auto"/>
      </w:pBdr>
      <w:spacing w:before="100" w:beforeAutospacing="1" w:after="100" w:afterAutospacing="1"/>
    </w:pPr>
    <w:rPr>
      <w:rFonts w:ascii="Calibri" w:eastAsia="Arial Unicode MS" w:hAnsi="Calibri"/>
      <w:sz w:val="24"/>
    </w:rPr>
  </w:style>
  <w:style w:type="paragraph" w:customStyle="1" w:styleId="xl30">
    <w:name w:val="xl30"/>
    <w:basedOn w:val="Normal"/>
    <w:rsid w:val="00B93188"/>
    <w:pPr>
      <w:pBdr>
        <w:top w:val="single" w:sz="4" w:space="0" w:color="auto"/>
      </w:pBdr>
      <w:spacing w:before="100" w:beforeAutospacing="1" w:after="100" w:afterAutospacing="1"/>
    </w:pPr>
    <w:rPr>
      <w:rFonts w:ascii="Calibri" w:eastAsia="Arial Unicode MS" w:hAnsi="Calibri"/>
      <w:sz w:val="24"/>
    </w:rPr>
  </w:style>
  <w:style w:type="paragraph" w:customStyle="1" w:styleId="xl31">
    <w:name w:val="xl31"/>
    <w:basedOn w:val="Normal"/>
    <w:rsid w:val="00B93188"/>
    <w:pPr>
      <w:pBdr>
        <w:top w:val="single" w:sz="4" w:space="0" w:color="auto"/>
      </w:pBdr>
      <w:spacing w:before="100" w:beforeAutospacing="1" w:after="100" w:afterAutospacing="1"/>
    </w:pPr>
    <w:rPr>
      <w:rFonts w:ascii="Calibri" w:eastAsia="Arial Unicode MS" w:hAnsi="Calibri"/>
      <w:sz w:val="24"/>
    </w:rPr>
  </w:style>
  <w:style w:type="paragraph" w:customStyle="1" w:styleId="xl32">
    <w:name w:val="xl32"/>
    <w:basedOn w:val="Normal"/>
    <w:rsid w:val="00B93188"/>
    <w:pPr>
      <w:pBdr>
        <w:top w:val="single" w:sz="4" w:space="0" w:color="auto"/>
        <w:right w:val="single" w:sz="4" w:space="0" w:color="auto"/>
      </w:pBdr>
      <w:spacing w:before="100" w:beforeAutospacing="1" w:after="100" w:afterAutospacing="1"/>
    </w:pPr>
    <w:rPr>
      <w:rFonts w:ascii="Calibri" w:eastAsia="Arial Unicode MS" w:hAnsi="Calibri"/>
      <w:sz w:val="24"/>
    </w:rPr>
  </w:style>
  <w:style w:type="paragraph" w:customStyle="1" w:styleId="xl33">
    <w:name w:val="xl33"/>
    <w:basedOn w:val="Normal"/>
    <w:rsid w:val="00B93188"/>
    <w:pPr>
      <w:pBdr>
        <w:left w:val="single" w:sz="4" w:space="0" w:color="auto"/>
      </w:pBdr>
      <w:spacing w:before="100" w:beforeAutospacing="1" w:after="100" w:afterAutospacing="1"/>
    </w:pPr>
    <w:rPr>
      <w:rFonts w:ascii="Calibri" w:eastAsia="Arial Unicode MS" w:hAnsi="Calibri"/>
      <w:sz w:val="24"/>
    </w:rPr>
  </w:style>
  <w:style w:type="paragraph" w:customStyle="1" w:styleId="xl34">
    <w:name w:val="xl34"/>
    <w:basedOn w:val="Normal"/>
    <w:rsid w:val="00B93188"/>
    <w:pPr>
      <w:spacing w:before="100" w:beforeAutospacing="1" w:after="100" w:afterAutospacing="1"/>
      <w:jc w:val="right"/>
    </w:pPr>
    <w:rPr>
      <w:rFonts w:ascii="Calibri" w:eastAsia="Arial Unicode MS" w:hAnsi="Calibri"/>
      <w:b/>
      <w:bCs/>
      <w:sz w:val="24"/>
    </w:rPr>
  </w:style>
  <w:style w:type="paragraph" w:customStyle="1" w:styleId="xl35">
    <w:name w:val="xl35"/>
    <w:basedOn w:val="Normal"/>
    <w:rsid w:val="00B93188"/>
    <w:pPr>
      <w:spacing w:before="100" w:beforeAutospacing="1" w:after="100" w:afterAutospacing="1"/>
      <w:jc w:val="right"/>
    </w:pPr>
    <w:rPr>
      <w:rFonts w:ascii="Calibri" w:eastAsia="Arial Unicode MS" w:hAnsi="Calibri"/>
      <w:b/>
      <w:bCs/>
      <w:sz w:val="24"/>
    </w:rPr>
  </w:style>
  <w:style w:type="paragraph" w:customStyle="1" w:styleId="xl36">
    <w:name w:val="xl36"/>
    <w:basedOn w:val="Normal"/>
    <w:rsid w:val="00B93188"/>
    <w:pPr>
      <w:pBdr>
        <w:right w:val="single" w:sz="4" w:space="0" w:color="auto"/>
      </w:pBdr>
      <w:spacing w:before="100" w:beforeAutospacing="1" w:after="100" w:afterAutospacing="1"/>
      <w:jc w:val="right"/>
    </w:pPr>
    <w:rPr>
      <w:rFonts w:ascii="Calibri" w:eastAsia="Arial Unicode MS" w:hAnsi="Calibri"/>
      <w:b/>
      <w:bCs/>
      <w:sz w:val="24"/>
    </w:rPr>
  </w:style>
  <w:style w:type="paragraph" w:customStyle="1" w:styleId="xl37">
    <w:name w:val="xl37"/>
    <w:basedOn w:val="Normal"/>
    <w:rsid w:val="00B93188"/>
    <w:pPr>
      <w:pBdr>
        <w:left w:val="single" w:sz="4" w:space="0" w:color="auto"/>
        <w:bottom w:val="single" w:sz="4" w:space="0" w:color="auto"/>
      </w:pBdr>
      <w:spacing w:before="100" w:beforeAutospacing="1" w:after="100" w:afterAutospacing="1"/>
    </w:pPr>
    <w:rPr>
      <w:rFonts w:ascii="Calibri" w:eastAsia="Arial Unicode MS" w:hAnsi="Calibri"/>
      <w:sz w:val="24"/>
    </w:rPr>
  </w:style>
  <w:style w:type="paragraph" w:customStyle="1" w:styleId="xl38">
    <w:name w:val="xl38"/>
    <w:basedOn w:val="Normal"/>
    <w:rsid w:val="00B93188"/>
    <w:pPr>
      <w:pBdr>
        <w:bottom w:val="single" w:sz="4" w:space="0" w:color="auto"/>
      </w:pBdr>
      <w:spacing w:before="100" w:beforeAutospacing="1" w:after="100" w:afterAutospacing="1"/>
      <w:jc w:val="right"/>
    </w:pPr>
    <w:rPr>
      <w:rFonts w:ascii="Calibri" w:eastAsia="Arial Unicode MS" w:hAnsi="Calibri"/>
      <w:b/>
      <w:bCs/>
      <w:sz w:val="24"/>
    </w:rPr>
  </w:style>
  <w:style w:type="paragraph" w:customStyle="1" w:styleId="xl39">
    <w:name w:val="xl39"/>
    <w:basedOn w:val="Normal"/>
    <w:rsid w:val="00B93188"/>
    <w:pPr>
      <w:pBdr>
        <w:bottom w:val="single" w:sz="4" w:space="0" w:color="auto"/>
      </w:pBdr>
      <w:spacing w:before="100" w:beforeAutospacing="1" w:after="100" w:afterAutospacing="1"/>
      <w:jc w:val="right"/>
    </w:pPr>
    <w:rPr>
      <w:rFonts w:ascii="Calibri" w:eastAsia="Arial Unicode MS" w:hAnsi="Calibri"/>
      <w:b/>
      <w:bCs/>
      <w:sz w:val="24"/>
    </w:rPr>
  </w:style>
  <w:style w:type="paragraph" w:customStyle="1" w:styleId="xl40">
    <w:name w:val="xl40"/>
    <w:basedOn w:val="Normal"/>
    <w:rsid w:val="00B93188"/>
    <w:pPr>
      <w:pBdr>
        <w:bottom w:val="single" w:sz="4" w:space="0" w:color="auto"/>
        <w:right w:val="single" w:sz="4" w:space="0" w:color="auto"/>
      </w:pBdr>
      <w:spacing w:before="100" w:beforeAutospacing="1" w:after="100" w:afterAutospacing="1"/>
      <w:jc w:val="right"/>
    </w:pPr>
    <w:rPr>
      <w:rFonts w:ascii="Calibri" w:eastAsia="Arial Unicode MS" w:hAnsi="Calibri"/>
      <w:b/>
      <w:bCs/>
      <w:sz w:val="24"/>
    </w:rPr>
  </w:style>
  <w:style w:type="paragraph" w:customStyle="1" w:styleId="xl41">
    <w:name w:val="xl41"/>
    <w:basedOn w:val="Normal"/>
    <w:rsid w:val="00B93188"/>
    <w:pPr>
      <w:spacing w:before="100" w:beforeAutospacing="1" w:after="100" w:afterAutospacing="1"/>
      <w:jc w:val="right"/>
    </w:pPr>
    <w:rPr>
      <w:rFonts w:ascii="Calibri" w:eastAsia="Arial Unicode MS" w:hAnsi="Calibri"/>
      <w:sz w:val="24"/>
    </w:rPr>
  </w:style>
  <w:style w:type="paragraph" w:customStyle="1" w:styleId="xl42">
    <w:name w:val="xl42"/>
    <w:basedOn w:val="Normal"/>
    <w:rsid w:val="00B93188"/>
    <w:pPr>
      <w:spacing w:before="100" w:beforeAutospacing="1" w:after="100" w:afterAutospacing="1"/>
      <w:jc w:val="right"/>
    </w:pPr>
    <w:rPr>
      <w:rFonts w:ascii="Calibri" w:eastAsia="Arial Unicode MS" w:hAnsi="Calibri"/>
      <w:sz w:val="24"/>
    </w:rPr>
  </w:style>
  <w:style w:type="paragraph" w:customStyle="1" w:styleId="xl43">
    <w:name w:val="xl43"/>
    <w:basedOn w:val="Normal"/>
    <w:rsid w:val="00B93188"/>
    <w:pPr>
      <w:pBdr>
        <w:right w:val="single" w:sz="4" w:space="0" w:color="auto"/>
      </w:pBdr>
      <w:spacing w:before="100" w:beforeAutospacing="1" w:after="100" w:afterAutospacing="1"/>
      <w:jc w:val="right"/>
    </w:pPr>
    <w:rPr>
      <w:rFonts w:ascii="Calibri" w:eastAsia="Arial Unicode MS" w:hAnsi="Calibri"/>
      <w:sz w:val="24"/>
    </w:rPr>
  </w:style>
  <w:style w:type="paragraph" w:customStyle="1" w:styleId="xl44">
    <w:name w:val="xl44"/>
    <w:basedOn w:val="Normal"/>
    <w:rsid w:val="00B93188"/>
    <w:pPr>
      <w:pBdr>
        <w:left w:val="single" w:sz="4" w:space="0" w:color="auto"/>
      </w:pBdr>
      <w:spacing w:before="100" w:beforeAutospacing="1" w:after="100" w:afterAutospacing="1"/>
    </w:pPr>
    <w:rPr>
      <w:rFonts w:ascii="Calibri" w:eastAsia="Arial Unicode MS" w:hAnsi="Calibri"/>
      <w:b/>
      <w:bCs/>
      <w:sz w:val="24"/>
    </w:rPr>
  </w:style>
  <w:style w:type="paragraph" w:customStyle="1" w:styleId="xl45">
    <w:name w:val="xl45"/>
    <w:basedOn w:val="Normal"/>
    <w:rsid w:val="00B93188"/>
    <w:pPr>
      <w:spacing w:before="100" w:beforeAutospacing="1" w:after="100" w:afterAutospacing="1"/>
    </w:pPr>
    <w:rPr>
      <w:rFonts w:ascii="Calibri" w:eastAsia="Arial Unicode MS" w:hAnsi="Calibri"/>
      <w:sz w:val="24"/>
    </w:rPr>
  </w:style>
  <w:style w:type="paragraph" w:customStyle="1" w:styleId="xl46">
    <w:name w:val="xl46"/>
    <w:basedOn w:val="Normal"/>
    <w:rsid w:val="00B93188"/>
    <w:pPr>
      <w:spacing w:before="100" w:beforeAutospacing="1" w:after="100" w:afterAutospacing="1"/>
    </w:pPr>
    <w:rPr>
      <w:rFonts w:ascii="Calibri" w:eastAsia="Arial Unicode MS" w:hAnsi="Calibri"/>
      <w:sz w:val="24"/>
    </w:rPr>
  </w:style>
  <w:style w:type="paragraph" w:customStyle="1" w:styleId="xl47">
    <w:name w:val="xl47"/>
    <w:basedOn w:val="Normal"/>
    <w:rsid w:val="00B93188"/>
    <w:pPr>
      <w:pBdr>
        <w:right w:val="single" w:sz="4" w:space="0" w:color="auto"/>
      </w:pBdr>
      <w:spacing w:before="100" w:beforeAutospacing="1" w:after="100" w:afterAutospacing="1"/>
    </w:pPr>
    <w:rPr>
      <w:rFonts w:ascii="Calibri" w:eastAsia="Arial Unicode MS" w:hAnsi="Calibri"/>
      <w:sz w:val="24"/>
    </w:rPr>
  </w:style>
  <w:style w:type="paragraph" w:customStyle="1" w:styleId="xl48">
    <w:name w:val="xl48"/>
    <w:basedOn w:val="Normal"/>
    <w:rsid w:val="00B93188"/>
    <w:pPr>
      <w:pBdr>
        <w:left w:val="single" w:sz="4" w:space="9" w:color="auto"/>
      </w:pBdr>
      <w:spacing w:before="100" w:beforeAutospacing="1" w:after="100" w:afterAutospacing="1"/>
      <w:ind w:firstLineChars="100" w:firstLine="100"/>
    </w:pPr>
    <w:rPr>
      <w:rFonts w:ascii="Calibri" w:eastAsia="Arial Unicode MS" w:hAnsi="Calibri"/>
      <w:sz w:val="24"/>
    </w:rPr>
  </w:style>
  <w:style w:type="paragraph" w:customStyle="1" w:styleId="xl49">
    <w:name w:val="xl49"/>
    <w:basedOn w:val="Normal"/>
    <w:rsid w:val="00B93188"/>
    <w:pPr>
      <w:spacing w:before="100" w:beforeAutospacing="1" w:after="100" w:afterAutospacing="1"/>
    </w:pPr>
    <w:rPr>
      <w:rFonts w:ascii="Calibri" w:eastAsia="Arial Unicode MS" w:hAnsi="Calibri"/>
      <w:sz w:val="24"/>
    </w:rPr>
  </w:style>
  <w:style w:type="paragraph" w:customStyle="1" w:styleId="xl50">
    <w:name w:val="xl50"/>
    <w:basedOn w:val="Normal"/>
    <w:rsid w:val="00B93188"/>
    <w:pPr>
      <w:pBdr>
        <w:right w:val="single" w:sz="4" w:space="0" w:color="auto"/>
      </w:pBdr>
      <w:spacing w:before="100" w:beforeAutospacing="1" w:after="100" w:afterAutospacing="1"/>
    </w:pPr>
    <w:rPr>
      <w:rFonts w:ascii="Calibri" w:eastAsia="Arial Unicode MS" w:hAnsi="Calibri"/>
      <w:sz w:val="24"/>
    </w:rPr>
  </w:style>
  <w:style w:type="paragraph" w:customStyle="1" w:styleId="xl51">
    <w:name w:val="xl51"/>
    <w:basedOn w:val="Normal"/>
    <w:rsid w:val="00B93188"/>
    <w:pPr>
      <w:pBdr>
        <w:left w:val="single" w:sz="4" w:space="9" w:color="auto"/>
      </w:pBdr>
      <w:spacing w:before="100" w:beforeAutospacing="1" w:after="100" w:afterAutospacing="1"/>
      <w:ind w:firstLineChars="100" w:firstLine="100"/>
      <w:textAlignment w:val="top"/>
    </w:pPr>
    <w:rPr>
      <w:rFonts w:ascii="Calibri" w:eastAsia="Arial Unicode MS" w:hAnsi="Calibri"/>
      <w:sz w:val="24"/>
    </w:rPr>
  </w:style>
  <w:style w:type="paragraph" w:customStyle="1" w:styleId="xl52">
    <w:name w:val="xl52"/>
    <w:basedOn w:val="Normal"/>
    <w:rsid w:val="00B93188"/>
    <w:pPr>
      <w:spacing w:before="100" w:beforeAutospacing="1" w:after="100" w:afterAutospacing="1"/>
      <w:textAlignment w:val="top"/>
    </w:pPr>
    <w:rPr>
      <w:rFonts w:ascii="Calibri" w:eastAsia="Arial Unicode MS" w:hAnsi="Calibri"/>
      <w:sz w:val="24"/>
    </w:rPr>
  </w:style>
  <w:style w:type="paragraph" w:customStyle="1" w:styleId="xl53">
    <w:name w:val="xl53"/>
    <w:basedOn w:val="Normal"/>
    <w:rsid w:val="00B93188"/>
    <w:pPr>
      <w:spacing w:before="100" w:beforeAutospacing="1" w:after="100" w:afterAutospacing="1"/>
      <w:jc w:val="right"/>
      <w:textAlignment w:val="top"/>
    </w:pPr>
    <w:rPr>
      <w:rFonts w:ascii="Calibri" w:eastAsia="Arial Unicode MS" w:hAnsi="Calibri"/>
      <w:sz w:val="24"/>
    </w:rPr>
  </w:style>
  <w:style w:type="paragraph" w:customStyle="1" w:styleId="xl54">
    <w:name w:val="xl54"/>
    <w:basedOn w:val="Normal"/>
    <w:rsid w:val="00B93188"/>
    <w:pPr>
      <w:pBdr>
        <w:right w:val="single" w:sz="4" w:space="0" w:color="auto"/>
      </w:pBdr>
      <w:spacing w:before="100" w:beforeAutospacing="1" w:after="100" w:afterAutospacing="1"/>
      <w:textAlignment w:val="top"/>
    </w:pPr>
    <w:rPr>
      <w:rFonts w:ascii="Calibri" w:eastAsia="Arial Unicode MS" w:hAnsi="Calibri"/>
      <w:sz w:val="24"/>
    </w:rPr>
  </w:style>
  <w:style w:type="paragraph" w:customStyle="1" w:styleId="xl55">
    <w:name w:val="xl55"/>
    <w:basedOn w:val="Normal"/>
    <w:rsid w:val="00B93188"/>
    <w:pPr>
      <w:spacing w:before="100" w:beforeAutospacing="1" w:after="100" w:afterAutospacing="1"/>
    </w:pPr>
    <w:rPr>
      <w:rFonts w:ascii="Calibri" w:eastAsia="Arial Unicode MS" w:hAnsi="Calibri"/>
      <w:b/>
      <w:bCs/>
      <w:sz w:val="24"/>
    </w:rPr>
  </w:style>
  <w:style w:type="paragraph" w:customStyle="1" w:styleId="font5">
    <w:name w:val="font5"/>
    <w:basedOn w:val="Normal"/>
    <w:rsid w:val="00B93188"/>
    <w:pPr>
      <w:spacing w:before="100" w:beforeAutospacing="1" w:after="100" w:afterAutospacing="1"/>
    </w:pPr>
    <w:rPr>
      <w:rFonts w:ascii="Calibri" w:eastAsia="Arial Unicode MS" w:hAnsi="Calibri"/>
      <w:sz w:val="18"/>
      <w:szCs w:val="18"/>
    </w:rPr>
  </w:style>
  <w:style w:type="paragraph" w:customStyle="1" w:styleId="font6">
    <w:name w:val="font6"/>
    <w:basedOn w:val="Normal"/>
    <w:rsid w:val="00B93188"/>
    <w:pPr>
      <w:spacing w:before="100" w:beforeAutospacing="1" w:after="100" w:afterAutospacing="1"/>
    </w:pPr>
    <w:rPr>
      <w:rFonts w:ascii="Tahoma" w:eastAsia="Arial Unicode MS" w:hAnsi="Tahoma" w:cs="Tahoma"/>
      <w:b/>
      <w:bCs/>
      <w:color w:val="000000"/>
      <w:sz w:val="16"/>
      <w:szCs w:val="16"/>
    </w:rPr>
  </w:style>
  <w:style w:type="paragraph" w:customStyle="1" w:styleId="bullet">
    <w:name w:val="bullet"/>
    <w:basedOn w:val="Normal"/>
    <w:rsid w:val="00B93188"/>
    <w:pPr>
      <w:numPr>
        <w:numId w:val="33"/>
      </w:numPr>
      <w:spacing w:before="60"/>
      <w:jc w:val="both"/>
    </w:pPr>
    <w:rPr>
      <w:rFonts w:ascii="Calibri" w:hAnsi="Calibri"/>
      <w:sz w:val="24"/>
    </w:rPr>
  </w:style>
  <w:style w:type="paragraph" w:customStyle="1" w:styleId="Bullet-1">
    <w:name w:val="Bullet-1"/>
    <w:basedOn w:val="Normal"/>
    <w:rsid w:val="00B93188"/>
    <w:pPr>
      <w:keepLines/>
      <w:numPr>
        <w:numId w:val="34"/>
      </w:numPr>
      <w:tabs>
        <w:tab w:val="left" w:pos="289"/>
      </w:tabs>
      <w:spacing w:after="240"/>
      <w:jc w:val="both"/>
    </w:pPr>
    <w:rPr>
      <w:rFonts w:ascii="Book Antiqua" w:hAnsi="Book Antiqua" w:cs="Book Antiqua"/>
      <w:sz w:val="24"/>
    </w:rPr>
  </w:style>
  <w:style w:type="paragraph" w:customStyle="1" w:styleId="dot">
    <w:name w:val="dot"/>
    <w:basedOn w:val="Normal"/>
    <w:rsid w:val="00B93188"/>
    <w:pPr>
      <w:numPr>
        <w:numId w:val="35"/>
      </w:numPr>
    </w:pPr>
    <w:rPr>
      <w:rFonts w:ascii="Calibri" w:hAnsi="Calibri"/>
      <w:sz w:val="24"/>
    </w:rPr>
  </w:style>
  <w:style w:type="paragraph" w:customStyle="1" w:styleId="DotPoint">
    <w:name w:val="Dot Point"/>
    <w:basedOn w:val="Normal"/>
    <w:next w:val="Normal"/>
    <w:rsid w:val="00B93188"/>
    <w:pPr>
      <w:numPr>
        <w:numId w:val="36"/>
      </w:numPr>
      <w:spacing w:before="40" w:after="40"/>
    </w:pPr>
    <w:rPr>
      <w:rFonts w:ascii="Calibri" w:hAnsi="Calibri"/>
      <w:sz w:val="24"/>
      <w:lang w:val="en-GB"/>
    </w:rPr>
  </w:style>
  <w:style w:type="paragraph" w:customStyle="1" w:styleId="Numbers">
    <w:name w:val="Numbers"/>
    <w:basedOn w:val="Normal"/>
    <w:rsid w:val="00B93188"/>
    <w:pPr>
      <w:keepLines/>
      <w:numPr>
        <w:numId w:val="38"/>
      </w:numPr>
      <w:tabs>
        <w:tab w:val="left" w:pos="289"/>
      </w:tabs>
      <w:spacing w:after="240"/>
      <w:jc w:val="both"/>
    </w:pPr>
    <w:rPr>
      <w:rFonts w:ascii="Book Antiqua" w:hAnsi="Book Antiqua" w:cs="Book Antiqua"/>
      <w:sz w:val="24"/>
    </w:rPr>
  </w:style>
  <w:style w:type="paragraph" w:customStyle="1" w:styleId="TickPoint">
    <w:name w:val="Tick Point"/>
    <w:basedOn w:val="Normal"/>
    <w:rsid w:val="00B93188"/>
    <w:pPr>
      <w:numPr>
        <w:numId w:val="40"/>
      </w:numPr>
    </w:pPr>
    <w:rPr>
      <w:rFonts w:ascii="Calibri" w:hAnsi="Calibri"/>
      <w:sz w:val="24"/>
      <w:lang w:val="en-GB"/>
    </w:rPr>
  </w:style>
  <w:style w:type="paragraph" w:customStyle="1" w:styleId="xl56">
    <w:name w:val="xl56"/>
    <w:basedOn w:val="Normal"/>
    <w:rsid w:val="00B93188"/>
    <w:pPr>
      <w:pBdr>
        <w:left w:val="single" w:sz="4" w:space="0" w:color="auto"/>
        <w:right w:val="single" w:sz="4" w:space="0" w:color="auto"/>
      </w:pBdr>
      <w:spacing w:before="100" w:beforeAutospacing="1" w:after="100" w:afterAutospacing="1"/>
      <w:jc w:val="right"/>
    </w:pPr>
    <w:rPr>
      <w:rFonts w:ascii="Calibri" w:eastAsia="Arial Unicode MS" w:hAnsi="Calibri"/>
      <w:b/>
      <w:bCs/>
      <w:sz w:val="18"/>
      <w:szCs w:val="18"/>
    </w:rPr>
  </w:style>
  <w:style w:type="paragraph" w:customStyle="1" w:styleId="xl57">
    <w:name w:val="xl57"/>
    <w:basedOn w:val="Normal"/>
    <w:rsid w:val="00B93188"/>
    <w:pPr>
      <w:pBdr>
        <w:right w:val="single" w:sz="4" w:space="0" w:color="auto"/>
      </w:pBdr>
      <w:spacing w:before="100" w:beforeAutospacing="1" w:after="100" w:afterAutospacing="1"/>
      <w:jc w:val="right"/>
    </w:pPr>
    <w:rPr>
      <w:rFonts w:ascii="Calibri" w:eastAsia="Arial Unicode MS" w:hAnsi="Calibri"/>
      <w:b/>
      <w:bCs/>
      <w:sz w:val="18"/>
      <w:szCs w:val="18"/>
    </w:rPr>
  </w:style>
  <w:style w:type="paragraph" w:customStyle="1" w:styleId="xl58">
    <w:name w:val="xl58"/>
    <w:basedOn w:val="Normal"/>
    <w:rsid w:val="00B93188"/>
    <w:pPr>
      <w:pBdr>
        <w:bottom w:val="single" w:sz="4" w:space="0" w:color="auto"/>
      </w:pBdr>
      <w:spacing w:before="100" w:beforeAutospacing="1" w:after="100" w:afterAutospacing="1"/>
    </w:pPr>
    <w:rPr>
      <w:rFonts w:ascii="Calibri" w:eastAsia="Arial Unicode MS" w:hAnsi="Calibri"/>
      <w:b/>
      <w:bCs/>
      <w:sz w:val="18"/>
      <w:szCs w:val="18"/>
    </w:rPr>
  </w:style>
  <w:style w:type="paragraph" w:customStyle="1" w:styleId="xl59">
    <w:name w:val="xl59"/>
    <w:basedOn w:val="Normal"/>
    <w:rsid w:val="00B93188"/>
    <w:pPr>
      <w:spacing w:before="100" w:beforeAutospacing="1" w:after="100" w:afterAutospacing="1"/>
    </w:pPr>
    <w:rPr>
      <w:rFonts w:ascii="Arial Unicode MS" w:eastAsia="Arial Unicode MS" w:hAnsi="Arial Unicode MS" w:cs="Arial Unicode MS"/>
      <w:sz w:val="16"/>
      <w:szCs w:val="16"/>
    </w:rPr>
  </w:style>
  <w:style w:type="paragraph" w:customStyle="1" w:styleId="xl60">
    <w:name w:val="xl60"/>
    <w:basedOn w:val="Normal"/>
    <w:rsid w:val="00B93188"/>
    <w:pPr>
      <w:pBdr>
        <w:top w:val="single" w:sz="4" w:space="0" w:color="auto"/>
      </w:pBdr>
      <w:spacing w:before="100" w:beforeAutospacing="1" w:after="100" w:afterAutospacing="1"/>
    </w:pPr>
    <w:rPr>
      <w:rFonts w:ascii="Calibri" w:eastAsia="Arial Unicode MS" w:hAnsi="Calibri"/>
      <w:sz w:val="18"/>
      <w:szCs w:val="18"/>
    </w:rPr>
  </w:style>
  <w:style w:type="paragraph" w:customStyle="1" w:styleId="xl61">
    <w:name w:val="xl61"/>
    <w:basedOn w:val="Normal"/>
    <w:rsid w:val="00B93188"/>
    <w:pPr>
      <w:spacing w:before="100" w:beforeAutospacing="1" w:after="100" w:afterAutospacing="1"/>
    </w:pPr>
    <w:rPr>
      <w:rFonts w:ascii="Calibri" w:eastAsia="Arial Unicode MS" w:hAnsi="Calibri"/>
      <w:sz w:val="18"/>
      <w:szCs w:val="18"/>
    </w:rPr>
  </w:style>
  <w:style w:type="paragraph" w:customStyle="1" w:styleId="xl62">
    <w:name w:val="xl62"/>
    <w:basedOn w:val="Normal"/>
    <w:rsid w:val="00B93188"/>
    <w:pPr>
      <w:pBdr>
        <w:bottom w:val="single" w:sz="4" w:space="0" w:color="auto"/>
      </w:pBdr>
      <w:spacing w:before="100" w:beforeAutospacing="1" w:after="100" w:afterAutospacing="1"/>
    </w:pPr>
    <w:rPr>
      <w:rFonts w:ascii="Calibri" w:eastAsia="Arial Unicode MS" w:hAnsi="Calibri"/>
      <w:sz w:val="18"/>
      <w:szCs w:val="18"/>
    </w:rPr>
  </w:style>
  <w:style w:type="paragraph" w:customStyle="1" w:styleId="xl63">
    <w:name w:val="xl63"/>
    <w:basedOn w:val="Normal"/>
    <w:rsid w:val="00B93188"/>
    <w:pPr>
      <w:spacing w:before="100" w:beforeAutospacing="1" w:after="100" w:afterAutospacing="1"/>
    </w:pPr>
    <w:rPr>
      <w:rFonts w:ascii="Calibri" w:eastAsia="Arial Unicode MS" w:hAnsi="Calibri"/>
      <w:b/>
      <w:bCs/>
      <w:sz w:val="18"/>
      <w:szCs w:val="18"/>
    </w:rPr>
  </w:style>
  <w:style w:type="paragraph" w:customStyle="1" w:styleId="xl64">
    <w:name w:val="xl64"/>
    <w:basedOn w:val="Normal"/>
    <w:rsid w:val="00B93188"/>
    <w:pPr>
      <w:spacing w:before="100" w:beforeAutospacing="1" w:after="100" w:afterAutospacing="1"/>
      <w:ind w:firstLineChars="100" w:firstLine="100"/>
    </w:pPr>
    <w:rPr>
      <w:rFonts w:ascii="Calibri" w:eastAsia="Arial Unicode MS" w:hAnsi="Calibri"/>
      <w:sz w:val="18"/>
      <w:szCs w:val="18"/>
    </w:rPr>
  </w:style>
  <w:style w:type="paragraph" w:customStyle="1" w:styleId="xl65">
    <w:name w:val="xl65"/>
    <w:basedOn w:val="Normal"/>
    <w:rsid w:val="00B93188"/>
    <w:pPr>
      <w:spacing w:before="100" w:beforeAutospacing="1" w:after="100" w:afterAutospacing="1"/>
    </w:pPr>
    <w:rPr>
      <w:rFonts w:ascii="Calibri" w:eastAsia="Arial Unicode MS" w:hAnsi="Calibri"/>
      <w:b/>
      <w:bCs/>
      <w:sz w:val="18"/>
      <w:szCs w:val="18"/>
    </w:rPr>
  </w:style>
  <w:style w:type="paragraph" w:customStyle="1" w:styleId="xl66">
    <w:name w:val="xl66"/>
    <w:basedOn w:val="Normal"/>
    <w:rsid w:val="00B93188"/>
    <w:pPr>
      <w:spacing w:before="100" w:beforeAutospacing="1" w:after="100" w:afterAutospacing="1"/>
    </w:pPr>
    <w:rPr>
      <w:rFonts w:ascii="Calibri" w:eastAsia="Arial Unicode MS" w:hAnsi="Calibri"/>
      <w:b/>
      <w:bCs/>
      <w:sz w:val="24"/>
      <w:u w:val="single"/>
    </w:rPr>
  </w:style>
  <w:style w:type="paragraph" w:customStyle="1" w:styleId="xl67">
    <w:name w:val="xl67"/>
    <w:basedOn w:val="Normal"/>
    <w:rsid w:val="00B93188"/>
    <w:pPr>
      <w:spacing w:before="100" w:beforeAutospacing="1" w:after="100" w:afterAutospacing="1"/>
      <w:ind w:firstLineChars="100" w:firstLine="100"/>
    </w:pPr>
    <w:rPr>
      <w:rFonts w:ascii="Calibri" w:eastAsia="Arial Unicode MS" w:hAnsi="Calibri"/>
      <w:sz w:val="18"/>
      <w:szCs w:val="18"/>
    </w:rPr>
  </w:style>
  <w:style w:type="paragraph" w:customStyle="1" w:styleId="xl68">
    <w:name w:val="xl68"/>
    <w:basedOn w:val="Normal"/>
    <w:rsid w:val="00B93188"/>
    <w:pPr>
      <w:spacing w:before="100" w:beforeAutospacing="1" w:after="100" w:afterAutospacing="1"/>
    </w:pPr>
    <w:rPr>
      <w:rFonts w:ascii="Calibri" w:eastAsia="Arial Unicode MS" w:hAnsi="Calibri"/>
      <w:b/>
      <w:bCs/>
      <w:sz w:val="18"/>
      <w:szCs w:val="18"/>
    </w:rPr>
  </w:style>
  <w:style w:type="paragraph" w:customStyle="1" w:styleId="xl69">
    <w:name w:val="xl69"/>
    <w:basedOn w:val="Normal"/>
    <w:rsid w:val="00B93188"/>
    <w:pPr>
      <w:pBdr>
        <w:bottom w:val="single" w:sz="4" w:space="0" w:color="auto"/>
      </w:pBdr>
      <w:spacing w:before="100" w:beforeAutospacing="1" w:after="100" w:afterAutospacing="1"/>
      <w:ind w:firstLineChars="100" w:firstLine="100"/>
    </w:pPr>
    <w:rPr>
      <w:rFonts w:ascii="Calibri" w:eastAsia="Arial Unicode MS" w:hAnsi="Calibri"/>
      <w:sz w:val="18"/>
      <w:szCs w:val="18"/>
    </w:rPr>
  </w:style>
  <w:style w:type="paragraph" w:customStyle="1" w:styleId="xl70">
    <w:name w:val="xl70"/>
    <w:basedOn w:val="Normal"/>
    <w:rsid w:val="00B93188"/>
    <w:pPr>
      <w:pBdr>
        <w:top w:val="single" w:sz="4" w:space="0" w:color="auto"/>
      </w:pBdr>
      <w:spacing w:before="100" w:beforeAutospacing="1" w:after="100" w:afterAutospacing="1"/>
      <w:ind w:firstLineChars="100" w:firstLine="100"/>
    </w:pPr>
    <w:rPr>
      <w:rFonts w:ascii="Calibri" w:eastAsia="Arial Unicode MS" w:hAnsi="Calibri"/>
      <w:sz w:val="18"/>
      <w:szCs w:val="18"/>
    </w:rPr>
  </w:style>
  <w:style w:type="paragraph" w:customStyle="1" w:styleId="xl71">
    <w:name w:val="xl71"/>
    <w:basedOn w:val="Normal"/>
    <w:rsid w:val="00B93188"/>
    <w:pPr>
      <w:pBdr>
        <w:bottom w:val="single" w:sz="4" w:space="0" w:color="auto"/>
      </w:pBdr>
      <w:spacing w:before="100" w:beforeAutospacing="1" w:after="100" w:afterAutospacing="1"/>
    </w:pPr>
    <w:rPr>
      <w:rFonts w:ascii="Calibri" w:eastAsia="Arial Unicode MS" w:hAnsi="Calibri"/>
      <w:b/>
      <w:bCs/>
      <w:sz w:val="18"/>
      <w:szCs w:val="18"/>
    </w:rPr>
  </w:style>
  <w:style w:type="paragraph" w:customStyle="1" w:styleId="xl72">
    <w:name w:val="xl72"/>
    <w:basedOn w:val="Normal"/>
    <w:rsid w:val="00B93188"/>
    <w:pPr>
      <w:pBdr>
        <w:bottom w:val="single" w:sz="4" w:space="0" w:color="auto"/>
      </w:pBdr>
      <w:spacing w:before="100" w:beforeAutospacing="1" w:after="100" w:afterAutospacing="1"/>
    </w:pPr>
    <w:rPr>
      <w:rFonts w:ascii="Calibri" w:eastAsia="Arial Unicode MS" w:hAnsi="Calibri"/>
      <w:b/>
      <w:bCs/>
      <w:sz w:val="18"/>
      <w:szCs w:val="18"/>
    </w:rPr>
  </w:style>
  <w:style w:type="paragraph" w:customStyle="1" w:styleId="xl73">
    <w:name w:val="xl73"/>
    <w:basedOn w:val="Normal"/>
    <w:rsid w:val="00B93188"/>
    <w:pPr>
      <w:pBdr>
        <w:top w:val="single" w:sz="4" w:space="0" w:color="auto"/>
      </w:pBdr>
      <w:spacing w:before="100" w:beforeAutospacing="1" w:after="100" w:afterAutospacing="1"/>
    </w:pPr>
    <w:rPr>
      <w:rFonts w:ascii="Calibri" w:eastAsia="Arial Unicode MS" w:hAnsi="Calibri"/>
      <w:b/>
      <w:bCs/>
      <w:sz w:val="18"/>
      <w:szCs w:val="18"/>
    </w:rPr>
  </w:style>
  <w:style w:type="paragraph" w:customStyle="1" w:styleId="xl74">
    <w:name w:val="xl74"/>
    <w:basedOn w:val="Normal"/>
    <w:rsid w:val="00B93188"/>
    <w:pPr>
      <w:pBdr>
        <w:top w:val="single" w:sz="4" w:space="0" w:color="auto"/>
      </w:pBdr>
      <w:spacing w:before="100" w:beforeAutospacing="1" w:after="100" w:afterAutospacing="1"/>
    </w:pPr>
    <w:rPr>
      <w:rFonts w:ascii="Calibri" w:eastAsia="Arial Unicode MS" w:hAnsi="Calibri"/>
      <w:b/>
      <w:bCs/>
      <w:sz w:val="18"/>
      <w:szCs w:val="18"/>
    </w:rPr>
  </w:style>
  <w:style w:type="paragraph" w:customStyle="1" w:styleId="xl75">
    <w:name w:val="xl75"/>
    <w:basedOn w:val="Normal"/>
    <w:rsid w:val="00B93188"/>
    <w:pPr>
      <w:pBdr>
        <w:top w:val="single" w:sz="4" w:space="0" w:color="auto"/>
      </w:pBdr>
      <w:spacing w:before="100" w:beforeAutospacing="1" w:after="100" w:afterAutospacing="1"/>
      <w:jc w:val="right"/>
    </w:pPr>
    <w:rPr>
      <w:rFonts w:ascii="Calibri" w:eastAsia="Arial Unicode MS" w:hAnsi="Calibri"/>
      <w:b/>
      <w:bCs/>
      <w:sz w:val="18"/>
      <w:szCs w:val="18"/>
    </w:rPr>
  </w:style>
  <w:style w:type="paragraph" w:customStyle="1" w:styleId="xl76">
    <w:name w:val="xl76"/>
    <w:basedOn w:val="Normal"/>
    <w:rsid w:val="00B93188"/>
    <w:pPr>
      <w:pBdr>
        <w:bottom w:val="double" w:sz="6" w:space="0" w:color="auto"/>
      </w:pBdr>
      <w:spacing w:before="100" w:beforeAutospacing="1" w:after="100" w:afterAutospacing="1"/>
    </w:pPr>
    <w:rPr>
      <w:rFonts w:ascii="Calibri" w:eastAsia="Arial Unicode MS" w:hAnsi="Calibri"/>
      <w:b/>
      <w:bCs/>
      <w:sz w:val="18"/>
      <w:szCs w:val="18"/>
    </w:rPr>
  </w:style>
  <w:style w:type="paragraph" w:customStyle="1" w:styleId="xl77">
    <w:name w:val="xl77"/>
    <w:basedOn w:val="Normal"/>
    <w:rsid w:val="00B93188"/>
    <w:pPr>
      <w:pBdr>
        <w:bottom w:val="double" w:sz="6" w:space="0" w:color="auto"/>
      </w:pBdr>
      <w:spacing w:before="100" w:beforeAutospacing="1" w:after="100" w:afterAutospacing="1"/>
    </w:pPr>
    <w:rPr>
      <w:rFonts w:ascii="Calibri" w:eastAsia="Arial Unicode MS" w:hAnsi="Calibri"/>
      <w:b/>
      <w:bCs/>
      <w:sz w:val="18"/>
      <w:szCs w:val="18"/>
    </w:rPr>
  </w:style>
  <w:style w:type="paragraph" w:customStyle="1" w:styleId="xl78">
    <w:name w:val="xl78"/>
    <w:basedOn w:val="Normal"/>
    <w:rsid w:val="00B93188"/>
    <w:pPr>
      <w:pBdr>
        <w:bottom w:val="double" w:sz="6" w:space="0" w:color="auto"/>
      </w:pBdr>
      <w:spacing w:before="100" w:beforeAutospacing="1" w:after="100" w:afterAutospacing="1"/>
      <w:jc w:val="right"/>
    </w:pPr>
    <w:rPr>
      <w:rFonts w:ascii="Calibri" w:eastAsia="Arial Unicode MS" w:hAnsi="Calibri"/>
      <w:b/>
      <w:bCs/>
      <w:sz w:val="18"/>
      <w:szCs w:val="18"/>
    </w:rPr>
  </w:style>
  <w:style w:type="paragraph" w:customStyle="1" w:styleId="PH2">
    <w:name w:val="PH2"/>
    <w:basedOn w:val="PH1"/>
    <w:rsid w:val="00B93188"/>
    <w:rPr>
      <w:b w:val="0"/>
      <w:bCs w:val="0"/>
      <w:sz w:val="24"/>
      <w:szCs w:val="24"/>
    </w:rPr>
  </w:style>
  <w:style w:type="paragraph" w:customStyle="1" w:styleId="PH1">
    <w:name w:val="PH1"/>
    <w:basedOn w:val="Heading1"/>
    <w:rsid w:val="00B93188"/>
    <w:pPr>
      <w:pBdr>
        <w:bottom w:val="none" w:sz="0" w:space="0" w:color="auto"/>
      </w:pBdr>
      <w:spacing w:after="0"/>
      <w:jc w:val="center"/>
    </w:pPr>
    <w:rPr>
      <w:rFonts w:cs="Arial"/>
      <w:bCs/>
      <w:caps w:val="0"/>
      <w:szCs w:val="28"/>
      <w:lang w:val="en-GB"/>
    </w:rPr>
  </w:style>
  <w:style w:type="paragraph" w:styleId="FootnoteText">
    <w:name w:val="footnote text"/>
    <w:basedOn w:val="Normal"/>
    <w:link w:val="FootnoteTextChar"/>
    <w:rsid w:val="00B93188"/>
    <w:rPr>
      <w:rFonts w:ascii="Calibri" w:hAnsi="Calibri"/>
    </w:rPr>
  </w:style>
  <w:style w:type="character" w:customStyle="1" w:styleId="FootnoteTextChar">
    <w:name w:val="Footnote Text Char"/>
    <w:basedOn w:val="DefaultParagraphFont"/>
    <w:link w:val="FootnoteText"/>
    <w:rsid w:val="00B93188"/>
    <w:rPr>
      <w:rFonts w:ascii="Calibri" w:hAnsi="Calibri"/>
      <w:lang w:eastAsia="en-US"/>
    </w:rPr>
  </w:style>
  <w:style w:type="paragraph" w:customStyle="1" w:styleId="MinorHeading">
    <w:name w:val="Minor Heading"/>
    <w:basedOn w:val="Normal"/>
    <w:rsid w:val="00B93188"/>
    <w:rPr>
      <w:rFonts w:ascii="Arial" w:hAnsi="Arial" w:cs="Arial"/>
      <w:b/>
      <w:bCs/>
      <w:sz w:val="24"/>
    </w:rPr>
  </w:style>
  <w:style w:type="paragraph" w:customStyle="1" w:styleId="AIBlurb0">
    <w:name w:val="AI Blurb"/>
    <w:basedOn w:val="Normal"/>
    <w:rsid w:val="00B93188"/>
    <w:pPr>
      <w:spacing w:before="120" w:after="240"/>
      <w:ind w:left="380"/>
      <w:jc w:val="both"/>
    </w:pPr>
    <w:rPr>
      <w:rFonts w:ascii="Calibri" w:hAnsi="Calibri"/>
    </w:rPr>
  </w:style>
  <w:style w:type="paragraph" w:customStyle="1" w:styleId="BPDesc">
    <w:name w:val="BPDesc"/>
    <w:basedOn w:val="Normal"/>
    <w:rsid w:val="00B93188"/>
    <w:pPr>
      <w:ind w:left="113" w:hanging="113"/>
    </w:pPr>
    <w:rPr>
      <w:rFonts w:ascii="Calibri" w:hAnsi="Calibri"/>
      <w:sz w:val="18"/>
      <w:szCs w:val="18"/>
    </w:rPr>
  </w:style>
  <w:style w:type="paragraph" w:customStyle="1" w:styleId="BPDescBold">
    <w:name w:val="BPDescBold"/>
    <w:basedOn w:val="Normal"/>
    <w:rsid w:val="00B93188"/>
    <w:rPr>
      <w:rFonts w:ascii="Calibri" w:hAnsi="Calibri"/>
      <w:b/>
      <w:bCs/>
      <w:sz w:val="18"/>
      <w:szCs w:val="18"/>
    </w:rPr>
  </w:style>
  <w:style w:type="paragraph" w:customStyle="1" w:styleId="BPDetail1">
    <w:name w:val="BPDetail1"/>
    <w:basedOn w:val="Normal"/>
    <w:rsid w:val="00B93188"/>
    <w:pPr>
      <w:ind w:right="567"/>
      <w:jc w:val="right"/>
    </w:pPr>
    <w:rPr>
      <w:rFonts w:ascii="Calibri" w:hAnsi="Calibri"/>
    </w:rPr>
  </w:style>
  <w:style w:type="paragraph" w:customStyle="1" w:styleId="BPDetail2">
    <w:name w:val="BPDetail2"/>
    <w:basedOn w:val="BPDetail1"/>
    <w:rsid w:val="00B93188"/>
    <w:pPr>
      <w:ind w:right="0"/>
      <w:jc w:val="left"/>
    </w:pPr>
  </w:style>
  <w:style w:type="paragraph" w:customStyle="1" w:styleId="BPHeading1">
    <w:name w:val="BPHeading1"/>
    <w:basedOn w:val="Normal"/>
    <w:rsid w:val="00B93188"/>
    <w:pPr>
      <w:jc w:val="center"/>
    </w:pPr>
    <w:rPr>
      <w:rFonts w:ascii="Calibri" w:hAnsi="Calibri"/>
      <w:b/>
      <w:bCs/>
    </w:rPr>
  </w:style>
  <w:style w:type="paragraph" w:customStyle="1" w:styleId="BPNum">
    <w:name w:val="BPNum"/>
    <w:basedOn w:val="Normal"/>
    <w:rsid w:val="00B93188"/>
    <w:pPr>
      <w:jc w:val="right"/>
    </w:pPr>
    <w:rPr>
      <w:rFonts w:ascii="Calibri" w:hAnsi="Calibri"/>
      <w:sz w:val="18"/>
      <w:szCs w:val="18"/>
    </w:rPr>
  </w:style>
  <w:style w:type="paragraph" w:customStyle="1" w:styleId="BPNumBold">
    <w:name w:val="BPNumBold"/>
    <w:basedOn w:val="Normal"/>
    <w:rsid w:val="00B93188"/>
    <w:pPr>
      <w:jc w:val="right"/>
    </w:pPr>
    <w:rPr>
      <w:rFonts w:ascii="Calibri" w:hAnsi="Calibri"/>
      <w:b/>
      <w:bCs/>
      <w:sz w:val="18"/>
      <w:szCs w:val="18"/>
    </w:rPr>
  </w:style>
  <w:style w:type="paragraph" w:customStyle="1" w:styleId="Bullet0">
    <w:name w:val="Bullet"/>
    <w:basedOn w:val="Normal"/>
    <w:rsid w:val="00B93188"/>
    <w:rPr>
      <w:rFonts w:ascii="Calibri" w:hAnsi="Calibri"/>
      <w:sz w:val="24"/>
    </w:rPr>
  </w:style>
  <w:style w:type="paragraph" w:customStyle="1" w:styleId="bullet2">
    <w:name w:val="bullet 2"/>
    <w:basedOn w:val="Normal"/>
    <w:rsid w:val="00B93188"/>
    <w:pPr>
      <w:tabs>
        <w:tab w:val="left" w:pos="360"/>
        <w:tab w:val="left" w:pos="454"/>
      </w:tabs>
      <w:spacing w:after="120"/>
      <w:ind w:left="454" w:hanging="454"/>
      <w:jc w:val="both"/>
    </w:pPr>
    <w:rPr>
      <w:rFonts w:ascii="Calibri" w:hAnsi="Calibri"/>
      <w:color w:val="000000"/>
      <w:sz w:val="24"/>
    </w:rPr>
  </w:style>
  <w:style w:type="paragraph" w:customStyle="1" w:styleId="Bullets">
    <w:name w:val="Bullets"/>
    <w:basedOn w:val="Normal"/>
    <w:rsid w:val="00B93188"/>
    <w:pPr>
      <w:spacing w:after="240"/>
      <w:ind w:left="284" w:hanging="284"/>
      <w:jc w:val="both"/>
    </w:pPr>
    <w:rPr>
      <w:rFonts w:ascii="Calibri" w:hAnsi="Calibri"/>
      <w:sz w:val="24"/>
    </w:rPr>
  </w:style>
  <w:style w:type="paragraph" w:styleId="Caption">
    <w:name w:val="caption"/>
    <w:basedOn w:val="Normal"/>
    <w:next w:val="Normal"/>
    <w:qFormat/>
    <w:rsid w:val="00B93188"/>
    <w:pPr>
      <w:numPr>
        <w:numId w:val="32"/>
      </w:numPr>
      <w:tabs>
        <w:tab w:val="clear" w:pos="360"/>
      </w:tabs>
      <w:spacing w:before="120" w:after="120"/>
      <w:ind w:left="0" w:firstLine="0"/>
    </w:pPr>
    <w:rPr>
      <w:rFonts w:ascii="Calibri" w:hAnsi="Calibri"/>
      <w:b/>
      <w:bCs/>
    </w:rPr>
  </w:style>
  <w:style w:type="paragraph" w:customStyle="1" w:styleId="CGCNumberedList">
    <w:name w:val="CGC Numbered List"/>
    <w:basedOn w:val="Normal"/>
    <w:rsid w:val="00B93188"/>
    <w:pPr>
      <w:tabs>
        <w:tab w:val="left" w:pos="720"/>
        <w:tab w:val="left" w:pos="1080"/>
        <w:tab w:val="left" w:pos="1440"/>
        <w:tab w:val="left" w:pos="1800"/>
        <w:tab w:val="left" w:pos="2160"/>
        <w:tab w:val="left" w:pos="2880"/>
      </w:tabs>
      <w:spacing w:after="240" w:line="240" w:lineRule="atLeast"/>
      <w:ind w:left="1440" w:right="605" w:hanging="720"/>
      <w:jc w:val="both"/>
    </w:pPr>
    <w:rPr>
      <w:rFonts w:ascii="Calibri" w:hAnsi="Calibri"/>
      <w:sz w:val="24"/>
    </w:rPr>
  </w:style>
  <w:style w:type="paragraph" w:customStyle="1" w:styleId="CGCTableFootnote">
    <w:name w:val="CGC Table Footnote"/>
    <w:basedOn w:val="Normal"/>
    <w:next w:val="Heading2"/>
    <w:rsid w:val="00B93188"/>
    <w:pPr>
      <w:tabs>
        <w:tab w:val="left" w:pos="720"/>
      </w:tabs>
      <w:spacing w:line="240" w:lineRule="atLeast"/>
      <w:ind w:left="720" w:hanging="720"/>
      <w:jc w:val="both"/>
    </w:pPr>
    <w:rPr>
      <w:rFonts w:ascii="Calibri" w:hAnsi="Calibri"/>
      <w:sz w:val="18"/>
      <w:szCs w:val="18"/>
    </w:rPr>
  </w:style>
  <w:style w:type="paragraph" w:customStyle="1" w:styleId="CGCTableStub">
    <w:name w:val="CGC Table Stub"/>
    <w:basedOn w:val="Normal"/>
    <w:rsid w:val="00B93188"/>
    <w:pPr>
      <w:keepNext/>
      <w:keepLines/>
      <w:tabs>
        <w:tab w:val="left" w:pos="475"/>
        <w:tab w:val="left" w:pos="1440"/>
        <w:tab w:val="left" w:pos="2160"/>
        <w:tab w:val="left" w:pos="2880"/>
      </w:tabs>
      <w:spacing w:before="60" w:after="60" w:line="200" w:lineRule="atLeast"/>
      <w:ind w:left="144" w:hanging="144"/>
    </w:pPr>
    <w:rPr>
      <w:rFonts w:ascii="Calibri" w:hAnsi="Calibri"/>
    </w:rPr>
  </w:style>
  <w:style w:type="paragraph" w:customStyle="1" w:styleId="ChartandTableFootnote">
    <w:name w:val="Chart and Table Footnote"/>
    <w:basedOn w:val="Normal"/>
    <w:next w:val="Normal"/>
    <w:rsid w:val="00B93188"/>
    <w:pPr>
      <w:ind w:left="357" w:hanging="357"/>
      <w:jc w:val="both"/>
    </w:pPr>
    <w:rPr>
      <w:rFonts w:ascii="Arial" w:hAnsi="Arial" w:cs="Arial"/>
      <w:color w:val="000000"/>
      <w:sz w:val="16"/>
      <w:szCs w:val="16"/>
    </w:rPr>
  </w:style>
  <w:style w:type="character" w:styleId="CommentReference">
    <w:name w:val="annotation reference"/>
    <w:basedOn w:val="DefaultParagraphFont"/>
    <w:rsid w:val="00B93188"/>
    <w:rPr>
      <w:rFonts w:ascii="Calibri" w:hAnsi="Calibri"/>
      <w:sz w:val="16"/>
      <w:szCs w:val="16"/>
    </w:rPr>
  </w:style>
  <w:style w:type="paragraph" w:customStyle="1" w:styleId="Default">
    <w:name w:val="Default"/>
    <w:rsid w:val="00B93188"/>
    <w:pPr>
      <w:autoSpaceDE w:val="0"/>
      <w:autoSpaceDN w:val="0"/>
      <w:adjustRightInd w:val="0"/>
    </w:pPr>
    <w:rPr>
      <w:rFonts w:ascii="OfficinaSerif-Book" w:hAnsi="OfficinaSerif-Book" w:cs="OfficinaSerif-Book"/>
      <w:lang w:val="en-US" w:eastAsia="en-US"/>
    </w:rPr>
  </w:style>
  <w:style w:type="paragraph" w:customStyle="1" w:styleId="DefinitionTerm">
    <w:name w:val="Definition Term"/>
    <w:basedOn w:val="Normal"/>
    <w:next w:val="Normal"/>
    <w:rsid w:val="00B93188"/>
    <w:rPr>
      <w:rFonts w:ascii="Calibri" w:hAnsi="Calibri"/>
      <w:sz w:val="24"/>
    </w:rPr>
  </w:style>
  <w:style w:type="paragraph" w:customStyle="1" w:styleId="DescU">
    <w:name w:val="DescU"/>
    <w:basedOn w:val="Normal"/>
    <w:next w:val="BPDesc"/>
    <w:rsid w:val="00B93188"/>
    <w:rPr>
      <w:rFonts w:ascii="Calibri" w:hAnsi="Calibri"/>
      <w:u w:val="single"/>
    </w:rPr>
  </w:style>
  <w:style w:type="character" w:customStyle="1" w:styleId="EmailStyle271">
    <w:name w:val="EmailStyle271"/>
    <w:basedOn w:val="DefaultParagraphFont"/>
    <w:rsid w:val="00B93188"/>
    <w:rPr>
      <w:rFonts w:ascii="Arial" w:hAnsi="Arial" w:cs="Arial"/>
      <w:color w:val="000080"/>
      <w:sz w:val="20"/>
      <w:szCs w:val="20"/>
    </w:rPr>
  </w:style>
  <w:style w:type="paragraph" w:customStyle="1" w:styleId="GalText">
    <w:name w:val="GalText"/>
    <w:basedOn w:val="Normal"/>
    <w:rsid w:val="00B93188"/>
    <w:pPr>
      <w:spacing w:before="60" w:after="60"/>
    </w:pPr>
    <w:rPr>
      <w:rFonts w:ascii="Arial Narrow" w:hAnsi="Arial Narrow" w:cs="Arial Narrow"/>
      <w:sz w:val="24"/>
    </w:rPr>
  </w:style>
  <w:style w:type="paragraph" w:customStyle="1" w:styleId="Heading1-BP3">
    <w:name w:val="Heading 1 - BP3"/>
    <w:basedOn w:val="Heading1"/>
    <w:next w:val="Heading1"/>
    <w:rsid w:val="00B93188"/>
    <w:pPr>
      <w:pBdr>
        <w:bottom w:val="single" w:sz="18" w:space="1" w:color="auto"/>
      </w:pBdr>
      <w:spacing w:before="240" w:after="480"/>
    </w:pPr>
    <w:rPr>
      <w:rFonts w:cs="Arial"/>
      <w:bCs/>
      <w:caps w:val="0"/>
      <w:szCs w:val="28"/>
      <w:lang w:val="en-GB"/>
    </w:rPr>
  </w:style>
  <w:style w:type="paragraph" w:customStyle="1" w:styleId="Heading1-BP4">
    <w:name w:val="Heading 1 - BP4"/>
    <w:basedOn w:val="Heading1-BP3"/>
    <w:rsid w:val="00B93188"/>
    <w:pPr>
      <w:spacing w:after="240"/>
    </w:pPr>
  </w:style>
  <w:style w:type="paragraph" w:customStyle="1" w:styleId="MajorHeading">
    <w:name w:val="Major Heading"/>
    <w:basedOn w:val="Normal"/>
    <w:rsid w:val="00B93188"/>
    <w:pPr>
      <w:spacing w:after="120"/>
    </w:pPr>
    <w:rPr>
      <w:rFonts w:ascii="Arial" w:hAnsi="Arial"/>
      <w:b/>
      <w:sz w:val="28"/>
    </w:rPr>
  </w:style>
  <w:style w:type="paragraph" w:customStyle="1" w:styleId="MajorHeading1">
    <w:name w:val="Major Heading 1"/>
    <w:basedOn w:val="Normal"/>
    <w:rsid w:val="00B93188"/>
    <w:pPr>
      <w:pBdr>
        <w:bottom w:val="single" w:sz="18" w:space="1" w:color="auto"/>
      </w:pBdr>
      <w:tabs>
        <w:tab w:val="right" w:pos="9072"/>
      </w:tabs>
      <w:spacing w:before="240" w:after="240"/>
    </w:pPr>
    <w:rPr>
      <w:rFonts w:ascii="Arial" w:hAnsi="Arial" w:cs="Arial"/>
      <w:b/>
      <w:bCs/>
      <w:caps/>
      <w:sz w:val="28"/>
      <w:szCs w:val="28"/>
      <w:lang w:val="en-GB"/>
    </w:rPr>
  </w:style>
  <w:style w:type="paragraph" w:customStyle="1" w:styleId="MajorHeading2">
    <w:name w:val="Major Heading 2"/>
    <w:basedOn w:val="MajorHeading"/>
    <w:rsid w:val="00B93188"/>
  </w:style>
  <w:style w:type="paragraph" w:customStyle="1" w:styleId="NumberedNotes">
    <w:name w:val="Numbered Notes"/>
    <w:basedOn w:val="FootnoteText"/>
    <w:rsid w:val="00B93188"/>
    <w:pPr>
      <w:numPr>
        <w:numId w:val="29"/>
      </w:numPr>
      <w:spacing w:after="60"/>
      <w:jc w:val="both"/>
    </w:pPr>
    <w:rPr>
      <w:sz w:val="16"/>
      <w:szCs w:val="16"/>
    </w:rPr>
  </w:style>
  <w:style w:type="paragraph" w:customStyle="1" w:styleId="Output1">
    <w:name w:val="Output 1"/>
    <w:basedOn w:val="Normal"/>
    <w:autoRedefine/>
    <w:rsid w:val="00B93188"/>
    <w:pPr>
      <w:keepNext/>
      <w:keepLines/>
      <w:spacing w:before="100" w:beforeAutospacing="1" w:after="100" w:afterAutospacing="1"/>
      <w:ind w:left="425"/>
      <w:jc w:val="both"/>
    </w:pPr>
    <w:rPr>
      <w:rFonts w:ascii="Times New (W1)" w:hAnsi="Times New (W1)" w:cs="Times New (W1)"/>
      <w:sz w:val="24"/>
    </w:rPr>
  </w:style>
  <w:style w:type="paragraph" w:customStyle="1" w:styleId="Output2">
    <w:name w:val="Output 2"/>
    <w:basedOn w:val="Output1"/>
    <w:autoRedefine/>
    <w:rsid w:val="00B93188"/>
    <w:pPr>
      <w:ind w:left="709"/>
    </w:pPr>
    <w:rPr>
      <w:i/>
      <w:iCs/>
    </w:rPr>
  </w:style>
  <w:style w:type="paragraph" w:customStyle="1" w:styleId="Output2Indent">
    <w:name w:val="Output 2 Indent"/>
    <w:basedOn w:val="Output2"/>
    <w:autoRedefine/>
    <w:rsid w:val="00B93188"/>
    <w:pPr>
      <w:keepNext w:val="0"/>
      <w:tabs>
        <w:tab w:val="num" w:pos="357"/>
      </w:tabs>
      <w:spacing w:before="0" w:beforeAutospacing="0"/>
      <w:ind w:left="357" w:hanging="357"/>
    </w:pPr>
  </w:style>
  <w:style w:type="character" w:customStyle="1" w:styleId="EmailStyle282">
    <w:name w:val="EmailStyle282"/>
    <w:basedOn w:val="DefaultParagraphFont"/>
    <w:rsid w:val="00B93188"/>
    <w:rPr>
      <w:rFonts w:ascii="Arial" w:hAnsi="Arial" w:cs="Arial"/>
      <w:color w:val="auto"/>
      <w:sz w:val="20"/>
      <w:szCs w:val="20"/>
    </w:rPr>
  </w:style>
  <w:style w:type="character" w:customStyle="1" w:styleId="EmailStyle283">
    <w:name w:val="EmailStyle283"/>
    <w:basedOn w:val="DefaultParagraphFont"/>
    <w:rsid w:val="00B93188"/>
    <w:rPr>
      <w:rFonts w:ascii="Arial" w:hAnsi="Arial" w:cs="Arial"/>
      <w:color w:val="auto"/>
      <w:sz w:val="20"/>
      <w:szCs w:val="20"/>
    </w:rPr>
  </w:style>
  <w:style w:type="paragraph" w:customStyle="1" w:styleId="PH3">
    <w:name w:val="PH3"/>
    <w:basedOn w:val="PH2"/>
    <w:rsid w:val="00B93188"/>
    <w:pPr>
      <w:jc w:val="left"/>
    </w:pPr>
    <w:rPr>
      <w:b/>
      <w:bCs/>
    </w:rPr>
  </w:style>
  <w:style w:type="paragraph" w:customStyle="1" w:styleId="PH4">
    <w:name w:val="PH4"/>
    <w:basedOn w:val="Normal"/>
    <w:rsid w:val="00B93188"/>
    <w:rPr>
      <w:rFonts w:ascii="Calibri" w:hAnsi="Calibri"/>
      <w:b/>
      <w:bCs/>
    </w:rPr>
  </w:style>
  <w:style w:type="paragraph" w:customStyle="1" w:styleId="PI1">
    <w:name w:val="PI 1"/>
    <w:basedOn w:val="Normal"/>
    <w:rsid w:val="00B93188"/>
    <w:pPr>
      <w:spacing w:before="240"/>
    </w:pPr>
    <w:rPr>
      <w:rFonts w:ascii="Times New (W1)" w:hAnsi="Times New (W1)" w:cs="Times New (W1)"/>
      <w:sz w:val="24"/>
    </w:rPr>
  </w:style>
  <w:style w:type="paragraph" w:customStyle="1" w:styleId="PI2">
    <w:name w:val="PI 2"/>
    <w:basedOn w:val="PI1"/>
    <w:rsid w:val="00B93188"/>
    <w:pPr>
      <w:spacing w:after="240"/>
    </w:pPr>
    <w:rPr>
      <w:i/>
      <w:iCs/>
    </w:rPr>
  </w:style>
  <w:style w:type="paragraph" w:customStyle="1" w:styleId="PI2Indent">
    <w:name w:val="PI 2  Indent"/>
    <w:basedOn w:val="Normal"/>
    <w:rsid w:val="00B93188"/>
    <w:pPr>
      <w:tabs>
        <w:tab w:val="num" w:pos="360"/>
      </w:tabs>
      <w:ind w:left="357" w:hanging="357"/>
    </w:pPr>
    <w:rPr>
      <w:rFonts w:ascii="Calibri" w:hAnsi="Calibri"/>
      <w:sz w:val="24"/>
    </w:rPr>
  </w:style>
  <w:style w:type="paragraph" w:customStyle="1" w:styleId="PText">
    <w:name w:val="PText"/>
    <w:basedOn w:val="Normal"/>
    <w:rsid w:val="00B93188"/>
    <w:rPr>
      <w:rFonts w:ascii="Calibri" w:hAnsi="Calibri"/>
    </w:rPr>
  </w:style>
  <w:style w:type="paragraph" w:customStyle="1" w:styleId="Style1">
    <w:name w:val="Style1"/>
    <w:basedOn w:val="AITableText"/>
    <w:rsid w:val="00B93188"/>
    <w:pPr>
      <w:spacing w:before="120" w:after="240"/>
      <w:ind w:left="714" w:hanging="357"/>
    </w:pPr>
    <w:rPr>
      <w:rFonts w:ascii="Calibri" w:hAnsi="Calibri"/>
      <w:szCs w:val="20"/>
    </w:rPr>
  </w:style>
  <w:style w:type="paragraph" w:customStyle="1" w:styleId="Style1Indent">
    <w:name w:val="Style1 Indent"/>
    <w:basedOn w:val="Normal"/>
    <w:rsid w:val="00B93188"/>
    <w:pPr>
      <w:numPr>
        <w:ilvl w:val="1"/>
        <w:numId w:val="30"/>
      </w:numPr>
    </w:pPr>
    <w:rPr>
      <w:rFonts w:ascii="Calibri" w:hAnsi="Calibri"/>
    </w:rPr>
  </w:style>
  <w:style w:type="paragraph" w:customStyle="1" w:styleId="Sub-Heading1">
    <w:name w:val="Sub-Heading 1"/>
    <w:basedOn w:val="Normal"/>
    <w:next w:val="Normal"/>
    <w:autoRedefine/>
    <w:rsid w:val="00B93188"/>
    <w:pPr>
      <w:keepNext/>
      <w:numPr>
        <w:numId w:val="37"/>
      </w:numPr>
      <w:tabs>
        <w:tab w:val="clear" w:pos="720"/>
      </w:tabs>
      <w:spacing w:before="240" w:after="240"/>
      <w:ind w:left="0" w:firstLine="0"/>
      <w:outlineLvl w:val="0"/>
    </w:pPr>
    <w:rPr>
      <w:rFonts w:ascii="Arial" w:hAnsi="Arial" w:cs="Arial"/>
      <w:i/>
      <w:iCs/>
      <w:sz w:val="24"/>
    </w:rPr>
  </w:style>
  <w:style w:type="paragraph" w:customStyle="1" w:styleId="Sub-Heading3">
    <w:name w:val="Sub-Heading 3"/>
    <w:basedOn w:val="Sub-Heading2"/>
    <w:rsid w:val="00B93188"/>
    <w:pPr>
      <w:spacing w:after="0"/>
      <w:jc w:val="left"/>
    </w:pPr>
    <w:rPr>
      <w:rFonts w:ascii="Calibri" w:hAnsi="Calibri"/>
      <w:iCs/>
    </w:rPr>
  </w:style>
  <w:style w:type="paragraph" w:customStyle="1" w:styleId="Sub-Headings">
    <w:name w:val="Sub-Headings"/>
    <w:basedOn w:val="Normal"/>
    <w:rsid w:val="00B93188"/>
    <w:pPr>
      <w:keepNext/>
      <w:spacing w:before="240" w:after="120"/>
      <w:outlineLvl w:val="0"/>
    </w:pPr>
    <w:rPr>
      <w:rFonts w:ascii="Arial" w:hAnsi="Arial" w:cs="Arial"/>
      <w:i/>
      <w:iCs/>
      <w:sz w:val="24"/>
    </w:rPr>
  </w:style>
  <w:style w:type="paragraph" w:customStyle="1" w:styleId="TableFootnoteText">
    <w:name w:val="Table Footnote Text"/>
    <w:basedOn w:val="FootnoteText"/>
    <w:rsid w:val="00B93188"/>
    <w:pPr>
      <w:keepNext/>
      <w:tabs>
        <w:tab w:val="left" w:pos="426"/>
      </w:tabs>
      <w:spacing w:after="120"/>
      <w:ind w:left="357" w:hanging="357"/>
      <w:jc w:val="both"/>
    </w:pPr>
    <w:rPr>
      <w:sz w:val="18"/>
      <w:szCs w:val="18"/>
      <w:lang w:val="en-US"/>
    </w:rPr>
  </w:style>
  <w:style w:type="paragraph" w:customStyle="1" w:styleId="Tableformat">
    <w:name w:val="Table format"/>
    <w:basedOn w:val="BodyText"/>
    <w:rsid w:val="00B93188"/>
    <w:pPr>
      <w:keepNext/>
    </w:pPr>
    <w:rPr>
      <w:rFonts w:ascii="Calibri" w:hAnsi="Calibri"/>
      <w:b/>
      <w:bCs/>
    </w:rPr>
  </w:style>
  <w:style w:type="paragraph" w:customStyle="1" w:styleId="TableColHeadings">
    <w:name w:val="TableColHeadings"/>
    <w:basedOn w:val="Normal"/>
    <w:rsid w:val="00B93188"/>
    <w:pPr>
      <w:keepNext/>
      <w:keepLines/>
      <w:tabs>
        <w:tab w:val="left" w:pos="475"/>
        <w:tab w:val="left" w:pos="1440"/>
        <w:tab w:val="left" w:pos="2160"/>
        <w:tab w:val="left" w:pos="2880"/>
      </w:tabs>
      <w:spacing w:before="60" w:after="60"/>
      <w:jc w:val="right"/>
    </w:pPr>
    <w:rPr>
      <w:rFonts w:ascii="Calibri" w:hAnsi="Calibri"/>
    </w:rPr>
  </w:style>
  <w:style w:type="paragraph" w:customStyle="1" w:styleId="TableGraphic">
    <w:name w:val="TableGraphic"/>
    <w:basedOn w:val="Normal"/>
    <w:next w:val="Normal"/>
    <w:rsid w:val="00B93188"/>
    <w:pPr>
      <w:keepNext/>
      <w:spacing w:after="20"/>
      <w:ind w:right="-113"/>
    </w:pPr>
    <w:rPr>
      <w:rFonts w:ascii="Tahoma" w:hAnsi="Tahoma" w:cs="Tahoma"/>
      <w:b/>
      <w:bCs/>
      <w:color w:val="000000"/>
    </w:rPr>
  </w:style>
  <w:style w:type="paragraph" w:customStyle="1" w:styleId="TableRowLast">
    <w:name w:val="TableRowLast"/>
    <w:basedOn w:val="Normal"/>
    <w:rsid w:val="00B93188"/>
    <w:pPr>
      <w:tabs>
        <w:tab w:val="left" w:pos="475"/>
        <w:tab w:val="left" w:pos="1440"/>
        <w:tab w:val="left" w:pos="2160"/>
        <w:tab w:val="left" w:pos="2880"/>
      </w:tabs>
      <w:spacing w:before="120" w:line="240" w:lineRule="atLeast"/>
      <w:jc w:val="both"/>
    </w:pPr>
    <w:rPr>
      <w:rFonts w:ascii="Calibri" w:hAnsi="Calibri"/>
      <w:sz w:val="24"/>
    </w:rPr>
  </w:style>
  <w:style w:type="paragraph" w:customStyle="1" w:styleId="TableRowNormal">
    <w:name w:val="TableRowNormal"/>
    <w:basedOn w:val="Normal"/>
    <w:rsid w:val="00B93188"/>
    <w:pPr>
      <w:keepNext/>
      <w:keepLines/>
      <w:tabs>
        <w:tab w:val="left" w:pos="475"/>
        <w:tab w:val="left" w:pos="1440"/>
        <w:tab w:val="left" w:pos="2160"/>
        <w:tab w:val="left" w:pos="2880"/>
      </w:tabs>
      <w:spacing w:before="60" w:after="60" w:line="200" w:lineRule="atLeast"/>
      <w:ind w:left="144" w:hanging="144"/>
      <w:jc w:val="right"/>
    </w:pPr>
    <w:rPr>
      <w:rFonts w:ascii="Calibri" w:hAnsi="Calibri"/>
    </w:rPr>
  </w:style>
  <w:style w:type="paragraph" w:customStyle="1" w:styleId="TableRowUnits">
    <w:name w:val="TableRowUnits"/>
    <w:basedOn w:val="Normal"/>
    <w:rsid w:val="00B93188"/>
    <w:pPr>
      <w:keepNext/>
      <w:keepLines/>
      <w:tabs>
        <w:tab w:val="left" w:pos="475"/>
        <w:tab w:val="left" w:pos="1440"/>
        <w:tab w:val="left" w:pos="2160"/>
        <w:tab w:val="left" w:pos="2880"/>
      </w:tabs>
      <w:jc w:val="right"/>
    </w:pPr>
    <w:rPr>
      <w:rFonts w:ascii="Calibri" w:hAnsi="Calibri"/>
    </w:rPr>
  </w:style>
  <w:style w:type="paragraph" w:customStyle="1" w:styleId="TableText">
    <w:name w:val="TableText"/>
    <w:basedOn w:val="BodyText"/>
    <w:rsid w:val="00B93188"/>
    <w:pPr>
      <w:numPr>
        <w:numId w:val="39"/>
      </w:numPr>
      <w:tabs>
        <w:tab w:val="clear" w:pos="2700"/>
      </w:tabs>
      <w:ind w:left="0" w:firstLine="0"/>
      <w:jc w:val="left"/>
    </w:pPr>
    <w:rPr>
      <w:rFonts w:ascii="Arial" w:hAnsi="Arial" w:cs="Arial"/>
      <w:kern w:val="28"/>
      <w:sz w:val="22"/>
      <w:szCs w:val="22"/>
    </w:rPr>
  </w:style>
  <w:style w:type="paragraph" w:customStyle="1" w:styleId="Text">
    <w:name w:val="Text"/>
    <w:basedOn w:val="Normal"/>
    <w:rsid w:val="00B93188"/>
    <w:pPr>
      <w:jc w:val="both"/>
    </w:pPr>
    <w:rPr>
      <w:rFonts w:ascii="Calibri" w:hAnsi="Calibri"/>
      <w:sz w:val="24"/>
    </w:rPr>
  </w:style>
  <w:style w:type="paragraph" w:customStyle="1" w:styleId="Text1">
    <w:name w:val="Text 1"/>
    <w:basedOn w:val="Normal"/>
    <w:rsid w:val="00B93188"/>
    <w:pPr>
      <w:jc w:val="both"/>
    </w:pPr>
    <w:rPr>
      <w:rFonts w:ascii="Arial" w:hAnsi="Arial" w:cs="Arial"/>
      <w:sz w:val="24"/>
    </w:rPr>
  </w:style>
  <w:style w:type="paragraph" w:customStyle="1" w:styleId="xl24">
    <w:name w:val="xl24"/>
    <w:basedOn w:val="Normal"/>
    <w:rsid w:val="00B93188"/>
    <w:pPr>
      <w:spacing w:before="100" w:beforeAutospacing="1" w:after="100" w:afterAutospacing="1"/>
    </w:pPr>
    <w:rPr>
      <w:rFonts w:ascii="Arial" w:eastAsia="Arial Unicode MS" w:hAnsi="Arial" w:cs="Arial"/>
      <w:sz w:val="16"/>
      <w:szCs w:val="16"/>
    </w:rPr>
  </w:style>
  <w:style w:type="paragraph" w:customStyle="1" w:styleId="TSYBullets">
    <w:name w:val="TSY_Bullets"/>
    <w:basedOn w:val="Normal"/>
    <w:rsid w:val="00B93188"/>
    <w:pPr>
      <w:numPr>
        <w:numId w:val="31"/>
      </w:numPr>
      <w:spacing w:before="120" w:after="120"/>
    </w:pPr>
    <w:rPr>
      <w:rFonts w:ascii="Calibri" w:hAnsi="Calibri"/>
      <w:sz w:val="24"/>
      <w:lang w:eastAsia="en-AU"/>
    </w:rPr>
  </w:style>
  <w:style w:type="character" w:customStyle="1" w:styleId="EmailStyle307">
    <w:name w:val="EmailStyle307"/>
    <w:basedOn w:val="DefaultParagraphFont"/>
    <w:rsid w:val="00B93188"/>
    <w:rPr>
      <w:rFonts w:ascii="Arial" w:hAnsi="Arial" w:cs="Arial"/>
      <w:color w:val="000080"/>
      <w:sz w:val="20"/>
      <w:szCs w:val="20"/>
    </w:rPr>
  </w:style>
  <w:style w:type="character" w:customStyle="1" w:styleId="EmailStyle308">
    <w:name w:val="EmailStyle308"/>
    <w:basedOn w:val="DefaultParagraphFont"/>
    <w:rsid w:val="00B93188"/>
    <w:rPr>
      <w:rFonts w:ascii="Arial" w:hAnsi="Arial" w:cs="Arial"/>
      <w:color w:val="auto"/>
      <w:sz w:val="20"/>
      <w:szCs w:val="20"/>
    </w:rPr>
  </w:style>
  <w:style w:type="character" w:customStyle="1" w:styleId="EmailStyle309">
    <w:name w:val="EmailStyle309"/>
    <w:basedOn w:val="DefaultParagraphFont"/>
    <w:rsid w:val="00B93188"/>
    <w:rPr>
      <w:rFonts w:ascii="Arial" w:hAnsi="Arial" w:cs="Arial"/>
      <w:color w:val="auto"/>
      <w:sz w:val="20"/>
      <w:szCs w:val="20"/>
    </w:rPr>
  </w:style>
  <w:style w:type="paragraph" w:customStyle="1" w:styleId="1n">
    <w:name w:val="1. n"/>
    <w:basedOn w:val="n"/>
    <w:rsid w:val="00B93188"/>
    <w:rPr>
      <w:rFonts w:ascii="Calibri" w:hAnsi="Calibri"/>
      <w:iCs/>
      <w:szCs w:val="20"/>
    </w:rPr>
  </w:style>
  <w:style w:type="paragraph" w:customStyle="1" w:styleId="an">
    <w:name w:val="a. n"/>
    <w:basedOn w:val="n"/>
    <w:rsid w:val="00B93188"/>
    <w:rPr>
      <w:rFonts w:ascii="Calibri" w:hAnsi="Calibri"/>
      <w:iCs/>
      <w:szCs w:val="20"/>
    </w:rPr>
  </w:style>
  <w:style w:type="paragraph" w:customStyle="1" w:styleId="Footnote">
    <w:name w:val="Footnote"/>
    <w:basedOn w:val="Normal"/>
    <w:rsid w:val="00B93188"/>
    <w:rPr>
      <w:rFonts w:ascii="Calibri" w:hAnsi="Calibri"/>
      <w:sz w:val="24"/>
      <w:vertAlign w:val="superscript"/>
      <w:lang w:eastAsia="en-AU"/>
    </w:rPr>
  </w:style>
  <w:style w:type="paragraph" w:customStyle="1" w:styleId="Notes-Graph">
    <w:name w:val="Notes - Graph"/>
    <w:basedOn w:val="n"/>
    <w:rsid w:val="00B93188"/>
    <w:pPr>
      <w:spacing w:before="20" w:after="120"/>
    </w:pPr>
    <w:rPr>
      <w:rFonts w:ascii="Calibri" w:hAnsi="Calibri"/>
      <w:szCs w:val="16"/>
    </w:rPr>
  </w:style>
  <w:style w:type="paragraph" w:customStyle="1" w:styleId="TableText1">
    <w:name w:val="Table Text 1"/>
    <w:basedOn w:val="Normal"/>
    <w:rsid w:val="00B93188"/>
    <w:rPr>
      <w:rFonts w:ascii="Calibri" w:hAnsi="Calibri"/>
      <w:sz w:val="18"/>
      <w:szCs w:val="18"/>
      <w:lang w:eastAsia="en-AU"/>
    </w:rPr>
  </w:style>
  <w:style w:type="paragraph" w:customStyle="1" w:styleId="TableTextHeading1">
    <w:name w:val="Table Text Heading 1"/>
    <w:basedOn w:val="Normal"/>
    <w:rsid w:val="00B93188"/>
    <w:pPr>
      <w:jc w:val="right"/>
    </w:pPr>
    <w:rPr>
      <w:rFonts w:ascii="Calibri" w:hAnsi="Calibri"/>
      <w:b/>
      <w:bCs/>
      <w:sz w:val="18"/>
      <w:szCs w:val="18"/>
      <w:lang w:eastAsia="en-AU"/>
    </w:rPr>
  </w:style>
  <w:style w:type="paragraph" w:customStyle="1" w:styleId="TableTextHeading2">
    <w:name w:val="Table Text Heading 2"/>
    <w:basedOn w:val="Normal"/>
    <w:rsid w:val="00B93188"/>
    <w:rPr>
      <w:rFonts w:ascii="Calibri" w:hAnsi="Calibri"/>
      <w:b/>
      <w:bCs/>
      <w:sz w:val="18"/>
      <w:szCs w:val="18"/>
      <w:lang w:eastAsia="en-AU"/>
    </w:rPr>
  </w:style>
  <w:style w:type="paragraph" w:customStyle="1" w:styleId="TableTextNumbers">
    <w:name w:val="Table Text Numbers"/>
    <w:basedOn w:val="Normal"/>
    <w:rsid w:val="00B93188"/>
    <w:pPr>
      <w:jc w:val="right"/>
    </w:pPr>
    <w:rPr>
      <w:rFonts w:ascii="Calibri" w:hAnsi="Calibri"/>
      <w:sz w:val="18"/>
      <w:szCs w:val="18"/>
      <w:lang w:eastAsia="en-AU"/>
    </w:rPr>
  </w:style>
  <w:style w:type="paragraph" w:customStyle="1" w:styleId="TableTextTotals">
    <w:name w:val="Table Text Totals"/>
    <w:basedOn w:val="Normal"/>
    <w:rsid w:val="00B93188"/>
    <w:pPr>
      <w:jc w:val="right"/>
    </w:pPr>
    <w:rPr>
      <w:rFonts w:ascii="Calibri" w:hAnsi="Calibri"/>
      <w:b/>
      <w:bCs/>
      <w:sz w:val="18"/>
      <w:szCs w:val="18"/>
      <w:lang w:eastAsia="en-AU"/>
    </w:rPr>
  </w:style>
  <w:style w:type="character" w:customStyle="1" w:styleId="BodyTextChar1">
    <w:name w:val="Body Text Char1"/>
    <w:basedOn w:val="DefaultParagraphFont"/>
    <w:rsid w:val="00B93188"/>
    <w:rPr>
      <w:rFonts w:ascii="Calibri" w:hAnsi="Calibri"/>
      <w:sz w:val="24"/>
      <w:szCs w:val="24"/>
      <w:lang w:eastAsia="en-US"/>
    </w:rPr>
  </w:style>
  <w:style w:type="character" w:customStyle="1" w:styleId="Heading4Char">
    <w:name w:val="Heading 4 Char"/>
    <w:basedOn w:val="DefaultParagraphFont"/>
    <w:link w:val="Heading4"/>
    <w:rsid w:val="00B93188"/>
    <w:rPr>
      <w:i/>
      <w:lang w:eastAsia="en-US"/>
    </w:rPr>
  </w:style>
  <w:style w:type="character" w:styleId="FootnoteReference">
    <w:name w:val="footnote reference"/>
    <w:basedOn w:val="DefaultParagraphFont"/>
    <w:rsid w:val="00B93188"/>
    <w:rPr>
      <w:rFonts w:ascii="Calibri" w:hAnsi="Calibri"/>
      <w:vertAlign w:val="superscript"/>
    </w:rPr>
  </w:style>
  <w:style w:type="paragraph" w:customStyle="1" w:styleId="StyleBodyTextIndentAfter4pt">
    <w:name w:val="Style Body Text Indent + After:  4 pt"/>
    <w:basedOn w:val="BodyTextIndent"/>
    <w:rsid w:val="00B93188"/>
    <w:pPr>
      <w:keepNext/>
      <w:keepLines/>
      <w:numPr>
        <w:numId w:val="19"/>
      </w:numPr>
      <w:spacing w:after="80"/>
    </w:pPr>
    <w:rPr>
      <w:rFonts w:ascii="Calibri" w:hAnsi="Calibri"/>
      <w:sz w:val="24"/>
    </w:rPr>
  </w:style>
  <w:style w:type="paragraph" w:customStyle="1" w:styleId="Style10ptFirstline032cmRight012cm">
    <w:name w:val="Style 10 pt First line:  0.32 cm Right:  0.12 cm"/>
    <w:basedOn w:val="Normal"/>
    <w:rsid w:val="00B93188"/>
    <w:pPr>
      <w:ind w:right="68" w:firstLine="180"/>
    </w:pPr>
    <w:rPr>
      <w:rFonts w:ascii="Calibri" w:hAnsi="Calibri"/>
    </w:rPr>
  </w:style>
  <w:style w:type="paragraph" w:customStyle="1" w:styleId="StyleTableTextRightBold-BP3Before05ptAfter05pt">
    <w:name w:val="Style Table Text Right Bold - BP3 + Before:  0.5 pt After:  0.5 pt"/>
    <w:basedOn w:val="TableTextRightBold-BP3"/>
    <w:rsid w:val="00B93188"/>
    <w:pPr>
      <w:spacing w:before="10" w:after="10"/>
    </w:pPr>
    <w:rPr>
      <w:rFonts w:ascii="Calibri" w:hAnsi="Calibri"/>
      <w:bCs/>
    </w:rPr>
  </w:style>
  <w:style w:type="paragraph" w:customStyle="1" w:styleId="StyleTableTextLeftBoldCentered">
    <w:name w:val="Style Table Text Left Bold + Centered"/>
    <w:basedOn w:val="TableTextLeftBold"/>
    <w:rsid w:val="00B93188"/>
    <w:pPr>
      <w:jc w:val="center"/>
    </w:pPr>
    <w:rPr>
      <w:bCs/>
    </w:rPr>
  </w:style>
  <w:style w:type="character" w:customStyle="1" w:styleId="PlainTextChar">
    <w:name w:val="Plain Text Char"/>
    <w:basedOn w:val="DefaultParagraphFont"/>
    <w:link w:val="PlainText"/>
    <w:rsid w:val="00B93188"/>
    <w:rPr>
      <w:rFonts w:ascii="Courier New" w:hAnsi="Courier New"/>
      <w:lang w:val="en-US" w:eastAsia="en-US"/>
    </w:rPr>
  </w:style>
  <w:style w:type="paragraph" w:styleId="CommentText">
    <w:name w:val="annotation text"/>
    <w:basedOn w:val="Normal"/>
    <w:link w:val="CommentTextChar"/>
    <w:rsid w:val="00B93188"/>
    <w:rPr>
      <w:rFonts w:ascii="Calibri" w:hAnsi="Calibri"/>
    </w:rPr>
  </w:style>
  <w:style w:type="character" w:customStyle="1" w:styleId="CommentTextChar">
    <w:name w:val="Comment Text Char"/>
    <w:basedOn w:val="DefaultParagraphFont"/>
    <w:link w:val="CommentText"/>
    <w:rsid w:val="00B93188"/>
    <w:rPr>
      <w:rFonts w:ascii="Calibri" w:hAnsi="Calibri"/>
      <w:lang w:eastAsia="en-US"/>
    </w:rPr>
  </w:style>
  <w:style w:type="paragraph" w:styleId="CommentSubject">
    <w:name w:val="annotation subject"/>
    <w:basedOn w:val="CommentText"/>
    <w:next w:val="CommentText"/>
    <w:link w:val="CommentSubjectChar"/>
    <w:rsid w:val="00B93188"/>
    <w:rPr>
      <w:b/>
      <w:bCs/>
    </w:rPr>
  </w:style>
  <w:style w:type="character" w:customStyle="1" w:styleId="CommentSubjectChar">
    <w:name w:val="Comment Subject Char"/>
    <w:basedOn w:val="CommentTextChar"/>
    <w:link w:val="CommentSubject"/>
    <w:rsid w:val="00B93188"/>
    <w:rPr>
      <w:b/>
      <w:bCs/>
    </w:rPr>
  </w:style>
  <w:style w:type="character" w:customStyle="1" w:styleId="CharChar">
    <w:name w:val="Char Char"/>
    <w:basedOn w:val="DefaultParagraphFont"/>
    <w:rsid w:val="00B93188"/>
    <w:rPr>
      <w:rFonts w:ascii="Calibri" w:hAnsi="Calibri"/>
      <w:sz w:val="24"/>
      <w:lang w:val="en-AU" w:eastAsia="en-US" w:bidi="ar-SA"/>
    </w:rPr>
  </w:style>
  <w:style w:type="character" w:customStyle="1" w:styleId="CharChar1">
    <w:name w:val="Char Char1"/>
    <w:basedOn w:val="DefaultParagraphFont"/>
    <w:rsid w:val="00B93188"/>
    <w:rPr>
      <w:rFonts w:ascii="Arial" w:hAnsi="Arial" w:cs="Arial"/>
      <w:b/>
      <w:bCs/>
      <w:sz w:val="24"/>
      <w:szCs w:val="26"/>
      <w:lang w:val="en-AU" w:eastAsia="en-US" w:bidi="ar-SA"/>
    </w:rPr>
  </w:style>
  <w:style w:type="table" w:styleId="ColorfulGrid-Accent2">
    <w:name w:val="Colorful Grid Accent 2"/>
    <w:basedOn w:val="TableNormal"/>
    <w:uiPriority w:val="73"/>
    <w:rsid w:val="00B93188"/>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B93188"/>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B93188"/>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B93188"/>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B93188"/>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ndnoteReference">
    <w:name w:val="endnote reference"/>
    <w:basedOn w:val="DefaultParagraphFont"/>
    <w:rsid w:val="00B93188"/>
    <w:rPr>
      <w:rFonts w:ascii="Calibri" w:hAnsi="Calibri"/>
      <w:vertAlign w:val="superscript"/>
    </w:rPr>
  </w:style>
  <w:style w:type="paragraph" w:styleId="EndnoteText">
    <w:name w:val="endnote text"/>
    <w:basedOn w:val="Normal"/>
    <w:link w:val="EndnoteTextChar"/>
    <w:rsid w:val="00B93188"/>
    <w:rPr>
      <w:rFonts w:ascii="Calibri" w:hAnsi="Calibri"/>
    </w:rPr>
  </w:style>
  <w:style w:type="character" w:customStyle="1" w:styleId="EndnoteTextChar">
    <w:name w:val="Endnote Text Char"/>
    <w:basedOn w:val="DefaultParagraphFont"/>
    <w:link w:val="EndnoteText"/>
    <w:rsid w:val="00B93188"/>
    <w:rPr>
      <w:rFonts w:ascii="Calibri" w:hAnsi="Calibri"/>
      <w:lang w:eastAsia="en-US"/>
    </w:rPr>
  </w:style>
  <w:style w:type="paragraph" w:styleId="Index1">
    <w:name w:val="index 1"/>
    <w:basedOn w:val="Normal"/>
    <w:next w:val="Normal"/>
    <w:autoRedefine/>
    <w:rsid w:val="00B93188"/>
    <w:pPr>
      <w:ind w:left="240" w:hanging="240"/>
    </w:pPr>
    <w:rPr>
      <w:rFonts w:ascii="Calibri" w:hAnsi="Calibri"/>
      <w:sz w:val="24"/>
    </w:rPr>
  </w:style>
  <w:style w:type="paragraph" w:styleId="Index2">
    <w:name w:val="index 2"/>
    <w:basedOn w:val="Normal"/>
    <w:next w:val="Normal"/>
    <w:autoRedefine/>
    <w:rsid w:val="00B93188"/>
    <w:pPr>
      <w:ind w:left="480" w:hanging="240"/>
    </w:pPr>
    <w:rPr>
      <w:rFonts w:ascii="Calibri" w:hAnsi="Calibri"/>
      <w:sz w:val="24"/>
    </w:rPr>
  </w:style>
  <w:style w:type="paragraph" w:styleId="Index3">
    <w:name w:val="index 3"/>
    <w:basedOn w:val="Normal"/>
    <w:next w:val="Normal"/>
    <w:autoRedefine/>
    <w:rsid w:val="00B93188"/>
    <w:pPr>
      <w:ind w:left="720" w:hanging="240"/>
    </w:pPr>
    <w:rPr>
      <w:rFonts w:ascii="Calibri" w:hAnsi="Calibri"/>
      <w:sz w:val="24"/>
    </w:rPr>
  </w:style>
  <w:style w:type="paragraph" w:styleId="Index4">
    <w:name w:val="index 4"/>
    <w:basedOn w:val="Normal"/>
    <w:next w:val="Normal"/>
    <w:autoRedefine/>
    <w:rsid w:val="00B93188"/>
    <w:pPr>
      <w:ind w:left="960" w:hanging="240"/>
    </w:pPr>
    <w:rPr>
      <w:rFonts w:ascii="Calibri" w:hAnsi="Calibri"/>
      <w:sz w:val="24"/>
    </w:rPr>
  </w:style>
  <w:style w:type="paragraph" w:styleId="Index5">
    <w:name w:val="index 5"/>
    <w:basedOn w:val="Normal"/>
    <w:next w:val="Normal"/>
    <w:autoRedefine/>
    <w:rsid w:val="00B93188"/>
    <w:pPr>
      <w:ind w:left="1200" w:hanging="240"/>
    </w:pPr>
    <w:rPr>
      <w:rFonts w:ascii="Calibri" w:hAnsi="Calibri"/>
      <w:sz w:val="24"/>
    </w:rPr>
  </w:style>
  <w:style w:type="paragraph" w:styleId="Index6">
    <w:name w:val="index 6"/>
    <w:basedOn w:val="Normal"/>
    <w:next w:val="Normal"/>
    <w:autoRedefine/>
    <w:rsid w:val="00B93188"/>
    <w:pPr>
      <w:ind w:left="1440" w:hanging="240"/>
    </w:pPr>
    <w:rPr>
      <w:rFonts w:ascii="Calibri" w:hAnsi="Calibri"/>
      <w:sz w:val="24"/>
    </w:rPr>
  </w:style>
  <w:style w:type="paragraph" w:styleId="Index7">
    <w:name w:val="index 7"/>
    <w:basedOn w:val="Normal"/>
    <w:next w:val="Normal"/>
    <w:autoRedefine/>
    <w:rsid w:val="00B93188"/>
    <w:pPr>
      <w:ind w:left="1680" w:hanging="240"/>
    </w:pPr>
    <w:rPr>
      <w:rFonts w:ascii="Calibri" w:hAnsi="Calibri"/>
      <w:sz w:val="24"/>
    </w:rPr>
  </w:style>
  <w:style w:type="paragraph" w:styleId="Index8">
    <w:name w:val="index 8"/>
    <w:basedOn w:val="Normal"/>
    <w:next w:val="Normal"/>
    <w:autoRedefine/>
    <w:rsid w:val="00B93188"/>
    <w:pPr>
      <w:ind w:left="1920" w:hanging="240"/>
    </w:pPr>
    <w:rPr>
      <w:rFonts w:ascii="Calibri" w:hAnsi="Calibri"/>
      <w:sz w:val="24"/>
    </w:rPr>
  </w:style>
  <w:style w:type="paragraph" w:styleId="Index9">
    <w:name w:val="index 9"/>
    <w:basedOn w:val="Normal"/>
    <w:next w:val="Normal"/>
    <w:autoRedefine/>
    <w:rsid w:val="00B93188"/>
    <w:pPr>
      <w:ind w:left="2160" w:hanging="240"/>
    </w:pPr>
    <w:rPr>
      <w:rFonts w:ascii="Calibri" w:hAnsi="Calibri"/>
      <w:sz w:val="24"/>
    </w:rPr>
  </w:style>
  <w:style w:type="paragraph" w:styleId="IndexHeading">
    <w:name w:val="index heading"/>
    <w:basedOn w:val="Normal"/>
    <w:next w:val="Index1"/>
    <w:rsid w:val="00B93188"/>
    <w:rPr>
      <w:rFonts w:ascii="Calibri" w:hAnsi="Calibri"/>
      <w:b/>
      <w:bCs/>
      <w:sz w:val="24"/>
    </w:rPr>
  </w:style>
  <w:style w:type="paragraph" w:styleId="ListParagraph">
    <w:name w:val="List Paragraph"/>
    <w:basedOn w:val="Normal"/>
    <w:qFormat/>
    <w:rsid w:val="00B93188"/>
    <w:pPr>
      <w:ind w:left="720"/>
    </w:pPr>
    <w:rPr>
      <w:rFonts w:ascii="Calibri" w:hAnsi="Calibri"/>
      <w:sz w:val="24"/>
      <w:szCs w:val="24"/>
    </w:rPr>
  </w:style>
  <w:style w:type="paragraph" w:styleId="TableofAuthorities">
    <w:name w:val="table of authorities"/>
    <w:basedOn w:val="Normal"/>
    <w:next w:val="Normal"/>
    <w:rsid w:val="00B93188"/>
    <w:pPr>
      <w:ind w:left="240" w:hanging="240"/>
    </w:pPr>
    <w:rPr>
      <w:rFonts w:ascii="Calibri" w:hAnsi="Calibri"/>
      <w:sz w:val="24"/>
    </w:rPr>
  </w:style>
  <w:style w:type="paragraph" w:styleId="TableofFigures">
    <w:name w:val="table of figures"/>
    <w:basedOn w:val="Normal"/>
    <w:next w:val="Normal"/>
    <w:rsid w:val="00B93188"/>
    <w:rPr>
      <w:rFonts w:ascii="Calibri" w:hAnsi="Calibri"/>
      <w:sz w:val="24"/>
    </w:rPr>
  </w:style>
  <w:style w:type="paragraph" w:styleId="TOAHeading">
    <w:name w:val="toa heading"/>
    <w:basedOn w:val="Normal"/>
    <w:next w:val="Normal"/>
    <w:rsid w:val="00B93188"/>
    <w:pPr>
      <w:spacing w:before="120"/>
    </w:pPr>
    <w:rPr>
      <w:rFonts w:ascii="Calibri" w:hAnsi="Calibri"/>
      <w:b/>
      <w:bCs/>
      <w:sz w:val="24"/>
      <w:szCs w:val="24"/>
    </w:rPr>
  </w:style>
  <w:style w:type="paragraph" w:styleId="TOC1">
    <w:name w:val="toc 1"/>
    <w:basedOn w:val="Normal"/>
    <w:next w:val="Normal"/>
    <w:autoRedefine/>
    <w:rsid w:val="00B93188"/>
    <w:rPr>
      <w:rFonts w:ascii="Calibri" w:hAnsi="Calibri"/>
      <w:sz w:val="24"/>
    </w:rPr>
  </w:style>
  <w:style w:type="paragraph" w:styleId="TOC2">
    <w:name w:val="toc 2"/>
    <w:basedOn w:val="Normal"/>
    <w:next w:val="Normal"/>
    <w:autoRedefine/>
    <w:rsid w:val="00B93188"/>
    <w:pPr>
      <w:ind w:left="240"/>
    </w:pPr>
    <w:rPr>
      <w:rFonts w:ascii="Calibri" w:hAnsi="Calibri"/>
      <w:sz w:val="24"/>
    </w:rPr>
  </w:style>
  <w:style w:type="paragraph" w:styleId="TOC3">
    <w:name w:val="toc 3"/>
    <w:basedOn w:val="Normal"/>
    <w:next w:val="Normal"/>
    <w:autoRedefine/>
    <w:rsid w:val="00B93188"/>
    <w:pPr>
      <w:ind w:left="480"/>
    </w:pPr>
    <w:rPr>
      <w:rFonts w:ascii="Calibri" w:hAnsi="Calibri"/>
      <w:sz w:val="24"/>
    </w:rPr>
  </w:style>
  <w:style w:type="paragraph" w:styleId="TOC4">
    <w:name w:val="toc 4"/>
    <w:basedOn w:val="Normal"/>
    <w:next w:val="Normal"/>
    <w:autoRedefine/>
    <w:rsid w:val="00B93188"/>
    <w:pPr>
      <w:ind w:left="720"/>
    </w:pPr>
    <w:rPr>
      <w:rFonts w:ascii="Calibri" w:hAnsi="Calibri"/>
      <w:sz w:val="24"/>
    </w:rPr>
  </w:style>
  <w:style w:type="paragraph" w:styleId="TOC5">
    <w:name w:val="toc 5"/>
    <w:basedOn w:val="Normal"/>
    <w:next w:val="Normal"/>
    <w:autoRedefine/>
    <w:rsid w:val="00B93188"/>
    <w:pPr>
      <w:ind w:left="960"/>
    </w:pPr>
    <w:rPr>
      <w:rFonts w:ascii="Calibri" w:hAnsi="Calibri"/>
      <w:sz w:val="24"/>
    </w:rPr>
  </w:style>
  <w:style w:type="paragraph" w:styleId="TOC6">
    <w:name w:val="toc 6"/>
    <w:basedOn w:val="Normal"/>
    <w:next w:val="Normal"/>
    <w:autoRedefine/>
    <w:rsid w:val="00B93188"/>
    <w:pPr>
      <w:ind w:left="1200"/>
    </w:pPr>
    <w:rPr>
      <w:rFonts w:ascii="Calibri" w:hAnsi="Calibri"/>
      <w:sz w:val="24"/>
    </w:rPr>
  </w:style>
  <w:style w:type="paragraph" w:styleId="TOC7">
    <w:name w:val="toc 7"/>
    <w:basedOn w:val="Normal"/>
    <w:next w:val="Normal"/>
    <w:autoRedefine/>
    <w:rsid w:val="00B93188"/>
    <w:pPr>
      <w:ind w:left="1440"/>
    </w:pPr>
    <w:rPr>
      <w:rFonts w:ascii="Calibri" w:hAnsi="Calibri"/>
      <w:sz w:val="24"/>
    </w:rPr>
  </w:style>
  <w:style w:type="paragraph" w:styleId="TOC8">
    <w:name w:val="toc 8"/>
    <w:basedOn w:val="Normal"/>
    <w:next w:val="Normal"/>
    <w:autoRedefine/>
    <w:rsid w:val="00B93188"/>
    <w:pPr>
      <w:ind w:left="1680"/>
    </w:pPr>
    <w:rPr>
      <w:rFonts w:ascii="Calibri" w:hAnsi="Calibri"/>
      <w:sz w:val="24"/>
    </w:rPr>
  </w:style>
  <w:style w:type="paragraph" w:styleId="TOC9">
    <w:name w:val="toc 9"/>
    <w:basedOn w:val="Normal"/>
    <w:next w:val="Normal"/>
    <w:autoRedefine/>
    <w:rsid w:val="00B93188"/>
    <w:pPr>
      <w:ind w:left="1920"/>
    </w:pPr>
    <w:rPr>
      <w:rFonts w:ascii="Calibri" w:hAnsi="Calibri"/>
      <w:sz w:val="24"/>
    </w:rPr>
  </w:style>
  <w:style w:type="paragraph" w:customStyle="1" w:styleId="dotpoint0">
    <w:name w:val="dot point"/>
    <w:basedOn w:val="Normal"/>
    <w:link w:val="dotpointChar"/>
    <w:qFormat/>
    <w:rsid w:val="004D5E62"/>
    <w:pPr>
      <w:tabs>
        <w:tab w:val="num" w:pos="360"/>
      </w:tabs>
      <w:spacing w:after="120"/>
      <w:ind w:left="360" w:hanging="360"/>
    </w:pPr>
    <w:rPr>
      <w:rFonts w:ascii="Calibri" w:hAnsi="Calibri"/>
      <w:sz w:val="24"/>
    </w:rPr>
  </w:style>
  <w:style w:type="character" w:customStyle="1" w:styleId="dotpointChar">
    <w:name w:val="dot point Char"/>
    <w:basedOn w:val="DefaultParagraphFont"/>
    <w:link w:val="dotpoint0"/>
    <w:rsid w:val="004D5E62"/>
    <w:rPr>
      <w:rFonts w:ascii="Calibri" w:hAnsi="Calibri"/>
      <w:sz w:val="24"/>
      <w:lang w:eastAsia="en-US"/>
    </w:rPr>
  </w:style>
</w:styles>
</file>

<file path=word/webSettings.xml><?xml version="1.0" encoding="utf-8"?>
<w:webSettings xmlns:r="http://schemas.openxmlformats.org/officeDocument/2006/relationships" xmlns:w="http://schemas.openxmlformats.org/wordprocessingml/2006/main">
  <w:divs>
    <w:div w:id="177146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DFE4D-8B86-4214-8341-BA9E913A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9654</Words>
  <Characters>55033</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Chapter 6: Revenue</vt:lpstr>
    </vt:vector>
  </TitlesOfParts>
  <Company>Chief Minister and Treasury Directorate, ACT Government</Company>
  <LinksUpToDate>false</LinksUpToDate>
  <CharactersWithSpaces>64558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6: Revenue</dc:title>
  <dc:subject>2014-15 Budget Paper No. 3</dc:subject>
  <dc:creator>Chief Minister and Treasury Directorate, ACT Government</dc:creator>
  <cp:keywords>2014-15 Budget Paper No. 3</cp:keywords>
  <cp:lastModifiedBy>charlotte miles</cp:lastModifiedBy>
  <cp:revision>2</cp:revision>
  <cp:lastPrinted>2014-05-28T06:01:00Z</cp:lastPrinted>
  <dcterms:created xsi:type="dcterms:W3CDTF">2014-06-02T06:07:00Z</dcterms:created>
  <dcterms:modified xsi:type="dcterms:W3CDTF">2014-06-02T06:07:00Z</dcterms:modified>
</cp:coreProperties>
</file>