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1C17E" w14:textId="77777777" w:rsidR="000C529C" w:rsidRDefault="00000000">
      <w:pPr>
        <w:pStyle w:val="Heading1"/>
      </w:pPr>
      <w:bookmarkStart w:id="0" w:name="Title_Page_-_FMA_GPA_24.09.26"/>
      <w:bookmarkStart w:id="1" w:name="POST_CAB_Att_A_-_Gov_Response"/>
      <w:bookmarkStart w:id="2" w:name="Acknowledgement_of_Country"/>
      <w:bookmarkStart w:id="3" w:name="Recommendation_9"/>
      <w:bookmarkStart w:id="4" w:name="Recommendation_12"/>
      <w:bookmarkStart w:id="5" w:name="Attach_A_-_FMA_Review_ToR"/>
      <w:bookmarkStart w:id="6" w:name="Financial_Management_Act_1996"/>
      <w:bookmarkStart w:id="7" w:name="Blank_Page"/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color w:val="6D46DF"/>
        </w:rPr>
        <w:t>FINANCIAL</w:t>
      </w:r>
      <w:r>
        <w:rPr>
          <w:color w:val="6D46DF"/>
          <w:spacing w:val="-2"/>
        </w:rPr>
        <w:t xml:space="preserve"> </w:t>
      </w:r>
      <w:r>
        <w:rPr>
          <w:color w:val="6D46DF"/>
        </w:rPr>
        <w:t>MANAGEMENT</w:t>
      </w:r>
      <w:r>
        <w:rPr>
          <w:color w:val="6D46DF"/>
          <w:spacing w:val="-5"/>
        </w:rPr>
        <w:t xml:space="preserve"> </w:t>
      </w:r>
      <w:r>
        <w:rPr>
          <w:color w:val="6D46DF"/>
        </w:rPr>
        <w:t>ACT</w:t>
      </w:r>
      <w:r>
        <w:rPr>
          <w:color w:val="6D46DF"/>
          <w:spacing w:val="-4"/>
        </w:rPr>
        <w:t xml:space="preserve"> 1996</w:t>
      </w:r>
    </w:p>
    <w:p w14:paraId="1698E0A2" w14:textId="77777777" w:rsidR="000C529C" w:rsidRDefault="00000000">
      <w:pPr>
        <w:pStyle w:val="Heading2"/>
      </w:pPr>
      <w:bookmarkStart w:id="8" w:name="2026_Review_Terms_of_Reference"/>
      <w:bookmarkEnd w:id="8"/>
      <w:r>
        <w:rPr>
          <w:color w:val="6D46DF"/>
        </w:rPr>
        <w:t>2026</w:t>
      </w:r>
      <w:r>
        <w:rPr>
          <w:color w:val="6D46DF"/>
          <w:spacing w:val="-3"/>
        </w:rPr>
        <w:t xml:space="preserve"> </w:t>
      </w:r>
      <w:r>
        <w:rPr>
          <w:color w:val="6D46DF"/>
        </w:rPr>
        <w:t>REVIEW</w:t>
      </w:r>
      <w:r>
        <w:rPr>
          <w:color w:val="6D46DF"/>
          <w:spacing w:val="-2"/>
        </w:rPr>
        <w:t xml:space="preserve"> </w:t>
      </w:r>
      <w:r>
        <w:rPr>
          <w:color w:val="6D46DF"/>
        </w:rPr>
        <w:t>TERMS</w:t>
      </w:r>
      <w:r>
        <w:rPr>
          <w:color w:val="6D46DF"/>
          <w:spacing w:val="-2"/>
        </w:rPr>
        <w:t xml:space="preserve"> </w:t>
      </w:r>
      <w:r>
        <w:rPr>
          <w:color w:val="6D46DF"/>
        </w:rPr>
        <w:t>OF</w:t>
      </w:r>
      <w:r>
        <w:rPr>
          <w:color w:val="6D46DF"/>
          <w:spacing w:val="-1"/>
        </w:rPr>
        <w:t xml:space="preserve"> </w:t>
      </w:r>
      <w:r>
        <w:rPr>
          <w:color w:val="6D46DF"/>
          <w:spacing w:val="-2"/>
        </w:rPr>
        <w:t>REFERENCE</w:t>
      </w:r>
    </w:p>
    <w:p w14:paraId="01EE62E0" w14:textId="77777777" w:rsidR="000C529C" w:rsidRDefault="00000000">
      <w:pPr>
        <w:pStyle w:val="Heading3"/>
        <w:spacing w:before="359"/>
      </w:pPr>
      <w:bookmarkStart w:id="9" w:name="Recommendation_1"/>
      <w:bookmarkStart w:id="10" w:name="Introduction"/>
      <w:bookmarkEnd w:id="9"/>
      <w:bookmarkEnd w:id="10"/>
      <w:r>
        <w:rPr>
          <w:color w:val="6D46DF"/>
          <w:spacing w:val="-2"/>
        </w:rPr>
        <w:t>Introduction</w:t>
      </w:r>
    </w:p>
    <w:p w14:paraId="3153CB72" w14:textId="77777777" w:rsidR="000C529C" w:rsidRDefault="00000000">
      <w:pPr>
        <w:pStyle w:val="BodyText"/>
        <w:spacing w:before="180" w:line="259" w:lineRule="auto"/>
      </w:pPr>
      <w:bookmarkStart w:id="11" w:name="Recommendation_4"/>
      <w:bookmarkEnd w:id="11"/>
      <w:r>
        <w:t xml:space="preserve">The </w:t>
      </w:r>
      <w:r>
        <w:rPr>
          <w:i/>
        </w:rPr>
        <w:t xml:space="preserve">Financial Management Act 1996 </w:t>
      </w:r>
      <w:r>
        <w:t xml:space="preserve">(FMA) was introduced in 1996 to establish a comprehensive </w:t>
      </w:r>
      <w:bookmarkStart w:id="12" w:name="Recommendation_6"/>
      <w:bookmarkEnd w:id="12"/>
      <w:r>
        <w:t>framework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ﬁnancial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budget</w:t>
      </w:r>
      <w:r>
        <w:rPr>
          <w:spacing w:val="-5"/>
        </w:rPr>
        <w:t xml:space="preserve"> </w:t>
      </w:r>
      <w:r>
        <w:t>management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Territory</w:t>
      </w:r>
      <w:r>
        <w:rPr>
          <w:spacing w:val="-5"/>
        </w:rPr>
        <w:t xml:space="preserve"> </w:t>
      </w:r>
      <w:r>
        <w:t>government.</w:t>
      </w:r>
      <w:r>
        <w:rPr>
          <w:spacing w:val="-6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provides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 ﬁnancial management</w:t>
      </w:r>
      <w:r>
        <w:rPr>
          <w:spacing w:val="-1"/>
        </w:rPr>
        <w:t xml:space="preserve"> </w:t>
      </w:r>
      <w:r>
        <w:t>of the resources</w:t>
      </w:r>
      <w:r>
        <w:rPr>
          <w:spacing w:val="-1"/>
        </w:rPr>
        <w:t xml:space="preserve"> </w:t>
      </w:r>
      <w:r>
        <w:t>of the Territory, for</w:t>
      </w:r>
      <w:r>
        <w:rPr>
          <w:spacing w:val="-1"/>
        </w:rPr>
        <w:t xml:space="preserve"> </w:t>
      </w:r>
      <w:r>
        <w:t>the scrutiny of</w:t>
      </w:r>
      <w:r>
        <w:rPr>
          <w:spacing w:val="-1"/>
        </w:rPr>
        <w:t xml:space="preserve"> </w:t>
      </w:r>
      <w:r>
        <w:t>ﬁnancial management</w:t>
      </w:r>
      <w:r>
        <w:rPr>
          <w:spacing w:val="-1"/>
        </w:rPr>
        <w:t xml:space="preserve"> </w:t>
      </w:r>
      <w:r>
        <w:t>by the Legislative Assembly, for specifying ﬁnancial reporting requirements and for related purposes.</w:t>
      </w:r>
    </w:p>
    <w:p w14:paraId="76B0A45D" w14:textId="77777777" w:rsidR="000C529C" w:rsidRDefault="00000000">
      <w:pPr>
        <w:pStyle w:val="BodyText"/>
        <w:spacing w:before="160" w:line="259" w:lineRule="auto"/>
      </w:pPr>
      <w:r>
        <w:t>The FMA has been amended several times since its introduction with the last major update completed in 2015 which streamlined administrative requirements, enhanced transparency and accountability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Legislative</w:t>
      </w:r>
      <w:r>
        <w:rPr>
          <w:spacing w:val="-5"/>
        </w:rPr>
        <w:t xml:space="preserve"> </w:t>
      </w:r>
      <w:r>
        <w:t>Assembly</w:t>
      </w:r>
      <w:r>
        <w:rPr>
          <w:spacing w:val="-5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well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greater</w:t>
      </w:r>
      <w:r>
        <w:rPr>
          <w:spacing w:val="-6"/>
        </w:rPr>
        <w:t xml:space="preserve"> </w:t>
      </w:r>
      <w:r>
        <w:t>ﬂexibility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 xml:space="preserve">to </w:t>
      </w:r>
      <w:bookmarkStart w:id="13" w:name="ACT_Government_–_Government_Response"/>
      <w:bookmarkEnd w:id="13"/>
      <w:r>
        <w:t>respond to emerging priorities.</w:t>
      </w:r>
    </w:p>
    <w:p w14:paraId="719E6D5B" w14:textId="77777777" w:rsidR="000C529C" w:rsidRDefault="00000000">
      <w:pPr>
        <w:pStyle w:val="BodyText"/>
        <w:spacing w:before="157"/>
      </w:pP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2024</w:t>
      </w:r>
      <w:r>
        <w:rPr>
          <w:spacing w:val="-6"/>
        </w:rPr>
        <w:t xml:space="preserve"> </w:t>
      </w:r>
      <w:r>
        <w:t>Election,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committed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undertake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review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FMA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proofErr w:type="spellStart"/>
      <w:r>
        <w:t>modernise</w:t>
      </w:r>
      <w:proofErr w:type="spellEnd"/>
      <w:r>
        <w:rPr>
          <w:spacing w:val="-5"/>
        </w:rPr>
        <w:t xml:space="preserve"> it</w:t>
      </w:r>
    </w:p>
    <w:p w14:paraId="65D639B6" w14:textId="77777777" w:rsidR="000C529C" w:rsidRDefault="00000000">
      <w:pPr>
        <w:pStyle w:val="BodyText"/>
        <w:ind w:left="21"/>
      </w:pPr>
      <w:bookmarkStart w:id="14" w:name="Recommendation_10"/>
      <w:bookmarkEnd w:id="14"/>
      <w:r>
        <w:t>and</w:t>
      </w:r>
      <w:r>
        <w:rPr>
          <w:spacing w:val="-7"/>
        </w:rPr>
        <w:t xml:space="preserve"> </w:t>
      </w:r>
      <w:r>
        <w:t>bring</w:t>
      </w:r>
      <w:r>
        <w:rPr>
          <w:spacing w:val="-7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line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expectations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standards.</w:t>
      </w:r>
    </w:p>
    <w:p w14:paraId="6670EC7B" w14:textId="77777777" w:rsidR="000C529C" w:rsidRDefault="00000000">
      <w:pPr>
        <w:pStyle w:val="BodyText"/>
        <w:spacing w:before="182" w:line="259" w:lineRule="auto"/>
      </w:pPr>
      <w:r>
        <w:t xml:space="preserve">The Select Committee on Financial Management and Government Procurement Legislative </w:t>
      </w:r>
      <w:bookmarkStart w:id="15" w:name="Recommendation_2"/>
      <w:bookmarkEnd w:id="15"/>
      <w:r>
        <w:t>Compliance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tabled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recommendations</w:t>
      </w:r>
      <w:r>
        <w:rPr>
          <w:spacing w:val="-4"/>
        </w:rPr>
        <w:t xml:space="preserve"> </w:t>
      </w:r>
      <w:r>
        <w:t>supported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ﬁndings in</w:t>
      </w:r>
      <w:r>
        <w:rPr>
          <w:spacing w:val="-6"/>
        </w:rPr>
        <w:t xml:space="preserve"> </w:t>
      </w:r>
      <w:r>
        <w:t>relation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FMA.</w:t>
      </w:r>
      <w:r>
        <w:rPr>
          <w:spacing w:val="-7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recommendations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ﬁndings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review.</w:t>
      </w:r>
    </w:p>
    <w:p w14:paraId="152D2412" w14:textId="77777777" w:rsidR="000C529C" w:rsidRDefault="000C529C">
      <w:pPr>
        <w:pStyle w:val="BodyText"/>
        <w:spacing w:before="89"/>
        <w:ind w:left="0"/>
      </w:pPr>
    </w:p>
    <w:p w14:paraId="7FCD83E7" w14:textId="77777777" w:rsidR="000C529C" w:rsidRDefault="00000000">
      <w:pPr>
        <w:pStyle w:val="Heading3"/>
      </w:pPr>
      <w:bookmarkStart w:id="16" w:name="Recommendation_7"/>
      <w:bookmarkStart w:id="17" w:name="Timing"/>
      <w:bookmarkEnd w:id="16"/>
      <w:bookmarkEnd w:id="17"/>
      <w:r>
        <w:rPr>
          <w:color w:val="6D46DF"/>
          <w:spacing w:val="-2"/>
        </w:rPr>
        <w:t>Timing</w:t>
      </w:r>
    </w:p>
    <w:p w14:paraId="0A4A2C0F" w14:textId="77777777" w:rsidR="000C529C" w:rsidRDefault="00000000">
      <w:pPr>
        <w:pStyle w:val="BodyText"/>
        <w:spacing w:before="183" w:line="259" w:lineRule="auto"/>
      </w:pPr>
      <w:r>
        <w:t>The</w:t>
      </w:r>
      <w:r>
        <w:rPr>
          <w:spacing w:val="-3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August</w:t>
      </w:r>
      <w:r>
        <w:rPr>
          <w:spacing w:val="-3"/>
        </w:rPr>
        <w:t xml:space="preserve"> </w:t>
      </w:r>
      <w:r>
        <w:t>2027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enable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amendment</w:t>
      </w:r>
      <w:r>
        <w:rPr>
          <w:spacing w:val="-3"/>
        </w:rPr>
        <w:t xml:space="preserve"> </w:t>
      </w:r>
      <w:r>
        <w:t>bill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be introduced to the Legislative Assembly in September 2027 with anticipated passing of updated </w:t>
      </w:r>
      <w:bookmarkStart w:id="18" w:name="Recommendation_5"/>
      <w:bookmarkEnd w:id="18"/>
      <w:r>
        <w:t>legislation in February 2028.</w:t>
      </w:r>
    </w:p>
    <w:p w14:paraId="5A88E7BB" w14:textId="77777777" w:rsidR="000C529C" w:rsidRDefault="000C529C">
      <w:pPr>
        <w:pStyle w:val="BodyText"/>
        <w:spacing w:before="90"/>
        <w:ind w:left="0"/>
      </w:pPr>
    </w:p>
    <w:p w14:paraId="512ED82F" w14:textId="77777777" w:rsidR="000C529C" w:rsidRDefault="00000000">
      <w:pPr>
        <w:pStyle w:val="Heading3"/>
      </w:pPr>
      <w:bookmarkStart w:id="19" w:name="Recommendation_3"/>
      <w:bookmarkStart w:id="20" w:name="Recommendation_11"/>
      <w:bookmarkStart w:id="21" w:name="Terms_of_Reference"/>
      <w:bookmarkEnd w:id="19"/>
      <w:bookmarkEnd w:id="20"/>
      <w:bookmarkEnd w:id="21"/>
      <w:r>
        <w:rPr>
          <w:color w:val="6D46DF"/>
        </w:rPr>
        <w:t>Terms</w:t>
      </w:r>
      <w:r>
        <w:rPr>
          <w:color w:val="6D46DF"/>
          <w:spacing w:val="-7"/>
        </w:rPr>
        <w:t xml:space="preserve"> </w:t>
      </w:r>
      <w:r>
        <w:rPr>
          <w:color w:val="6D46DF"/>
        </w:rPr>
        <w:t>of</w:t>
      </w:r>
      <w:r>
        <w:rPr>
          <w:color w:val="6D46DF"/>
          <w:spacing w:val="-7"/>
        </w:rPr>
        <w:t xml:space="preserve"> </w:t>
      </w:r>
      <w:r>
        <w:rPr>
          <w:color w:val="6D46DF"/>
          <w:spacing w:val="-2"/>
        </w:rPr>
        <w:t>Reference</w:t>
      </w:r>
    </w:p>
    <w:p w14:paraId="0D286875" w14:textId="77777777" w:rsidR="000C529C" w:rsidRDefault="00000000">
      <w:pPr>
        <w:pStyle w:val="BodyText"/>
        <w:spacing w:before="180" w:line="259" w:lineRule="auto"/>
      </w:pPr>
      <w:r>
        <w:t>The</w:t>
      </w:r>
      <w:r>
        <w:rPr>
          <w:spacing w:val="-3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examine</w:t>
      </w:r>
      <w:r>
        <w:rPr>
          <w:spacing w:val="-6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i/>
        </w:rPr>
        <w:t>Financial</w:t>
      </w:r>
      <w:r>
        <w:rPr>
          <w:i/>
          <w:spacing w:val="-4"/>
        </w:rPr>
        <w:t xml:space="preserve"> </w:t>
      </w:r>
      <w:r>
        <w:rPr>
          <w:i/>
        </w:rPr>
        <w:t>Management</w:t>
      </w:r>
      <w:r>
        <w:rPr>
          <w:i/>
          <w:spacing w:val="-3"/>
        </w:rPr>
        <w:t xml:space="preserve"> </w:t>
      </w:r>
      <w:r>
        <w:rPr>
          <w:i/>
        </w:rPr>
        <w:t>Act</w:t>
      </w:r>
      <w:r>
        <w:rPr>
          <w:i/>
          <w:spacing w:val="-6"/>
        </w:rPr>
        <w:t xml:space="preserve"> </w:t>
      </w:r>
      <w:r>
        <w:rPr>
          <w:i/>
        </w:rPr>
        <w:t>1996</w:t>
      </w:r>
      <w:r>
        <w:rPr>
          <w:i/>
          <w:spacing w:val="-2"/>
        </w:rPr>
        <w:t xml:space="preserve"> </w:t>
      </w:r>
      <w:r>
        <w:t>remains</w:t>
      </w:r>
      <w:r>
        <w:rPr>
          <w:spacing w:val="-4"/>
        </w:rPr>
        <w:t xml:space="preserve"> </w:t>
      </w:r>
      <w:r>
        <w:t>ﬁt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purpose</w:t>
      </w:r>
      <w:r>
        <w:rPr>
          <w:spacing w:val="-6"/>
        </w:rPr>
        <w:t xml:space="preserve"> </w:t>
      </w:r>
      <w:r>
        <w:t xml:space="preserve">and supports contemporary standards of public sector ﬁnancial management, accountability, transparency and Legislative Assembly scrutiny. It will seek to enhance clarity, ﬂexibility and </w:t>
      </w:r>
      <w:bookmarkStart w:id="22" w:name="Recommendation_8"/>
      <w:bookmarkEnd w:id="22"/>
      <w:r>
        <w:t>accountability without imposing additional administrative burden and costs of compliance.</w:t>
      </w:r>
    </w:p>
    <w:p w14:paraId="623BFAC3" w14:textId="77777777" w:rsidR="000C529C" w:rsidRDefault="00000000">
      <w:pPr>
        <w:pStyle w:val="BodyText"/>
        <w:spacing w:before="158" w:line="259" w:lineRule="auto"/>
      </w:pPr>
      <w:r>
        <w:t>In</w:t>
      </w:r>
      <w:r>
        <w:rPr>
          <w:spacing w:val="-2"/>
        </w:rPr>
        <w:t xml:space="preserve"> </w:t>
      </w:r>
      <w:r>
        <w:t>undertaking</w:t>
      </w:r>
      <w:r>
        <w:rPr>
          <w:spacing w:val="-2"/>
        </w:rPr>
        <w:t xml:space="preserve"> </w:t>
      </w:r>
      <w:r>
        <w:t>the Review,</w:t>
      </w:r>
      <w:r>
        <w:rPr>
          <w:spacing w:val="-3"/>
        </w:rPr>
        <w:t xml:space="preserve"> </w:t>
      </w:r>
      <w:r>
        <w:t>consideration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given</w:t>
      </w:r>
      <w:r>
        <w:rPr>
          <w:spacing w:val="-4"/>
        </w:rPr>
        <w:t xml:space="preserve"> </w:t>
      </w:r>
      <w:r>
        <w:t>to the ﬁndings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recommendations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Select</w:t>
      </w:r>
      <w:r>
        <w:rPr>
          <w:spacing w:val="-9"/>
        </w:rPr>
        <w:t xml:space="preserve"> </w:t>
      </w:r>
      <w:r>
        <w:t>Committee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Management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Procurement</w:t>
      </w:r>
      <w:r>
        <w:rPr>
          <w:spacing w:val="-9"/>
        </w:rPr>
        <w:t xml:space="preserve"> </w:t>
      </w:r>
      <w:r>
        <w:t>Legislative</w:t>
      </w:r>
      <w:r>
        <w:rPr>
          <w:spacing w:val="-6"/>
        </w:rPr>
        <w:t xml:space="preserve"> </w:t>
      </w:r>
      <w:r>
        <w:t>Compliance.</w:t>
      </w:r>
    </w:p>
    <w:p w14:paraId="320FF5C4" w14:textId="77777777" w:rsidR="000C529C" w:rsidRDefault="00000000">
      <w:pPr>
        <w:pStyle w:val="BodyText"/>
        <w:spacing w:before="159"/>
      </w:pPr>
      <w:r>
        <w:t>The</w:t>
      </w:r>
      <w:r>
        <w:rPr>
          <w:spacing w:val="-4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rPr>
          <w:spacing w:val="-2"/>
        </w:rPr>
        <w:t>consider:</w:t>
      </w:r>
    </w:p>
    <w:p w14:paraId="29541B66" w14:textId="77777777" w:rsidR="000C529C" w:rsidRDefault="00000000">
      <w:pPr>
        <w:pStyle w:val="ListParagraph"/>
        <w:numPr>
          <w:ilvl w:val="0"/>
          <w:numId w:val="2"/>
        </w:numPr>
        <w:tabs>
          <w:tab w:val="left" w:pos="378"/>
        </w:tabs>
        <w:spacing w:before="182"/>
        <w:ind w:left="378" w:hanging="356"/>
      </w:pPr>
      <w:r>
        <w:t>the</w:t>
      </w:r>
      <w:r>
        <w:rPr>
          <w:spacing w:val="-4"/>
        </w:rPr>
        <w:t xml:space="preserve"> </w:t>
      </w:r>
      <w:r>
        <w:t>adequacy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supporting</w:t>
      </w:r>
      <w:r>
        <w:rPr>
          <w:spacing w:val="-4"/>
        </w:rPr>
        <w:t xml:space="preserve"> </w:t>
      </w:r>
      <w:r>
        <w:t>accountability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money,</w:t>
      </w:r>
      <w:r>
        <w:rPr>
          <w:spacing w:val="43"/>
        </w:rPr>
        <w:t xml:space="preserve"> </w:t>
      </w:r>
      <w:r>
        <w:rPr>
          <w:spacing w:val="-2"/>
        </w:rPr>
        <w:t>transparency</w:t>
      </w:r>
    </w:p>
    <w:p w14:paraId="1AABDE91" w14:textId="77777777" w:rsidR="000C529C" w:rsidRDefault="00000000">
      <w:pPr>
        <w:pStyle w:val="BodyText"/>
        <w:ind w:left="380"/>
      </w:pPr>
      <w:r>
        <w:t>in</w:t>
      </w:r>
      <w:r>
        <w:rPr>
          <w:spacing w:val="-9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reporting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decision-</w:t>
      </w:r>
      <w:r>
        <w:rPr>
          <w:spacing w:val="-2"/>
        </w:rPr>
        <w:t>making;</w:t>
      </w:r>
    </w:p>
    <w:p w14:paraId="4E86113B" w14:textId="77777777" w:rsidR="000C529C" w:rsidRDefault="00000000">
      <w:pPr>
        <w:pStyle w:val="ListParagraph"/>
        <w:numPr>
          <w:ilvl w:val="0"/>
          <w:numId w:val="2"/>
        </w:numPr>
        <w:tabs>
          <w:tab w:val="left" w:pos="377"/>
          <w:tab w:val="left" w:pos="379"/>
        </w:tabs>
        <w:spacing w:before="140" w:line="259" w:lineRule="auto"/>
        <w:ind w:left="379" w:right="1282"/>
      </w:pPr>
      <w:r>
        <w:t>the</w:t>
      </w:r>
      <w:r>
        <w:rPr>
          <w:spacing w:val="-2"/>
        </w:rPr>
        <w:t xml:space="preserve"> </w:t>
      </w:r>
      <w:r>
        <w:t>timeliness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Legislative</w:t>
      </w:r>
      <w:r>
        <w:rPr>
          <w:spacing w:val="-2"/>
        </w:rPr>
        <w:t xml:space="preserve"> </w:t>
      </w:r>
      <w:r>
        <w:t>Assembly</w:t>
      </w:r>
      <w:r>
        <w:rPr>
          <w:spacing w:val="-2"/>
        </w:rPr>
        <w:t xml:space="preserve"> </w:t>
      </w:r>
      <w:r>
        <w:t>where appropriations are amended, varied or otherwise affected;</w:t>
      </w:r>
    </w:p>
    <w:p w14:paraId="084FD2E3" w14:textId="77777777" w:rsidR="000C529C" w:rsidRDefault="00000000">
      <w:pPr>
        <w:pStyle w:val="ListParagraph"/>
        <w:numPr>
          <w:ilvl w:val="0"/>
          <w:numId w:val="2"/>
        </w:numPr>
        <w:tabs>
          <w:tab w:val="left" w:pos="377"/>
          <w:tab w:val="left" w:pos="379"/>
        </w:tabs>
        <w:spacing w:before="32" w:line="268" w:lineRule="auto"/>
        <w:ind w:left="379" w:right="663"/>
      </w:pPr>
      <w:r>
        <w:t>the operation, timing and use of section 16B — Rollover of undisbursed appropriation — including</w:t>
      </w:r>
      <w:r>
        <w:rPr>
          <w:spacing w:val="-5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t>arrangements</w:t>
      </w:r>
      <w:r>
        <w:rPr>
          <w:spacing w:val="-4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appropriate</w:t>
      </w:r>
      <w:r>
        <w:rPr>
          <w:spacing w:val="-6"/>
        </w:rPr>
        <w:t xml:space="preserve"> </w:t>
      </w:r>
      <w:r>
        <w:t>transparency,</w:t>
      </w:r>
      <w:r>
        <w:rPr>
          <w:spacing w:val="-4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2"/>
        </w:rPr>
        <w:t>scrutiny;</w:t>
      </w:r>
    </w:p>
    <w:p w14:paraId="795A08C2" w14:textId="77777777" w:rsidR="000C529C" w:rsidRDefault="000C529C">
      <w:pPr>
        <w:pStyle w:val="ListParagraph"/>
        <w:spacing w:line="268" w:lineRule="auto"/>
        <w:sectPr w:rsidR="000C529C">
          <w:footerReference w:type="default" r:id="rId7"/>
          <w:type w:val="continuous"/>
          <w:pgSz w:w="11910" w:h="16840"/>
          <w:pgMar w:top="1480" w:right="1417" w:bottom="1200" w:left="1417" w:header="0" w:footer="1002" w:gutter="0"/>
          <w:pgNumType w:start="1"/>
          <w:cols w:space="720"/>
        </w:sectPr>
      </w:pPr>
    </w:p>
    <w:p w14:paraId="0E0EE075" w14:textId="77777777" w:rsidR="000C529C" w:rsidRDefault="00000000">
      <w:pPr>
        <w:pStyle w:val="ListParagraph"/>
        <w:numPr>
          <w:ilvl w:val="0"/>
          <w:numId w:val="2"/>
        </w:numPr>
        <w:tabs>
          <w:tab w:val="left" w:pos="378"/>
          <w:tab w:val="left" w:pos="380"/>
        </w:tabs>
        <w:spacing w:before="35" w:line="268" w:lineRule="auto"/>
        <w:ind w:right="241"/>
      </w:pPr>
      <w:r>
        <w:lastRenderedPageBreak/>
        <w:t>whether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provides</w:t>
      </w:r>
      <w:r>
        <w:rPr>
          <w:spacing w:val="-2"/>
        </w:rPr>
        <w:t xml:space="preserve"> </w:t>
      </w:r>
      <w:r>
        <w:t>sufficient</w:t>
      </w:r>
      <w:r>
        <w:rPr>
          <w:spacing w:val="-1"/>
        </w:rPr>
        <w:t xml:space="preserve"> </w:t>
      </w:r>
      <w:r>
        <w:t>clarity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role,</w:t>
      </w:r>
      <w:r>
        <w:rPr>
          <w:spacing w:val="-4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management instruments, directions, accounting policies and model financial statements;</w:t>
      </w:r>
    </w:p>
    <w:p w14:paraId="6BC5A438" w14:textId="77777777" w:rsidR="000C529C" w:rsidRDefault="00000000">
      <w:pPr>
        <w:pStyle w:val="ListParagraph"/>
        <w:numPr>
          <w:ilvl w:val="0"/>
          <w:numId w:val="2"/>
        </w:numPr>
        <w:tabs>
          <w:tab w:val="left" w:pos="378"/>
          <w:tab w:val="left" w:pos="380"/>
        </w:tabs>
        <w:spacing w:before="119" w:line="268" w:lineRule="auto"/>
        <w:ind w:right="71"/>
      </w:pPr>
      <w:r>
        <w:t>opportunities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reduce</w:t>
      </w:r>
      <w:r>
        <w:rPr>
          <w:spacing w:val="-3"/>
        </w:rPr>
        <w:t xml:space="preserve"> </w:t>
      </w:r>
      <w:r>
        <w:t>unnecessary</w:t>
      </w:r>
      <w:r>
        <w:rPr>
          <w:spacing w:val="-3"/>
        </w:rPr>
        <w:t xml:space="preserve"> </w:t>
      </w:r>
      <w:r>
        <w:t>administrative</w:t>
      </w:r>
      <w:r>
        <w:rPr>
          <w:spacing w:val="-5"/>
        </w:rPr>
        <w:t xml:space="preserve"> </w:t>
      </w:r>
      <w:r>
        <w:t>burden</w:t>
      </w:r>
      <w:r>
        <w:rPr>
          <w:spacing w:val="-4"/>
        </w:rPr>
        <w:t xml:space="preserve"> </w:t>
      </w:r>
      <w:r>
        <w:t>while</w:t>
      </w:r>
      <w:r>
        <w:rPr>
          <w:spacing w:val="-5"/>
        </w:rPr>
        <w:t xml:space="preserve"> </w:t>
      </w:r>
      <w:r>
        <w:t>maintaining,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strengthening, accountability, transparency and legislative compliance;</w:t>
      </w:r>
    </w:p>
    <w:p w14:paraId="1839EFA2" w14:textId="77777777" w:rsidR="000C529C" w:rsidRDefault="00000000">
      <w:pPr>
        <w:pStyle w:val="ListParagraph"/>
        <w:numPr>
          <w:ilvl w:val="0"/>
          <w:numId w:val="2"/>
        </w:numPr>
        <w:tabs>
          <w:tab w:val="left" w:pos="378"/>
          <w:tab w:val="left" w:pos="380"/>
        </w:tabs>
        <w:spacing w:before="118" w:line="268" w:lineRule="auto"/>
        <w:ind w:right="149"/>
      </w:pPr>
      <w:r>
        <w:t>the operation of Part 7 — Trust Money — including the scope and administration of trust money,</w:t>
      </w:r>
      <w:r>
        <w:rPr>
          <w:spacing w:val="-4"/>
        </w:rPr>
        <w:t xml:space="preserve"> </w:t>
      </w:r>
      <w:r>
        <w:t>banking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investment</w:t>
      </w:r>
      <w:r>
        <w:rPr>
          <w:spacing w:val="-4"/>
        </w:rPr>
        <w:t xml:space="preserve"> </w:t>
      </w:r>
      <w:r>
        <w:t>arrangements,</w:t>
      </w:r>
      <w:r>
        <w:rPr>
          <w:spacing w:val="-4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interest,</w:t>
      </w:r>
      <w:r>
        <w:rPr>
          <w:spacing w:val="-2"/>
        </w:rPr>
        <w:t xml:space="preserve"> </w:t>
      </w:r>
      <w:r>
        <w:t>unclaimed</w:t>
      </w:r>
      <w:r>
        <w:rPr>
          <w:spacing w:val="-3"/>
        </w:rPr>
        <w:t xml:space="preserve"> </w:t>
      </w:r>
      <w:r>
        <w:t>money,</w:t>
      </w:r>
      <w:r>
        <w:rPr>
          <w:spacing w:val="-4"/>
        </w:rPr>
        <w:t xml:space="preserve"> </w:t>
      </w:r>
      <w:r>
        <w:t>claims and review processes, transfers to and from the Territory Banking Account, and roles and responsibilities of agencies, the Public Trustee and the Treasurer;</w:t>
      </w:r>
    </w:p>
    <w:p w14:paraId="01AAD3ED" w14:textId="77777777" w:rsidR="000C529C" w:rsidRDefault="00000000">
      <w:pPr>
        <w:pStyle w:val="ListParagraph"/>
        <w:numPr>
          <w:ilvl w:val="0"/>
          <w:numId w:val="2"/>
        </w:numPr>
        <w:tabs>
          <w:tab w:val="left" w:pos="377"/>
          <w:tab w:val="left" w:pos="379"/>
        </w:tabs>
        <w:spacing w:line="268" w:lineRule="auto"/>
        <w:ind w:left="379" w:right="263"/>
      </w:pPr>
      <w:r>
        <w:t>whether</w:t>
      </w:r>
      <w:r>
        <w:rPr>
          <w:spacing w:val="-4"/>
        </w:rPr>
        <w:t xml:space="preserve"> </w:t>
      </w:r>
      <w:r>
        <w:t>amendments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improve</w:t>
      </w:r>
      <w:r>
        <w:rPr>
          <w:spacing w:val="-4"/>
        </w:rPr>
        <w:t xml:space="preserve"> </w:t>
      </w:r>
      <w:r>
        <w:t>clarity,</w:t>
      </w:r>
      <w:r>
        <w:rPr>
          <w:spacing w:val="-4"/>
        </w:rPr>
        <w:t xml:space="preserve"> </w:t>
      </w:r>
      <w:r>
        <w:t>interpretation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consistency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terms used in the Act, including definitions and obsolete terminology;</w:t>
      </w:r>
    </w:p>
    <w:p w14:paraId="1190D5CF" w14:textId="77777777" w:rsidR="000C529C" w:rsidRDefault="00000000">
      <w:pPr>
        <w:pStyle w:val="ListParagraph"/>
        <w:numPr>
          <w:ilvl w:val="0"/>
          <w:numId w:val="2"/>
        </w:numPr>
        <w:tabs>
          <w:tab w:val="left" w:pos="377"/>
          <w:tab w:val="left" w:pos="379"/>
        </w:tabs>
        <w:spacing w:before="119" w:line="268" w:lineRule="auto"/>
        <w:ind w:left="379" w:right="243"/>
      </w:pPr>
      <w:r>
        <w:t>whether provisions applying to directorates, territory authorities and territory-owned corporations</w:t>
      </w:r>
      <w:r>
        <w:rPr>
          <w:spacing w:val="-5"/>
        </w:rPr>
        <w:t xml:space="preserve"> </w:t>
      </w:r>
      <w:r>
        <w:t>remain</w:t>
      </w:r>
      <w:r>
        <w:rPr>
          <w:spacing w:val="-4"/>
        </w:rPr>
        <w:t xml:space="preserve"> </w:t>
      </w:r>
      <w:r>
        <w:t>appropriate,</w:t>
      </w:r>
      <w:r>
        <w:rPr>
          <w:spacing w:val="-3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whether</w:t>
      </w:r>
      <w:r>
        <w:rPr>
          <w:spacing w:val="-5"/>
        </w:rPr>
        <w:t xml:space="preserve"> </w:t>
      </w:r>
      <w:r>
        <w:t>obligations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applied</w:t>
      </w:r>
      <w:r>
        <w:rPr>
          <w:spacing w:val="-4"/>
        </w:rPr>
        <w:t xml:space="preserve"> </w:t>
      </w:r>
      <w:r>
        <w:t>consistently or differentiated according to entity type; and</w:t>
      </w:r>
    </w:p>
    <w:p w14:paraId="7C672E34" w14:textId="77777777" w:rsidR="000C529C" w:rsidRDefault="00000000">
      <w:pPr>
        <w:pStyle w:val="ListParagraph"/>
        <w:numPr>
          <w:ilvl w:val="0"/>
          <w:numId w:val="2"/>
        </w:numPr>
        <w:tabs>
          <w:tab w:val="left" w:pos="376"/>
          <w:tab w:val="left" w:pos="379"/>
        </w:tabs>
        <w:spacing w:line="268" w:lineRule="auto"/>
        <w:ind w:left="379" w:right="707"/>
      </w:pPr>
      <w:r>
        <w:t>consequential</w:t>
      </w:r>
      <w:r>
        <w:rPr>
          <w:spacing w:val="-7"/>
        </w:rPr>
        <w:t xml:space="preserve"> </w:t>
      </w:r>
      <w:r>
        <w:t>amendments</w:t>
      </w:r>
      <w:r>
        <w:rPr>
          <w:spacing w:val="-4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regulations,</w:t>
      </w:r>
      <w:r>
        <w:rPr>
          <w:spacing w:val="-6"/>
        </w:rPr>
        <w:t xml:space="preserve"> </w:t>
      </w:r>
      <w:r>
        <w:t>instruments,</w:t>
      </w:r>
      <w:r>
        <w:rPr>
          <w:spacing w:val="-4"/>
        </w:rPr>
        <w:t xml:space="preserve"> </w:t>
      </w:r>
      <w:r>
        <w:t>subordinate</w:t>
      </w:r>
      <w:r>
        <w:rPr>
          <w:spacing w:val="-4"/>
        </w:rPr>
        <w:t xml:space="preserve"> </w:t>
      </w:r>
      <w:r>
        <w:t>legislation, administrative guidance or related legislation.</w:t>
      </w:r>
    </w:p>
    <w:p w14:paraId="1D648717" w14:textId="77777777" w:rsidR="000C529C" w:rsidRDefault="00000000">
      <w:pPr>
        <w:pStyle w:val="BodyText"/>
        <w:spacing w:before="119" w:line="268" w:lineRule="auto"/>
        <w:ind w:right="10"/>
      </w:pPr>
      <w:r>
        <w:t>The</w:t>
      </w:r>
      <w:r>
        <w:rPr>
          <w:spacing w:val="-1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identify</w:t>
      </w:r>
      <w:r>
        <w:rPr>
          <w:spacing w:val="-1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matters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addressed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amendments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Act, supporting regulations or instruments, administrative guidance, changes to practice, or a combination of these mechanisms.</w:t>
      </w:r>
    </w:p>
    <w:p w14:paraId="349F3D1F" w14:textId="77777777" w:rsidR="000C529C" w:rsidRDefault="00000000">
      <w:pPr>
        <w:pStyle w:val="BodyText"/>
        <w:spacing w:before="118"/>
      </w:pPr>
      <w:r>
        <w:t>The</w:t>
      </w:r>
      <w:r>
        <w:rPr>
          <w:spacing w:val="-5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draw</w:t>
      </w:r>
      <w:r>
        <w:rPr>
          <w:spacing w:val="-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structures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experience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other</w:t>
      </w:r>
    </w:p>
    <w:p w14:paraId="5BF897D7" w14:textId="77777777" w:rsidR="000C529C" w:rsidRDefault="00000000">
      <w:pPr>
        <w:pStyle w:val="BodyText"/>
        <w:spacing w:before="31"/>
      </w:pPr>
      <w:bookmarkStart w:id="23" w:name="Consultation_and_Governance_Arrangements"/>
      <w:bookmarkEnd w:id="23"/>
      <w:r>
        <w:t>jurisdictions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inform</w:t>
      </w:r>
      <w:r>
        <w:rPr>
          <w:spacing w:val="-3"/>
        </w:rPr>
        <w:t xml:space="preserve"> </w:t>
      </w:r>
      <w:proofErr w:type="gramStart"/>
      <w:r>
        <w:t>its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findings.</w:t>
      </w:r>
    </w:p>
    <w:p w14:paraId="6AE5FB2E" w14:textId="77777777" w:rsidR="000C529C" w:rsidRDefault="000C529C">
      <w:pPr>
        <w:pStyle w:val="BodyText"/>
        <w:spacing w:before="92"/>
        <w:ind w:left="0"/>
      </w:pPr>
    </w:p>
    <w:p w14:paraId="13E1F904" w14:textId="77777777" w:rsidR="000C529C" w:rsidRDefault="00000000">
      <w:pPr>
        <w:pStyle w:val="Heading3"/>
      </w:pPr>
      <w:r>
        <w:rPr>
          <w:color w:val="6D46DF"/>
        </w:rPr>
        <w:t>Consultation</w:t>
      </w:r>
      <w:r>
        <w:rPr>
          <w:color w:val="6D46DF"/>
          <w:spacing w:val="-16"/>
        </w:rPr>
        <w:t xml:space="preserve"> </w:t>
      </w:r>
      <w:r>
        <w:rPr>
          <w:color w:val="6D46DF"/>
        </w:rPr>
        <w:t>and</w:t>
      </w:r>
      <w:r>
        <w:rPr>
          <w:color w:val="6D46DF"/>
          <w:spacing w:val="-13"/>
        </w:rPr>
        <w:t xml:space="preserve"> </w:t>
      </w:r>
      <w:r>
        <w:rPr>
          <w:color w:val="6D46DF"/>
        </w:rPr>
        <w:t>Governance</w:t>
      </w:r>
      <w:r>
        <w:rPr>
          <w:color w:val="6D46DF"/>
          <w:spacing w:val="-14"/>
        </w:rPr>
        <w:t xml:space="preserve"> </w:t>
      </w:r>
      <w:r>
        <w:rPr>
          <w:color w:val="6D46DF"/>
          <w:spacing w:val="-2"/>
        </w:rPr>
        <w:t>Arrangements</w:t>
      </w:r>
    </w:p>
    <w:p w14:paraId="5F1AD81B" w14:textId="77777777" w:rsidR="000C529C" w:rsidRDefault="00000000">
      <w:pPr>
        <w:pStyle w:val="BodyText"/>
        <w:spacing w:before="180" w:line="259" w:lineRule="auto"/>
      </w:pPr>
      <w:r>
        <w:t>The</w:t>
      </w:r>
      <w:r>
        <w:rPr>
          <w:spacing w:val="-5"/>
        </w:rPr>
        <w:t xml:space="preserve"> </w:t>
      </w:r>
      <w:r>
        <w:t>Review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undertaken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Treasury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independent</w:t>
      </w:r>
      <w:r>
        <w:rPr>
          <w:spacing w:val="-7"/>
        </w:rPr>
        <w:t xml:space="preserve"> </w:t>
      </w:r>
      <w:r>
        <w:t>expert/an</w:t>
      </w:r>
      <w:r>
        <w:rPr>
          <w:spacing w:val="-6"/>
        </w:rPr>
        <w:t xml:space="preserve"> </w:t>
      </w:r>
      <w:r>
        <w:t>external reviewer supported by Treasury.</w:t>
      </w:r>
    </w:p>
    <w:p w14:paraId="23E172DB" w14:textId="77777777" w:rsidR="000C529C" w:rsidRDefault="00000000">
      <w:pPr>
        <w:pStyle w:val="BodyText"/>
        <w:spacing w:before="159" w:line="259" w:lineRule="auto"/>
      </w:pPr>
      <w:r>
        <w:t>Consultation with stakeholders will be an important input. Treasury and the Reviewer will consult with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stakeholders</w:t>
      </w:r>
      <w:r>
        <w:rPr>
          <w:spacing w:val="-6"/>
        </w:rPr>
        <w:t xml:space="preserve"> </w:t>
      </w:r>
      <w:r>
        <w:t>through</w:t>
      </w:r>
      <w:r>
        <w:rPr>
          <w:spacing w:val="-6"/>
        </w:rPr>
        <w:t xml:space="preserve"> </w:t>
      </w:r>
      <w:r>
        <w:t>written</w:t>
      </w:r>
      <w:r>
        <w:rPr>
          <w:spacing w:val="-6"/>
        </w:rPr>
        <w:t xml:space="preserve"> </w:t>
      </w:r>
      <w:r>
        <w:t>submissions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discussions.</w:t>
      </w:r>
      <w:r>
        <w:rPr>
          <w:spacing w:val="-8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include,</w:t>
      </w:r>
      <w:r>
        <w:rPr>
          <w:spacing w:val="-5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are not limited to:</w:t>
      </w:r>
    </w:p>
    <w:p w14:paraId="1AFFF661" w14:textId="77777777" w:rsidR="000C529C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160"/>
        <w:ind w:left="742" w:hanging="360"/>
      </w:pPr>
      <w:r>
        <w:t>Directors-General,</w:t>
      </w:r>
      <w:r>
        <w:rPr>
          <w:spacing w:val="-13"/>
        </w:rPr>
        <w:t xml:space="preserve"> </w:t>
      </w:r>
      <w:r>
        <w:t>Chief</w:t>
      </w:r>
      <w:r>
        <w:rPr>
          <w:spacing w:val="-12"/>
        </w:rPr>
        <w:t xml:space="preserve"> </w:t>
      </w:r>
      <w:r>
        <w:t>Financial</w:t>
      </w:r>
      <w:r>
        <w:rPr>
          <w:spacing w:val="-13"/>
        </w:rPr>
        <w:t xml:space="preserve"> </w:t>
      </w:r>
      <w:r>
        <w:t>Oﬃcers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Directorate</w:t>
      </w:r>
      <w:r>
        <w:rPr>
          <w:spacing w:val="-10"/>
        </w:rPr>
        <w:t xml:space="preserve"> </w:t>
      </w:r>
      <w:r>
        <w:rPr>
          <w:spacing w:val="-2"/>
        </w:rPr>
        <w:t>oﬃcials</w:t>
      </w:r>
    </w:p>
    <w:p w14:paraId="689BB144" w14:textId="77777777" w:rsidR="000C529C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19"/>
        <w:ind w:left="742" w:hanging="360"/>
      </w:pPr>
      <w:r>
        <w:t>Auditor-General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ACT</w:t>
      </w:r>
      <w:r>
        <w:rPr>
          <w:spacing w:val="-7"/>
        </w:rPr>
        <w:t xml:space="preserve"> </w:t>
      </w:r>
      <w:r>
        <w:t>Audit</w:t>
      </w:r>
      <w:r>
        <w:rPr>
          <w:spacing w:val="-8"/>
        </w:rPr>
        <w:t xml:space="preserve"> </w:t>
      </w:r>
      <w:r>
        <w:rPr>
          <w:spacing w:val="-4"/>
        </w:rPr>
        <w:t>Oﬃce</w:t>
      </w:r>
    </w:p>
    <w:p w14:paraId="37EC693A" w14:textId="77777777" w:rsidR="000C529C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23"/>
        <w:ind w:hanging="360"/>
      </w:pPr>
      <w:r>
        <w:t>Standing</w:t>
      </w:r>
      <w:r>
        <w:rPr>
          <w:spacing w:val="-8"/>
        </w:rPr>
        <w:t xml:space="preserve"> </w:t>
      </w:r>
      <w:r>
        <w:t>Committee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Accounts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Administration</w:t>
      </w:r>
    </w:p>
    <w:p w14:paraId="038DA2A7" w14:textId="77777777" w:rsidR="000C529C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22"/>
        <w:ind w:hanging="360"/>
      </w:pPr>
      <w:r>
        <w:t>Members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Public</w:t>
      </w:r>
    </w:p>
    <w:sectPr w:rsidR="000C529C">
      <w:pgSz w:w="11910" w:h="16840"/>
      <w:pgMar w:top="1460" w:right="1417" w:bottom="1200" w:left="1417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7033D" w14:textId="77777777" w:rsidR="0021225E" w:rsidRDefault="0021225E">
      <w:r>
        <w:separator/>
      </w:r>
    </w:p>
  </w:endnote>
  <w:endnote w:type="continuationSeparator" w:id="0">
    <w:p w14:paraId="75B621CD" w14:textId="77777777" w:rsidR="0021225E" w:rsidRDefault="0021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21251" w14:textId="77777777" w:rsidR="000C529C" w:rsidRDefault="00000000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5A472D23" wp14:editId="779B7153">
              <wp:simplePos x="0" y="0"/>
              <wp:positionH relativeFrom="page">
                <wp:posOffset>3706319</wp:posOffset>
              </wp:positionH>
              <wp:positionV relativeFrom="page">
                <wp:posOffset>9916221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5786A6" w14:textId="77777777" w:rsidR="000C529C" w:rsidRDefault="00000000">
                          <w:pPr>
                            <w:pStyle w:val="BodyText"/>
                            <w:spacing w:before="0"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72D2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85pt;margin-top:780.8pt;width:12.6pt;height:13.05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GM/3/XhAAAADQEA&#10;AA8AAAAAAAAAAAAAAAAA6wMAAGRycy9kb3ducmV2LnhtbFBLBQYAAAAABAAEAPMAAAD5BAAAAAA=&#10;" filled="f" stroked="f">
              <v:textbox inset="0,0,0,0">
                <w:txbxContent>
                  <w:p w14:paraId="215786A6" w14:textId="77777777" w:rsidR="000C529C" w:rsidRDefault="00000000">
                    <w:pPr>
                      <w:pStyle w:val="BodyText"/>
                      <w:spacing w:before="0"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4A933" w14:textId="77777777" w:rsidR="0021225E" w:rsidRDefault="0021225E">
      <w:r>
        <w:separator/>
      </w:r>
    </w:p>
  </w:footnote>
  <w:footnote w:type="continuationSeparator" w:id="0">
    <w:p w14:paraId="12C0AD83" w14:textId="77777777" w:rsidR="0021225E" w:rsidRDefault="00212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F407B"/>
    <w:multiLevelType w:val="hybridMultilevel"/>
    <w:tmpl w:val="B4A82DDA"/>
    <w:lvl w:ilvl="0" w:tplc="670EF162">
      <w:numFmt w:val="bullet"/>
      <w:lvlText w:val=""/>
      <w:lvlJc w:val="left"/>
      <w:pPr>
        <w:ind w:left="7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0C7AC4">
      <w:numFmt w:val="bullet"/>
      <w:lvlText w:val="•"/>
      <w:lvlJc w:val="left"/>
      <w:pPr>
        <w:ind w:left="1573" w:hanging="361"/>
      </w:pPr>
      <w:rPr>
        <w:rFonts w:hint="default"/>
        <w:lang w:val="en-US" w:eastAsia="en-US" w:bidi="ar-SA"/>
      </w:rPr>
    </w:lvl>
    <w:lvl w:ilvl="2" w:tplc="31B44CCE">
      <w:numFmt w:val="bullet"/>
      <w:lvlText w:val="•"/>
      <w:lvlJc w:val="left"/>
      <w:pPr>
        <w:ind w:left="2406" w:hanging="361"/>
      </w:pPr>
      <w:rPr>
        <w:rFonts w:hint="default"/>
        <w:lang w:val="en-US" w:eastAsia="en-US" w:bidi="ar-SA"/>
      </w:rPr>
    </w:lvl>
    <w:lvl w:ilvl="3" w:tplc="EC98428E">
      <w:numFmt w:val="bullet"/>
      <w:lvlText w:val="•"/>
      <w:lvlJc w:val="left"/>
      <w:pPr>
        <w:ind w:left="3239" w:hanging="361"/>
      </w:pPr>
      <w:rPr>
        <w:rFonts w:hint="default"/>
        <w:lang w:val="en-US" w:eastAsia="en-US" w:bidi="ar-SA"/>
      </w:rPr>
    </w:lvl>
    <w:lvl w:ilvl="4" w:tplc="D3C6E5B0">
      <w:numFmt w:val="bullet"/>
      <w:lvlText w:val="•"/>
      <w:lvlJc w:val="left"/>
      <w:pPr>
        <w:ind w:left="4072" w:hanging="361"/>
      </w:pPr>
      <w:rPr>
        <w:rFonts w:hint="default"/>
        <w:lang w:val="en-US" w:eastAsia="en-US" w:bidi="ar-SA"/>
      </w:rPr>
    </w:lvl>
    <w:lvl w:ilvl="5" w:tplc="24C29BE0">
      <w:numFmt w:val="bullet"/>
      <w:lvlText w:val="•"/>
      <w:lvlJc w:val="left"/>
      <w:pPr>
        <w:ind w:left="4906" w:hanging="361"/>
      </w:pPr>
      <w:rPr>
        <w:rFonts w:hint="default"/>
        <w:lang w:val="en-US" w:eastAsia="en-US" w:bidi="ar-SA"/>
      </w:rPr>
    </w:lvl>
    <w:lvl w:ilvl="6" w:tplc="5B78A42C"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 w:tplc="ADAE60C0">
      <w:numFmt w:val="bullet"/>
      <w:lvlText w:val="•"/>
      <w:lvlJc w:val="left"/>
      <w:pPr>
        <w:ind w:left="6572" w:hanging="361"/>
      </w:pPr>
      <w:rPr>
        <w:rFonts w:hint="default"/>
        <w:lang w:val="en-US" w:eastAsia="en-US" w:bidi="ar-SA"/>
      </w:rPr>
    </w:lvl>
    <w:lvl w:ilvl="8" w:tplc="30708638">
      <w:numFmt w:val="bullet"/>
      <w:lvlText w:val="•"/>
      <w:lvlJc w:val="left"/>
      <w:pPr>
        <w:ind w:left="740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6E1B4FB3"/>
    <w:multiLevelType w:val="hybridMultilevel"/>
    <w:tmpl w:val="7D8C090C"/>
    <w:lvl w:ilvl="0" w:tplc="754C567E">
      <w:start w:val="1"/>
      <w:numFmt w:val="lowerLetter"/>
      <w:lvlText w:val="(%1)"/>
      <w:lvlJc w:val="left"/>
      <w:pPr>
        <w:ind w:left="38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A866E02">
      <w:numFmt w:val="bullet"/>
      <w:lvlText w:val="•"/>
      <w:lvlJc w:val="left"/>
      <w:pPr>
        <w:ind w:left="1249" w:hanging="358"/>
      </w:pPr>
      <w:rPr>
        <w:rFonts w:hint="default"/>
        <w:lang w:val="en-US" w:eastAsia="en-US" w:bidi="ar-SA"/>
      </w:rPr>
    </w:lvl>
    <w:lvl w:ilvl="2" w:tplc="D9FAD1C0">
      <w:numFmt w:val="bullet"/>
      <w:lvlText w:val="•"/>
      <w:lvlJc w:val="left"/>
      <w:pPr>
        <w:ind w:left="2118" w:hanging="358"/>
      </w:pPr>
      <w:rPr>
        <w:rFonts w:hint="default"/>
        <w:lang w:val="en-US" w:eastAsia="en-US" w:bidi="ar-SA"/>
      </w:rPr>
    </w:lvl>
    <w:lvl w:ilvl="3" w:tplc="741CBCFC">
      <w:numFmt w:val="bullet"/>
      <w:lvlText w:val="•"/>
      <w:lvlJc w:val="left"/>
      <w:pPr>
        <w:ind w:left="2987" w:hanging="358"/>
      </w:pPr>
      <w:rPr>
        <w:rFonts w:hint="default"/>
        <w:lang w:val="en-US" w:eastAsia="en-US" w:bidi="ar-SA"/>
      </w:rPr>
    </w:lvl>
    <w:lvl w:ilvl="4" w:tplc="9DE85D42">
      <w:numFmt w:val="bullet"/>
      <w:lvlText w:val="•"/>
      <w:lvlJc w:val="left"/>
      <w:pPr>
        <w:ind w:left="3856" w:hanging="358"/>
      </w:pPr>
      <w:rPr>
        <w:rFonts w:hint="default"/>
        <w:lang w:val="en-US" w:eastAsia="en-US" w:bidi="ar-SA"/>
      </w:rPr>
    </w:lvl>
    <w:lvl w:ilvl="5" w:tplc="44A83916">
      <w:numFmt w:val="bullet"/>
      <w:lvlText w:val="•"/>
      <w:lvlJc w:val="left"/>
      <w:pPr>
        <w:ind w:left="4726" w:hanging="358"/>
      </w:pPr>
      <w:rPr>
        <w:rFonts w:hint="default"/>
        <w:lang w:val="en-US" w:eastAsia="en-US" w:bidi="ar-SA"/>
      </w:rPr>
    </w:lvl>
    <w:lvl w:ilvl="6" w:tplc="90A8037C">
      <w:numFmt w:val="bullet"/>
      <w:lvlText w:val="•"/>
      <w:lvlJc w:val="left"/>
      <w:pPr>
        <w:ind w:left="5595" w:hanging="358"/>
      </w:pPr>
      <w:rPr>
        <w:rFonts w:hint="default"/>
        <w:lang w:val="en-US" w:eastAsia="en-US" w:bidi="ar-SA"/>
      </w:rPr>
    </w:lvl>
    <w:lvl w:ilvl="7" w:tplc="1B4CA92E">
      <w:numFmt w:val="bullet"/>
      <w:lvlText w:val="•"/>
      <w:lvlJc w:val="left"/>
      <w:pPr>
        <w:ind w:left="6464" w:hanging="358"/>
      </w:pPr>
      <w:rPr>
        <w:rFonts w:hint="default"/>
        <w:lang w:val="en-US" w:eastAsia="en-US" w:bidi="ar-SA"/>
      </w:rPr>
    </w:lvl>
    <w:lvl w:ilvl="8" w:tplc="CD0CD5BE">
      <w:numFmt w:val="bullet"/>
      <w:lvlText w:val="•"/>
      <w:lvlJc w:val="left"/>
      <w:pPr>
        <w:ind w:left="7333" w:hanging="358"/>
      </w:pPr>
      <w:rPr>
        <w:rFonts w:hint="default"/>
        <w:lang w:val="en-US" w:eastAsia="en-US" w:bidi="ar-SA"/>
      </w:rPr>
    </w:lvl>
  </w:abstractNum>
  <w:num w:numId="1" w16cid:durableId="1843888032">
    <w:abstractNumId w:val="0"/>
  </w:num>
  <w:num w:numId="2" w16cid:durableId="1798060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529C"/>
    <w:rsid w:val="000C529C"/>
    <w:rsid w:val="0021225E"/>
    <w:rsid w:val="0068011A"/>
    <w:rsid w:val="00D7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5E4F3"/>
  <w15:docId w15:val="{3253A404-EB98-4D33-80C9-E5E55F4A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570" w:lineRule="exact"/>
      <w:ind w:left="23"/>
      <w:outlineLvl w:val="0"/>
    </w:pPr>
    <w:rPr>
      <w:b/>
      <w:bCs/>
      <w:i/>
      <w:i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241"/>
      <w:ind w:left="23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23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22"/>
    </w:pPr>
  </w:style>
  <w:style w:type="paragraph" w:styleId="ListParagraph">
    <w:name w:val="List Paragraph"/>
    <w:basedOn w:val="Normal"/>
    <w:uiPriority w:val="1"/>
    <w:qFormat/>
    <w:pPr>
      <w:spacing w:before="117"/>
      <w:ind w:left="37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Management Act 1996 Review - Terms of Reference</dc:title>
  <dc:creator>ACT Government</dc:creator>
  <cp:lastModifiedBy>Fitzgibbon, Kathleen</cp:lastModifiedBy>
  <cp:revision>2</cp:revision>
  <dcterms:created xsi:type="dcterms:W3CDTF">2026-09-24T05:50:00Z</dcterms:created>
  <dcterms:modified xsi:type="dcterms:W3CDTF">2026-09-24T06:25:00Z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2026-09-24T00:00:00Z</vt:filetime>
  </property>
  <property fmtid="{D5CDD505-2E9C-101B-9397-08002B2CF9AE}" pid="5" name="MSIP_Label_69af8531-eb46-4968-8cb3-105d2f5ea87e_ContentBits">
    <vt:lpwstr>0</vt:lpwstr>
  </property>
  <property fmtid="{D5CDD505-2E9C-101B-9397-08002B2CF9AE}" pid="6" name="MSIP_Label_69af8531-eb46-4968-8cb3-105d2f5ea87e_Enabled">
    <vt:lpwstr>true</vt:lpwstr>
  </property>
  <property fmtid="{D5CDD505-2E9C-101B-9397-08002B2CF9AE}" pid="7" name="MSIP_Label_69af8531-eb46-4968-8cb3-105d2f5ea87e_Method">
    <vt:lpwstr>Standard</vt:lpwstr>
  </property>
  <property fmtid="{D5CDD505-2E9C-101B-9397-08002B2CF9AE}" pid="8" name="MSIP_Label_69af8531-eb46-4968-8cb3-105d2f5ea87e_Name">
    <vt:lpwstr>Official - No Marking</vt:lpwstr>
  </property>
  <property fmtid="{D5CDD505-2E9C-101B-9397-08002B2CF9AE}" pid="9" name="MSIP_Label_69af8531-eb46-4968-8cb3-105d2f5ea87e_SiteId">
    <vt:lpwstr>b46c1908-0334-4236-b978-585ee88e4199</vt:lpwstr>
  </property>
  <property fmtid="{D5CDD505-2E9C-101B-9397-08002B2CF9AE}" pid="10" name="Producer">
    <vt:lpwstr>Adobe PDF Library 26.2.171</vt:lpwstr>
  </property>
</Properties>
</file>