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sz w:val="24"/>
          <w:szCs w:val="20"/>
          <w:lang w:val="en-AU"/>
        </w:rPr>
        <w:id w:val="342984482"/>
        <w:docPartObj>
          <w:docPartGallery w:val="Table of Contents"/>
          <w:docPartUnique/>
        </w:docPartObj>
      </w:sdtPr>
      <w:sdtEndPr>
        <w:rPr>
          <w:noProof/>
        </w:rPr>
      </w:sdtEndPr>
      <w:sdtContent>
        <w:p w14:paraId="1B21739B" w14:textId="639C9CD1" w:rsidR="00D50379" w:rsidRDefault="00D50379">
          <w:pPr>
            <w:pStyle w:val="TOCHeading"/>
          </w:pPr>
          <w:r>
            <w:t>Contents</w:t>
          </w:r>
        </w:p>
        <w:p w14:paraId="24BCE0B0" w14:textId="102E5274" w:rsidR="00E63FBF" w:rsidRDefault="00D50379">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84071130" w:history="1">
            <w:r w:rsidR="00E63FBF" w:rsidRPr="008C5143">
              <w:rPr>
                <w:rStyle w:val="Hyperlink"/>
                <w:noProof/>
                <w:bdr w:val="nil"/>
              </w:rPr>
              <w:t>COMMUNITY SERVICES DIRECTORATE</w:t>
            </w:r>
            <w:r w:rsidR="00E63FBF">
              <w:rPr>
                <w:noProof/>
                <w:webHidden/>
              </w:rPr>
              <w:tab/>
            </w:r>
            <w:r w:rsidR="00E63FBF">
              <w:rPr>
                <w:noProof/>
                <w:webHidden/>
              </w:rPr>
              <w:fldChar w:fldCharType="begin"/>
            </w:r>
            <w:r w:rsidR="00E63FBF">
              <w:rPr>
                <w:noProof/>
                <w:webHidden/>
              </w:rPr>
              <w:instrText xml:space="preserve"> PAGEREF _Toc84071130 \h </w:instrText>
            </w:r>
            <w:r w:rsidR="00E63FBF">
              <w:rPr>
                <w:noProof/>
                <w:webHidden/>
              </w:rPr>
            </w:r>
            <w:r w:rsidR="00E63FBF">
              <w:rPr>
                <w:noProof/>
                <w:webHidden/>
              </w:rPr>
              <w:fldChar w:fldCharType="separate"/>
            </w:r>
            <w:r w:rsidR="00E63FBF">
              <w:rPr>
                <w:noProof/>
                <w:webHidden/>
              </w:rPr>
              <w:t>1</w:t>
            </w:r>
            <w:r w:rsidR="00E63FBF">
              <w:rPr>
                <w:noProof/>
                <w:webHidden/>
              </w:rPr>
              <w:fldChar w:fldCharType="end"/>
            </w:r>
          </w:hyperlink>
        </w:p>
        <w:p w14:paraId="7D049162" w14:textId="5A2D318E"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1" w:history="1">
            <w:r w:rsidRPr="008C5143">
              <w:rPr>
                <w:rStyle w:val="Hyperlink"/>
                <w:noProof/>
                <w:bdr w:val="nil"/>
              </w:rPr>
              <w:t>Purpose</w:t>
            </w:r>
            <w:r>
              <w:rPr>
                <w:noProof/>
                <w:webHidden/>
              </w:rPr>
              <w:tab/>
            </w:r>
            <w:r>
              <w:rPr>
                <w:noProof/>
                <w:webHidden/>
              </w:rPr>
              <w:fldChar w:fldCharType="begin"/>
            </w:r>
            <w:r>
              <w:rPr>
                <w:noProof/>
                <w:webHidden/>
              </w:rPr>
              <w:instrText xml:space="preserve"> PAGEREF _Toc84071131 \h </w:instrText>
            </w:r>
            <w:r>
              <w:rPr>
                <w:noProof/>
                <w:webHidden/>
              </w:rPr>
            </w:r>
            <w:r>
              <w:rPr>
                <w:noProof/>
                <w:webHidden/>
              </w:rPr>
              <w:fldChar w:fldCharType="separate"/>
            </w:r>
            <w:r>
              <w:rPr>
                <w:noProof/>
                <w:webHidden/>
              </w:rPr>
              <w:t>1</w:t>
            </w:r>
            <w:r>
              <w:rPr>
                <w:noProof/>
                <w:webHidden/>
              </w:rPr>
              <w:fldChar w:fldCharType="end"/>
            </w:r>
          </w:hyperlink>
        </w:p>
        <w:p w14:paraId="334A4773" w14:textId="7DC69CD3"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2" w:history="1">
            <w:r w:rsidRPr="008C5143">
              <w:rPr>
                <w:rStyle w:val="Hyperlink"/>
                <w:noProof/>
                <w:bdr w:val="nil"/>
              </w:rPr>
              <w:t>2021-22 Priorities</w:t>
            </w:r>
            <w:r>
              <w:rPr>
                <w:noProof/>
                <w:webHidden/>
              </w:rPr>
              <w:tab/>
            </w:r>
            <w:r>
              <w:rPr>
                <w:noProof/>
                <w:webHidden/>
              </w:rPr>
              <w:fldChar w:fldCharType="begin"/>
            </w:r>
            <w:r>
              <w:rPr>
                <w:noProof/>
                <w:webHidden/>
              </w:rPr>
              <w:instrText xml:space="preserve"> PAGEREF _Toc84071132 \h </w:instrText>
            </w:r>
            <w:r>
              <w:rPr>
                <w:noProof/>
                <w:webHidden/>
              </w:rPr>
            </w:r>
            <w:r>
              <w:rPr>
                <w:noProof/>
                <w:webHidden/>
              </w:rPr>
              <w:fldChar w:fldCharType="separate"/>
            </w:r>
            <w:r>
              <w:rPr>
                <w:noProof/>
                <w:webHidden/>
              </w:rPr>
              <w:t>1</w:t>
            </w:r>
            <w:r>
              <w:rPr>
                <w:noProof/>
                <w:webHidden/>
              </w:rPr>
              <w:fldChar w:fldCharType="end"/>
            </w:r>
          </w:hyperlink>
        </w:p>
        <w:p w14:paraId="43A3E184" w14:textId="0E7B1188"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3" w:history="1">
            <w:r w:rsidRPr="008C5143">
              <w:rPr>
                <w:rStyle w:val="Hyperlink"/>
                <w:noProof/>
                <w:bdr w:val="nil"/>
              </w:rPr>
              <w:t>Estimated Employment Level</w:t>
            </w:r>
            <w:r>
              <w:rPr>
                <w:noProof/>
                <w:webHidden/>
              </w:rPr>
              <w:tab/>
            </w:r>
            <w:r>
              <w:rPr>
                <w:noProof/>
                <w:webHidden/>
              </w:rPr>
              <w:fldChar w:fldCharType="begin"/>
            </w:r>
            <w:r>
              <w:rPr>
                <w:noProof/>
                <w:webHidden/>
              </w:rPr>
              <w:instrText xml:space="preserve"> PAGEREF _Toc84071133 \h </w:instrText>
            </w:r>
            <w:r>
              <w:rPr>
                <w:noProof/>
                <w:webHidden/>
              </w:rPr>
            </w:r>
            <w:r>
              <w:rPr>
                <w:noProof/>
                <w:webHidden/>
              </w:rPr>
              <w:fldChar w:fldCharType="separate"/>
            </w:r>
            <w:r>
              <w:rPr>
                <w:noProof/>
                <w:webHidden/>
              </w:rPr>
              <w:t>6</w:t>
            </w:r>
            <w:r>
              <w:rPr>
                <w:noProof/>
                <w:webHidden/>
              </w:rPr>
              <w:fldChar w:fldCharType="end"/>
            </w:r>
          </w:hyperlink>
        </w:p>
        <w:p w14:paraId="010F5D86" w14:textId="0AC4A0C1"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4" w:history="1">
            <w:r w:rsidRPr="008C5143">
              <w:rPr>
                <w:rStyle w:val="Hyperlink"/>
                <w:noProof/>
                <w:bdr w:val="nil"/>
              </w:rPr>
              <w:t>Strategic Objectives and Indicators</w:t>
            </w:r>
            <w:r>
              <w:rPr>
                <w:noProof/>
                <w:webHidden/>
              </w:rPr>
              <w:tab/>
            </w:r>
            <w:r>
              <w:rPr>
                <w:noProof/>
                <w:webHidden/>
              </w:rPr>
              <w:fldChar w:fldCharType="begin"/>
            </w:r>
            <w:r>
              <w:rPr>
                <w:noProof/>
                <w:webHidden/>
              </w:rPr>
              <w:instrText xml:space="preserve"> PAGEREF _Toc84071134 \h </w:instrText>
            </w:r>
            <w:r>
              <w:rPr>
                <w:noProof/>
                <w:webHidden/>
              </w:rPr>
            </w:r>
            <w:r>
              <w:rPr>
                <w:noProof/>
                <w:webHidden/>
              </w:rPr>
              <w:fldChar w:fldCharType="separate"/>
            </w:r>
            <w:r>
              <w:rPr>
                <w:noProof/>
                <w:webHidden/>
              </w:rPr>
              <w:t>7</w:t>
            </w:r>
            <w:r>
              <w:rPr>
                <w:noProof/>
                <w:webHidden/>
              </w:rPr>
              <w:fldChar w:fldCharType="end"/>
            </w:r>
          </w:hyperlink>
        </w:p>
        <w:p w14:paraId="4583859E" w14:textId="1650AF90"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5" w:history="1">
            <w:r w:rsidRPr="008C5143">
              <w:rPr>
                <w:rStyle w:val="Hyperlink"/>
                <w:noProof/>
                <w:bdr w:val="nil"/>
              </w:rPr>
              <w:t>Output Classes (Controlled GGS)</w:t>
            </w:r>
            <w:r>
              <w:rPr>
                <w:noProof/>
                <w:webHidden/>
              </w:rPr>
              <w:tab/>
            </w:r>
            <w:r>
              <w:rPr>
                <w:noProof/>
                <w:webHidden/>
              </w:rPr>
              <w:fldChar w:fldCharType="begin"/>
            </w:r>
            <w:r>
              <w:rPr>
                <w:noProof/>
                <w:webHidden/>
              </w:rPr>
              <w:instrText xml:space="preserve"> PAGEREF _Toc84071135 \h </w:instrText>
            </w:r>
            <w:r>
              <w:rPr>
                <w:noProof/>
                <w:webHidden/>
              </w:rPr>
            </w:r>
            <w:r>
              <w:rPr>
                <w:noProof/>
                <w:webHidden/>
              </w:rPr>
              <w:fldChar w:fldCharType="separate"/>
            </w:r>
            <w:r>
              <w:rPr>
                <w:noProof/>
                <w:webHidden/>
              </w:rPr>
              <w:t>13</w:t>
            </w:r>
            <w:r>
              <w:rPr>
                <w:noProof/>
                <w:webHidden/>
              </w:rPr>
              <w:fldChar w:fldCharType="end"/>
            </w:r>
          </w:hyperlink>
        </w:p>
        <w:p w14:paraId="61A9D11E" w14:textId="0F067DA4"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6" w:history="1">
            <w:r w:rsidRPr="008C5143">
              <w:rPr>
                <w:rStyle w:val="Hyperlink"/>
                <w:noProof/>
                <w:bdr w:val="nil"/>
              </w:rPr>
              <w:t>Accountability Indicators</w:t>
            </w:r>
            <w:r>
              <w:rPr>
                <w:noProof/>
                <w:webHidden/>
              </w:rPr>
              <w:tab/>
            </w:r>
            <w:r>
              <w:rPr>
                <w:noProof/>
                <w:webHidden/>
              </w:rPr>
              <w:fldChar w:fldCharType="begin"/>
            </w:r>
            <w:r>
              <w:rPr>
                <w:noProof/>
                <w:webHidden/>
              </w:rPr>
              <w:instrText xml:space="preserve"> PAGEREF _Toc84071136 \h </w:instrText>
            </w:r>
            <w:r>
              <w:rPr>
                <w:noProof/>
                <w:webHidden/>
              </w:rPr>
            </w:r>
            <w:r>
              <w:rPr>
                <w:noProof/>
                <w:webHidden/>
              </w:rPr>
              <w:fldChar w:fldCharType="separate"/>
            </w:r>
            <w:r>
              <w:rPr>
                <w:noProof/>
                <w:webHidden/>
              </w:rPr>
              <w:t>18</w:t>
            </w:r>
            <w:r>
              <w:rPr>
                <w:noProof/>
                <w:webHidden/>
              </w:rPr>
              <w:fldChar w:fldCharType="end"/>
            </w:r>
          </w:hyperlink>
        </w:p>
        <w:p w14:paraId="4AC86595" w14:textId="590CD046"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7" w:history="1">
            <w:r w:rsidRPr="008C5143">
              <w:rPr>
                <w:rStyle w:val="Hyperlink"/>
                <w:noProof/>
                <w:bdr w:val="nil"/>
              </w:rPr>
              <w:t>Changes to Appropriation</w:t>
            </w:r>
            <w:r>
              <w:rPr>
                <w:noProof/>
                <w:webHidden/>
              </w:rPr>
              <w:tab/>
            </w:r>
            <w:r>
              <w:rPr>
                <w:noProof/>
                <w:webHidden/>
              </w:rPr>
              <w:fldChar w:fldCharType="begin"/>
            </w:r>
            <w:r>
              <w:rPr>
                <w:noProof/>
                <w:webHidden/>
              </w:rPr>
              <w:instrText xml:space="preserve"> PAGEREF _Toc84071137 \h </w:instrText>
            </w:r>
            <w:r>
              <w:rPr>
                <w:noProof/>
                <w:webHidden/>
              </w:rPr>
            </w:r>
            <w:r>
              <w:rPr>
                <w:noProof/>
                <w:webHidden/>
              </w:rPr>
              <w:fldChar w:fldCharType="separate"/>
            </w:r>
            <w:r>
              <w:rPr>
                <w:noProof/>
                <w:webHidden/>
              </w:rPr>
              <w:t>23</w:t>
            </w:r>
            <w:r>
              <w:rPr>
                <w:noProof/>
                <w:webHidden/>
              </w:rPr>
              <w:fldChar w:fldCharType="end"/>
            </w:r>
          </w:hyperlink>
        </w:p>
        <w:p w14:paraId="04EDDE5F" w14:textId="7132582A"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8" w:history="1">
            <w:r w:rsidRPr="008C5143">
              <w:rPr>
                <w:rStyle w:val="Hyperlink"/>
                <w:noProof/>
                <w:bdr w:val="nil"/>
              </w:rPr>
              <w:t>Financial Statements – Controlled GGS</w:t>
            </w:r>
            <w:r>
              <w:rPr>
                <w:noProof/>
                <w:webHidden/>
              </w:rPr>
              <w:tab/>
            </w:r>
            <w:r>
              <w:rPr>
                <w:noProof/>
                <w:webHidden/>
              </w:rPr>
              <w:fldChar w:fldCharType="begin"/>
            </w:r>
            <w:r>
              <w:rPr>
                <w:noProof/>
                <w:webHidden/>
              </w:rPr>
              <w:instrText xml:space="preserve"> PAGEREF _Toc84071138 \h </w:instrText>
            </w:r>
            <w:r>
              <w:rPr>
                <w:noProof/>
                <w:webHidden/>
              </w:rPr>
            </w:r>
            <w:r>
              <w:rPr>
                <w:noProof/>
                <w:webHidden/>
              </w:rPr>
              <w:fldChar w:fldCharType="separate"/>
            </w:r>
            <w:r>
              <w:rPr>
                <w:noProof/>
                <w:webHidden/>
              </w:rPr>
              <w:t>27</w:t>
            </w:r>
            <w:r>
              <w:rPr>
                <w:noProof/>
                <w:webHidden/>
              </w:rPr>
              <w:fldChar w:fldCharType="end"/>
            </w:r>
          </w:hyperlink>
        </w:p>
        <w:p w14:paraId="3478A2CD" w14:textId="653AF66E"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39" w:history="1">
            <w:r w:rsidRPr="008C5143">
              <w:rPr>
                <w:rStyle w:val="Hyperlink"/>
                <w:noProof/>
                <w:bdr w:val="nil"/>
              </w:rPr>
              <w:t>Financial Statements – Territorial</w:t>
            </w:r>
            <w:r>
              <w:rPr>
                <w:noProof/>
                <w:webHidden/>
              </w:rPr>
              <w:tab/>
            </w:r>
            <w:r>
              <w:rPr>
                <w:noProof/>
                <w:webHidden/>
              </w:rPr>
              <w:fldChar w:fldCharType="begin"/>
            </w:r>
            <w:r>
              <w:rPr>
                <w:noProof/>
                <w:webHidden/>
              </w:rPr>
              <w:instrText xml:space="preserve"> PAGEREF _Toc84071139 \h </w:instrText>
            </w:r>
            <w:r>
              <w:rPr>
                <w:noProof/>
                <w:webHidden/>
              </w:rPr>
            </w:r>
            <w:r>
              <w:rPr>
                <w:noProof/>
                <w:webHidden/>
              </w:rPr>
              <w:fldChar w:fldCharType="separate"/>
            </w:r>
            <w:r>
              <w:rPr>
                <w:noProof/>
                <w:webHidden/>
              </w:rPr>
              <w:t>36</w:t>
            </w:r>
            <w:r>
              <w:rPr>
                <w:noProof/>
                <w:webHidden/>
              </w:rPr>
              <w:fldChar w:fldCharType="end"/>
            </w:r>
          </w:hyperlink>
        </w:p>
        <w:p w14:paraId="130A6678" w14:textId="0FECD25E" w:rsidR="00E63FBF" w:rsidRDefault="00E63FBF">
          <w:pPr>
            <w:pStyle w:val="TOC1"/>
            <w:tabs>
              <w:tab w:val="right" w:leader="dot" w:pos="9016"/>
            </w:tabs>
            <w:rPr>
              <w:rFonts w:asciiTheme="minorHAnsi" w:eastAsiaTheme="minorEastAsia" w:hAnsiTheme="minorHAnsi" w:cstheme="minorBidi"/>
              <w:noProof/>
              <w:sz w:val="22"/>
              <w:szCs w:val="22"/>
              <w:lang w:eastAsia="en-AU"/>
            </w:rPr>
          </w:pPr>
          <w:hyperlink w:anchor="_Toc84071140" w:history="1">
            <w:r w:rsidRPr="008C5143">
              <w:rPr>
                <w:rStyle w:val="Hyperlink"/>
                <w:noProof/>
                <w:bdr w:val="nil"/>
              </w:rPr>
              <w:t>HOUSING ACT</w:t>
            </w:r>
            <w:r>
              <w:rPr>
                <w:noProof/>
                <w:webHidden/>
              </w:rPr>
              <w:tab/>
            </w:r>
            <w:r>
              <w:rPr>
                <w:noProof/>
                <w:webHidden/>
              </w:rPr>
              <w:fldChar w:fldCharType="begin"/>
            </w:r>
            <w:r>
              <w:rPr>
                <w:noProof/>
                <w:webHidden/>
              </w:rPr>
              <w:instrText xml:space="preserve"> PAGEREF _Toc84071140 \h </w:instrText>
            </w:r>
            <w:r>
              <w:rPr>
                <w:noProof/>
                <w:webHidden/>
              </w:rPr>
            </w:r>
            <w:r>
              <w:rPr>
                <w:noProof/>
                <w:webHidden/>
              </w:rPr>
              <w:fldChar w:fldCharType="separate"/>
            </w:r>
            <w:r>
              <w:rPr>
                <w:noProof/>
                <w:webHidden/>
              </w:rPr>
              <w:t>43</w:t>
            </w:r>
            <w:r>
              <w:rPr>
                <w:noProof/>
                <w:webHidden/>
              </w:rPr>
              <w:fldChar w:fldCharType="end"/>
            </w:r>
          </w:hyperlink>
        </w:p>
        <w:p w14:paraId="1109D4D3" w14:textId="64DC47BC"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1" w:history="1">
            <w:r w:rsidRPr="008C5143">
              <w:rPr>
                <w:rStyle w:val="Hyperlink"/>
                <w:noProof/>
                <w:bdr w:val="nil"/>
              </w:rPr>
              <w:t>Purpose</w:t>
            </w:r>
            <w:r>
              <w:rPr>
                <w:noProof/>
                <w:webHidden/>
              </w:rPr>
              <w:tab/>
            </w:r>
            <w:r>
              <w:rPr>
                <w:noProof/>
                <w:webHidden/>
              </w:rPr>
              <w:fldChar w:fldCharType="begin"/>
            </w:r>
            <w:r>
              <w:rPr>
                <w:noProof/>
                <w:webHidden/>
              </w:rPr>
              <w:instrText xml:space="preserve"> PAGEREF _Toc84071141 \h </w:instrText>
            </w:r>
            <w:r>
              <w:rPr>
                <w:noProof/>
                <w:webHidden/>
              </w:rPr>
            </w:r>
            <w:r>
              <w:rPr>
                <w:noProof/>
                <w:webHidden/>
              </w:rPr>
              <w:fldChar w:fldCharType="separate"/>
            </w:r>
            <w:r>
              <w:rPr>
                <w:noProof/>
                <w:webHidden/>
              </w:rPr>
              <w:t>43</w:t>
            </w:r>
            <w:r>
              <w:rPr>
                <w:noProof/>
                <w:webHidden/>
              </w:rPr>
              <w:fldChar w:fldCharType="end"/>
            </w:r>
          </w:hyperlink>
        </w:p>
        <w:p w14:paraId="41366437" w14:textId="20B0B886"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2" w:history="1">
            <w:r w:rsidRPr="008C5143">
              <w:rPr>
                <w:rStyle w:val="Hyperlink"/>
                <w:noProof/>
                <w:bdr w:val="nil"/>
              </w:rPr>
              <w:t>2021-22 Priorities</w:t>
            </w:r>
            <w:r>
              <w:rPr>
                <w:noProof/>
                <w:webHidden/>
              </w:rPr>
              <w:tab/>
            </w:r>
            <w:r>
              <w:rPr>
                <w:noProof/>
                <w:webHidden/>
              </w:rPr>
              <w:fldChar w:fldCharType="begin"/>
            </w:r>
            <w:r>
              <w:rPr>
                <w:noProof/>
                <w:webHidden/>
              </w:rPr>
              <w:instrText xml:space="preserve"> PAGEREF _Toc84071142 \h </w:instrText>
            </w:r>
            <w:r>
              <w:rPr>
                <w:noProof/>
                <w:webHidden/>
              </w:rPr>
            </w:r>
            <w:r>
              <w:rPr>
                <w:noProof/>
                <w:webHidden/>
              </w:rPr>
              <w:fldChar w:fldCharType="separate"/>
            </w:r>
            <w:r>
              <w:rPr>
                <w:noProof/>
                <w:webHidden/>
              </w:rPr>
              <w:t>43</w:t>
            </w:r>
            <w:r>
              <w:rPr>
                <w:noProof/>
                <w:webHidden/>
              </w:rPr>
              <w:fldChar w:fldCharType="end"/>
            </w:r>
          </w:hyperlink>
        </w:p>
        <w:p w14:paraId="5EAF6958" w14:textId="0A73E409"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3" w:history="1">
            <w:r w:rsidRPr="008C5143">
              <w:rPr>
                <w:rStyle w:val="Hyperlink"/>
                <w:noProof/>
                <w:bdr w:val="nil"/>
              </w:rPr>
              <w:t>Estimated Employment Level</w:t>
            </w:r>
            <w:r>
              <w:rPr>
                <w:noProof/>
                <w:webHidden/>
              </w:rPr>
              <w:tab/>
            </w:r>
            <w:r>
              <w:rPr>
                <w:noProof/>
                <w:webHidden/>
              </w:rPr>
              <w:fldChar w:fldCharType="begin"/>
            </w:r>
            <w:r>
              <w:rPr>
                <w:noProof/>
                <w:webHidden/>
              </w:rPr>
              <w:instrText xml:space="preserve"> PAGEREF _Toc84071143 \h </w:instrText>
            </w:r>
            <w:r>
              <w:rPr>
                <w:noProof/>
                <w:webHidden/>
              </w:rPr>
            </w:r>
            <w:r>
              <w:rPr>
                <w:noProof/>
                <w:webHidden/>
              </w:rPr>
              <w:fldChar w:fldCharType="separate"/>
            </w:r>
            <w:r>
              <w:rPr>
                <w:noProof/>
                <w:webHidden/>
              </w:rPr>
              <w:t>45</w:t>
            </w:r>
            <w:r>
              <w:rPr>
                <w:noProof/>
                <w:webHidden/>
              </w:rPr>
              <w:fldChar w:fldCharType="end"/>
            </w:r>
          </w:hyperlink>
        </w:p>
        <w:p w14:paraId="0A694D3B" w14:textId="4F54E9AA"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4" w:history="1">
            <w:r w:rsidRPr="008C5143">
              <w:rPr>
                <w:rStyle w:val="Hyperlink"/>
                <w:noProof/>
                <w:bdr w:val="nil"/>
              </w:rPr>
              <w:t>Strategic Objectives and Indicators</w:t>
            </w:r>
            <w:r>
              <w:rPr>
                <w:noProof/>
                <w:webHidden/>
              </w:rPr>
              <w:tab/>
            </w:r>
            <w:r>
              <w:rPr>
                <w:noProof/>
                <w:webHidden/>
              </w:rPr>
              <w:fldChar w:fldCharType="begin"/>
            </w:r>
            <w:r>
              <w:rPr>
                <w:noProof/>
                <w:webHidden/>
              </w:rPr>
              <w:instrText xml:space="preserve"> PAGEREF _Toc84071144 \h </w:instrText>
            </w:r>
            <w:r>
              <w:rPr>
                <w:noProof/>
                <w:webHidden/>
              </w:rPr>
            </w:r>
            <w:r>
              <w:rPr>
                <w:noProof/>
                <w:webHidden/>
              </w:rPr>
              <w:fldChar w:fldCharType="separate"/>
            </w:r>
            <w:r>
              <w:rPr>
                <w:noProof/>
                <w:webHidden/>
              </w:rPr>
              <w:t>46</w:t>
            </w:r>
            <w:r>
              <w:rPr>
                <w:noProof/>
                <w:webHidden/>
              </w:rPr>
              <w:fldChar w:fldCharType="end"/>
            </w:r>
          </w:hyperlink>
        </w:p>
        <w:p w14:paraId="04C4985E" w14:textId="36745DF0"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5" w:history="1">
            <w:r w:rsidRPr="008C5143">
              <w:rPr>
                <w:rStyle w:val="Hyperlink"/>
                <w:noProof/>
                <w:bdr w:val="nil"/>
              </w:rPr>
              <w:t>Output Classes</w:t>
            </w:r>
            <w:r>
              <w:rPr>
                <w:noProof/>
                <w:webHidden/>
              </w:rPr>
              <w:tab/>
            </w:r>
            <w:r>
              <w:rPr>
                <w:noProof/>
                <w:webHidden/>
              </w:rPr>
              <w:fldChar w:fldCharType="begin"/>
            </w:r>
            <w:r>
              <w:rPr>
                <w:noProof/>
                <w:webHidden/>
              </w:rPr>
              <w:instrText xml:space="preserve"> PAGEREF _Toc84071145 \h </w:instrText>
            </w:r>
            <w:r>
              <w:rPr>
                <w:noProof/>
                <w:webHidden/>
              </w:rPr>
            </w:r>
            <w:r>
              <w:rPr>
                <w:noProof/>
                <w:webHidden/>
              </w:rPr>
              <w:fldChar w:fldCharType="separate"/>
            </w:r>
            <w:r>
              <w:rPr>
                <w:noProof/>
                <w:webHidden/>
              </w:rPr>
              <w:t>48</w:t>
            </w:r>
            <w:r>
              <w:rPr>
                <w:noProof/>
                <w:webHidden/>
              </w:rPr>
              <w:fldChar w:fldCharType="end"/>
            </w:r>
          </w:hyperlink>
        </w:p>
        <w:p w14:paraId="05161004" w14:textId="69816187"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6" w:history="1">
            <w:r w:rsidRPr="008C5143">
              <w:rPr>
                <w:rStyle w:val="Hyperlink"/>
                <w:noProof/>
                <w:bdr w:val="nil"/>
              </w:rPr>
              <w:t>Accountability Indicators</w:t>
            </w:r>
            <w:r>
              <w:rPr>
                <w:noProof/>
                <w:webHidden/>
              </w:rPr>
              <w:tab/>
            </w:r>
            <w:r>
              <w:rPr>
                <w:noProof/>
                <w:webHidden/>
              </w:rPr>
              <w:fldChar w:fldCharType="begin"/>
            </w:r>
            <w:r>
              <w:rPr>
                <w:noProof/>
                <w:webHidden/>
              </w:rPr>
              <w:instrText xml:space="preserve"> PAGEREF _Toc84071146 \h </w:instrText>
            </w:r>
            <w:r>
              <w:rPr>
                <w:noProof/>
                <w:webHidden/>
              </w:rPr>
            </w:r>
            <w:r>
              <w:rPr>
                <w:noProof/>
                <w:webHidden/>
              </w:rPr>
              <w:fldChar w:fldCharType="separate"/>
            </w:r>
            <w:r>
              <w:rPr>
                <w:noProof/>
                <w:webHidden/>
              </w:rPr>
              <w:t>49</w:t>
            </w:r>
            <w:r>
              <w:rPr>
                <w:noProof/>
                <w:webHidden/>
              </w:rPr>
              <w:fldChar w:fldCharType="end"/>
            </w:r>
          </w:hyperlink>
        </w:p>
        <w:p w14:paraId="3A710FF8" w14:textId="578244A0"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7" w:history="1">
            <w:r w:rsidRPr="008C5143">
              <w:rPr>
                <w:rStyle w:val="Hyperlink"/>
                <w:noProof/>
                <w:bdr w:val="nil"/>
              </w:rPr>
              <w:t>Changes to Appropriation</w:t>
            </w:r>
            <w:r>
              <w:rPr>
                <w:noProof/>
                <w:webHidden/>
              </w:rPr>
              <w:tab/>
            </w:r>
            <w:r>
              <w:rPr>
                <w:noProof/>
                <w:webHidden/>
              </w:rPr>
              <w:fldChar w:fldCharType="begin"/>
            </w:r>
            <w:r>
              <w:rPr>
                <w:noProof/>
                <w:webHidden/>
              </w:rPr>
              <w:instrText xml:space="preserve"> PAGEREF _Toc84071147 \h </w:instrText>
            </w:r>
            <w:r>
              <w:rPr>
                <w:noProof/>
                <w:webHidden/>
              </w:rPr>
            </w:r>
            <w:r>
              <w:rPr>
                <w:noProof/>
                <w:webHidden/>
              </w:rPr>
              <w:fldChar w:fldCharType="separate"/>
            </w:r>
            <w:r>
              <w:rPr>
                <w:noProof/>
                <w:webHidden/>
              </w:rPr>
              <w:t>50</w:t>
            </w:r>
            <w:r>
              <w:rPr>
                <w:noProof/>
                <w:webHidden/>
              </w:rPr>
              <w:fldChar w:fldCharType="end"/>
            </w:r>
          </w:hyperlink>
        </w:p>
        <w:p w14:paraId="1E7E5E82" w14:textId="60E30714"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8" w:history="1">
            <w:r w:rsidRPr="008C5143">
              <w:rPr>
                <w:rStyle w:val="Hyperlink"/>
                <w:noProof/>
                <w:bdr w:val="nil"/>
              </w:rPr>
              <w:t>Summary of 2021-22 Housing ACT Infrastructure Program</w:t>
            </w:r>
            <w:r>
              <w:rPr>
                <w:noProof/>
                <w:webHidden/>
              </w:rPr>
              <w:tab/>
            </w:r>
            <w:r>
              <w:rPr>
                <w:noProof/>
                <w:webHidden/>
              </w:rPr>
              <w:fldChar w:fldCharType="begin"/>
            </w:r>
            <w:r>
              <w:rPr>
                <w:noProof/>
                <w:webHidden/>
              </w:rPr>
              <w:instrText xml:space="preserve"> PAGEREF _Toc84071148 \h </w:instrText>
            </w:r>
            <w:r>
              <w:rPr>
                <w:noProof/>
                <w:webHidden/>
              </w:rPr>
            </w:r>
            <w:r>
              <w:rPr>
                <w:noProof/>
                <w:webHidden/>
              </w:rPr>
              <w:fldChar w:fldCharType="separate"/>
            </w:r>
            <w:r>
              <w:rPr>
                <w:noProof/>
                <w:webHidden/>
              </w:rPr>
              <w:t>52</w:t>
            </w:r>
            <w:r>
              <w:rPr>
                <w:noProof/>
                <w:webHidden/>
              </w:rPr>
              <w:fldChar w:fldCharType="end"/>
            </w:r>
          </w:hyperlink>
        </w:p>
        <w:p w14:paraId="70FC6AA7" w14:textId="4F075237" w:rsidR="00E63FBF" w:rsidRDefault="00E63FBF">
          <w:pPr>
            <w:pStyle w:val="TOC2"/>
            <w:tabs>
              <w:tab w:val="right" w:leader="dot" w:pos="9016"/>
            </w:tabs>
            <w:rPr>
              <w:rFonts w:asciiTheme="minorHAnsi" w:eastAsiaTheme="minorEastAsia" w:hAnsiTheme="minorHAnsi" w:cstheme="minorBidi"/>
              <w:noProof/>
              <w:sz w:val="22"/>
              <w:szCs w:val="22"/>
              <w:lang w:eastAsia="en-AU"/>
            </w:rPr>
          </w:pPr>
          <w:hyperlink w:anchor="_Toc84071149" w:history="1">
            <w:r w:rsidRPr="008C5143">
              <w:rPr>
                <w:rStyle w:val="Hyperlink"/>
                <w:noProof/>
                <w:bdr w:val="nil"/>
              </w:rPr>
              <w:t>Financial Statements – Controlled (PTE)</w:t>
            </w:r>
            <w:r>
              <w:rPr>
                <w:noProof/>
                <w:webHidden/>
              </w:rPr>
              <w:tab/>
            </w:r>
            <w:r>
              <w:rPr>
                <w:noProof/>
                <w:webHidden/>
              </w:rPr>
              <w:fldChar w:fldCharType="begin"/>
            </w:r>
            <w:r>
              <w:rPr>
                <w:noProof/>
                <w:webHidden/>
              </w:rPr>
              <w:instrText xml:space="preserve"> PAGEREF _Toc84071149 \h </w:instrText>
            </w:r>
            <w:r>
              <w:rPr>
                <w:noProof/>
                <w:webHidden/>
              </w:rPr>
            </w:r>
            <w:r>
              <w:rPr>
                <w:noProof/>
                <w:webHidden/>
              </w:rPr>
              <w:fldChar w:fldCharType="separate"/>
            </w:r>
            <w:r>
              <w:rPr>
                <w:noProof/>
                <w:webHidden/>
              </w:rPr>
              <w:t>53</w:t>
            </w:r>
            <w:r>
              <w:rPr>
                <w:noProof/>
                <w:webHidden/>
              </w:rPr>
              <w:fldChar w:fldCharType="end"/>
            </w:r>
          </w:hyperlink>
        </w:p>
        <w:p w14:paraId="6D5CB741" w14:textId="33A15ECA" w:rsidR="00D50379" w:rsidRDefault="00D50379">
          <w:r>
            <w:fldChar w:fldCharType="end"/>
          </w:r>
        </w:p>
      </w:sdtContent>
    </w:sdt>
    <w:p w14:paraId="563406ED" w14:textId="251490C9" w:rsidR="00D50379" w:rsidRDefault="00D50379">
      <w:pPr>
        <w:spacing w:before="0" w:after="0"/>
        <w:rPr>
          <w:rFonts w:eastAsia="TimesNewRomanPS-ItalicMT"/>
          <w:bdr w:val="nil"/>
        </w:rPr>
      </w:pPr>
    </w:p>
    <w:p w14:paraId="21033B73" w14:textId="140C68BF" w:rsidR="00D50379" w:rsidRDefault="00D50379">
      <w:pPr>
        <w:spacing w:before="0" w:after="0"/>
        <w:rPr>
          <w:rFonts w:eastAsia="TimesNewRomanPS-ItalicMT"/>
          <w:bdr w:val="nil"/>
        </w:rPr>
      </w:pPr>
      <w:r>
        <w:rPr>
          <w:rFonts w:eastAsia="TimesNewRomanPS-ItalicMT"/>
          <w:bdr w:val="nil"/>
        </w:rPr>
        <w:br w:type="page"/>
      </w:r>
    </w:p>
    <w:p w14:paraId="4B32E128" w14:textId="77777777" w:rsidR="00A4668D" w:rsidRPr="0004555B" w:rsidRDefault="00A4668D" w:rsidP="00A4668D">
      <w:pPr>
        <w:pBdr>
          <w:top w:val="nil"/>
          <w:left w:val="nil"/>
          <w:bottom w:val="nil"/>
          <w:right w:val="nil"/>
          <w:between w:val="nil"/>
          <w:bar w:val="nil"/>
        </w:pBdr>
        <w:jc w:val="center"/>
        <w:rPr>
          <w:rFonts w:eastAsia="TimesNewRomanPS-ItalicMT"/>
          <w:bdr w:val="nil"/>
        </w:rPr>
        <w:sectPr w:rsidR="00A4668D" w:rsidRPr="0004555B" w:rsidSect="00A4668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Pr>
          <w:i/>
          <w:bdr w:val="nil"/>
        </w:rPr>
        <w:lastRenderedPageBreak/>
        <w:t>This page deliberately left blank</w:t>
      </w:r>
    </w:p>
    <w:p w14:paraId="46EFAEAC" w14:textId="77777777" w:rsidR="00A4668D" w:rsidRPr="00AB5AA0" w:rsidRDefault="00A4668D" w:rsidP="00A4668D">
      <w:pPr>
        <w:pStyle w:val="Heading1"/>
        <w:pageBreakBefore/>
        <w:pBdr>
          <w:top w:val="nil"/>
          <w:left w:val="nil"/>
          <w:right w:val="nil"/>
          <w:between w:val="nil"/>
          <w:bar w:val="nil"/>
        </w:pBdr>
        <w:rPr>
          <w:bdr w:val="nil"/>
        </w:rPr>
      </w:pPr>
      <w:bookmarkStart w:id="0" w:name="_Toc84071130"/>
      <w:r w:rsidRPr="00AB5AA0">
        <w:rPr>
          <w:sz w:val="36"/>
          <w:szCs w:val="36"/>
          <w:bdr w:val="nil"/>
        </w:rPr>
        <w:lastRenderedPageBreak/>
        <w:t>COMMUNITY SERVICES DIRECTORATE</w:t>
      </w:r>
      <w:bookmarkEnd w:id="0"/>
    </w:p>
    <w:p w14:paraId="740CCEC1" w14:textId="77777777" w:rsidR="00A4668D" w:rsidRDefault="00A4668D" w:rsidP="00A4668D">
      <w:pPr>
        <w:pStyle w:val="Heading2"/>
        <w:pBdr>
          <w:top w:val="nil"/>
          <w:left w:val="nil"/>
          <w:bottom w:val="nil"/>
          <w:right w:val="nil"/>
          <w:between w:val="nil"/>
          <w:bar w:val="nil"/>
        </w:pBdr>
        <w:rPr>
          <w:bdr w:val="nil"/>
        </w:rPr>
      </w:pPr>
      <w:bookmarkStart w:id="1" w:name="_Toc452467795"/>
      <w:bookmarkStart w:id="2" w:name="_Toc451895557"/>
      <w:bookmarkStart w:id="3" w:name="_Toc84071131"/>
      <w:r>
        <w:rPr>
          <w:bdr w:val="nil"/>
        </w:rPr>
        <w:t>Purpose</w:t>
      </w:r>
      <w:bookmarkEnd w:id="1"/>
      <w:bookmarkEnd w:id="2"/>
      <w:bookmarkEnd w:id="3"/>
    </w:p>
    <w:p w14:paraId="2A64ACE3" w14:textId="77777777" w:rsidR="00A4668D" w:rsidRPr="00D71787" w:rsidRDefault="00A4668D" w:rsidP="00A4668D">
      <w:pPr>
        <w:pBdr>
          <w:top w:val="nil"/>
          <w:left w:val="nil"/>
          <w:bottom w:val="nil"/>
          <w:right w:val="nil"/>
          <w:between w:val="nil"/>
          <w:bar w:val="nil"/>
        </w:pBdr>
        <w:rPr>
          <w:bdr w:val="nil"/>
        </w:rPr>
      </w:pPr>
      <w:r w:rsidRPr="00D71787">
        <w:rPr>
          <w:bdr w:val="nil"/>
        </w:rPr>
        <w:t>The Community Services Directorate’s (the Directorate) primary purpose is to empower people to meet their full potential within an inclusive and equitable community by:</w:t>
      </w:r>
    </w:p>
    <w:p w14:paraId="1BB09090" w14:textId="77777777" w:rsidR="00A4668D" w:rsidRDefault="00A4668D" w:rsidP="00A4668D">
      <w:pPr>
        <w:pStyle w:val="BSbullet1"/>
        <w:pBdr>
          <w:top w:val="nil"/>
          <w:left w:val="nil"/>
          <w:bottom w:val="nil"/>
          <w:right w:val="nil"/>
          <w:between w:val="nil"/>
          <w:bar w:val="nil"/>
        </w:pBdr>
        <w:rPr>
          <w:bdr w:val="nil"/>
          <w:lang w:eastAsia="en-AU"/>
        </w:rPr>
      </w:pPr>
      <w:r>
        <w:rPr>
          <w:b/>
          <w:bCs/>
          <w:bdr w:val="nil"/>
        </w:rPr>
        <w:t>intervening early to support people</w:t>
      </w:r>
      <w:r>
        <w:rPr>
          <w:bdr w:val="nil"/>
        </w:rPr>
        <w:t xml:space="preserve"> to be safe, to ensure basic needs are met to enable active community participation, and to support positive life </w:t>
      </w:r>
      <w:proofErr w:type="gramStart"/>
      <w:r>
        <w:rPr>
          <w:bdr w:val="nil"/>
        </w:rPr>
        <w:t>outcomes;</w:t>
      </w:r>
      <w:proofErr w:type="gramEnd"/>
    </w:p>
    <w:p w14:paraId="5FA69D7B" w14:textId="77777777" w:rsidR="00A4668D" w:rsidRDefault="00A4668D" w:rsidP="00A4668D">
      <w:pPr>
        <w:pStyle w:val="BSbullet1"/>
        <w:pBdr>
          <w:top w:val="nil"/>
          <w:left w:val="nil"/>
          <w:bottom w:val="nil"/>
          <w:right w:val="nil"/>
          <w:between w:val="nil"/>
          <w:bar w:val="nil"/>
        </w:pBdr>
        <w:rPr>
          <w:b/>
          <w:bCs/>
          <w:bdr w:val="nil"/>
        </w:rPr>
      </w:pPr>
      <w:r>
        <w:rPr>
          <w:b/>
          <w:bCs/>
          <w:bdr w:val="nil"/>
        </w:rPr>
        <w:t xml:space="preserve">delivering services </w:t>
      </w:r>
      <w:r>
        <w:rPr>
          <w:bdr w:val="nil"/>
        </w:rPr>
        <w:t xml:space="preserve">that are human centred, holistic, tailored and integrated with a focus on ensuring the right supports are provided to those most in need, proactively identifying risks, and enabling people to work towards self-sufficiency as much as </w:t>
      </w:r>
      <w:proofErr w:type="gramStart"/>
      <w:r>
        <w:rPr>
          <w:bdr w:val="nil"/>
        </w:rPr>
        <w:t>possible;</w:t>
      </w:r>
      <w:proofErr w:type="gramEnd"/>
    </w:p>
    <w:p w14:paraId="15F4683B" w14:textId="77777777" w:rsidR="00A4668D" w:rsidRDefault="00A4668D" w:rsidP="00A4668D">
      <w:pPr>
        <w:pStyle w:val="BSbullet1"/>
        <w:pBdr>
          <w:top w:val="nil"/>
          <w:left w:val="nil"/>
          <w:bottom w:val="nil"/>
          <w:right w:val="nil"/>
          <w:between w:val="nil"/>
          <w:bar w:val="nil"/>
        </w:pBdr>
        <w:rPr>
          <w:bdr w:val="nil"/>
        </w:rPr>
      </w:pPr>
      <w:r>
        <w:rPr>
          <w:b/>
          <w:bCs/>
          <w:bdr w:val="nil"/>
        </w:rPr>
        <w:t>building strong communities</w:t>
      </w:r>
      <w:r>
        <w:rPr>
          <w:bdr w:val="nil"/>
        </w:rPr>
        <w:t xml:space="preserve"> with a focus on using evidence to inform services and programs, community development approaches that connect people to local communities, and maximising inclusion through targeted community-based programs. This includes alignment of government priorities and legislation to address community identified </w:t>
      </w:r>
      <w:proofErr w:type="gramStart"/>
      <w:r>
        <w:rPr>
          <w:bdr w:val="nil"/>
        </w:rPr>
        <w:t>needs;</w:t>
      </w:r>
      <w:proofErr w:type="gramEnd"/>
    </w:p>
    <w:p w14:paraId="5C4F4C2A" w14:textId="77777777" w:rsidR="00A4668D" w:rsidRDefault="00A4668D" w:rsidP="00A4668D">
      <w:pPr>
        <w:pStyle w:val="BSbullet1"/>
        <w:pBdr>
          <w:top w:val="nil"/>
          <w:left w:val="nil"/>
          <w:bottom w:val="nil"/>
          <w:right w:val="nil"/>
          <w:between w:val="nil"/>
          <w:bar w:val="nil"/>
        </w:pBdr>
        <w:rPr>
          <w:bdr w:val="nil"/>
        </w:rPr>
      </w:pPr>
      <w:r>
        <w:rPr>
          <w:b/>
          <w:bCs/>
          <w:bdr w:val="nil"/>
        </w:rPr>
        <w:t xml:space="preserve">enabling inclusive participation </w:t>
      </w:r>
      <w:r>
        <w:rPr>
          <w:bdr w:val="nil"/>
        </w:rPr>
        <w:t xml:space="preserve">by supporting Canberrans to participate in decision making, to form community connections, and to live fulfilling lives, fostering cohesion, </w:t>
      </w:r>
      <w:proofErr w:type="gramStart"/>
      <w:r>
        <w:rPr>
          <w:bdr w:val="nil"/>
        </w:rPr>
        <w:t>equity</w:t>
      </w:r>
      <w:proofErr w:type="gramEnd"/>
      <w:r>
        <w:rPr>
          <w:bdr w:val="nil"/>
        </w:rPr>
        <w:t xml:space="preserve"> and inclusion for all; and</w:t>
      </w:r>
    </w:p>
    <w:p w14:paraId="63C76E1E" w14:textId="0C5EBDD8" w:rsidR="00A4668D" w:rsidRDefault="00A4668D" w:rsidP="00A4668D">
      <w:pPr>
        <w:pStyle w:val="BSbullet1"/>
        <w:pBdr>
          <w:top w:val="nil"/>
          <w:left w:val="nil"/>
          <w:bottom w:val="nil"/>
          <w:right w:val="nil"/>
          <w:between w:val="nil"/>
          <w:bar w:val="nil"/>
        </w:pBdr>
        <w:rPr>
          <w:bdr w:val="nil"/>
        </w:rPr>
      </w:pPr>
      <w:r>
        <w:rPr>
          <w:b/>
          <w:bCs/>
          <w:bdr w:val="nil"/>
        </w:rPr>
        <w:t>driving collaboration and partnerships</w:t>
      </w:r>
      <w:r>
        <w:rPr>
          <w:bdr w:val="nil"/>
        </w:rPr>
        <w:t xml:space="preserve"> within and external to the Directorate, working collaboratively with other government agencies and building effective relationships with non-government community partners. This includes embedding the cultural change needed to intervene early and improve life trajectories as part of an integrated and holistic services system.</w:t>
      </w:r>
    </w:p>
    <w:p w14:paraId="6E0EA17F" w14:textId="77777777" w:rsidR="00A4668D" w:rsidRDefault="00A4668D" w:rsidP="00AD0805">
      <w:pPr>
        <w:pStyle w:val="Heading2"/>
        <w:pBdr>
          <w:top w:val="nil"/>
          <w:left w:val="nil"/>
          <w:bottom w:val="nil"/>
          <w:right w:val="nil"/>
          <w:between w:val="nil"/>
          <w:bar w:val="nil"/>
        </w:pBdr>
        <w:rPr>
          <w:bdr w:val="nil"/>
        </w:rPr>
      </w:pPr>
      <w:bookmarkStart w:id="4" w:name="_Toc452467796"/>
      <w:bookmarkStart w:id="5" w:name="_Toc451895558"/>
      <w:bookmarkStart w:id="6" w:name="_Toc84071132"/>
      <w:r>
        <w:rPr>
          <w:bdr w:val="nil"/>
        </w:rPr>
        <w:t>2021-22 Priorities</w:t>
      </w:r>
      <w:bookmarkEnd w:id="4"/>
      <w:bookmarkEnd w:id="5"/>
      <w:bookmarkEnd w:id="6"/>
    </w:p>
    <w:p w14:paraId="456190C1" w14:textId="72A1A37B" w:rsidR="00DB6E11" w:rsidRDefault="00A4668D" w:rsidP="00DB6E11">
      <w:pPr>
        <w:pStyle w:val="BSbullet1"/>
        <w:numPr>
          <w:ilvl w:val="0"/>
          <w:numId w:val="0"/>
        </w:numPr>
        <w:pBdr>
          <w:top w:val="nil"/>
          <w:left w:val="nil"/>
          <w:bottom w:val="nil"/>
          <w:right w:val="nil"/>
          <w:between w:val="nil"/>
          <w:bar w:val="nil"/>
        </w:pBdr>
        <w:tabs>
          <w:tab w:val="left" w:pos="720"/>
        </w:tabs>
        <w:ind w:left="360" w:hanging="360"/>
        <w:rPr>
          <w:bdr w:val="nil"/>
        </w:rPr>
      </w:pPr>
      <w:r>
        <w:rPr>
          <w:bdr w:val="nil"/>
        </w:rPr>
        <w:t>The following outlines the strategic and operational priorities for the Directorate in 2021-22.</w:t>
      </w:r>
    </w:p>
    <w:p w14:paraId="719598B8" w14:textId="77777777" w:rsidR="00A4668D" w:rsidRPr="00DB6E11" w:rsidRDefault="00A4668D" w:rsidP="00DB6E11">
      <w:pPr>
        <w:pStyle w:val="Heading30"/>
      </w:pPr>
      <w:bookmarkStart w:id="7" w:name="_Hlk61422772"/>
      <w:bookmarkStart w:id="8" w:name="_Toc514926316"/>
      <w:r w:rsidRPr="00DB6E11">
        <w:t>Positive Outcomes for Aboriginal and Torres Strait Islander Peoples</w:t>
      </w:r>
    </w:p>
    <w:bookmarkEnd w:id="7"/>
    <w:p w14:paraId="5E93D4B8" w14:textId="0F9BD112"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Drive policy reform to enable self-determination of Aboriginal and Torres Strait Islander peoples living in the </w:t>
      </w:r>
      <w:r w:rsidR="00696BF6">
        <w:rPr>
          <w:bdr w:val="nil"/>
        </w:rPr>
        <w:t>Australian Capital Territory (</w:t>
      </w:r>
      <w:r>
        <w:rPr>
          <w:bdr w:val="nil"/>
        </w:rPr>
        <w:t>ACT</w:t>
      </w:r>
      <w:proofErr w:type="gramStart"/>
      <w:r w:rsidR="00696BF6">
        <w:rPr>
          <w:bdr w:val="nil"/>
        </w:rPr>
        <w:t>)</w:t>
      </w:r>
      <w:r>
        <w:rPr>
          <w:bdr w:val="nil"/>
        </w:rPr>
        <w:t>;</w:t>
      </w:r>
      <w:proofErr w:type="gramEnd"/>
      <w:r>
        <w:rPr>
          <w:bdr w:val="nil"/>
        </w:rPr>
        <w:t xml:space="preserve"> </w:t>
      </w:r>
    </w:p>
    <w:p w14:paraId="4903AFC5" w14:textId="11F7552F" w:rsidR="00A4668D" w:rsidRPr="00DB6E11" w:rsidRDefault="00A4668D" w:rsidP="00DB6E11">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provide strategic oversight and coordination on the ACT Government’s commitments under the ACT </w:t>
      </w:r>
      <w:r>
        <w:rPr>
          <w:i/>
          <w:iCs/>
          <w:bdr w:val="nil"/>
        </w:rPr>
        <w:t xml:space="preserve">Aboriginal and Torres Strait Islander Agreement 2019-2028 </w:t>
      </w:r>
      <w:r>
        <w:rPr>
          <w:bdr w:val="nil"/>
        </w:rPr>
        <w:t xml:space="preserve">and the </w:t>
      </w:r>
      <w:r>
        <w:rPr>
          <w:i/>
          <w:iCs/>
          <w:bdr w:val="nil"/>
        </w:rPr>
        <w:t xml:space="preserve">National Agreement on Closing the </w:t>
      </w:r>
      <w:proofErr w:type="gramStart"/>
      <w:r>
        <w:rPr>
          <w:i/>
          <w:iCs/>
          <w:bdr w:val="nil"/>
        </w:rPr>
        <w:t>Gap</w:t>
      </w:r>
      <w:r>
        <w:rPr>
          <w:bdr w:val="nil"/>
        </w:rPr>
        <w:t>;</w:t>
      </w:r>
      <w:proofErr w:type="gramEnd"/>
      <w:r>
        <w:rPr>
          <w:bdr w:val="nil"/>
        </w:rPr>
        <w:t xml:space="preserve"> </w:t>
      </w:r>
    </w:p>
    <w:p w14:paraId="31E6BBFF" w14:textId="77777777" w:rsidR="00DB6E11" w:rsidRDefault="00DB6E11">
      <w:pPr>
        <w:spacing w:before="0" w:after="0"/>
        <w:rPr>
          <w:szCs w:val="24"/>
          <w:bdr w:val="nil"/>
        </w:rPr>
      </w:pPr>
      <w:r>
        <w:rPr>
          <w:bdr w:val="nil"/>
        </w:rPr>
        <w:br w:type="page"/>
      </w:r>
    </w:p>
    <w:p w14:paraId="0ED4C8D0" w14:textId="0DBC114B"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lastRenderedPageBreak/>
        <w:t xml:space="preserve">work in partnership with the ACT Aboriginal and Torres Strait Islander Elected Body and ACT Aboriginal and Torres Strait Islander </w:t>
      </w:r>
      <w:r w:rsidR="00BA7B7D">
        <w:rPr>
          <w:bdr w:val="nil"/>
        </w:rPr>
        <w:t>c</w:t>
      </w:r>
      <w:r>
        <w:rPr>
          <w:bdr w:val="nil"/>
        </w:rPr>
        <w:t>ommunity to address local priorities such as:</w:t>
      </w:r>
    </w:p>
    <w:p w14:paraId="14288AA3" w14:textId="77777777" w:rsidR="00A4668D" w:rsidRDefault="00A4668D" w:rsidP="00A4668D">
      <w:pPr>
        <w:pStyle w:val="BSbullet1"/>
        <w:numPr>
          <w:ilvl w:val="1"/>
          <w:numId w:val="3"/>
        </w:numPr>
        <w:pBdr>
          <w:top w:val="nil"/>
          <w:left w:val="nil"/>
          <w:bottom w:val="nil"/>
          <w:right w:val="nil"/>
          <w:between w:val="nil"/>
          <w:bar w:val="nil"/>
        </w:pBdr>
        <w:tabs>
          <w:tab w:val="left" w:pos="720"/>
        </w:tabs>
        <w:ind w:left="1037" w:hanging="357"/>
        <w:rPr>
          <w:bdr w:val="nil"/>
        </w:rPr>
      </w:pPr>
      <w:r>
        <w:rPr>
          <w:color w:val="000000"/>
          <w:bdr w:val="nil"/>
        </w:rPr>
        <w:t>development of options for community led governance of places of significance; and</w:t>
      </w:r>
    </w:p>
    <w:p w14:paraId="725B5618" w14:textId="67F7CED1" w:rsidR="00A4668D" w:rsidRDefault="00A4668D" w:rsidP="00A4668D">
      <w:pPr>
        <w:pStyle w:val="BSbullet1"/>
        <w:numPr>
          <w:ilvl w:val="1"/>
          <w:numId w:val="3"/>
        </w:numPr>
        <w:pBdr>
          <w:top w:val="nil"/>
          <w:left w:val="nil"/>
          <w:bottom w:val="nil"/>
          <w:right w:val="nil"/>
          <w:between w:val="nil"/>
          <w:bar w:val="nil"/>
        </w:pBdr>
        <w:tabs>
          <w:tab w:val="left" w:pos="720"/>
        </w:tabs>
        <w:ind w:left="1037" w:hanging="357"/>
        <w:rPr>
          <w:bdr w:val="nil"/>
        </w:rPr>
      </w:pPr>
      <w:r>
        <w:rPr>
          <w:color w:val="000000"/>
          <w:bdr w:val="nil"/>
        </w:rPr>
        <w:t xml:space="preserve">development of the strategic vision for the Yarramundi Cultural </w:t>
      </w:r>
      <w:proofErr w:type="gramStart"/>
      <w:r>
        <w:rPr>
          <w:color w:val="000000"/>
          <w:bdr w:val="nil"/>
        </w:rPr>
        <w:t>Centre;</w:t>
      </w:r>
      <w:proofErr w:type="gramEnd"/>
    </w:p>
    <w:p w14:paraId="3502D07A"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support the Aboriginal and Torres Strait Islander community through cultural, leadership and scholarship grant </w:t>
      </w:r>
      <w:proofErr w:type="gramStart"/>
      <w:r>
        <w:rPr>
          <w:bdr w:val="nil"/>
        </w:rPr>
        <w:t>programs;</w:t>
      </w:r>
      <w:proofErr w:type="gramEnd"/>
    </w:p>
    <w:p w14:paraId="782AD571"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support the United Ngunnawal Elders Council and the ACT Aboriginal and Torres Strait Islander Elected </w:t>
      </w:r>
      <w:proofErr w:type="gramStart"/>
      <w:r>
        <w:rPr>
          <w:bdr w:val="nil"/>
        </w:rPr>
        <w:t>Body;</w:t>
      </w:r>
      <w:proofErr w:type="gramEnd"/>
    </w:p>
    <w:p w14:paraId="1E4B46AA"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support the ACT Aboriginal and Torres Strait Islander Co-design Network to develop community led solutions to issues impacting </w:t>
      </w:r>
      <w:proofErr w:type="gramStart"/>
      <w:r>
        <w:rPr>
          <w:bdr w:val="nil"/>
        </w:rPr>
        <w:t>community;</w:t>
      </w:r>
      <w:proofErr w:type="gramEnd"/>
    </w:p>
    <w:p w14:paraId="48E2AFEA" w14:textId="61AA3A55"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implement the </w:t>
      </w:r>
      <w:r>
        <w:rPr>
          <w:i/>
          <w:iCs/>
          <w:bdr w:val="nil"/>
        </w:rPr>
        <w:t xml:space="preserve">Our </w:t>
      </w:r>
      <w:proofErr w:type="spellStart"/>
      <w:r>
        <w:rPr>
          <w:i/>
          <w:iCs/>
          <w:bdr w:val="nil"/>
        </w:rPr>
        <w:t>Booris</w:t>
      </w:r>
      <w:proofErr w:type="spellEnd"/>
      <w:r>
        <w:rPr>
          <w:i/>
          <w:iCs/>
          <w:bdr w:val="nil"/>
        </w:rPr>
        <w:t>, Our Way</w:t>
      </w:r>
      <w:r>
        <w:rPr>
          <w:bdr w:val="nil"/>
        </w:rPr>
        <w:t xml:space="preserve"> Review; in partnership with the community </w:t>
      </w:r>
      <w:r w:rsidR="00661B14">
        <w:rPr>
          <w:bdr w:val="nil"/>
        </w:rPr>
        <w:t xml:space="preserve">to </w:t>
      </w:r>
      <w:r>
        <w:rPr>
          <w:bdr w:val="nil"/>
        </w:rPr>
        <w:t>ensure more Aboriginal and Torres Strait Islander children and young people grow up</w:t>
      </w:r>
      <w:r w:rsidR="001E5000">
        <w:rPr>
          <w:bdr w:val="nil"/>
        </w:rPr>
        <w:t xml:space="preserve"> </w:t>
      </w:r>
      <w:r>
        <w:rPr>
          <w:bdr w:val="nil"/>
        </w:rPr>
        <w:t xml:space="preserve">connected to their family and </w:t>
      </w:r>
      <w:proofErr w:type="gramStart"/>
      <w:r>
        <w:rPr>
          <w:bdr w:val="nil"/>
        </w:rPr>
        <w:t>culture;</w:t>
      </w:r>
      <w:proofErr w:type="gramEnd"/>
    </w:p>
    <w:p w14:paraId="3B837AC6" w14:textId="3B9960B3"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progress the recommendations from </w:t>
      </w:r>
      <w:r>
        <w:rPr>
          <w:i/>
          <w:iCs/>
          <w:bdr w:val="nil"/>
        </w:rPr>
        <w:t>We Don’t Shoot Our Wounded</w:t>
      </w:r>
      <w:r>
        <w:rPr>
          <w:bdr w:val="nil"/>
        </w:rPr>
        <w:t xml:space="preserve"> Report guided by representatives </w:t>
      </w:r>
      <w:r w:rsidR="00661B14">
        <w:rPr>
          <w:bdr w:val="nil"/>
        </w:rPr>
        <w:t>from</w:t>
      </w:r>
      <w:r>
        <w:rPr>
          <w:bdr w:val="nil"/>
        </w:rPr>
        <w:t xml:space="preserve"> the ACT Aboriginal and Torres Strait Islander </w:t>
      </w:r>
      <w:proofErr w:type="gramStart"/>
      <w:r>
        <w:rPr>
          <w:bdr w:val="nil"/>
        </w:rPr>
        <w:t>community;</w:t>
      </w:r>
      <w:proofErr w:type="gramEnd"/>
    </w:p>
    <w:p w14:paraId="3E09E4CF"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deliver Family Group Conferencing and Functional Family Therapy, to improve outcomes for Aboriginal and Torres Strait Islander children and young </w:t>
      </w:r>
      <w:proofErr w:type="gramStart"/>
      <w:r>
        <w:rPr>
          <w:bdr w:val="nil"/>
        </w:rPr>
        <w:t>people;</w:t>
      </w:r>
      <w:proofErr w:type="gramEnd"/>
      <w:r>
        <w:rPr>
          <w:bdr w:val="nil"/>
        </w:rPr>
        <w:t xml:space="preserve"> </w:t>
      </w:r>
    </w:p>
    <w:p w14:paraId="07922FD2" w14:textId="77777777" w:rsidR="00A4668D" w:rsidRPr="00F45701" w:rsidRDefault="00A4668D" w:rsidP="00A4668D">
      <w:pPr>
        <w:pStyle w:val="BSbullet1"/>
        <w:numPr>
          <w:ilvl w:val="0"/>
          <w:numId w:val="3"/>
        </w:numPr>
        <w:pBdr>
          <w:top w:val="nil"/>
          <w:left w:val="nil"/>
          <w:bottom w:val="nil"/>
          <w:right w:val="nil"/>
          <w:between w:val="nil"/>
          <w:bar w:val="nil"/>
        </w:pBdr>
        <w:tabs>
          <w:tab w:val="clear" w:pos="360"/>
          <w:tab w:val="left" w:pos="720"/>
        </w:tabs>
        <w:rPr>
          <w:bdr w:val="none" w:sz="0" w:space="0" w:color="auto" w:frame="1"/>
        </w:rPr>
      </w:pPr>
      <w:r>
        <w:rPr>
          <w:bdr w:val="nil"/>
        </w:rPr>
        <w:t xml:space="preserve">support the concept design and build of accommodation for </w:t>
      </w:r>
      <w:proofErr w:type="spellStart"/>
      <w:r>
        <w:rPr>
          <w:bdr w:val="nil"/>
        </w:rPr>
        <w:t>Gugan</w:t>
      </w:r>
      <w:proofErr w:type="spellEnd"/>
      <w:r>
        <w:rPr>
          <w:bdr w:val="nil"/>
        </w:rPr>
        <w:t> </w:t>
      </w:r>
      <w:proofErr w:type="spellStart"/>
      <w:r>
        <w:rPr>
          <w:bdr w:val="nil"/>
        </w:rPr>
        <w:t>Gulwan</w:t>
      </w:r>
      <w:proofErr w:type="spellEnd"/>
      <w:r>
        <w:rPr>
          <w:bdr w:val="nil"/>
        </w:rPr>
        <w:t>, to deliver crucial services to Aboriginal and Torres Strait Islander families; and</w:t>
      </w:r>
    </w:p>
    <w:p w14:paraId="18B26087" w14:textId="29230507" w:rsidR="00A4668D" w:rsidRPr="00F45701" w:rsidRDefault="00A4668D" w:rsidP="00F45701">
      <w:pPr>
        <w:pStyle w:val="BSbullet1"/>
        <w:numPr>
          <w:ilvl w:val="0"/>
          <w:numId w:val="3"/>
        </w:numPr>
        <w:tabs>
          <w:tab w:val="clear" w:pos="360"/>
          <w:tab w:val="left" w:pos="720"/>
        </w:tabs>
        <w:rPr>
          <w:szCs w:val="20"/>
          <w:bdr w:val="none" w:sz="0" w:space="0" w:color="auto" w:frame="1"/>
        </w:rPr>
      </w:pPr>
      <w:r w:rsidRPr="00F45701">
        <w:rPr>
          <w:szCs w:val="21"/>
          <w:bdr w:val="nil"/>
        </w:rPr>
        <w:t>establish a $20 million Healing and Reconciliation Fund to be administered in partnership with the local Aboriginal and Torres Strait Islander community</w:t>
      </w:r>
      <w:r>
        <w:rPr>
          <w:szCs w:val="20"/>
          <w:bdr w:val="nil"/>
        </w:rPr>
        <w:t>.</w:t>
      </w:r>
      <w:r w:rsidRPr="006416FD">
        <w:rPr>
          <w:rFonts w:ascii="Times New Roman" w:hAnsi="Times New Roman"/>
          <w:szCs w:val="20"/>
          <w:bdr w:val="nil"/>
          <w:lang w:eastAsia="en-AU"/>
        </w:rPr>
        <w:t xml:space="preserve"> </w:t>
      </w:r>
    </w:p>
    <w:p w14:paraId="256B8731" w14:textId="77777777" w:rsidR="00A4668D" w:rsidRDefault="00A4668D" w:rsidP="00DB6E11">
      <w:pPr>
        <w:pStyle w:val="Heading30"/>
      </w:pPr>
      <w:r>
        <w:t>Supporting People with Disability</w:t>
      </w:r>
      <w:bookmarkEnd w:id="8"/>
    </w:p>
    <w:p w14:paraId="7D2CB264" w14:textId="2D0C03FB" w:rsidR="00A4668D" w:rsidRDefault="00661B14"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Develop policy</w:t>
      </w:r>
      <w:r w:rsidR="00A4668D">
        <w:rPr>
          <w:bdr w:val="nil"/>
        </w:rPr>
        <w:t xml:space="preserve"> and deliver programs, events and grants to ensure people with a disability are able to fully enjoy their rights as </w:t>
      </w:r>
      <w:proofErr w:type="gramStart"/>
      <w:r w:rsidR="00A4668D">
        <w:rPr>
          <w:bdr w:val="nil"/>
        </w:rPr>
        <w:t>citizens;</w:t>
      </w:r>
      <w:proofErr w:type="gramEnd"/>
      <w:r w:rsidR="00A4668D">
        <w:rPr>
          <w:bdr w:val="nil"/>
        </w:rPr>
        <w:t xml:space="preserve"> </w:t>
      </w:r>
    </w:p>
    <w:p w14:paraId="36C49B84" w14:textId="2A84984C"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develop a new ACT Disability Strategy through the Disability Reference Group and engagement with the wider Canberra </w:t>
      </w:r>
      <w:proofErr w:type="gramStart"/>
      <w:r>
        <w:rPr>
          <w:bdr w:val="nil"/>
        </w:rPr>
        <w:t>community;</w:t>
      </w:r>
      <w:proofErr w:type="gramEnd"/>
    </w:p>
    <w:p w14:paraId="2F8EF417" w14:textId="64C24277"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 xml:space="preserve">implement and evaluate the Integrated Service Response Program to ensure people with disability who have complex needs receive a coordinated response from the </w:t>
      </w:r>
      <w:r>
        <w:rPr>
          <w:bdr w:val="nil"/>
        </w:rPr>
        <w:br/>
        <w:t xml:space="preserve">National Disability Insurance Scheme (NDIS) and mainstream service </w:t>
      </w:r>
      <w:proofErr w:type="gramStart"/>
      <w:r>
        <w:rPr>
          <w:bdr w:val="nil"/>
        </w:rPr>
        <w:t>systems;</w:t>
      </w:r>
      <w:proofErr w:type="gramEnd"/>
      <w:r>
        <w:rPr>
          <w:bdr w:val="nil"/>
        </w:rPr>
        <w:t xml:space="preserve"> </w:t>
      </w:r>
    </w:p>
    <w:p w14:paraId="1A36E7BB" w14:textId="0200698B"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implement the first action plan of the Disability Justice Strategy to ensure people with disability have access to and are treated equally before the law; and</w:t>
      </w:r>
    </w:p>
    <w:p w14:paraId="4764AE73"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build integrated services responses with the NDIS Early Childhood Early Intervention provider, including service provision to families in the Child and Family Centres and the Child Development </w:t>
      </w:r>
      <w:r>
        <w:rPr>
          <w:rFonts w:cs="Calibri"/>
          <w:bdr w:val="nil"/>
        </w:rPr>
        <w:t>Service</w:t>
      </w:r>
      <w:r>
        <w:rPr>
          <w:rFonts w:cs="Calibri"/>
          <w:bdr w:val="nil"/>
          <w:lang w:eastAsia="en-AU"/>
        </w:rPr>
        <w:t>.</w:t>
      </w:r>
    </w:p>
    <w:p w14:paraId="73683B77" w14:textId="77777777" w:rsidR="00A4668D" w:rsidRPr="0002030E" w:rsidRDefault="00A4668D" w:rsidP="00DB6E11">
      <w:pPr>
        <w:pStyle w:val="Heading30"/>
      </w:pPr>
      <w:bookmarkStart w:id="9" w:name="_Toc514926317"/>
      <w:r w:rsidRPr="0002030E">
        <w:lastRenderedPageBreak/>
        <w:t>Social Inclusion and Connected Communities</w:t>
      </w:r>
      <w:bookmarkEnd w:id="9"/>
    </w:p>
    <w:p w14:paraId="6D2DBCEC" w14:textId="77777777"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 xml:space="preserve">Lead the provision of human services initiatives, policies and programs which ensure social inclusion and community connection for </w:t>
      </w:r>
      <w:proofErr w:type="gramStart"/>
      <w:r>
        <w:rPr>
          <w:bdr w:val="nil"/>
        </w:rPr>
        <w:t>all;</w:t>
      </w:r>
      <w:proofErr w:type="gramEnd"/>
    </w:p>
    <w:p w14:paraId="0EB5AE49" w14:textId="5A72165C"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 xml:space="preserve">administer grants, awards and events to support socially inclusive community-led initiatives including the annual Women’s Awards, ACT Seniors Grants Program, </w:t>
      </w:r>
      <w:r w:rsidR="001E5000">
        <w:rPr>
          <w:bdr w:val="nil"/>
        </w:rPr>
        <w:br/>
      </w:r>
      <w:r>
        <w:rPr>
          <w:bdr w:val="nil"/>
        </w:rPr>
        <w:t xml:space="preserve">Young Canberra Citizen of the Year Awards and Veterans Grants </w:t>
      </w:r>
      <w:proofErr w:type="gramStart"/>
      <w:r>
        <w:rPr>
          <w:bdr w:val="nil"/>
        </w:rPr>
        <w:t>Program;</w:t>
      </w:r>
      <w:proofErr w:type="gramEnd"/>
    </w:p>
    <w:p w14:paraId="6AEBE66E" w14:textId="77777777"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deliver the annual National Multicultural Festival in its 25</w:t>
      </w:r>
      <w:r>
        <w:rPr>
          <w:bdr w:val="nil"/>
          <w:vertAlign w:val="superscript"/>
        </w:rPr>
        <w:t>th</w:t>
      </w:r>
      <w:r>
        <w:rPr>
          <w:bdr w:val="nil"/>
        </w:rPr>
        <w:t xml:space="preserve"> Anniversary </w:t>
      </w:r>
      <w:proofErr w:type="gramStart"/>
      <w:r>
        <w:rPr>
          <w:bdr w:val="nil"/>
        </w:rPr>
        <w:t>year;</w:t>
      </w:r>
      <w:proofErr w:type="gramEnd"/>
    </w:p>
    <w:p w14:paraId="76F407D6" w14:textId="77777777"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 xml:space="preserve">support Ministerial Advisory Councils in portfolio areas including multicultural, seniors, youth, veterans, women and </w:t>
      </w:r>
      <w:proofErr w:type="gramStart"/>
      <w:r>
        <w:rPr>
          <w:bdr w:val="nil"/>
        </w:rPr>
        <w:t>disability;</w:t>
      </w:r>
      <w:proofErr w:type="gramEnd"/>
    </w:p>
    <w:p w14:paraId="0ADDA2F1" w14:textId="6D44C82A"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enhance the ACT Service Access Card and implement the Refugee, Asylum Seekers and Humanitarian Program to support ACT Services Access Card holders (asylum seekers) adversely impacted by COVID-</w:t>
      </w:r>
      <w:proofErr w:type="gramStart"/>
      <w:r>
        <w:rPr>
          <w:bdr w:val="nil"/>
        </w:rPr>
        <w:t>19;</w:t>
      </w:r>
      <w:proofErr w:type="gramEnd"/>
      <w:r>
        <w:rPr>
          <w:bdr w:val="nil"/>
        </w:rPr>
        <w:t xml:space="preserve"> </w:t>
      </w:r>
    </w:p>
    <w:p w14:paraId="73C0B750" w14:textId="5D735563" w:rsidR="00A4668D" w:rsidRDefault="00A4668D" w:rsidP="00F45701">
      <w:pPr>
        <w:numPr>
          <w:ilvl w:val="0"/>
          <w:numId w:val="3"/>
        </w:numPr>
        <w:rPr>
          <w:bdr w:val="nil"/>
        </w:rPr>
      </w:pPr>
      <w:r>
        <w:rPr>
          <w:szCs w:val="24"/>
          <w:bdr w:val="nil"/>
        </w:rPr>
        <w:t>exten</w:t>
      </w:r>
      <w:r w:rsidR="00661B14">
        <w:rPr>
          <w:szCs w:val="24"/>
          <w:bdr w:val="nil"/>
        </w:rPr>
        <w:t>d</w:t>
      </w:r>
      <w:r>
        <w:rPr>
          <w:szCs w:val="24"/>
          <w:bdr w:val="nil"/>
        </w:rPr>
        <w:t xml:space="preserve"> funding for the Canberra Relief Network to ensure food security for Canberrans economically impacted by COVID-</w:t>
      </w:r>
      <w:proofErr w:type="gramStart"/>
      <w:r>
        <w:rPr>
          <w:szCs w:val="24"/>
          <w:bdr w:val="nil"/>
        </w:rPr>
        <w:t>19;</w:t>
      </w:r>
      <w:proofErr w:type="gramEnd"/>
      <w:r>
        <w:rPr>
          <w:szCs w:val="24"/>
          <w:bdr w:val="nil"/>
        </w:rPr>
        <w:t xml:space="preserve"> </w:t>
      </w:r>
    </w:p>
    <w:p w14:paraId="43456801" w14:textId="77777777" w:rsidR="00A4668D" w:rsidRDefault="00A4668D" w:rsidP="00A4668D">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Pr>
          <w:bdr w:val="nil"/>
        </w:rPr>
        <w:t xml:space="preserve">implement the Action Plan under the </w:t>
      </w:r>
      <w:r>
        <w:rPr>
          <w:i/>
          <w:iCs/>
          <w:bdr w:val="nil"/>
        </w:rPr>
        <w:t xml:space="preserve">ACT Carers </w:t>
      </w:r>
      <w:proofErr w:type="gramStart"/>
      <w:r>
        <w:rPr>
          <w:i/>
          <w:iCs/>
          <w:bdr w:val="nil"/>
        </w:rPr>
        <w:t>Strategy</w:t>
      </w:r>
      <w:r>
        <w:rPr>
          <w:bdr w:val="nil"/>
        </w:rPr>
        <w:t>;</w:t>
      </w:r>
      <w:proofErr w:type="gramEnd"/>
    </w:p>
    <w:p w14:paraId="58B3D696" w14:textId="2132B954" w:rsidR="00A4668D" w:rsidRDefault="00A4668D" w:rsidP="00A4668D">
      <w:pPr>
        <w:pStyle w:val="BSbullet1"/>
        <w:numPr>
          <w:ilvl w:val="0"/>
          <w:numId w:val="3"/>
        </w:numPr>
        <w:pBdr>
          <w:top w:val="nil"/>
          <w:left w:val="nil"/>
          <w:bottom w:val="nil"/>
          <w:right w:val="nil"/>
          <w:between w:val="nil"/>
          <w:bar w:val="nil"/>
        </w:pBdr>
        <w:rPr>
          <w:bdr w:val="nil"/>
        </w:rPr>
      </w:pPr>
      <w:r>
        <w:rPr>
          <w:bdr w:val="nil"/>
        </w:rPr>
        <w:t xml:space="preserve">work towards Canberra achieving accreditation as a Welcoming City at the </w:t>
      </w:r>
      <w:r>
        <w:rPr>
          <w:bdr w:val="nil"/>
        </w:rPr>
        <w:br/>
        <w:t xml:space="preserve">Established Level of the Welcoming Cities </w:t>
      </w:r>
      <w:proofErr w:type="gramStart"/>
      <w:r>
        <w:rPr>
          <w:bdr w:val="nil"/>
        </w:rPr>
        <w:t>Standard;</w:t>
      </w:r>
      <w:proofErr w:type="gramEnd"/>
    </w:p>
    <w:p w14:paraId="063C2BBC"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rPr>
        <w:t xml:space="preserve">expand assistance to refugees, asylum seekers and new migrants to enter the workforce through employment participation </w:t>
      </w:r>
      <w:proofErr w:type="gramStart"/>
      <w:r>
        <w:rPr>
          <w:bdr w:val="nil"/>
        </w:rPr>
        <w:t>services;</w:t>
      </w:r>
      <w:proofErr w:type="gramEnd"/>
      <w:r>
        <w:rPr>
          <w:bdr w:val="nil"/>
        </w:rPr>
        <w:t xml:space="preserve"> </w:t>
      </w:r>
    </w:p>
    <w:p w14:paraId="7230EB8B" w14:textId="7840F8BA" w:rsidR="00A4668D" w:rsidRPr="006416FD" w:rsidRDefault="00A4668D" w:rsidP="00A4668D">
      <w:pPr>
        <w:pStyle w:val="BSbullet1"/>
        <w:numPr>
          <w:ilvl w:val="0"/>
          <w:numId w:val="3"/>
        </w:numPr>
        <w:pBdr>
          <w:top w:val="nil"/>
          <w:left w:val="nil"/>
          <w:bottom w:val="nil"/>
          <w:right w:val="nil"/>
          <w:between w:val="nil"/>
          <w:bar w:val="nil"/>
        </w:pBdr>
        <w:rPr>
          <w:bdr w:val="nil"/>
        </w:rPr>
      </w:pPr>
      <w:r>
        <w:rPr>
          <w:bdr w:val="nil"/>
        </w:rPr>
        <w:t xml:space="preserve">complete actions under the </w:t>
      </w:r>
      <w:r>
        <w:rPr>
          <w:i/>
          <w:iCs/>
          <w:bdr w:val="nil"/>
        </w:rPr>
        <w:t xml:space="preserve">ACT Multicultural Framework 2015-2020 Second Action </w:t>
      </w:r>
      <w:proofErr w:type="gramStart"/>
      <w:r>
        <w:rPr>
          <w:i/>
          <w:iCs/>
          <w:bdr w:val="nil"/>
        </w:rPr>
        <w:t>Plan</w:t>
      </w:r>
      <w:r w:rsidRPr="00F45701">
        <w:rPr>
          <w:bdr w:val="nil"/>
        </w:rPr>
        <w:t>;</w:t>
      </w:r>
      <w:proofErr w:type="gramEnd"/>
    </w:p>
    <w:p w14:paraId="59C933FF"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rPr>
        <w:t xml:space="preserve">scope and deliver the new </w:t>
      </w:r>
      <w:r>
        <w:rPr>
          <w:i/>
          <w:iCs/>
          <w:bdr w:val="nil"/>
        </w:rPr>
        <w:t xml:space="preserve">ACT Multicultural Recognition </w:t>
      </w:r>
      <w:proofErr w:type="gramStart"/>
      <w:r>
        <w:rPr>
          <w:i/>
          <w:iCs/>
          <w:bdr w:val="nil"/>
        </w:rPr>
        <w:t>Act</w:t>
      </w:r>
      <w:r>
        <w:rPr>
          <w:bdr w:val="nil"/>
        </w:rPr>
        <w:t>;</w:t>
      </w:r>
      <w:proofErr w:type="gramEnd"/>
    </w:p>
    <w:p w14:paraId="16DCAB42" w14:textId="2C9FA064" w:rsidR="00A4668D" w:rsidRDefault="00A4668D" w:rsidP="00A4668D">
      <w:pPr>
        <w:pStyle w:val="BSbullet1"/>
        <w:numPr>
          <w:ilvl w:val="0"/>
          <w:numId w:val="3"/>
        </w:numPr>
        <w:pBdr>
          <w:top w:val="nil"/>
          <w:left w:val="nil"/>
          <w:bottom w:val="nil"/>
          <w:right w:val="nil"/>
          <w:between w:val="nil"/>
          <w:bar w:val="nil"/>
        </w:pBdr>
        <w:tabs>
          <w:tab w:val="left" w:pos="720"/>
        </w:tabs>
        <w:rPr>
          <w:bdr w:val="nil"/>
        </w:rPr>
      </w:pPr>
      <w:r>
        <w:rPr>
          <w:bdr w:val="nil"/>
        </w:rPr>
        <w:t xml:space="preserve">implement the </w:t>
      </w:r>
      <w:r>
        <w:rPr>
          <w:i/>
          <w:bdr w:val="nil"/>
        </w:rPr>
        <w:t>ACT Women’s Plan 2016-26</w:t>
      </w:r>
      <w:r>
        <w:rPr>
          <w:bdr w:val="nil"/>
        </w:rPr>
        <w:t xml:space="preserve"> including the development of the </w:t>
      </w:r>
      <w:r>
        <w:rPr>
          <w:bdr w:val="nil"/>
        </w:rPr>
        <w:br/>
      </w:r>
      <w:r>
        <w:rPr>
          <w:i/>
          <w:bdr w:val="nil"/>
        </w:rPr>
        <w:t xml:space="preserve">Second Action Plan </w:t>
      </w:r>
      <w:proofErr w:type="gramStart"/>
      <w:r>
        <w:rPr>
          <w:i/>
          <w:bdr w:val="nil"/>
        </w:rPr>
        <w:t>2020-22</w:t>
      </w:r>
      <w:r>
        <w:rPr>
          <w:bdr w:val="nil"/>
        </w:rPr>
        <w:t>;</w:t>
      </w:r>
      <w:proofErr w:type="gramEnd"/>
    </w:p>
    <w:p w14:paraId="2AA2D2DA" w14:textId="77777777" w:rsidR="00A4668D" w:rsidRDefault="00A4668D" w:rsidP="00A4668D">
      <w:pPr>
        <w:pStyle w:val="BSbullet1"/>
        <w:numPr>
          <w:ilvl w:val="0"/>
          <w:numId w:val="3"/>
        </w:numPr>
        <w:pBdr>
          <w:top w:val="nil"/>
          <w:left w:val="nil"/>
          <w:bottom w:val="nil"/>
          <w:right w:val="nil"/>
          <w:between w:val="nil"/>
          <w:bar w:val="nil"/>
        </w:pBdr>
        <w:shd w:val="clear" w:color="auto" w:fill="FFFFFF"/>
        <w:tabs>
          <w:tab w:val="left" w:pos="720"/>
        </w:tabs>
        <w:rPr>
          <w:bdr w:val="nil"/>
        </w:rPr>
      </w:pPr>
      <w:r>
        <w:rPr>
          <w:bdr w:val="nil"/>
        </w:rPr>
        <w:t xml:space="preserve">fund the ACT Seniors Card Program, to provide eligible seniors with a range of discounts from participating businesses and </w:t>
      </w:r>
      <w:proofErr w:type="gramStart"/>
      <w:r>
        <w:rPr>
          <w:bdr w:val="nil"/>
        </w:rPr>
        <w:t>services;</w:t>
      </w:r>
      <w:proofErr w:type="gramEnd"/>
    </w:p>
    <w:p w14:paraId="437FC0CC"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rPr>
        <w:t xml:space="preserve">support the ACT’s response to the </w:t>
      </w:r>
      <w:r>
        <w:rPr>
          <w:i/>
          <w:bdr w:val="nil"/>
        </w:rPr>
        <w:t xml:space="preserve">National Plan to Respond to the Abuse of Older Australians (Elder Abuse) </w:t>
      </w:r>
      <w:proofErr w:type="gramStart"/>
      <w:r>
        <w:rPr>
          <w:i/>
          <w:bdr w:val="nil"/>
        </w:rPr>
        <w:t>2019-2023</w:t>
      </w:r>
      <w:r>
        <w:rPr>
          <w:bdr w:val="nil"/>
        </w:rPr>
        <w:t>;</w:t>
      </w:r>
      <w:proofErr w:type="gramEnd"/>
    </w:p>
    <w:p w14:paraId="17143684" w14:textId="0A76AF67" w:rsidR="00A4668D" w:rsidRDefault="00A4668D" w:rsidP="00A4668D">
      <w:pPr>
        <w:pStyle w:val="BSbullet1"/>
        <w:numPr>
          <w:ilvl w:val="0"/>
          <w:numId w:val="3"/>
        </w:numPr>
        <w:pBdr>
          <w:top w:val="nil"/>
          <w:left w:val="nil"/>
          <w:bottom w:val="nil"/>
          <w:right w:val="nil"/>
          <w:between w:val="nil"/>
          <w:bar w:val="nil"/>
        </w:pBdr>
        <w:rPr>
          <w:bdr w:val="nil"/>
          <w:lang w:eastAsia="en-AU"/>
        </w:rPr>
      </w:pPr>
      <w:r>
        <w:rPr>
          <w:bdr w:val="nil"/>
          <w:lang w:eastAsia="en-AU"/>
        </w:rPr>
        <w:t xml:space="preserve">establish the Sexual Assault Prevention and Response Program, to deliver a robust approach to sexual assault focused on prevention, response, law reform and workplace </w:t>
      </w:r>
      <w:proofErr w:type="gramStart"/>
      <w:r>
        <w:rPr>
          <w:bdr w:val="nil"/>
          <w:lang w:eastAsia="en-AU"/>
        </w:rPr>
        <w:t>safety;</w:t>
      </w:r>
      <w:proofErr w:type="gramEnd"/>
    </w:p>
    <w:p w14:paraId="7D7C28B6" w14:textId="77777777" w:rsidR="00A4668D" w:rsidRDefault="00A4668D" w:rsidP="00A4668D">
      <w:pPr>
        <w:pStyle w:val="BSbullet1"/>
        <w:numPr>
          <w:ilvl w:val="0"/>
          <w:numId w:val="3"/>
        </w:numPr>
        <w:pBdr>
          <w:top w:val="nil"/>
          <w:left w:val="nil"/>
          <w:bottom w:val="nil"/>
          <w:right w:val="nil"/>
          <w:between w:val="nil"/>
          <w:bar w:val="nil"/>
        </w:pBdr>
        <w:shd w:val="clear" w:color="auto" w:fill="FFFFFF"/>
        <w:tabs>
          <w:tab w:val="left" w:pos="720"/>
        </w:tabs>
        <w:rPr>
          <w:szCs w:val="20"/>
          <w:bdr w:val="nil"/>
        </w:rPr>
      </w:pPr>
      <w:r>
        <w:rPr>
          <w:bdr w:val="nil"/>
        </w:rPr>
        <w:t xml:space="preserve">improve the capability of the ACT Public Service to recognise and respond to domestic and family violence through the ACT Public Service Domestic and Family Violence Training </w:t>
      </w:r>
      <w:proofErr w:type="gramStart"/>
      <w:r>
        <w:rPr>
          <w:bdr w:val="nil"/>
        </w:rPr>
        <w:t>strategy;</w:t>
      </w:r>
      <w:proofErr w:type="gramEnd"/>
    </w:p>
    <w:p w14:paraId="1F32C841" w14:textId="77777777" w:rsidR="00A4668D" w:rsidRDefault="00A4668D" w:rsidP="00A4668D">
      <w:pPr>
        <w:pStyle w:val="BSbullet1"/>
        <w:numPr>
          <w:ilvl w:val="0"/>
          <w:numId w:val="3"/>
        </w:numPr>
        <w:pBdr>
          <w:top w:val="nil"/>
          <w:left w:val="nil"/>
          <w:bottom w:val="nil"/>
          <w:right w:val="nil"/>
          <w:between w:val="nil"/>
          <w:bar w:val="nil"/>
        </w:pBdr>
        <w:tabs>
          <w:tab w:val="left" w:pos="720"/>
        </w:tabs>
        <w:spacing w:line="254" w:lineRule="auto"/>
        <w:rPr>
          <w:rFonts w:eastAsia="Calibri" w:cs="Calibri"/>
          <w:color w:val="000000"/>
          <w:bdr w:val="nil"/>
        </w:rPr>
      </w:pPr>
      <w:r>
        <w:rPr>
          <w:color w:val="000000"/>
          <w:bdr w:val="nil"/>
        </w:rPr>
        <w:t xml:space="preserve">develop an ACT Domestic and Family Violence Death Review </w:t>
      </w:r>
      <w:proofErr w:type="gramStart"/>
      <w:r>
        <w:rPr>
          <w:color w:val="000000"/>
          <w:bdr w:val="nil"/>
        </w:rPr>
        <w:t>mechanism;</w:t>
      </w:r>
      <w:proofErr w:type="gramEnd"/>
    </w:p>
    <w:p w14:paraId="7A391C15"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rPr>
        <w:lastRenderedPageBreak/>
        <w:t xml:space="preserve">deliver the Health Justice Partnership so pregnant women and new families at risk of domestic and family violence can receive legal support in a healthcare setting, before escalating into </w:t>
      </w:r>
      <w:proofErr w:type="gramStart"/>
      <w:r>
        <w:rPr>
          <w:bdr w:val="nil"/>
        </w:rPr>
        <w:t>crisis;</w:t>
      </w:r>
      <w:proofErr w:type="gramEnd"/>
      <w:r>
        <w:rPr>
          <w:bdr w:val="nil"/>
        </w:rPr>
        <w:t xml:space="preserve"> </w:t>
      </w:r>
    </w:p>
    <w:p w14:paraId="7BF753DA"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shd w:val="clear" w:color="auto" w:fill="FFFFFF"/>
        </w:rPr>
        <w:t xml:space="preserve">continue the Family Violence Safety Action Pilot, to expand integrated case work and coordinated effort to meet increased demand on services to better respond to the needs of high-risk </w:t>
      </w:r>
      <w:proofErr w:type="gramStart"/>
      <w:r>
        <w:rPr>
          <w:bdr w:val="nil"/>
          <w:shd w:val="clear" w:color="auto" w:fill="FFFFFF"/>
        </w:rPr>
        <w:t>families;</w:t>
      </w:r>
      <w:proofErr w:type="gramEnd"/>
    </w:p>
    <w:p w14:paraId="5A58C6B5"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shd w:val="clear" w:color="auto" w:fill="FFFFFF"/>
        </w:rPr>
        <w:t xml:space="preserve">design and test an integrated domestic and family violence risk assessment model, including a pilot of case tracking and </w:t>
      </w:r>
      <w:proofErr w:type="gramStart"/>
      <w:r>
        <w:rPr>
          <w:bdr w:val="nil"/>
          <w:shd w:val="clear" w:color="auto" w:fill="FFFFFF"/>
        </w:rPr>
        <w:t>coordination;</w:t>
      </w:r>
      <w:proofErr w:type="gramEnd"/>
    </w:p>
    <w:p w14:paraId="1ACBF8FB" w14:textId="77777777" w:rsidR="00A4668D" w:rsidRDefault="00A4668D" w:rsidP="00A4668D">
      <w:pPr>
        <w:pStyle w:val="BSbullet1"/>
        <w:numPr>
          <w:ilvl w:val="0"/>
          <w:numId w:val="3"/>
        </w:numPr>
        <w:pBdr>
          <w:top w:val="nil"/>
          <w:left w:val="nil"/>
          <w:bottom w:val="nil"/>
          <w:right w:val="nil"/>
          <w:between w:val="nil"/>
          <w:bar w:val="nil"/>
        </w:pBdr>
        <w:rPr>
          <w:rStyle w:val="Calibri12"/>
          <w:bdr w:val="nil"/>
        </w:rPr>
      </w:pPr>
      <w:r>
        <w:rPr>
          <w:bdr w:val="nil"/>
          <w:shd w:val="clear" w:color="auto" w:fill="FFFFFF"/>
        </w:rPr>
        <w:t xml:space="preserve">continue to support frontline domestic violence and rape crisis services to address sustained </w:t>
      </w:r>
      <w:proofErr w:type="gramStart"/>
      <w:r>
        <w:rPr>
          <w:bdr w:val="nil"/>
          <w:shd w:val="clear" w:color="auto" w:fill="FFFFFF"/>
        </w:rPr>
        <w:t>demand;</w:t>
      </w:r>
      <w:proofErr w:type="gramEnd"/>
    </w:p>
    <w:p w14:paraId="1E1B65E4" w14:textId="77777777" w:rsidR="00A4668D" w:rsidRDefault="00A4668D" w:rsidP="00A4668D">
      <w:pPr>
        <w:pStyle w:val="BSbullet1"/>
        <w:numPr>
          <w:ilvl w:val="0"/>
          <w:numId w:val="3"/>
        </w:numPr>
        <w:pBdr>
          <w:top w:val="nil"/>
          <w:left w:val="nil"/>
          <w:bottom w:val="nil"/>
          <w:right w:val="nil"/>
          <w:between w:val="nil"/>
          <w:bar w:val="nil"/>
        </w:pBdr>
        <w:rPr>
          <w:bdr w:val="nil"/>
        </w:rPr>
      </w:pPr>
      <w:r>
        <w:rPr>
          <w:bdr w:val="nil"/>
        </w:rPr>
        <w:t>progress the ACT Community Services Sector Sustainability Review to understand service costs and to co-design future approaches, informed by the consultation on the Strengthening Partnerships – Commissioning for Social Impact Strategy; and</w:t>
      </w:r>
    </w:p>
    <w:p w14:paraId="1C2091DB" w14:textId="31FC7DDE" w:rsidR="00A4668D" w:rsidRDefault="00A4668D" w:rsidP="00F45701">
      <w:pPr>
        <w:numPr>
          <w:ilvl w:val="0"/>
          <w:numId w:val="3"/>
        </w:numPr>
        <w:tabs>
          <w:tab w:val="clear" w:pos="360"/>
          <w:tab w:val="left" w:pos="720"/>
        </w:tabs>
        <w:rPr>
          <w:bdr w:val="nil"/>
        </w:rPr>
      </w:pPr>
      <w:r w:rsidRPr="00F45701">
        <w:rPr>
          <w:szCs w:val="24"/>
          <w:bdr w:val="none" w:sz="0" w:space="0" w:color="auto" w:frame="1"/>
        </w:rPr>
        <w:t>deliver the Community Support Package as part of ACT Government’s COVID-19 stimulus measures.</w:t>
      </w:r>
    </w:p>
    <w:p w14:paraId="33FA6B7A" w14:textId="77777777" w:rsidR="00A4668D" w:rsidRDefault="00A4668D" w:rsidP="00DB6E11">
      <w:pPr>
        <w:pStyle w:val="Heading30"/>
      </w:pPr>
      <w:bookmarkStart w:id="10" w:name="_Toc514926318"/>
      <w:r>
        <w:t>Children, Young People and Family Services</w:t>
      </w:r>
      <w:bookmarkEnd w:id="10"/>
    </w:p>
    <w:p w14:paraId="2E4D7AEB"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Implement the </w:t>
      </w:r>
      <w:r>
        <w:rPr>
          <w:i/>
          <w:iCs/>
          <w:bdr w:val="nil"/>
        </w:rPr>
        <w:t>Australian Early Development Census</w:t>
      </w:r>
      <w:r>
        <w:rPr>
          <w:bdr w:val="nil"/>
        </w:rPr>
        <w:t xml:space="preserve">, including supporting use of Census data to understand early childhood in the </w:t>
      </w:r>
      <w:proofErr w:type="gramStart"/>
      <w:r>
        <w:rPr>
          <w:bdr w:val="nil"/>
        </w:rPr>
        <w:t>ACT;</w:t>
      </w:r>
      <w:proofErr w:type="gramEnd"/>
    </w:p>
    <w:p w14:paraId="6D716575" w14:textId="02D8E59D"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rFonts w:cs="Calibri"/>
          <w:bdr w:val="nil"/>
          <w:lang w:eastAsia="en-AU"/>
        </w:rPr>
      </w:pPr>
      <w:r>
        <w:rPr>
          <w:bdr w:val="nil"/>
        </w:rPr>
        <w:t xml:space="preserve">implement recommendations </w:t>
      </w:r>
      <w:r w:rsidR="00661B14">
        <w:rPr>
          <w:bdr w:val="nil"/>
        </w:rPr>
        <w:t>of</w:t>
      </w:r>
      <w:r>
        <w:rPr>
          <w:bdr w:val="nil"/>
        </w:rPr>
        <w:t xml:space="preserve"> the </w:t>
      </w:r>
      <w:r>
        <w:rPr>
          <w:i/>
          <w:iCs/>
          <w:bdr w:val="nil"/>
        </w:rPr>
        <w:t>Royal Commission into Institutional Responses to Child Sexual Abuse</w:t>
      </w:r>
      <w:r>
        <w:rPr>
          <w:bdr w:val="nil"/>
        </w:rPr>
        <w:t xml:space="preserve"> and </w:t>
      </w:r>
      <w:r>
        <w:rPr>
          <w:rFonts w:cs="Calibri"/>
          <w:bdr w:val="nil"/>
          <w:lang w:eastAsia="en-AU"/>
        </w:rPr>
        <w:t xml:space="preserve">the National Redress Scheme, including responding to Requests for Information and Direct Personal </w:t>
      </w:r>
      <w:proofErr w:type="gramStart"/>
      <w:r>
        <w:rPr>
          <w:rFonts w:cs="Calibri"/>
          <w:bdr w:val="nil"/>
          <w:lang w:eastAsia="en-AU"/>
        </w:rPr>
        <w:t>Responses;</w:t>
      </w:r>
      <w:proofErr w:type="gramEnd"/>
    </w:p>
    <w:p w14:paraId="324E1C69"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rFonts w:cs="Calibri"/>
          <w:color w:val="000000"/>
          <w:bdr w:val="nil"/>
        </w:rPr>
        <w:t xml:space="preserve">respond to the reviews of </w:t>
      </w:r>
      <w:proofErr w:type="spellStart"/>
      <w:r>
        <w:rPr>
          <w:rFonts w:cs="Calibri"/>
          <w:color w:val="000000"/>
          <w:bdr w:val="nil"/>
        </w:rPr>
        <w:t>Bimberi</w:t>
      </w:r>
      <w:proofErr w:type="spellEnd"/>
      <w:r>
        <w:rPr>
          <w:rFonts w:cs="Calibri"/>
          <w:color w:val="000000"/>
          <w:bdr w:val="nil"/>
        </w:rPr>
        <w:t xml:space="preserve"> Youth Justice Centre through infrastructure and security upgrades, specialist consultancies, system improvements and </w:t>
      </w:r>
      <w:proofErr w:type="gramStart"/>
      <w:r>
        <w:rPr>
          <w:rFonts w:cs="Calibri"/>
          <w:color w:val="000000"/>
          <w:bdr w:val="nil"/>
        </w:rPr>
        <w:t>training</w:t>
      </w:r>
      <w:r>
        <w:rPr>
          <w:bdr w:val="nil"/>
        </w:rPr>
        <w:t>;</w:t>
      </w:r>
      <w:proofErr w:type="gramEnd"/>
      <w:r>
        <w:rPr>
          <w:b/>
          <w:bCs/>
          <w:bdr w:val="nil"/>
        </w:rPr>
        <w:t xml:space="preserve"> </w:t>
      </w:r>
    </w:p>
    <w:p w14:paraId="79A4B8FD"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rFonts w:cs="Calibri"/>
          <w:color w:val="000000"/>
          <w:bdr w:val="nil"/>
        </w:rPr>
      </w:pPr>
      <w:r>
        <w:rPr>
          <w:rFonts w:cs="Calibri"/>
          <w:color w:val="000000"/>
          <w:bdr w:val="nil"/>
        </w:rPr>
        <w:t xml:space="preserve">strengthen specialist capacity at </w:t>
      </w:r>
      <w:proofErr w:type="spellStart"/>
      <w:r>
        <w:rPr>
          <w:rFonts w:cs="Calibri"/>
          <w:color w:val="000000"/>
          <w:bdr w:val="nil"/>
        </w:rPr>
        <w:t>Bimberi</w:t>
      </w:r>
      <w:proofErr w:type="spellEnd"/>
      <w:r>
        <w:rPr>
          <w:rFonts w:cs="Calibri"/>
          <w:color w:val="000000"/>
          <w:bdr w:val="nil"/>
        </w:rPr>
        <w:t xml:space="preserve"> including improving intelligence capability, therapeutic support and trauma informed care, training and work health and safety </w:t>
      </w:r>
      <w:proofErr w:type="gramStart"/>
      <w:r>
        <w:rPr>
          <w:rFonts w:cs="Calibri"/>
          <w:color w:val="000000"/>
          <w:bdr w:val="nil"/>
        </w:rPr>
        <w:t>capabilities;</w:t>
      </w:r>
      <w:proofErr w:type="gramEnd"/>
    </w:p>
    <w:p w14:paraId="716A4500"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rFonts w:eastAsia="Calibri" w:cs="Calibri"/>
          <w:bdr w:val="nil"/>
        </w:rPr>
      </w:pPr>
      <w:r>
        <w:rPr>
          <w:rFonts w:eastAsia="Calibri" w:cs="Calibri"/>
          <w:bdr w:val="nil"/>
        </w:rPr>
        <w:t xml:space="preserve">evaluate early outcomes of the Functional Family Therapy – Youth Justice pilot and explore impact for the development of a refreshed approach to youth </w:t>
      </w:r>
      <w:proofErr w:type="gramStart"/>
      <w:r>
        <w:rPr>
          <w:rFonts w:eastAsia="Calibri" w:cs="Calibri"/>
          <w:bdr w:val="nil"/>
        </w:rPr>
        <w:t>justice;</w:t>
      </w:r>
      <w:proofErr w:type="gramEnd"/>
      <w:r>
        <w:rPr>
          <w:rFonts w:eastAsia="Calibri" w:cs="Calibri"/>
          <w:bdr w:val="nil"/>
        </w:rPr>
        <w:t xml:space="preserve"> </w:t>
      </w:r>
    </w:p>
    <w:p w14:paraId="588AF115" w14:textId="51E38F88"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deliver </w:t>
      </w:r>
      <w:r>
        <w:rPr>
          <w:i/>
          <w:iCs/>
          <w:bdr w:val="nil"/>
        </w:rPr>
        <w:t>Step Up for Our Kids 2022-2032</w:t>
      </w:r>
      <w:r>
        <w:rPr>
          <w:bdr w:val="nil"/>
        </w:rPr>
        <w:t xml:space="preserve"> to underpin out of home care for the next 10 years, including sourcing and procurement of services from 1 July 2022 and completion of evaluation </w:t>
      </w:r>
      <w:proofErr w:type="gramStart"/>
      <w:r>
        <w:rPr>
          <w:bdr w:val="nil"/>
        </w:rPr>
        <w:t>activities;</w:t>
      </w:r>
      <w:proofErr w:type="gramEnd"/>
      <w:r>
        <w:rPr>
          <w:bdr w:val="nil"/>
        </w:rPr>
        <w:t xml:space="preserve"> </w:t>
      </w:r>
    </w:p>
    <w:p w14:paraId="654F9EAC" w14:textId="2206228F"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rFonts w:cs="Calibri"/>
          <w:iCs/>
          <w:bdr w:val="nil"/>
        </w:rPr>
        <w:t xml:space="preserve">build capacity and strengthen oversight in Child and Youth Protection Services to ensure better practice, continuous improvement and compliance, in the delivery of services to vulnerable and </w:t>
      </w:r>
      <w:proofErr w:type="gramStart"/>
      <w:r>
        <w:rPr>
          <w:rFonts w:cs="Calibri"/>
          <w:iCs/>
          <w:bdr w:val="nil"/>
        </w:rPr>
        <w:t>at risk</w:t>
      </w:r>
      <w:proofErr w:type="gramEnd"/>
      <w:r>
        <w:rPr>
          <w:rFonts w:cs="Calibri"/>
          <w:iCs/>
          <w:bdr w:val="nil"/>
        </w:rPr>
        <w:t xml:space="preserve"> children, young people and their families;</w:t>
      </w:r>
    </w:p>
    <w:p w14:paraId="3A8729D7"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rFonts w:cs="Calibri"/>
          <w:iCs/>
          <w:bdr w:val="nil"/>
        </w:rPr>
        <w:t xml:space="preserve">improve the Child and Youth Record Information System (CYRIS), including portals for online reporting, information exchange and vendor maintenance and </w:t>
      </w:r>
      <w:proofErr w:type="gramStart"/>
      <w:r>
        <w:rPr>
          <w:rFonts w:cs="Calibri"/>
          <w:iCs/>
          <w:bdr w:val="nil"/>
        </w:rPr>
        <w:t>support;</w:t>
      </w:r>
      <w:proofErr w:type="gramEnd"/>
    </w:p>
    <w:p w14:paraId="6E5CF285"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bdr w:val="nil"/>
        </w:rPr>
      </w:pPr>
      <w:r>
        <w:rPr>
          <w:rFonts w:cs="Calibri"/>
          <w:color w:val="000000"/>
          <w:bdr w:val="nil"/>
        </w:rPr>
        <w:lastRenderedPageBreak/>
        <w:t xml:space="preserve">work with the Justice and Community Safety Directorate to support the establishment of a Therapeutic Care Court to provide collaborative and coordinated service provision for child protection matters in the ACT Children’s </w:t>
      </w:r>
      <w:proofErr w:type="gramStart"/>
      <w:r>
        <w:rPr>
          <w:rFonts w:cs="Calibri"/>
          <w:color w:val="000000"/>
          <w:bdr w:val="nil"/>
        </w:rPr>
        <w:t>Court;</w:t>
      </w:r>
      <w:proofErr w:type="gramEnd"/>
    </w:p>
    <w:p w14:paraId="2D76B369" w14:textId="3BCE4B7F" w:rsidR="00A4668D" w:rsidRDefault="00A4668D" w:rsidP="00A4668D">
      <w:pPr>
        <w:pStyle w:val="BSbullet1"/>
        <w:numPr>
          <w:ilvl w:val="0"/>
          <w:numId w:val="3"/>
        </w:numPr>
        <w:pBdr>
          <w:top w:val="nil"/>
          <w:left w:val="nil"/>
          <w:bottom w:val="nil"/>
          <w:right w:val="nil"/>
          <w:between w:val="nil"/>
          <w:bar w:val="nil"/>
        </w:pBdr>
        <w:rPr>
          <w:bdr w:val="nil"/>
        </w:rPr>
      </w:pPr>
      <w:r>
        <w:rPr>
          <w:bdr w:val="nil"/>
        </w:rPr>
        <w:t xml:space="preserve">purchase essential assistive technology equipment for children and young people with developmental delay and disability to trial through the Children and Young People Equipment Loan Schemes (CAYPELS) and plan for an ongoing CAYPELS service </w:t>
      </w:r>
      <w:proofErr w:type="gramStart"/>
      <w:r>
        <w:rPr>
          <w:bdr w:val="nil"/>
        </w:rPr>
        <w:t>offer</w:t>
      </w:r>
      <w:r w:rsidR="00AB2182">
        <w:rPr>
          <w:bdr w:val="nil"/>
        </w:rPr>
        <w:t>ing</w:t>
      </w:r>
      <w:r>
        <w:rPr>
          <w:bdr w:val="nil"/>
        </w:rPr>
        <w:t>;</w:t>
      </w:r>
      <w:proofErr w:type="gramEnd"/>
    </w:p>
    <w:p w14:paraId="3DCD824F" w14:textId="77777777" w:rsidR="00A4668D" w:rsidRDefault="00A4668D" w:rsidP="00A4668D">
      <w:pPr>
        <w:pStyle w:val="BSbullet1"/>
        <w:numPr>
          <w:ilvl w:val="0"/>
          <w:numId w:val="3"/>
        </w:numPr>
        <w:pBdr>
          <w:top w:val="nil"/>
          <w:left w:val="nil"/>
          <w:bottom w:val="nil"/>
          <w:right w:val="nil"/>
          <w:between w:val="nil"/>
          <w:bar w:val="nil"/>
        </w:pBdr>
        <w:rPr>
          <w:rStyle w:val="Calibri12"/>
          <w:bdr w:val="nil"/>
        </w:rPr>
      </w:pPr>
      <w:r>
        <w:rPr>
          <w:bdr w:val="nil"/>
        </w:rPr>
        <w:t xml:space="preserve">work with the Health Directorate to </w:t>
      </w:r>
      <w:r>
        <w:rPr>
          <w:rStyle w:val="Calibri12"/>
          <w:bdr w:val="nil"/>
        </w:rPr>
        <w:t xml:space="preserve">develop the </w:t>
      </w:r>
      <w:r>
        <w:rPr>
          <w:rStyle w:val="Calibri12"/>
          <w:i/>
          <w:iCs/>
          <w:bdr w:val="nil"/>
        </w:rPr>
        <w:t>Best Start for Canberra’s Children: First 1000 Days</w:t>
      </w:r>
      <w:r>
        <w:rPr>
          <w:rStyle w:val="Calibri12"/>
          <w:bdr w:val="nil"/>
        </w:rPr>
        <w:t xml:space="preserve"> Strategy, in partnership with the </w:t>
      </w:r>
      <w:proofErr w:type="gramStart"/>
      <w:r>
        <w:rPr>
          <w:rStyle w:val="Calibri12"/>
          <w:bdr w:val="nil"/>
        </w:rPr>
        <w:t>community;</w:t>
      </w:r>
      <w:proofErr w:type="gramEnd"/>
    </w:p>
    <w:p w14:paraId="100CEF43" w14:textId="77777777" w:rsidR="00A4668D" w:rsidRDefault="00A4668D" w:rsidP="00A4668D">
      <w:pPr>
        <w:pStyle w:val="BSbullet1"/>
        <w:numPr>
          <w:ilvl w:val="0"/>
          <w:numId w:val="3"/>
        </w:numPr>
        <w:pBdr>
          <w:top w:val="nil"/>
          <w:left w:val="nil"/>
          <w:bottom w:val="nil"/>
          <w:right w:val="nil"/>
          <w:between w:val="nil"/>
          <w:bar w:val="nil"/>
        </w:pBdr>
        <w:rPr>
          <w:rStyle w:val="Calibri12"/>
          <w:bdr w:val="nil"/>
        </w:rPr>
      </w:pPr>
      <w:r>
        <w:rPr>
          <w:rStyle w:val="Calibri12"/>
          <w:bdr w:val="nil"/>
        </w:rPr>
        <w:t xml:space="preserve">strengthen service responses for young people who are at risk of homelessness, or engagement with the child protection or youth justice systems including through the Safe and Connected Youth Program and establishment of a 24/7 therapeutic respite accommodation </w:t>
      </w:r>
      <w:proofErr w:type="gramStart"/>
      <w:r>
        <w:rPr>
          <w:rStyle w:val="Calibri12"/>
          <w:bdr w:val="nil"/>
        </w:rPr>
        <w:t>service;</w:t>
      </w:r>
      <w:proofErr w:type="gramEnd"/>
      <w:r>
        <w:rPr>
          <w:rStyle w:val="Calibri12"/>
          <w:bdr w:val="nil"/>
        </w:rPr>
        <w:t xml:space="preserve"> and</w:t>
      </w:r>
    </w:p>
    <w:p w14:paraId="5B4399A8" w14:textId="77777777" w:rsidR="00A4668D" w:rsidRDefault="00A4668D" w:rsidP="00A4668D">
      <w:pPr>
        <w:pStyle w:val="BSbullet1"/>
        <w:numPr>
          <w:ilvl w:val="0"/>
          <w:numId w:val="3"/>
        </w:numPr>
        <w:pBdr>
          <w:top w:val="nil"/>
          <w:left w:val="nil"/>
          <w:bottom w:val="nil"/>
          <w:right w:val="nil"/>
          <w:between w:val="nil"/>
          <w:bar w:val="nil"/>
        </w:pBdr>
        <w:rPr>
          <w:rStyle w:val="Calibri12"/>
          <w:bdr w:val="nil"/>
        </w:rPr>
      </w:pPr>
      <w:r>
        <w:rPr>
          <w:rStyle w:val="Calibri12"/>
          <w:bdr w:val="nil"/>
        </w:rPr>
        <w:t>work across government and with community partners to develop system reform and service redesign to raise the minimum age of criminal responsibility.</w:t>
      </w:r>
    </w:p>
    <w:p w14:paraId="7C3F532C" w14:textId="77777777" w:rsidR="00A4668D" w:rsidRPr="006416FD" w:rsidRDefault="00A4668D" w:rsidP="00DB6E11">
      <w:pPr>
        <w:pStyle w:val="Heading30"/>
      </w:pPr>
      <w:bookmarkStart w:id="11" w:name="_Hlk62806702"/>
      <w:bookmarkStart w:id="12" w:name="_Hlk61345919"/>
      <w:bookmarkStart w:id="13" w:name="_Hlk61961508"/>
      <w:r w:rsidRPr="006416FD">
        <w:t>Strong oversight for quality services and support</w:t>
      </w:r>
    </w:p>
    <w:bookmarkEnd w:id="11"/>
    <w:p w14:paraId="0DCF2B96" w14:textId="77777777"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rFonts w:cs="Calibri"/>
          <w:iCs/>
          <w:bdr w:val="nil"/>
        </w:rPr>
      </w:pPr>
      <w:r>
        <w:rPr>
          <w:bdr w:val="nil"/>
        </w:rPr>
        <w:t xml:space="preserve">Enhance the ACT Senior Practitioner’s oversight of restrictive </w:t>
      </w:r>
      <w:r>
        <w:rPr>
          <w:rFonts w:cs="Calibri"/>
          <w:iCs/>
          <w:bdr w:val="nil"/>
        </w:rPr>
        <w:t>practices and work towards reducing and eliminating their use in care and protection, disability services and the education sectors; and</w:t>
      </w:r>
    </w:p>
    <w:p w14:paraId="146E0A03" w14:textId="3ACD2503" w:rsidR="00A4668D" w:rsidRDefault="00A4668D" w:rsidP="00A4668D">
      <w:pPr>
        <w:pStyle w:val="BSbullet1"/>
        <w:numPr>
          <w:ilvl w:val="0"/>
          <w:numId w:val="3"/>
        </w:numPr>
        <w:pBdr>
          <w:top w:val="nil"/>
          <w:left w:val="nil"/>
          <w:bottom w:val="nil"/>
          <w:right w:val="nil"/>
          <w:between w:val="nil"/>
          <w:bar w:val="nil"/>
        </w:pBdr>
        <w:tabs>
          <w:tab w:val="clear" w:pos="360"/>
          <w:tab w:val="left" w:pos="720"/>
        </w:tabs>
        <w:rPr>
          <w:rFonts w:cs="Calibri"/>
          <w:iCs/>
          <w:bdr w:val="nil"/>
        </w:rPr>
      </w:pPr>
      <w:r>
        <w:rPr>
          <w:rFonts w:cs="Calibri"/>
          <w:iCs/>
          <w:bdr w:val="nil"/>
        </w:rPr>
        <w:t xml:space="preserve">regulate non-NDIS specialist disability, care and protection and community housing providers to ensure effective service delivery, promote sector development and to reduce regulatory barriers. </w:t>
      </w:r>
      <w:bookmarkEnd w:id="12"/>
      <w:bookmarkEnd w:id="13"/>
    </w:p>
    <w:p w14:paraId="5C82DA79" w14:textId="77777777" w:rsidR="00A4668D" w:rsidRPr="0002030E" w:rsidRDefault="00A4668D" w:rsidP="00DB6E11">
      <w:pPr>
        <w:pStyle w:val="Heading30"/>
      </w:pPr>
      <w:r w:rsidRPr="0002030E">
        <w:t xml:space="preserve">Commissioning for Outcomes </w:t>
      </w:r>
    </w:p>
    <w:p w14:paraId="01882CB7" w14:textId="0B4C6A09" w:rsidR="00A4668D" w:rsidRPr="00DA1FF6" w:rsidRDefault="00A4668D" w:rsidP="00A4668D">
      <w:pPr>
        <w:pStyle w:val="BSbullet1"/>
        <w:numPr>
          <w:ilvl w:val="0"/>
          <w:numId w:val="3"/>
        </w:numPr>
        <w:pBdr>
          <w:top w:val="nil"/>
          <w:left w:val="nil"/>
          <w:bottom w:val="nil"/>
          <w:right w:val="nil"/>
          <w:between w:val="nil"/>
          <w:bar w:val="nil"/>
        </w:pBdr>
        <w:rPr>
          <w:bdr w:val="nil"/>
        </w:rPr>
      </w:pPr>
      <w:r>
        <w:rPr>
          <w:bdr w:val="nil"/>
        </w:rPr>
        <w:t>Work with the sector and the Health Directorate on a commissioning for outcomes approach to underpin the delivery of services.</w:t>
      </w:r>
    </w:p>
    <w:p w14:paraId="1F0C5DB6" w14:textId="77777777" w:rsidR="000E29BB" w:rsidRDefault="000E29BB">
      <w:pPr>
        <w:spacing w:before="0" w:after="0"/>
        <w:rPr>
          <w:b/>
          <w:snapToGrid w:val="0"/>
          <w:sz w:val="32"/>
          <w:bdr w:val="nil"/>
        </w:rPr>
      </w:pPr>
      <w:bookmarkStart w:id="14" w:name="_Toc452467797"/>
      <w:bookmarkStart w:id="15" w:name="_Toc451895559"/>
      <w:r>
        <w:rPr>
          <w:bdr w:val="nil"/>
        </w:rPr>
        <w:br w:type="page"/>
      </w:r>
    </w:p>
    <w:p w14:paraId="04461778" w14:textId="73F87E26" w:rsidR="00A4668D" w:rsidRDefault="00A4668D" w:rsidP="00A4668D">
      <w:pPr>
        <w:pStyle w:val="Heading2"/>
        <w:pBdr>
          <w:top w:val="nil"/>
          <w:left w:val="nil"/>
          <w:bottom w:val="nil"/>
          <w:right w:val="nil"/>
          <w:between w:val="nil"/>
          <w:bar w:val="nil"/>
        </w:pBdr>
        <w:rPr>
          <w:bdr w:val="nil"/>
        </w:rPr>
      </w:pPr>
      <w:bookmarkStart w:id="16" w:name="_Toc84071133"/>
      <w:r>
        <w:rPr>
          <w:bdr w:val="nil"/>
        </w:rPr>
        <w:lastRenderedPageBreak/>
        <w:t>Estimated Employment Level</w:t>
      </w:r>
      <w:bookmarkEnd w:id="14"/>
      <w:bookmarkEnd w:id="15"/>
      <w:bookmarkEnd w:id="16"/>
    </w:p>
    <w:p w14:paraId="0FFF0401" w14:textId="6859D0FE" w:rsidR="00A4668D" w:rsidRDefault="00A4668D" w:rsidP="00A4668D">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1</w:t>
      </w:r>
      <w:r>
        <w:rPr>
          <w:noProof/>
          <w:bdr w:val="nil"/>
        </w:rPr>
        <w:fldChar w:fldCharType="end"/>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3227"/>
        <w:gridCol w:w="1417"/>
        <w:gridCol w:w="1418"/>
        <w:gridCol w:w="1441"/>
        <w:gridCol w:w="1602"/>
      </w:tblGrid>
      <w:tr w:rsidR="00C07D35" w14:paraId="57F859DD" w14:textId="77777777" w:rsidTr="00A4668D">
        <w:trPr>
          <w:trHeight w:val="392"/>
          <w:tblHeader/>
        </w:trPr>
        <w:tc>
          <w:tcPr>
            <w:tcW w:w="3227" w:type="dxa"/>
            <w:tcBorders>
              <w:top w:val="single" w:sz="12" w:space="0" w:color="000000"/>
              <w:left w:val="nil"/>
              <w:bottom w:val="nil"/>
              <w:right w:val="nil"/>
            </w:tcBorders>
            <w:vAlign w:val="bottom"/>
          </w:tcPr>
          <w:p w14:paraId="45495F0F" w14:textId="77777777" w:rsidR="00A4668D" w:rsidRDefault="00A4668D" w:rsidP="00A4668D">
            <w:pPr>
              <w:pStyle w:val="BStabletext"/>
              <w:pBdr>
                <w:top w:val="nil"/>
                <w:left w:val="nil"/>
                <w:bottom w:val="nil"/>
                <w:right w:val="nil"/>
                <w:between w:val="nil"/>
                <w:bar w:val="nil"/>
              </w:pBdr>
              <w:rPr>
                <w:bdr w:val="nil"/>
              </w:rPr>
            </w:pPr>
          </w:p>
        </w:tc>
        <w:tc>
          <w:tcPr>
            <w:tcW w:w="1417" w:type="dxa"/>
            <w:tcBorders>
              <w:top w:val="single" w:sz="12" w:space="0" w:color="000000"/>
              <w:left w:val="nil"/>
              <w:bottom w:val="nil"/>
              <w:right w:val="nil"/>
            </w:tcBorders>
            <w:hideMark/>
          </w:tcPr>
          <w:p w14:paraId="2AD09B0E" w14:textId="47E0D9B9" w:rsidR="00A4668D" w:rsidRDefault="00A4668D">
            <w:pPr>
              <w:pStyle w:val="BStableheading1"/>
              <w:framePr w:wrap="around"/>
              <w:pBdr>
                <w:top w:val="nil"/>
                <w:left w:val="nil"/>
                <w:bottom w:val="nil"/>
                <w:right w:val="nil"/>
                <w:between w:val="nil"/>
                <w:bar w:val="nil"/>
              </w:pBdr>
              <w:rPr>
                <w:bdr w:val="nil"/>
              </w:rPr>
            </w:pPr>
            <w:r>
              <w:rPr>
                <w:bdr w:val="nil"/>
              </w:rPr>
              <w:t>2019-20</w:t>
            </w:r>
          </w:p>
          <w:p w14:paraId="68AF81B6" w14:textId="40C7EE73" w:rsidR="00A4668D" w:rsidRDefault="00A4668D">
            <w:pPr>
              <w:pStyle w:val="BStableheading1"/>
              <w:framePr w:wrap="around"/>
              <w:pBdr>
                <w:top w:val="nil"/>
                <w:left w:val="nil"/>
                <w:bottom w:val="nil"/>
                <w:right w:val="nil"/>
                <w:between w:val="nil"/>
                <w:bar w:val="nil"/>
              </w:pBdr>
              <w:rPr>
                <w:bdr w:val="nil"/>
              </w:rPr>
            </w:pPr>
            <w:r>
              <w:rPr>
                <w:bdr w:val="nil"/>
              </w:rPr>
              <w:t>Actual Outcome</w:t>
            </w:r>
          </w:p>
        </w:tc>
        <w:tc>
          <w:tcPr>
            <w:tcW w:w="1418" w:type="dxa"/>
            <w:tcBorders>
              <w:top w:val="single" w:sz="12" w:space="0" w:color="000000"/>
              <w:left w:val="nil"/>
              <w:bottom w:val="nil"/>
              <w:right w:val="nil"/>
            </w:tcBorders>
            <w:hideMark/>
          </w:tcPr>
          <w:p w14:paraId="301022A5" w14:textId="6E5CCDB9" w:rsidR="00A4668D" w:rsidRDefault="00A4668D" w:rsidP="00A4668D">
            <w:pPr>
              <w:pStyle w:val="BStableheading1"/>
              <w:framePr w:wrap="auto" w:vAnchor="margin" w:yAlign="inline"/>
              <w:pBdr>
                <w:top w:val="nil"/>
                <w:left w:val="nil"/>
                <w:bottom w:val="nil"/>
                <w:right w:val="nil"/>
                <w:between w:val="nil"/>
                <w:bar w:val="nil"/>
              </w:pBdr>
              <w:rPr>
                <w:bdr w:val="nil"/>
              </w:rPr>
            </w:pPr>
            <w:r>
              <w:rPr>
                <w:bdr w:val="nil"/>
              </w:rPr>
              <w:t>2020-21</w:t>
            </w:r>
          </w:p>
          <w:p w14:paraId="760DF39F" w14:textId="64818E6E" w:rsidR="00A4668D" w:rsidRDefault="00A4668D">
            <w:pPr>
              <w:pStyle w:val="BStableheading1"/>
              <w:framePr w:wrap="around"/>
              <w:pBdr>
                <w:top w:val="nil"/>
                <w:left w:val="nil"/>
                <w:bottom w:val="nil"/>
                <w:right w:val="nil"/>
                <w:between w:val="nil"/>
                <w:bar w:val="nil"/>
              </w:pBdr>
              <w:rPr>
                <w:bdr w:val="nil"/>
              </w:rPr>
            </w:pPr>
            <w:r>
              <w:rPr>
                <w:bdr w:val="nil"/>
              </w:rPr>
              <w:t>Budget</w:t>
            </w:r>
          </w:p>
        </w:tc>
        <w:tc>
          <w:tcPr>
            <w:tcW w:w="1441" w:type="dxa"/>
            <w:tcBorders>
              <w:top w:val="single" w:sz="12" w:space="0" w:color="000000"/>
              <w:left w:val="nil"/>
              <w:bottom w:val="nil"/>
              <w:right w:val="nil"/>
            </w:tcBorders>
            <w:hideMark/>
          </w:tcPr>
          <w:p w14:paraId="43E40605" w14:textId="77777777" w:rsidR="00A4668D" w:rsidRDefault="00A4668D" w:rsidP="00A4668D">
            <w:pPr>
              <w:pStyle w:val="BStableheading1"/>
              <w:framePr w:wrap="auto" w:vAnchor="margin" w:yAlign="inline"/>
              <w:pBdr>
                <w:top w:val="nil"/>
                <w:left w:val="nil"/>
                <w:bottom w:val="nil"/>
                <w:right w:val="nil"/>
                <w:between w:val="nil"/>
                <w:bar w:val="nil"/>
              </w:pBdr>
              <w:rPr>
                <w:bdr w:val="nil"/>
              </w:rPr>
            </w:pPr>
            <w:r>
              <w:rPr>
                <w:bdr w:val="nil"/>
              </w:rPr>
              <w:t>2020-21</w:t>
            </w:r>
          </w:p>
          <w:p w14:paraId="38FD2A61" w14:textId="53E79D95" w:rsidR="00A4668D" w:rsidRDefault="00A4668D">
            <w:pPr>
              <w:pStyle w:val="BStableheading1"/>
              <w:framePr w:wrap="around"/>
              <w:pBdr>
                <w:top w:val="nil"/>
                <w:left w:val="nil"/>
                <w:bottom w:val="nil"/>
                <w:right w:val="nil"/>
                <w:between w:val="nil"/>
                <w:bar w:val="nil"/>
              </w:pBdr>
              <w:rPr>
                <w:bdr w:val="nil"/>
              </w:rPr>
            </w:pPr>
            <w:r>
              <w:rPr>
                <w:bdr w:val="nil"/>
              </w:rPr>
              <w:t>Interim Outcome</w:t>
            </w:r>
          </w:p>
        </w:tc>
        <w:tc>
          <w:tcPr>
            <w:tcW w:w="1602" w:type="dxa"/>
            <w:tcBorders>
              <w:top w:val="single" w:sz="12" w:space="0" w:color="000000"/>
              <w:left w:val="nil"/>
              <w:bottom w:val="nil"/>
              <w:right w:val="nil"/>
            </w:tcBorders>
            <w:noWrap/>
            <w:hideMark/>
          </w:tcPr>
          <w:p w14:paraId="634F9052" w14:textId="77777777" w:rsidR="00A4668D" w:rsidRDefault="00A4668D">
            <w:pPr>
              <w:pStyle w:val="BStableheading1"/>
              <w:framePr w:wrap="around"/>
              <w:pBdr>
                <w:top w:val="nil"/>
                <w:left w:val="nil"/>
                <w:bottom w:val="nil"/>
                <w:right w:val="nil"/>
                <w:between w:val="nil"/>
                <w:bar w:val="nil"/>
              </w:pBdr>
              <w:rPr>
                <w:bdr w:val="nil"/>
              </w:rPr>
            </w:pPr>
            <w:r>
              <w:rPr>
                <w:bdr w:val="nil"/>
              </w:rPr>
              <w:t>2021-22</w:t>
            </w:r>
          </w:p>
          <w:p w14:paraId="7E6085C2" w14:textId="23E62A13" w:rsidR="00A4668D" w:rsidRDefault="00A4668D">
            <w:pPr>
              <w:pStyle w:val="BStableheading1"/>
              <w:framePr w:wrap="around"/>
              <w:pBdr>
                <w:top w:val="nil"/>
                <w:left w:val="nil"/>
                <w:bottom w:val="nil"/>
                <w:right w:val="nil"/>
                <w:between w:val="nil"/>
                <w:bar w:val="nil"/>
              </w:pBdr>
              <w:rPr>
                <w:bdr w:val="nil"/>
              </w:rPr>
            </w:pPr>
            <w:r>
              <w:rPr>
                <w:bdr w:val="nil"/>
              </w:rPr>
              <w:t>Budget</w:t>
            </w:r>
          </w:p>
        </w:tc>
      </w:tr>
      <w:tr w:rsidR="00C07D35" w14:paraId="1072706A" w14:textId="77777777" w:rsidTr="00A4668D">
        <w:trPr>
          <w:trHeight w:val="319"/>
          <w:tblHeader/>
        </w:trPr>
        <w:tc>
          <w:tcPr>
            <w:tcW w:w="3227" w:type="dxa"/>
            <w:tcBorders>
              <w:top w:val="single" w:sz="6" w:space="0" w:color="000000"/>
              <w:left w:val="nil"/>
              <w:bottom w:val="single" w:sz="12" w:space="0" w:color="000000"/>
              <w:right w:val="nil"/>
            </w:tcBorders>
            <w:vAlign w:val="bottom"/>
            <w:hideMark/>
          </w:tcPr>
          <w:p w14:paraId="6D9C4CD2" w14:textId="77777777" w:rsidR="00A4668D" w:rsidRDefault="00A4668D" w:rsidP="00A4668D">
            <w:pPr>
              <w:pStyle w:val="BStabletext"/>
              <w:pBdr>
                <w:top w:val="nil"/>
                <w:left w:val="nil"/>
                <w:bottom w:val="nil"/>
                <w:right w:val="nil"/>
                <w:between w:val="nil"/>
                <w:bar w:val="nil"/>
              </w:pBdr>
              <w:rPr>
                <w:rStyle w:val="Strong"/>
                <w:bCs/>
                <w:bdr w:val="nil"/>
              </w:rPr>
            </w:pPr>
            <w:r>
              <w:rPr>
                <w:rStyle w:val="Strong"/>
                <w:bCs/>
                <w:bdr w:val="nil"/>
              </w:rPr>
              <w:t>Staffing (FTE)</w:t>
            </w:r>
          </w:p>
        </w:tc>
        <w:tc>
          <w:tcPr>
            <w:tcW w:w="1417" w:type="dxa"/>
            <w:tcBorders>
              <w:top w:val="single" w:sz="6" w:space="0" w:color="000000"/>
              <w:left w:val="nil"/>
              <w:bottom w:val="single" w:sz="12" w:space="0" w:color="000000"/>
              <w:right w:val="nil"/>
            </w:tcBorders>
            <w:vAlign w:val="bottom"/>
            <w:hideMark/>
          </w:tcPr>
          <w:p w14:paraId="203C16D1" w14:textId="29D4D072" w:rsidR="00A4668D" w:rsidRDefault="00A4668D" w:rsidP="00A4668D">
            <w:pPr>
              <w:pStyle w:val="BStablefigures"/>
              <w:pBdr>
                <w:top w:val="nil"/>
                <w:left w:val="nil"/>
                <w:bottom w:val="nil"/>
                <w:right w:val="nil"/>
                <w:between w:val="nil"/>
                <w:bar w:val="nil"/>
              </w:pBdr>
              <w:rPr>
                <w:bdr w:val="nil"/>
              </w:rPr>
            </w:pPr>
            <w:r>
              <w:rPr>
                <w:bdr w:val="nil"/>
              </w:rPr>
              <w:t>703</w:t>
            </w:r>
          </w:p>
        </w:tc>
        <w:tc>
          <w:tcPr>
            <w:tcW w:w="1418" w:type="dxa"/>
            <w:tcBorders>
              <w:top w:val="single" w:sz="6" w:space="0" w:color="000000"/>
              <w:left w:val="nil"/>
              <w:bottom w:val="single" w:sz="12" w:space="0" w:color="000000"/>
              <w:right w:val="nil"/>
            </w:tcBorders>
            <w:vAlign w:val="bottom"/>
            <w:hideMark/>
          </w:tcPr>
          <w:p w14:paraId="3C441396" w14:textId="38A5722C" w:rsidR="00A4668D" w:rsidRDefault="00A4668D" w:rsidP="00A4668D">
            <w:pPr>
              <w:pStyle w:val="BStablefigures"/>
              <w:pBdr>
                <w:top w:val="nil"/>
                <w:left w:val="nil"/>
                <w:bottom w:val="nil"/>
                <w:right w:val="nil"/>
                <w:between w:val="nil"/>
                <w:bar w:val="nil"/>
              </w:pBdr>
              <w:rPr>
                <w:bdr w:val="nil"/>
              </w:rPr>
            </w:pPr>
            <w:r>
              <w:rPr>
                <w:bdr w:val="nil"/>
              </w:rPr>
              <w:t xml:space="preserve">694 </w:t>
            </w:r>
            <w:r>
              <w:rPr>
                <w:bdr w:val="nil"/>
                <w:vertAlign w:val="superscript"/>
              </w:rPr>
              <w:t>1</w:t>
            </w:r>
          </w:p>
        </w:tc>
        <w:tc>
          <w:tcPr>
            <w:tcW w:w="1441" w:type="dxa"/>
            <w:tcBorders>
              <w:top w:val="single" w:sz="6" w:space="0" w:color="000000"/>
              <w:left w:val="nil"/>
              <w:bottom w:val="single" w:sz="12" w:space="0" w:color="000000"/>
              <w:right w:val="nil"/>
            </w:tcBorders>
            <w:vAlign w:val="bottom"/>
            <w:hideMark/>
          </w:tcPr>
          <w:p w14:paraId="1AB03C28" w14:textId="1DC3EAE9" w:rsidR="00A4668D" w:rsidRDefault="00A4668D" w:rsidP="00A4668D">
            <w:pPr>
              <w:pStyle w:val="BStablefigures"/>
              <w:pBdr>
                <w:top w:val="nil"/>
                <w:left w:val="nil"/>
                <w:bottom w:val="nil"/>
                <w:right w:val="nil"/>
                <w:between w:val="nil"/>
                <w:bar w:val="nil"/>
              </w:pBdr>
              <w:rPr>
                <w:bdr w:val="nil"/>
              </w:rPr>
            </w:pPr>
            <w:r>
              <w:rPr>
                <w:bdr w:val="nil"/>
              </w:rPr>
              <w:t xml:space="preserve">707 </w:t>
            </w:r>
            <w:r>
              <w:rPr>
                <w:bdr w:val="nil"/>
                <w:vertAlign w:val="superscript"/>
              </w:rPr>
              <w:t>2</w:t>
            </w:r>
          </w:p>
        </w:tc>
        <w:tc>
          <w:tcPr>
            <w:tcW w:w="1602" w:type="dxa"/>
            <w:tcBorders>
              <w:top w:val="single" w:sz="6" w:space="0" w:color="000000"/>
              <w:left w:val="nil"/>
              <w:bottom w:val="single" w:sz="12" w:space="0" w:color="000000"/>
              <w:right w:val="nil"/>
            </w:tcBorders>
            <w:noWrap/>
            <w:vAlign w:val="bottom"/>
            <w:hideMark/>
          </w:tcPr>
          <w:p w14:paraId="76009C20" w14:textId="0D753320" w:rsidR="00A4668D" w:rsidRDefault="00A4668D" w:rsidP="00A4668D">
            <w:pPr>
              <w:pStyle w:val="BStablefigures"/>
              <w:pBdr>
                <w:top w:val="nil"/>
                <w:left w:val="nil"/>
                <w:bottom w:val="nil"/>
                <w:right w:val="nil"/>
                <w:between w:val="nil"/>
                <w:bar w:val="nil"/>
              </w:pBdr>
              <w:rPr>
                <w:bdr w:val="nil"/>
              </w:rPr>
            </w:pPr>
            <w:r>
              <w:rPr>
                <w:bdr w:val="nil"/>
              </w:rPr>
              <w:t>707</w:t>
            </w:r>
          </w:p>
        </w:tc>
      </w:tr>
    </w:tbl>
    <w:p w14:paraId="114F3E7E" w14:textId="77777777" w:rsidR="00A4668D" w:rsidRDefault="00A4668D" w:rsidP="00A4668D">
      <w:pPr>
        <w:pStyle w:val="BSnote"/>
        <w:pBdr>
          <w:top w:val="nil"/>
          <w:left w:val="nil"/>
          <w:bottom w:val="nil"/>
          <w:right w:val="nil"/>
          <w:between w:val="nil"/>
          <w:bar w:val="nil"/>
        </w:pBdr>
        <w:rPr>
          <w:bdr w:val="nil"/>
        </w:rPr>
      </w:pPr>
      <w:r>
        <w:rPr>
          <w:bdr w:val="nil"/>
        </w:rPr>
        <w:t>Notes:</w:t>
      </w:r>
    </w:p>
    <w:p w14:paraId="03402EAC" w14:textId="12FDE8C1" w:rsidR="00A4668D" w:rsidRPr="007B4D18" w:rsidRDefault="00A4668D" w:rsidP="009A24FA">
      <w:pPr>
        <w:pStyle w:val="BSnote"/>
        <w:numPr>
          <w:ilvl w:val="0"/>
          <w:numId w:val="4"/>
        </w:numPr>
        <w:pBdr>
          <w:top w:val="nil"/>
          <w:left w:val="nil"/>
          <w:bottom w:val="nil"/>
          <w:right w:val="nil"/>
          <w:between w:val="nil"/>
          <w:bar w:val="nil"/>
        </w:pBdr>
        <w:rPr>
          <w:b w:val="0"/>
          <w:bdr w:val="nil"/>
        </w:rPr>
      </w:pPr>
      <w:r w:rsidRPr="00CB10C5">
        <w:rPr>
          <w:b w:val="0"/>
          <w:bdr w:val="nil"/>
        </w:rPr>
        <w:t xml:space="preserve">The decrease in 2020-21 </w:t>
      </w:r>
      <w:r w:rsidR="00AB2182">
        <w:rPr>
          <w:b w:val="0"/>
          <w:bdr w:val="nil"/>
        </w:rPr>
        <w:t>B</w:t>
      </w:r>
      <w:r w:rsidRPr="00CB10C5">
        <w:rPr>
          <w:b w:val="0"/>
          <w:bdr w:val="nil"/>
        </w:rPr>
        <w:t>udget compared with 2019-20 actual outcome represents the expected reduction in staff numbers as the stimulus measures during the COVI</w:t>
      </w:r>
      <w:r>
        <w:rPr>
          <w:b w:val="0"/>
          <w:bdr w:val="nil"/>
        </w:rPr>
        <w:t>D</w:t>
      </w:r>
      <w:r w:rsidRPr="00CB10C5">
        <w:rPr>
          <w:b w:val="0"/>
          <w:bdr w:val="nil"/>
        </w:rPr>
        <w:t>-19 pandemic gradually eases.</w:t>
      </w:r>
    </w:p>
    <w:p w14:paraId="504B253F" w14:textId="5F1AC17F" w:rsidR="00A4668D" w:rsidRPr="00CB10C5" w:rsidRDefault="00A4668D" w:rsidP="009A24FA">
      <w:pPr>
        <w:pStyle w:val="BSnote"/>
        <w:numPr>
          <w:ilvl w:val="0"/>
          <w:numId w:val="4"/>
        </w:numPr>
        <w:pBdr>
          <w:top w:val="nil"/>
          <w:left w:val="nil"/>
          <w:bottom w:val="nil"/>
          <w:right w:val="nil"/>
          <w:between w:val="nil"/>
          <w:bar w:val="nil"/>
        </w:pBdr>
        <w:rPr>
          <w:b w:val="0"/>
          <w:bdr w:val="nil"/>
        </w:rPr>
      </w:pPr>
      <w:r w:rsidRPr="00CB10C5">
        <w:rPr>
          <w:b w:val="0"/>
          <w:bdr w:val="nil"/>
        </w:rPr>
        <w:t xml:space="preserve">The increase in 2020-21 </w:t>
      </w:r>
      <w:r w:rsidR="000F0FC3">
        <w:rPr>
          <w:b w:val="0"/>
          <w:bdr w:val="nil"/>
        </w:rPr>
        <w:t>I</w:t>
      </w:r>
      <w:r w:rsidRPr="00CB10C5">
        <w:rPr>
          <w:b w:val="0"/>
          <w:bdr w:val="nil"/>
        </w:rPr>
        <w:t xml:space="preserve">nterim </w:t>
      </w:r>
      <w:r w:rsidR="000F0FC3">
        <w:rPr>
          <w:b w:val="0"/>
          <w:bdr w:val="nil"/>
        </w:rPr>
        <w:t>O</w:t>
      </w:r>
      <w:r w:rsidRPr="00CB10C5">
        <w:rPr>
          <w:b w:val="0"/>
          <w:bdr w:val="nil"/>
        </w:rPr>
        <w:t xml:space="preserve">utcome from 2020-21 </w:t>
      </w:r>
      <w:r w:rsidR="00AB2182">
        <w:rPr>
          <w:b w:val="0"/>
          <w:bdr w:val="nil"/>
        </w:rPr>
        <w:t>B</w:t>
      </w:r>
      <w:r w:rsidRPr="00CB10C5">
        <w:rPr>
          <w:b w:val="0"/>
          <w:bdr w:val="nil"/>
        </w:rPr>
        <w:t xml:space="preserve">udget represents the additional staff numbers to </w:t>
      </w:r>
      <w:r w:rsidRPr="00FD0E71">
        <w:rPr>
          <w:b w:val="0"/>
          <w:bdr w:val="nil"/>
        </w:rPr>
        <w:t xml:space="preserve">support the </w:t>
      </w:r>
      <w:r w:rsidRPr="00FD0E71">
        <w:rPr>
          <w:b w:val="0"/>
          <w:i/>
          <w:iCs/>
          <w:bdr w:val="nil"/>
        </w:rPr>
        <w:t>Freedom of Information Act 2016</w:t>
      </w:r>
      <w:r w:rsidRPr="00CB10C5">
        <w:rPr>
          <w:b w:val="0"/>
          <w:bdr w:val="nil"/>
        </w:rPr>
        <w:t xml:space="preserve">, </w:t>
      </w:r>
      <w:r w:rsidRPr="00FD0E71">
        <w:rPr>
          <w:b w:val="0"/>
          <w:bdr w:val="nil"/>
        </w:rPr>
        <w:t>progress Early Support: Changing Systems, Changing Lives Human Services Sector Reform initiative</w:t>
      </w:r>
      <w:r w:rsidRPr="00CB10C5">
        <w:rPr>
          <w:b w:val="0"/>
          <w:bdr w:val="nil"/>
        </w:rPr>
        <w:t xml:space="preserve"> and </w:t>
      </w:r>
      <w:r w:rsidRPr="00FD0E71">
        <w:rPr>
          <w:b w:val="0"/>
          <w:bdr w:val="nil"/>
        </w:rPr>
        <w:t xml:space="preserve">additional staff at </w:t>
      </w:r>
      <w:proofErr w:type="spellStart"/>
      <w:r w:rsidRPr="00FD0E71">
        <w:rPr>
          <w:b w:val="0"/>
          <w:bdr w:val="nil"/>
        </w:rPr>
        <w:t>Bimberi</w:t>
      </w:r>
      <w:proofErr w:type="spellEnd"/>
      <w:r w:rsidRPr="00FD0E71">
        <w:rPr>
          <w:b w:val="0"/>
          <w:bdr w:val="nil"/>
        </w:rPr>
        <w:t xml:space="preserve"> for induction and training in preparation for deployment to </w:t>
      </w:r>
      <w:r w:rsidR="001E5000">
        <w:rPr>
          <w:b w:val="0"/>
          <w:bdr w:val="nil"/>
        </w:rPr>
        <w:br/>
      </w:r>
      <w:r w:rsidRPr="00FD0E71">
        <w:rPr>
          <w:b w:val="0"/>
          <w:bdr w:val="nil"/>
        </w:rPr>
        <w:t>Franklin House</w:t>
      </w:r>
      <w:r>
        <w:rPr>
          <w:b w:val="0"/>
          <w:bdr w:val="nil"/>
        </w:rPr>
        <w:t>.</w:t>
      </w:r>
    </w:p>
    <w:p w14:paraId="4DF0852F" w14:textId="77777777" w:rsidR="00A4668D" w:rsidRDefault="00A4668D" w:rsidP="00A4668D">
      <w:pPr>
        <w:pStyle w:val="Heading2"/>
        <w:pageBreakBefore/>
        <w:pBdr>
          <w:top w:val="nil"/>
          <w:left w:val="nil"/>
          <w:bottom w:val="nil"/>
          <w:right w:val="nil"/>
          <w:between w:val="nil"/>
          <w:bar w:val="nil"/>
        </w:pBdr>
        <w:rPr>
          <w:bdr w:val="nil"/>
        </w:rPr>
      </w:pPr>
      <w:bookmarkStart w:id="17" w:name="_Toc452467798"/>
      <w:bookmarkStart w:id="18" w:name="_Toc84071134"/>
      <w:r>
        <w:rPr>
          <w:bdr w:val="nil"/>
        </w:rPr>
        <w:lastRenderedPageBreak/>
        <w:t>Strategic Objectives and Indicators</w:t>
      </w:r>
      <w:bookmarkEnd w:id="17"/>
      <w:bookmarkEnd w:id="18"/>
      <w:r>
        <w:rPr>
          <w:bdr w:val="nil"/>
        </w:rPr>
        <w:t xml:space="preserve"> </w:t>
      </w:r>
    </w:p>
    <w:p w14:paraId="1F324C93" w14:textId="77777777" w:rsidR="00A4668D" w:rsidRDefault="00A4668D" w:rsidP="000500CC">
      <w:pPr>
        <w:pStyle w:val="Heading32"/>
        <w:rPr>
          <w:bdr w:val="nil"/>
        </w:rPr>
      </w:pPr>
      <w:bookmarkStart w:id="19" w:name="_Toc514926321"/>
      <w:r>
        <w:rPr>
          <w:bdr w:val="nil"/>
        </w:rPr>
        <w:t>Strategic Objective 1</w:t>
      </w:r>
      <w:bookmarkEnd w:id="19"/>
      <w:r>
        <w:rPr>
          <w:bdr w:val="nil"/>
        </w:rPr>
        <w:t xml:space="preserve"> </w:t>
      </w:r>
    </w:p>
    <w:p w14:paraId="67B05C0C" w14:textId="77777777" w:rsidR="00A4668D" w:rsidRDefault="00A4668D" w:rsidP="00A4668D">
      <w:pPr>
        <w:pStyle w:val="Heading4"/>
        <w:pBdr>
          <w:top w:val="nil"/>
          <w:left w:val="nil"/>
          <w:bottom w:val="nil"/>
          <w:right w:val="nil"/>
          <w:between w:val="nil"/>
          <w:bar w:val="nil"/>
        </w:pBdr>
        <w:rPr>
          <w:i w:val="0"/>
          <w:bdr w:val="nil"/>
        </w:rPr>
      </w:pPr>
      <w:r>
        <w:rPr>
          <w:bdr w:val="nil"/>
        </w:rPr>
        <w:t xml:space="preserve">Strengthen the capacity of people with disabilities, their </w:t>
      </w:r>
      <w:proofErr w:type="gramStart"/>
      <w:r>
        <w:rPr>
          <w:bdr w:val="nil"/>
        </w:rPr>
        <w:t>families</w:t>
      </w:r>
      <w:proofErr w:type="gramEnd"/>
      <w:r>
        <w:rPr>
          <w:bdr w:val="nil"/>
        </w:rPr>
        <w:t xml:space="preserve"> and carers to maximise control over their lives</w:t>
      </w:r>
    </w:p>
    <w:p w14:paraId="2C97CC82" w14:textId="77777777" w:rsidR="00A4668D" w:rsidRDefault="00A4668D" w:rsidP="00A4668D">
      <w:pPr>
        <w:pStyle w:val="Normal20"/>
        <w:pBdr>
          <w:top w:val="nil"/>
          <w:left w:val="nil"/>
          <w:bottom w:val="nil"/>
          <w:right w:val="nil"/>
          <w:between w:val="nil"/>
          <w:bar w:val="nil"/>
        </w:pBdr>
        <w:rPr>
          <w:bdr w:val="nil"/>
        </w:rPr>
      </w:pPr>
      <w:r>
        <w:rPr>
          <w:bdr w:val="nil"/>
        </w:rPr>
        <w:t>The ACT has entered into a Bilateral Agreement with the Commonwealth on the National Disability Insurance Scheme (NDIS) commencing 1 July 2019. Through this agreement the ACT commits to improve the outcomes of people with disability by supporting them through the NDIS with the goal of increasing social and economic participation.</w:t>
      </w:r>
    </w:p>
    <w:p w14:paraId="5F466AFD" w14:textId="55D808FE" w:rsidR="00A4668D" w:rsidRDefault="00A4668D" w:rsidP="00A4668D">
      <w:pPr>
        <w:pStyle w:val="Normal20"/>
        <w:pBdr>
          <w:top w:val="nil"/>
          <w:left w:val="nil"/>
          <w:bottom w:val="nil"/>
          <w:right w:val="nil"/>
          <w:between w:val="nil"/>
          <w:bar w:val="nil"/>
        </w:pBdr>
        <w:rPr>
          <w:szCs w:val="24"/>
          <w:bdr w:val="nil"/>
        </w:rPr>
      </w:pPr>
      <w:r>
        <w:rPr>
          <w:szCs w:val="24"/>
          <w:bdr w:val="nil"/>
        </w:rPr>
        <w:t>The ACT continues to support people with disability to provide advice and guidance to government on the inclusion of people with disability across the life of community.</w:t>
      </w:r>
    </w:p>
    <w:p w14:paraId="2B835423" w14:textId="118D983E" w:rsidR="00A4668D" w:rsidRDefault="00A4668D" w:rsidP="00A4668D">
      <w:pPr>
        <w:pStyle w:val="Heading4"/>
        <w:pBdr>
          <w:top w:val="nil"/>
          <w:left w:val="nil"/>
          <w:bottom w:val="nil"/>
          <w:right w:val="nil"/>
          <w:between w:val="nil"/>
          <w:bar w:val="nil"/>
        </w:pBdr>
        <w:rPr>
          <w:i w:val="0"/>
          <w:bdr w:val="nil"/>
        </w:rPr>
      </w:pPr>
      <w:r>
        <w:rPr>
          <w:bdr w:val="nil"/>
        </w:rPr>
        <w:t>Strategic Indicator 1.a: Number of participants in the NDIS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20A0F5A7" w14:textId="77777777" w:rsidTr="00A4668D">
        <w:trPr>
          <w:cantSplit/>
          <w:trHeight w:val="170"/>
          <w:jc w:val="center"/>
        </w:trPr>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683F8F97" w14:textId="5AEBFB14"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vAlign w:val="center"/>
            <w:hideMark/>
          </w:tcPr>
          <w:p w14:paraId="69747BA1" w14:textId="40E9DFCC"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4B7BF48" w14:textId="594C0EC4"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0832074C" w14:textId="58C099F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024EB5CC" w14:textId="1F9F3E2B"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6F653044" w14:textId="77777777" w:rsidTr="00A4668D">
        <w:trPr>
          <w:cantSplit/>
          <w:trHeight w:val="170"/>
          <w:jc w:val="center"/>
        </w:trPr>
        <w:tc>
          <w:tcPr>
            <w:tcW w:w="1821" w:type="dxa"/>
            <w:noWrap/>
            <w:tcMar>
              <w:top w:w="15" w:type="dxa"/>
              <w:left w:w="15" w:type="dxa"/>
              <w:bottom w:w="0" w:type="dxa"/>
              <w:right w:w="15" w:type="dxa"/>
            </w:tcMar>
            <w:vAlign w:val="center"/>
            <w:hideMark/>
          </w:tcPr>
          <w:p w14:paraId="59FCD765"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vAlign w:val="center"/>
            <w:hideMark/>
          </w:tcPr>
          <w:p w14:paraId="53E0125C"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center"/>
            <w:hideMark/>
          </w:tcPr>
          <w:p w14:paraId="562D3700"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1FA3E434"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6D765343"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31396961" w14:textId="77777777" w:rsidTr="00A4668D">
        <w:trPr>
          <w:cantSplit/>
          <w:trHeight w:val="284"/>
          <w:jc w:val="center"/>
        </w:trPr>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7F99585" w14:textId="58773954"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 xml:space="preserve">7,726 </w:t>
            </w:r>
            <w:r w:rsidRPr="0031625D">
              <w:rPr>
                <w:rFonts w:eastAsia="Arial Unicode MS" w:cs="Calibri"/>
                <w:bdr w:val="nil"/>
                <w:vertAlign w:val="superscript"/>
              </w:rPr>
              <w:t>1</w:t>
            </w:r>
          </w:p>
        </w:tc>
        <w:tc>
          <w:tcPr>
            <w:tcW w:w="1821" w:type="dxa"/>
            <w:tcBorders>
              <w:top w:val="single" w:sz="4" w:space="0" w:color="auto"/>
              <w:left w:val="nil"/>
              <w:bottom w:val="single" w:sz="4" w:space="0" w:color="auto"/>
              <w:right w:val="nil"/>
            </w:tcBorders>
            <w:vAlign w:val="center"/>
            <w:hideMark/>
          </w:tcPr>
          <w:p w14:paraId="5CE9C9AF" w14:textId="70E5C8DC" w:rsidR="00A4668D" w:rsidRDefault="00A4668D" w:rsidP="00A4668D">
            <w:pPr>
              <w:pStyle w:val="AITableText0"/>
              <w:pBdr>
                <w:top w:val="nil"/>
                <w:left w:val="nil"/>
                <w:bottom w:val="nil"/>
                <w:right w:val="nil"/>
                <w:between w:val="nil"/>
                <w:bar w:val="nil"/>
              </w:pBdr>
              <w:spacing w:before="0" w:after="0"/>
              <w:rPr>
                <w:rFonts w:eastAsia="Arial Unicode MS" w:cs="Calibri"/>
                <w:bdr w:val="nil"/>
                <w:vertAlign w:val="superscript"/>
              </w:rPr>
            </w:pPr>
            <w:r>
              <w:rPr>
                <w:rFonts w:eastAsia="Arial Unicode MS" w:cs="Calibri"/>
                <w:bdr w:val="nil"/>
              </w:rPr>
              <w:t>7,903</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FEB2B86" w14:textId="0D7E8F05"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8,073</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BF16B33" w14:textId="658E4B1D"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 xml:space="preserve">TBC </w:t>
            </w:r>
            <w:r w:rsidRPr="00AC1F3A">
              <w:rPr>
                <w:rFonts w:eastAsia="Arial Unicode MS" w:cs="Calibri"/>
                <w:bdr w:val="nil"/>
                <w:vertAlign w:val="superscript"/>
              </w:rPr>
              <w:t>2</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7AA7439" w14:textId="177771AB"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 xml:space="preserve">TBC </w:t>
            </w:r>
            <w:r w:rsidRPr="00AC1F3A">
              <w:rPr>
                <w:rFonts w:eastAsia="Arial Unicode MS" w:cs="Calibri"/>
                <w:bdr w:val="nil"/>
                <w:vertAlign w:val="superscript"/>
              </w:rPr>
              <w:t>2</w:t>
            </w:r>
          </w:p>
        </w:tc>
      </w:tr>
    </w:tbl>
    <w:p w14:paraId="551C8F3A" w14:textId="45914D73" w:rsidR="00A4668D" w:rsidRDefault="00A4668D" w:rsidP="00A4668D">
      <w:pPr>
        <w:pStyle w:val="Heading4"/>
        <w:pBdr>
          <w:top w:val="nil"/>
          <w:left w:val="nil"/>
          <w:bottom w:val="nil"/>
          <w:right w:val="nil"/>
          <w:between w:val="nil"/>
          <w:bar w:val="nil"/>
        </w:pBdr>
        <w:rPr>
          <w:i w:val="0"/>
          <w:bdr w:val="nil"/>
        </w:rPr>
      </w:pPr>
      <w:r>
        <w:rPr>
          <w:bdr w:val="nil"/>
        </w:rPr>
        <w:t>Strategic Indicator 1.</w:t>
      </w:r>
      <w:r w:rsidR="00E63FBF">
        <w:rPr>
          <w:bdr w:val="nil"/>
        </w:rPr>
        <w:t>b</w:t>
      </w:r>
      <w:r>
        <w:rPr>
          <w:bdr w:val="nil"/>
        </w:rPr>
        <w:t xml:space="preserve">: Number of people with disability on advisory councils </w:t>
      </w:r>
      <w:r w:rsidR="0002624F">
        <w:rPr>
          <w:bdr w:val="nil"/>
          <w:vertAlign w:val="superscript"/>
        </w:rPr>
        <w:t>3</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42F96731" w14:textId="77777777" w:rsidTr="00A4668D">
        <w:trPr>
          <w:cantSplit/>
          <w:trHeight w:val="170"/>
          <w:jc w:val="center"/>
        </w:trPr>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3AF8999" w14:textId="593D896A"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vAlign w:val="center"/>
            <w:hideMark/>
          </w:tcPr>
          <w:p w14:paraId="403E9124" w14:textId="70C52F88"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B52F4C2" w14:textId="1B154C1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88498C8" w14:textId="72ADDCC2"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1E6167D" w14:textId="3E013950"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4F712B17" w14:textId="77777777" w:rsidTr="00A4668D">
        <w:trPr>
          <w:cantSplit/>
          <w:trHeight w:val="170"/>
          <w:jc w:val="center"/>
        </w:trPr>
        <w:tc>
          <w:tcPr>
            <w:tcW w:w="1821" w:type="dxa"/>
            <w:noWrap/>
            <w:tcMar>
              <w:top w:w="15" w:type="dxa"/>
              <w:left w:w="15" w:type="dxa"/>
              <w:bottom w:w="0" w:type="dxa"/>
              <w:right w:w="15" w:type="dxa"/>
            </w:tcMar>
            <w:vAlign w:val="center"/>
            <w:hideMark/>
          </w:tcPr>
          <w:p w14:paraId="74F89BF6" w14:textId="3D71AC3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vAlign w:val="center"/>
            <w:hideMark/>
          </w:tcPr>
          <w:p w14:paraId="0084326B" w14:textId="039DB0AF"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center"/>
            <w:hideMark/>
          </w:tcPr>
          <w:p w14:paraId="6A8EE4B2" w14:textId="4F234449"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06E878DB" w14:textId="62A240F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1F710FA0" w14:textId="5D02E399"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4FB76D0F" w14:textId="77777777" w:rsidTr="00A4668D">
        <w:trPr>
          <w:cantSplit/>
          <w:trHeight w:val="284"/>
          <w:jc w:val="center"/>
        </w:trPr>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38EF383" w14:textId="3382B2E0"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N/A</w:t>
            </w:r>
          </w:p>
        </w:tc>
        <w:tc>
          <w:tcPr>
            <w:tcW w:w="1821" w:type="dxa"/>
            <w:tcBorders>
              <w:top w:val="single" w:sz="4" w:space="0" w:color="auto"/>
              <w:left w:val="nil"/>
              <w:bottom w:val="single" w:sz="4" w:space="0" w:color="auto"/>
              <w:right w:val="nil"/>
            </w:tcBorders>
            <w:vAlign w:val="center"/>
            <w:hideMark/>
          </w:tcPr>
          <w:p w14:paraId="5E20C07B" w14:textId="1B79F50D" w:rsidR="00A4668D" w:rsidRDefault="00A4668D" w:rsidP="00A4668D">
            <w:pPr>
              <w:pStyle w:val="AITableText0"/>
              <w:pBdr>
                <w:top w:val="nil"/>
                <w:left w:val="nil"/>
                <w:bottom w:val="nil"/>
                <w:right w:val="nil"/>
                <w:between w:val="nil"/>
                <w:bar w:val="nil"/>
              </w:pBdr>
              <w:spacing w:before="0" w:after="0"/>
              <w:rPr>
                <w:rFonts w:eastAsia="Arial Unicode MS" w:cs="Calibri"/>
                <w:bdr w:val="nil"/>
                <w:vertAlign w:val="superscript"/>
              </w:rPr>
            </w:pPr>
            <w:r>
              <w:rPr>
                <w:rFonts w:eastAsia="Arial Unicode MS" w:cs="Calibri"/>
                <w:bdr w:val="nil"/>
              </w:rPr>
              <w:t>10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9850AFF" w14:textId="075BF6C9"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10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003AA15" w14:textId="09421A1B"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10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7A0D27A" w14:textId="67A1EC88" w:rsidR="00A4668D" w:rsidRDefault="00A4668D" w:rsidP="00A4668D">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10</w:t>
            </w:r>
          </w:p>
        </w:tc>
      </w:tr>
    </w:tbl>
    <w:p w14:paraId="028C6A56" w14:textId="0D240A22" w:rsidR="00A4668D" w:rsidRDefault="00A4668D" w:rsidP="00A4668D">
      <w:pPr>
        <w:pStyle w:val="BSnote0"/>
        <w:pBdr>
          <w:top w:val="nil"/>
          <w:left w:val="nil"/>
          <w:bottom w:val="nil"/>
          <w:right w:val="nil"/>
          <w:between w:val="nil"/>
          <w:bar w:val="nil"/>
        </w:pBdr>
        <w:rPr>
          <w:bdr w:val="nil"/>
        </w:rPr>
      </w:pPr>
      <w:r>
        <w:rPr>
          <w:bdr w:val="nil"/>
        </w:rPr>
        <w:t>Notes:</w:t>
      </w:r>
    </w:p>
    <w:p w14:paraId="0C042BC5" w14:textId="5BE787F1" w:rsidR="00A4668D" w:rsidRDefault="00A4668D" w:rsidP="009A24FA">
      <w:pPr>
        <w:pStyle w:val="BSnoteslist"/>
        <w:numPr>
          <w:ilvl w:val="0"/>
          <w:numId w:val="7"/>
        </w:numPr>
        <w:pBdr>
          <w:top w:val="nil"/>
          <w:left w:val="nil"/>
          <w:bottom w:val="nil"/>
          <w:right w:val="nil"/>
          <w:between w:val="nil"/>
          <w:bar w:val="nil"/>
        </w:pBdr>
        <w:rPr>
          <w:bdr w:val="nil"/>
        </w:rPr>
      </w:pPr>
      <w:bookmarkStart w:id="20" w:name="_Hlk8727476"/>
      <w:r>
        <w:rPr>
          <w:bdr w:val="nil"/>
        </w:rPr>
        <w:t xml:space="preserve">The 2020-21 target and forward estimates reflect estimated NDIS population in the ACT. The result is reported through the </w:t>
      </w:r>
      <w:r>
        <w:rPr>
          <w:i/>
          <w:bdr w:val="nil"/>
        </w:rPr>
        <w:t>Council of Australian Governments (COAG) Disability Reform Council Quarterly Reports</w:t>
      </w:r>
      <w:r>
        <w:rPr>
          <w:bdr w:val="nil"/>
        </w:rPr>
        <w:t>.</w:t>
      </w:r>
      <w:bookmarkEnd w:id="20"/>
    </w:p>
    <w:p w14:paraId="170FD02D" w14:textId="3E04A73C" w:rsidR="00A4668D" w:rsidRDefault="00A4668D" w:rsidP="009A24FA">
      <w:pPr>
        <w:pStyle w:val="BSnoteslist0"/>
        <w:numPr>
          <w:ilvl w:val="0"/>
          <w:numId w:val="7"/>
        </w:numPr>
        <w:pBdr>
          <w:top w:val="nil"/>
          <w:left w:val="nil"/>
          <w:bottom w:val="nil"/>
          <w:right w:val="nil"/>
          <w:between w:val="nil"/>
          <w:bar w:val="nil"/>
        </w:pBdr>
        <w:rPr>
          <w:bdr w:val="nil"/>
        </w:rPr>
      </w:pPr>
      <w:r>
        <w:rPr>
          <w:bdr w:val="nil"/>
        </w:rPr>
        <w:t xml:space="preserve">The length of </w:t>
      </w:r>
      <w:r>
        <w:rPr>
          <w:i/>
          <w:iCs/>
          <w:bdr w:val="nil"/>
        </w:rPr>
        <w:t>Bilateral Agreement between the Commonwealth of Australia and the ACT Government on the NDIS Full Scheme</w:t>
      </w:r>
      <w:r>
        <w:rPr>
          <w:bdr w:val="nil"/>
        </w:rPr>
        <w:t xml:space="preserve"> is four years from 2019-20 to 2022-23. The estimated number of NDIS participants in 2023-24 will be provided at year four of the current bilateral agreement.</w:t>
      </w:r>
    </w:p>
    <w:p w14:paraId="5FD80C47" w14:textId="4A379A03" w:rsidR="00A4668D" w:rsidRDefault="00A4668D" w:rsidP="009A24FA">
      <w:pPr>
        <w:pStyle w:val="BSnoteslist0"/>
        <w:numPr>
          <w:ilvl w:val="0"/>
          <w:numId w:val="7"/>
        </w:numPr>
        <w:pBdr>
          <w:top w:val="nil"/>
          <w:left w:val="nil"/>
          <w:bottom w:val="nil"/>
          <w:right w:val="nil"/>
          <w:between w:val="nil"/>
          <w:bar w:val="nil"/>
        </w:pBdr>
        <w:rPr>
          <w:bdr w:val="nil"/>
        </w:rPr>
      </w:pPr>
      <w:r>
        <w:rPr>
          <w:bdr w:val="nil"/>
        </w:rPr>
        <w:t>This is a new strategic indicator introduced in the Directorate’s 2021-22 Budget.</w:t>
      </w:r>
    </w:p>
    <w:p w14:paraId="065F78D6" w14:textId="77777777" w:rsidR="00FC7578" w:rsidRDefault="00FC7578">
      <w:pPr>
        <w:spacing w:before="0" w:after="0"/>
        <w:rPr>
          <w:rFonts w:cs="Calibri"/>
          <w:b/>
          <w:bCs/>
          <w:sz w:val="28"/>
          <w:szCs w:val="26"/>
          <w:bdr w:val="nil"/>
        </w:rPr>
      </w:pPr>
      <w:bookmarkStart w:id="21" w:name="_Toc514926322"/>
      <w:r>
        <w:rPr>
          <w:bdr w:val="nil"/>
        </w:rPr>
        <w:br w:type="page"/>
      </w:r>
    </w:p>
    <w:p w14:paraId="7E5BF1FC" w14:textId="08B44248" w:rsidR="00A4668D" w:rsidRDefault="00A4668D" w:rsidP="000500CC">
      <w:pPr>
        <w:pStyle w:val="Heading32"/>
        <w:rPr>
          <w:bdr w:val="nil"/>
        </w:rPr>
      </w:pPr>
      <w:r>
        <w:rPr>
          <w:bdr w:val="nil"/>
        </w:rPr>
        <w:lastRenderedPageBreak/>
        <w:t>Strategic Objective 2</w:t>
      </w:r>
      <w:bookmarkEnd w:id="21"/>
    </w:p>
    <w:p w14:paraId="285F3A7F" w14:textId="77777777" w:rsidR="00A4668D" w:rsidRDefault="00A4668D" w:rsidP="00A4668D">
      <w:pPr>
        <w:pStyle w:val="Heading4"/>
        <w:pBdr>
          <w:top w:val="nil"/>
          <w:left w:val="nil"/>
          <w:bottom w:val="nil"/>
          <w:right w:val="nil"/>
          <w:between w:val="nil"/>
          <w:bar w:val="nil"/>
        </w:pBdr>
        <w:rPr>
          <w:i w:val="0"/>
          <w:bdr w:val="nil"/>
        </w:rPr>
      </w:pPr>
      <w:r>
        <w:rPr>
          <w:bdr w:val="nil"/>
        </w:rPr>
        <w:t>Improve outcomes for children and families through the provision of coordinated locally based services</w:t>
      </w:r>
    </w:p>
    <w:p w14:paraId="12F35E40" w14:textId="3CE768ED" w:rsidR="00A4668D" w:rsidRDefault="00A4668D" w:rsidP="00A4668D">
      <w:pPr>
        <w:pStyle w:val="Normal20"/>
        <w:pBdr>
          <w:top w:val="nil"/>
          <w:left w:val="nil"/>
          <w:bottom w:val="nil"/>
          <w:right w:val="nil"/>
          <w:between w:val="nil"/>
          <w:bar w:val="nil"/>
        </w:pBdr>
        <w:rPr>
          <w:szCs w:val="24"/>
          <w:bdr w:val="nil"/>
        </w:rPr>
      </w:pPr>
      <w:r>
        <w:rPr>
          <w:szCs w:val="24"/>
          <w:bdr w:val="nil"/>
        </w:rPr>
        <w:t xml:space="preserve">The Directorate aims to improve outcomes for children and families through the </w:t>
      </w:r>
      <w:r w:rsidR="00D01CA3">
        <w:rPr>
          <w:szCs w:val="24"/>
          <w:bdr w:val="nil"/>
        </w:rPr>
        <w:br/>
      </w:r>
      <w:r>
        <w:rPr>
          <w:szCs w:val="24"/>
          <w:bdr w:val="nil"/>
        </w:rPr>
        <w:t>Child and Family Centres Program. The program has been developed on an evidence based, best practice model offering a one-stop shop for services and programs for children and families. Services and programs are delivered in partnership with other ACT Government agencies and community-based organisations.</w:t>
      </w:r>
    </w:p>
    <w:p w14:paraId="2E6396E9" w14:textId="14B11ADA" w:rsidR="00A4668D" w:rsidRPr="00AC0712" w:rsidRDefault="00A4668D" w:rsidP="00A4668D">
      <w:pPr>
        <w:pStyle w:val="Normal20"/>
        <w:pBdr>
          <w:top w:val="nil"/>
          <w:left w:val="nil"/>
          <w:bottom w:val="nil"/>
          <w:right w:val="nil"/>
          <w:between w:val="nil"/>
          <w:bar w:val="nil"/>
        </w:pBdr>
        <w:rPr>
          <w:szCs w:val="24"/>
          <w:bdr w:val="nil"/>
        </w:rPr>
      </w:pPr>
      <w:r>
        <w:rPr>
          <w:szCs w:val="24"/>
          <w:bdr w:val="nil"/>
        </w:rPr>
        <w:t xml:space="preserve">This indicator shows the number of occasions of service delivered at </w:t>
      </w:r>
      <w:r w:rsidR="00D01CA3">
        <w:rPr>
          <w:szCs w:val="24"/>
          <w:bdr w:val="nil"/>
        </w:rPr>
        <w:br/>
      </w:r>
      <w:r>
        <w:rPr>
          <w:szCs w:val="24"/>
          <w:bdr w:val="nil"/>
        </w:rPr>
        <w:t>Child and Family Centres in partnership with early intervention and prevention services.</w:t>
      </w:r>
    </w:p>
    <w:p w14:paraId="3DA13F56" w14:textId="77777777" w:rsidR="00A4668D" w:rsidRDefault="00A4668D" w:rsidP="00A4668D">
      <w:pPr>
        <w:pStyle w:val="Heading4"/>
        <w:pBdr>
          <w:top w:val="nil"/>
          <w:left w:val="nil"/>
          <w:bottom w:val="nil"/>
          <w:right w:val="nil"/>
          <w:between w:val="nil"/>
          <w:bar w:val="nil"/>
        </w:pBdr>
        <w:rPr>
          <w:i w:val="0"/>
          <w:bdr w:val="nil"/>
        </w:rPr>
      </w:pPr>
      <w:r>
        <w:rPr>
          <w:bdr w:val="nil"/>
        </w:rPr>
        <w:t xml:space="preserve">Strategic Indicator 2: </w:t>
      </w:r>
      <w:r>
        <w:rPr>
          <w:kern w:val="28"/>
          <w:bdr w:val="nil"/>
        </w:rPr>
        <w:t>Number of occasions of service to Child and Family Centre clients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62E81012" w14:textId="77777777" w:rsidTr="00A4668D">
        <w:trPr>
          <w:cantSplit/>
          <w:trHeight w:val="170"/>
          <w:jc w:val="center"/>
        </w:trPr>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6E07A626" w14:textId="013E40A2"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vAlign w:val="center"/>
            <w:hideMark/>
          </w:tcPr>
          <w:p w14:paraId="367DECD4" w14:textId="251A8ACD"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7F33F95" w14:textId="1E77139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69DB044E" w14:textId="32BEADA9"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24101A0" w14:textId="52C640D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36A45CB5" w14:textId="77777777" w:rsidTr="00A4668D">
        <w:trPr>
          <w:cantSplit/>
          <w:trHeight w:val="170"/>
          <w:jc w:val="center"/>
        </w:trPr>
        <w:tc>
          <w:tcPr>
            <w:tcW w:w="1821" w:type="dxa"/>
            <w:tcBorders>
              <w:bottom w:val="single" w:sz="4" w:space="0" w:color="auto"/>
            </w:tcBorders>
            <w:noWrap/>
            <w:tcMar>
              <w:top w:w="15" w:type="dxa"/>
              <w:left w:w="15" w:type="dxa"/>
              <w:bottom w:w="0" w:type="dxa"/>
              <w:right w:w="15" w:type="dxa"/>
            </w:tcMar>
            <w:vAlign w:val="center"/>
            <w:hideMark/>
          </w:tcPr>
          <w:p w14:paraId="7BBD5E2C" w14:textId="393D1580"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tcBorders>
              <w:bottom w:val="single" w:sz="4" w:space="0" w:color="auto"/>
            </w:tcBorders>
            <w:vAlign w:val="center"/>
            <w:hideMark/>
          </w:tcPr>
          <w:p w14:paraId="2AD2C3CF" w14:textId="6B7FFEFB"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tcBorders>
              <w:bottom w:val="single" w:sz="4" w:space="0" w:color="auto"/>
            </w:tcBorders>
            <w:noWrap/>
            <w:tcMar>
              <w:top w:w="15" w:type="dxa"/>
              <w:left w:w="15" w:type="dxa"/>
              <w:bottom w:w="0" w:type="dxa"/>
              <w:right w:w="15" w:type="dxa"/>
            </w:tcMar>
            <w:vAlign w:val="center"/>
            <w:hideMark/>
          </w:tcPr>
          <w:p w14:paraId="72AE9F8F" w14:textId="6752A46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tcBorders>
              <w:bottom w:val="single" w:sz="4" w:space="0" w:color="auto"/>
            </w:tcBorders>
            <w:noWrap/>
            <w:tcMar>
              <w:top w:w="15" w:type="dxa"/>
              <w:left w:w="15" w:type="dxa"/>
              <w:bottom w:w="0" w:type="dxa"/>
              <w:right w:w="15" w:type="dxa"/>
            </w:tcMar>
            <w:vAlign w:val="center"/>
            <w:hideMark/>
          </w:tcPr>
          <w:p w14:paraId="302C161B" w14:textId="2591A581"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tcBorders>
              <w:bottom w:val="single" w:sz="4" w:space="0" w:color="auto"/>
            </w:tcBorders>
            <w:noWrap/>
            <w:tcMar>
              <w:top w:w="15" w:type="dxa"/>
              <w:left w:w="15" w:type="dxa"/>
              <w:bottom w:w="0" w:type="dxa"/>
              <w:right w:w="15" w:type="dxa"/>
            </w:tcMar>
            <w:vAlign w:val="center"/>
            <w:hideMark/>
          </w:tcPr>
          <w:p w14:paraId="2658C5AE" w14:textId="5C038324"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0DFCE2C9" w14:textId="77777777" w:rsidTr="00A4668D">
        <w:trPr>
          <w:cantSplit/>
          <w:trHeight w:val="284"/>
          <w:jc w:val="center"/>
        </w:trPr>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A8563F1" w14:textId="34B10B0D" w:rsidR="00A4668D" w:rsidRDefault="00A4668D">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vAlign w:val="center"/>
            <w:hideMark/>
          </w:tcPr>
          <w:p w14:paraId="4A580CBC" w14:textId="77777777" w:rsidR="00A4668D" w:rsidRDefault="00A4668D">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EED6FA0" w14:textId="77777777" w:rsidR="00A4668D" w:rsidRDefault="00A4668D">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5E0131B" w14:textId="77777777" w:rsidR="00A4668D" w:rsidRDefault="00A4668D">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049E5AC" w14:textId="77777777" w:rsidR="00A4668D" w:rsidRDefault="00A4668D">
            <w:pPr>
              <w:pStyle w:val="AITableText0"/>
              <w:pBdr>
                <w:top w:val="nil"/>
                <w:left w:val="nil"/>
                <w:bottom w:val="nil"/>
                <w:right w:val="nil"/>
                <w:between w:val="nil"/>
                <w:bar w:val="nil"/>
              </w:pBdr>
              <w:spacing w:before="0" w:after="0"/>
              <w:rPr>
                <w:rFonts w:cs="Calibri"/>
                <w:bdr w:val="nil"/>
              </w:rPr>
            </w:pPr>
            <w:r>
              <w:rPr>
                <w:rFonts w:cs="Calibri"/>
                <w:bdr w:val="nil"/>
              </w:rPr>
              <w:t>8,250</w:t>
            </w:r>
          </w:p>
        </w:tc>
      </w:tr>
    </w:tbl>
    <w:p w14:paraId="3994F0B1" w14:textId="77777777" w:rsidR="00A4668D" w:rsidRDefault="00A4668D" w:rsidP="000500CC">
      <w:pPr>
        <w:pStyle w:val="Heading32"/>
        <w:rPr>
          <w:bdr w:val="nil"/>
        </w:rPr>
      </w:pPr>
      <w:bookmarkStart w:id="22" w:name="_Toc514926323"/>
      <w:r>
        <w:rPr>
          <w:bdr w:val="nil"/>
        </w:rPr>
        <w:t>Strategic Objective 3</w:t>
      </w:r>
      <w:bookmarkEnd w:id="22"/>
      <w:r>
        <w:rPr>
          <w:bdr w:val="nil"/>
        </w:rPr>
        <w:t xml:space="preserve"> </w:t>
      </w:r>
    </w:p>
    <w:p w14:paraId="21E28E92" w14:textId="77777777" w:rsidR="00A4668D" w:rsidRDefault="00A4668D" w:rsidP="00A4668D">
      <w:pPr>
        <w:pStyle w:val="Heading4"/>
        <w:pBdr>
          <w:top w:val="nil"/>
          <w:left w:val="nil"/>
          <w:bottom w:val="nil"/>
          <w:right w:val="nil"/>
          <w:between w:val="nil"/>
          <w:bar w:val="nil"/>
        </w:pBdr>
        <w:rPr>
          <w:i w:val="0"/>
          <w:bdr w:val="nil"/>
        </w:rPr>
      </w:pPr>
      <w:r>
        <w:rPr>
          <w:bdr w:val="nil"/>
        </w:rPr>
        <w:t>Improve the outcomes for people in the community by providing a range of support and services</w:t>
      </w:r>
    </w:p>
    <w:p w14:paraId="0B842978" w14:textId="0D184DDF" w:rsidR="00A4668D" w:rsidRDefault="00A4668D" w:rsidP="00A4668D">
      <w:pPr>
        <w:pStyle w:val="Normal20"/>
        <w:pBdr>
          <w:top w:val="nil"/>
          <w:left w:val="nil"/>
          <w:bottom w:val="nil"/>
          <w:right w:val="nil"/>
          <w:between w:val="nil"/>
          <w:bar w:val="nil"/>
        </w:pBdr>
        <w:rPr>
          <w:szCs w:val="24"/>
          <w:bdr w:val="nil"/>
        </w:rPr>
      </w:pPr>
      <w:r>
        <w:rPr>
          <w:szCs w:val="24"/>
          <w:bdr w:val="nil"/>
        </w:rPr>
        <w:t xml:space="preserve">The Directorate provides funding to community organisations to deliver community development activities, counselling, referral services and emergency relief. The community organisations work in partnership with the ACT Government to build stronger communities, enhance resilience, strengthen </w:t>
      </w:r>
      <w:proofErr w:type="gramStart"/>
      <w:r>
        <w:rPr>
          <w:szCs w:val="24"/>
          <w:bdr w:val="nil"/>
        </w:rPr>
        <w:t>capacity</w:t>
      </w:r>
      <w:proofErr w:type="gramEnd"/>
      <w:r>
        <w:rPr>
          <w:szCs w:val="24"/>
          <w:bdr w:val="nil"/>
        </w:rPr>
        <w:t xml:space="preserve"> and facilitate participation of individuals and the broader community.</w:t>
      </w:r>
    </w:p>
    <w:p w14:paraId="68379D6F" w14:textId="77777777" w:rsidR="00A4668D" w:rsidRDefault="00A4668D" w:rsidP="00A4668D">
      <w:pPr>
        <w:pStyle w:val="Heading4"/>
        <w:pBdr>
          <w:top w:val="nil"/>
          <w:left w:val="nil"/>
          <w:bottom w:val="nil"/>
          <w:right w:val="nil"/>
          <w:between w:val="nil"/>
          <w:bar w:val="nil"/>
        </w:pBdr>
        <w:rPr>
          <w:i w:val="0"/>
          <w:bdr w:val="nil"/>
        </w:rPr>
      </w:pPr>
      <w:r>
        <w:rPr>
          <w:bdr w:val="nil"/>
        </w:rPr>
        <w:t>Strategic Indicator 3: Value of community services support programs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600AF14F" w14:textId="77777777" w:rsidTr="00A4668D">
        <w:trPr>
          <w:cantSplit/>
          <w:trHeight w:val="219"/>
          <w:jc w:val="center"/>
        </w:trPr>
        <w:tc>
          <w:tcPr>
            <w:tcW w:w="1821" w:type="dxa"/>
            <w:tcBorders>
              <w:top w:val="single" w:sz="4" w:space="0" w:color="auto"/>
              <w:left w:val="nil"/>
              <w:bottom w:val="nil"/>
              <w:right w:val="nil"/>
            </w:tcBorders>
            <w:vAlign w:val="center"/>
            <w:hideMark/>
          </w:tcPr>
          <w:p w14:paraId="389F980C" w14:textId="45D61894"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5D98CD57" w14:textId="7400CE46"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4A0A594C" w14:textId="4DDC40A2"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vAlign w:val="center"/>
            <w:hideMark/>
          </w:tcPr>
          <w:p w14:paraId="0A109885" w14:textId="77BD5608"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2023-24</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39B7ECF9" w14:textId="7D5D1A18"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2024-25</w:t>
            </w:r>
          </w:p>
        </w:tc>
      </w:tr>
      <w:tr w:rsidR="00C07D35" w14:paraId="38B0E622" w14:textId="77777777" w:rsidTr="00A4668D">
        <w:trPr>
          <w:cantSplit/>
          <w:trHeight w:val="321"/>
          <w:jc w:val="center"/>
        </w:trPr>
        <w:tc>
          <w:tcPr>
            <w:tcW w:w="1821" w:type="dxa"/>
            <w:vAlign w:val="center"/>
            <w:hideMark/>
          </w:tcPr>
          <w:p w14:paraId="1ED85046" w14:textId="788B609C"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Target</w:t>
            </w:r>
          </w:p>
        </w:tc>
        <w:tc>
          <w:tcPr>
            <w:tcW w:w="1821" w:type="dxa"/>
            <w:vAlign w:val="center"/>
            <w:hideMark/>
          </w:tcPr>
          <w:p w14:paraId="6B8C4879" w14:textId="0A919081"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Target</w:t>
            </w:r>
          </w:p>
        </w:tc>
        <w:tc>
          <w:tcPr>
            <w:tcW w:w="1821" w:type="dxa"/>
            <w:vAlign w:val="center"/>
            <w:hideMark/>
          </w:tcPr>
          <w:p w14:paraId="7FC528E3" w14:textId="68CF0710"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Estimate</w:t>
            </w:r>
          </w:p>
        </w:tc>
        <w:tc>
          <w:tcPr>
            <w:tcW w:w="1821" w:type="dxa"/>
            <w:vAlign w:val="center"/>
            <w:hideMark/>
          </w:tcPr>
          <w:p w14:paraId="49BE9210" w14:textId="1130FE47"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Estimate</w:t>
            </w:r>
          </w:p>
        </w:tc>
        <w:tc>
          <w:tcPr>
            <w:tcW w:w="1821" w:type="dxa"/>
            <w:noWrap/>
            <w:tcMar>
              <w:top w:w="20" w:type="dxa"/>
              <w:left w:w="20" w:type="dxa"/>
              <w:bottom w:w="0" w:type="dxa"/>
              <w:right w:w="20" w:type="dxa"/>
            </w:tcMar>
            <w:vAlign w:val="center"/>
            <w:hideMark/>
          </w:tcPr>
          <w:p w14:paraId="2EF6448F" w14:textId="1A5EA4DD"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Estimate</w:t>
            </w:r>
          </w:p>
        </w:tc>
      </w:tr>
      <w:tr w:rsidR="00C07D35" w14:paraId="573A9226" w14:textId="77777777" w:rsidTr="00A4668D">
        <w:trPr>
          <w:cantSplit/>
          <w:trHeight w:val="170"/>
          <w:jc w:val="center"/>
        </w:trPr>
        <w:tc>
          <w:tcPr>
            <w:tcW w:w="1821" w:type="dxa"/>
            <w:tcBorders>
              <w:top w:val="nil"/>
              <w:left w:val="nil"/>
              <w:bottom w:val="single" w:sz="4" w:space="0" w:color="auto"/>
              <w:right w:val="nil"/>
            </w:tcBorders>
            <w:vAlign w:val="center"/>
            <w:hideMark/>
          </w:tcPr>
          <w:p w14:paraId="75798B6D"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vAlign w:val="center"/>
            <w:hideMark/>
          </w:tcPr>
          <w:p w14:paraId="52E6D613"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vAlign w:val="center"/>
            <w:hideMark/>
          </w:tcPr>
          <w:p w14:paraId="7CAF6BF1"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vAlign w:val="center"/>
            <w:hideMark/>
          </w:tcPr>
          <w:p w14:paraId="70CD02F8"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noWrap/>
            <w:tcMar>
              <w:top w:w="20" w:type="dxa"/>
              <w:left w:w="20" w:type="dxa"/>
              <w:bottom w:w="0" w:type="dxa"/>
              <w:right w:w="20" w:type="dxa"/>
            </w:tcMar>
            <w:vAlign w:val="center"/>
            <w:hideMark/>
          </w:tcPr>
          <w:p w14:paraId="03F7DF34"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$'000</w:t>
            </w:r>
          </w:p>
        </w:tc>
      </w:tr>
      <w:tr w:rsidR="00C07D35" w14:paraId="0CF07D3B" w14:textId="77777777" w:rsidTr="00A4668D">
        <w:trPr>
          <w:cantSplit/>
          <w:trHeight w:val="284"/>
          <w:jc w:val="center"/>
        </w:trPr>
        <w:tc>
          <w:tcPr>
            <w:tcW w:w="1821" w:type="dxa"/>
            <w:tcBorders>
              <w:top w:val="nil"/>
              <w:left w:val="nil"/>
              <w:bottom w:val="single" w:sz="4" w:space="0" w:color="auto"/>
              <w:right w:val="nil"/>
            </w:tcBorders>
            <w:vAlign w:val="center"/>
            <w:hideMark/>
          </w:tcPr>
          <w:p w14:paraId="7D05A7D9" w14:textId="73E27F67"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18,280</w:t>
            </w:r>
            <w:r>
              <w:rPr>
                <w:sz w:val="20"/>
                <w:szCs w:val="20"/>
                <w:bdr w:val="nil"/>
                <w:vertAlign w:val="superscript"/>
              </w:rPr>
              <w:t xml:space="preserve"> 1</w:t>
            </w:r>
          </w:p>
        </w:tc>
        <w:tc>
          <w:tcPr>
            <w:tcW w:w="1821" w:type="dxa"/>
            <w:tcBorders>
              <w:top w:val="nil"/>
              <w:left w:val="nil"/>
              <w:bottom w:val="single" w:sz="4" w:space="0" w:color="auto"/>
              <w:right w:val="nil"/>
            </w:tcBorders>
            <w:vAlign w:val="center"/>
            <w:hideMark/>
          </w:tcPr>
          <w:p w14:paraId="5D052D30" w14:textId="5CD128E5" w:rsidR="00A4668D" w:rsidRPr="00361136" w:rsidRDefault="00A4668D" w:rsidP="00A4668D">
            <w:pPr>
              <w:pStyle w:val="BStablefigures00"/>
              <w:pBdr>
                <w:top w:val="nil"/>
                <w:left w:val="nil"/>
                <w:bottom w:val="nil"/>
                <w:right w:val="nil"/>
                <w:between w:val="nil"/>
                <w:bar w:val="nil"/>
              </w:pBdr>
              <w:rPr>
                <w:sz w:val="20"/>
                <w:szCs w:val="20"/>
                <w:bdr w:val="nil"/>
              </w:rPr>
            </w:pPr>
            <w:r>
              <w:rPr>
                <w:sz w:val="20"/>
                <w:szCs w:val="20"/>
                <w:bdr w:val="nil"/>
              </w:rPr>
              <w:t>16,983</w:t>
            </w:r>
            <w:r>
              <w:rPr>
                <w:sz w:val="20"/>
                <w:szCs w:val="20"/>
                <w:bdr w:val="nil"/>
                <w:vertAlign w:val="superscript"/>
              </w:rPr>
              <w:t xml:space="preserve"> 2</w:t>
            </w:r>
          </w:p>
        </w:tc>
        <w:tc>
          <w:tcPr>
            <w:tcW w:w="1821" w:type="dxa"/>
            <w:tcBorders>
              <w:top w:val="nil"/>
              <w:left w:val="nil"/>
              <w:bottom w:val="single" w:sz="4" w:space="0" w:color="auto"/>
              <w:right w:val="nil"/>
            </w:tcBorders>
            <w:vAlign w:val="center"/>
            <w:hideMark/>
          </w:tcPr>
          <w:p w14:paraId="2AA35FEF" w14:textId="720E9378" w:rsidR="00A4668D" w:rsidRPr="00361136" w:rsidRDefault="00A4668D" w:rsidP="00A4668D">
            <w:pPr>
              <w:pStyle w:val="BStablefigures00"/>
              <w:pBdr>
                <w:top w:val="nil"/>
                <w:left w:val="nil"/>
                <w:bottom w:val="nil"/>
                <w:right w:val="nil"/>
                <w:between w:val="nil"/>
                <w:bar w:val="nil"/>
              </w:pBdr>
              <w:rPr>
                <w:sz w:val="20"/>
                <w:szCs w:val="20"/>
                <w:bdr w:val="nil"/>
              </w:rPr>
            </w:pPr>
            <w:r>
              <w:rPr>
                <w:sz w:val="20"/>
                <w:szCs w:val="20"/>
                <w:bdr w:val="nil"/>
              </w:rPr>
              <w:t>15,324</w:t>
            </w:r>
          </w:p>
        </w:tc>
        <w:tc>
          <w:tcPr>
            <w:tcW w:w="1821" w:type="dxa"/>
            <w:tcBorders>
              <w:top w:val="nil"/>
              <w:left w:val="nil"/>
              <w:bottom w:val="single" w:sz="4" w:space="0" w:color="auto"/>
              <w:right w:val="nil"/>
            </w:tcBorders>
            <w:vAlign w:val="center"/>
            <w:hideMark/>
          </w:tcPr>
          <w:p w14:paraId="58A410F7" w14:textId="7DC7B038" w:rsidR="00A4668D" w:rsidRPr="00361136" w:rsidRDefault="00A4668D" w:rsidP="00A4668D">
            <w:pPr>
              <w:pStyle w:val="BStablefigures00"/>
              <w:pBdr>
                <w:top w:val="nil"/>
                <w:left w:val="nil"/>
                <w:bottom w:val="nil"/>
                <w:right w:val="nil"/>
                <w:between w:val="nil"/>
                <w:bar w:val="nil"/>
              </w:pBdr>
              <w:rPr>
                <w:sz w:val="20"/>
                <w:szCs w:val="20"/>
                <w:bdr w:val="nil"/>
              </w:rPr>
            </w:pPr>
            <w:r>
              <w:rPr>
                <w:sz w:val="20"/>
                <w:szCs w:val="20"/>
                <w:bdr w:val="nil"/>
              </w:rPr>
              <w:t>14,330</w:t>
            </w:r>
            <w:r>
              <w:rPr>
                <w:sz w:val="20"/>
                <w:szCs w:val="20"/>
                <w:bdr w:val="nil"/>
                <w:vertAlign w:val="superscript"/>
              </w:rPr>
              <w:t xml:space="preserve"> 3</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292BB5F7" w14:textId="6BE9A765" w:rsidR="00A4668D" w:rsidRPr="00361136" w:rsidRDefault="00A4668D" w:rsidP="00A4668D">
            <w:pPr>
              <w:pStyle w:val="BStablefigures00"/>
              <w:pBdr>
                <w:top w:val="nil"/>
                <w:left w:val="nil"/>
                <w:bottom w:val="nil"/>
                <w:right w:val="nil"/>
                <w:between w:val="nil"/>
                <w:bar w:val="nil"/>
              </w:pBdr>
              <w:rPr>
                <w:sz w:val="20"/>
                <w:szCs w:val="20"/>
                <w:bdr w:val="nil"/>
              </w:rPr>
            </w:pPr>
            <w:r>
              <w:rPr>
                <w:sz w:val="20"/>
                <w:szCs w:val="20"/>
                <w:bdr w:val="nil"/>
              </w:rPr>
              <w:t xml:space="preserve">14,281 </w:t>
            </w:r>
            <w:r>
              <w:rPr>
                <w:sz w:val="20"/>
                <w:szCs w:val="20"/>
                <w:bdr w:val="nil"/>
                <w:vertAlign w:val="superscript"/>
              </w:rPr>
              <w:t xml:space="preserve">4 </w:t>
            </w:r>
          </w:p>
        </w:tc>
      </w:tr>
    </w:tbl>
    <w:p w14:paraId="0100F244" w14:textId="77777777" w:rsidR="00A4668D" w:rsidRDefault="00A4668D" w:rsidP="00A4668D">
      <w:pPr>
        <w:pStyle w:val="BSnote0"/>
        <w:pBdr>
          <w:top w:val="nil"/>
          <w:left w:val="nil"/>
          <w:bottom w:val="nil"/>
          <w:right w:val="nil"/>
          <w:between w:val="nil"/>
          <w:bar w:val="nil"/>
        </w:pBdr>
        <w:rPr>
          <w:bdr w:val="nil"/>
        </w:rPr>
      </w:pPr>
      <w:r>
        <w:rPr>
          <w:bdr w:val="nil"/>
        </w:rPr>
        <w:t>Notes:</w:t>
      </w:r>
    </w:p>
    <w:p w14:paraId="36CE9CCB" w14:textId="77777777" w:rsidR="00A4668D" w:rsidRDefault="00A4668D" w:rsidP="009A24FA">
      <w:pPr>
        <w:pStyle w:val="BSnoteslist"/>
        <w:numPr>
          <w:ilvl w:val="0"/>
          <w:numId w:val="9"/>
        </w:numPr>
        <w:pBdr>
          <w:top w:val="nil"/>
          <w:left w:val="nil"/>
          <w:bottom w:val="nil"/>
          <w:right w:val="nil"/>
          <w:between w:val="nil"/>
          <w:bar w:val="nil"/>
        </w:pBdr>
        <w:rPr>
          <w:bdr w:val="nil"/>
        </w:rPr>
      </w:pPr>
      <w:r>
        <w:rPr>
          <w:bdr w:val="nil"/>
        </w:rPr>
        <w:t>The 2020-21 target includes the Community Support Package as part of the broader Government's COVID-19 Economic Survival Package.</w:t>
      </w:r>
    </w:p>
    <w:p w14:paraId="2F61DD81" w14:textId="70C04F26" w:rsidR="00A4668D" w:rsidRDefault="00A4668D" w:rsidP="009A24FA">
      <w:pPr>
        <w:pStyle w:val="BSnoteslist0"/>
        <w:numPr>
          <w:ilvl w:val="0"/>
          <w:numId w:val="9"/>
        </w:numPr>
        <w:pBdr>
          <w:top w:val="nil"/>
          <w:left w:val="nil"/>
          <w:bottom w:val="nil"/>
          <w:right w:val="nil"/>
          <w:between w:val="nil"/>
          <w:bar w:val="nil"/>
        </w:pBdr>
        <w:rPr>
          <w:bdr w:val="nil"/>
        </w:rPr>
      </w:pPr>
      <w:r>
        <w:rPr>
          <w:bdr w:val="nil"/>
        </w:rPr>
        <w:t xml:space="preserve">The decrease in the 2021-22 target from 2020-21 target is due to the cessation of the Government's COVID-19 Economic Survival Package provided as part of the Economic and Fiscal Update in August 2020. </w:t>
      </w:r>
    </w:p>
    <w:p w14:paraId="1CA959EC" w14:textId="440684B1" w:rsidR="00A4668D" w:rsidRDefault="00A4668D" w:rsidP="009A24FA">
      <w:pPr>
        <w:pStyle w:val="BSnoteslist0"/>
        <w:numPr>
          <w:ilvl w:val="0"/>
          <w:numId w:val="9"/>
        </w:numPr>
        <w:pBdr>
          <w:top w:val="nil"/>
          <w:left w:val="nil"/>
          <w:bottom w:val="nil"/>
          <w:right w:val="nil"/>
          <w:between w:val="nil"/>
          <w:bar w:val="nil"/>
        </w:pBdr>
        <w:rPr>
          <w:bdr w:val="nil"/>
        </w:rPr>
      </w:pPr>
      <w:r>
        <w:rPr>
          <w:bdr w:val="nil"/>
        </w:rPr>
        <w:t xml:space="preserve">The decrease in the 2023-24 estimate from 2022-23 estimate is due to the cessation of the </w:t>
      </w:r>
      <w:r w:rsidRPr="00F8442B">
        <w:rPr>
          <w:bdr w:val="nil"/>
        </w:rPr>
        <w:t>Extending the Room4Change</w:t>
      </w:r>
      <w:r w:rsidRPr="00FD75FD">
        <w:rPr>
          <w:bCs/>
          <w:bdr w:val="nil"/>
        </w:rPr>
        <w:t xml:space="preserve"> </w:t>
      </w:r>
      <w:r>
        <w:rPr>
          <w:bCs/>
          <w:bdr w:val="nil"/>
        </w:rPr>
        <w:t xml:space="preserve">program as part of the Safer Families package. </w:t>
      </w:r>
    </w:p>
    <w:p w14:paraId="6170FA38" w14:textId="587B7BD2" w:rsidR="00A4668D" w:rsidRDefault="00A4668D" w:rsidP="009A24FA">
      <w:pPr>
        <w:pStyle w:val="BSnoteslist0"/>
        <w:numPr>
          <w:ilvl w:val="0"/>
          <w:numId w:val="9"/>
        </w:numPr>
        <w:pBdr>
          <w:top w:val="nil"/>
          <w:left w:val="nil"/>
          <w:bottom w:val="nil"/>
          <w:right w:val="nil"/>
          <w:between w:val="nil"/>
          <w:bar w:val="nil"/>
        </w:pBdr>
        <w:rPr>
          <w:bdr w:val="nil"/>
        </w:rPr>
      </w:pPr>
      <w:r>
        <w:rPr>
          <w:bdr w:val="nil"/>
        </w:rPr>
        <w:t xml:space="preserve">The decrease in the 2024-25 estimate from 2023-24 estimate is due to the cessation of the Technology Upgrade Fund for the community sector provided in the 2020-21 Budget. </w:t>
      </w:r>
    </w:p>
    <w:p w14:paraId="3D0DFEC4" w14:textId="77777777" w:rsidR="003513CA" w:rsidRDefault="003513CA">
      <w:pPr>
        <w:spacing w:before="0" w:after="0"/>
        <w:rPr>
          <w:b/>
          <w:bCs/>
          <w:sz w:val="28"/>
          <w:szCs w:val="28"/>
          <w:bdr w:val="nil"/>
        </w:rPr>
      </w:pPr>
      <w:bookmarkStart w:id="23" w:name="_Toc514926324"/>
      <w:r>
        <w:rPr>
          <w:szCs w:val="28"/>
          <w:bdr w:val="nil"/>
        </w:rPr>
        <w:br w:type="page"/>
      </w:r>
    </w:p>
    <w:p w14:paraId="463C2E31" w14:textId="318E598B" w:rsidR="00A4668D" w:rsidRDefault="00A4668D" w:rsidP="000500CC">
      <w:pPr>
        <w:pStyle w:val="Heading32"/>
        <w:rPr>
          <w:bdr w:val="nil"/>
        </w:rPr>
      </w:pPr>
      <w:r>
        <w:rPr>
          <w:bdr w:val="nil"/>
        </w:rPr>
        <w:lastRenderedPageBreak/>
        <w:t>Strategic Objective 4</w:t>
      </w:r>
      <w:bookmarkEnd w:id="23"/>
      <w:r>
        <w:rPr>
          <w:bdr w:val="nil"/>
        </w:rPr>
        <w:t xml:space="preserve"> </w:t>
      </w:r>
    </w:p>
    <w:p w14:paraId="0DC4E8EB" w14:textId="77777777" w:rsidR="00A4668D" w:rsidRDefault="00A4668D" w:rsidP="00A4668D">
      <w:pPr>
        <w:pStyle w:val="Heading4"/>
        <w:pBdr>
          <w:top w:val="nil"/>
          <w:left w:val="nil"/>
          <w:bottom w:val="nil"/>
          <w:right w:val="nil"/>
          <w:between w:val="nil"/>
          <w:bar w:val="nil"/>
        </w:pBdr>
        <w:rPr>
          <w:i w:val="0"/>
          <w:bdr w:val="nil"/>
        </w:rPr>
      </w:pPr>
      <w:r>
        <w:rPr>
          <w:bdr w:val="nil"/>
        </w:rPr>
        <w:t>Promote and increase participation in community life by Canberrans, including those from culturally and linguistically diverse backgrounds</w:t>
      </w:r>
    </w:p>
    <w:p w14:paraId="5E7B88C7" w14:textId="7668C653" w:rsidR="00A4668D" w:rsidRDefault="00A4668D" w:rsidP="00A4668D">
      <w:pPr>
        <w:pStyle w:val="Normal20"/>
        <w:pBdr>
          <w:top w:val="nil"/>
          <w:left w:val="nil"/>
          <w:bottom w:val="nil"/>
          <w:right w:val="nil"/>
          <w:between w:val="nil"/>
          <w:bar w:val="nil"/>
        </w:pBdr>
        <w:rPr>
          <w:szCs w:val="24"/>
          <w:bdr w:val="nil"/>
        </w:rPr>
      </w:pPr>
      <w:r>
        <w:rPr>
          <w:szCs w:val="24"/>
          <w:bdr w:val="nil"/>
        </w:rPr>
        <w:t>The Directorate promotes Canberra as a culturally and linguistically diverse city. The proportion of Canberrans who agree that Canberra as a community accepts people from different cultures is an indication of how well the Directorate is contributing to this objective. This is measured annually through the Canberra Omnibus Survey (COS) and the ACT Wellbeing Framework indicator.</w:t>
      </w:r>
    </w:p>
    <w:p w14:paraId="443B3540" w14:textId="77777777" w:rsidR="00A4668D" w:rsidRDefault="00A4668D" w:rsidP="00A4668D">
      <w:pPr>
        <w:pStyle w:val="Heading4"/>
        <w:pBdr>
          <w:top w:val="nil"/>
          <w:left w:val="nil"/>
          <w:bottom w:val="nil"/>
          <w:right w:val="nil"/>
          <w:between w:val="nil"/>
          <w:bar w:val="nil"/>
        </w:pBdr>
        <w:rPr>
          <w:i w:val="0"/>
          <w:bdr w:val="nil"/>
        </w:rPr>
      </w:pPr>
      <w:r>
        <w:rPr>
          <w:bdr w:val="nil"/>
        </w:rPr>
        <w:t>Strategic Indicator 4: The proportion of Canberrans who agree that Canberra as a community accepts people from different cultures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657163D5" w14:textId="77777777" w:rsidTr="00A4668D">
        <w:trPr>
          <w:cantSplit/>
          <w:trHeight w:val="219"/>
          <w:jc w:val="center"/>
        </w:trPr>
        <w:tc>
          <w:tcPr>
            <w:tcW w:w="1821" w:type="dxa"/>
            <w:tcBorders>
              <w:top w:val="single" w:sz="4" w:space="0" w:color="auto"/>
              <w:left w:val="nil"/>
              <w:bottom w:val="nil"/>
              <w:right w:val="nil"/>
            </w:tcBorders>
            <w:vAlign w:val="center"/>
            <w:hideMark/>
          </w:tcPr>
          <w:p w14:paraId="2E76B4DD" w14:textId="28A7C363" w:rsidR="00A4668D" w:rsidRDefault="00A4668D" w:rsidP="00A4668D">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1B05493F" w14:textId="4FE9CC4A" w:rsidR="00A4668D" w:rsidRDefault="00A4668D" w:rsidP="00A4668D">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34D7A9E3" w14:textId="0EBEE5D9" w:rsidR="00A4668D" w:rsidRDefault="00A4668D" w:rsidP="00A4668D">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vAlign w:val="center"/>
            <w:hideMark/>
          </w:tcPr>
          <w:p w14:paraId="509D458D" w14:textId="0F8684D7" w:rsidR="00A4668D" w:rsidRDefault="00A4668D" w:rsidP="00A4668D">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3C821521" w14:textId="20D2AF87" w:rsidR="00A4668D" w:rsidRDefault="00A4668D" w:rsidP="00A4668D">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2024-25</w:t>
            </w:r>
          </w:p>
        </w:tc>
      </w:tr>
      <w:tr w:rsidR="00C07D35" w14:paraId="04BCD66B" w14:textId="77777777" w:rsidTr="00A4668D">
        <w:trPr>
          <w:cantSplit/>
          <w:trHeight w:val="321"/>
          <w:jc w:val="center"/>
        </w:trPr>
        <w:tc>
          <w:tcPr>
            <w:tcW w:w="1821" w:type="dxa"/>
            <w:tcBorders>
              <w:top w:val="nil"/>
              <w:left w:val="nil"/>
              <w:bottom w:val="single" w:sz="4" w:space="0" w:color="auto"/>
              <w:right w:val="nil"/>
            </w:tcBorders>
            <w:vAlign w:val="center"/>
            <w:hideMark/>
          </w:tcPr>
          <w:p w14:paraId="4A0FE235" w14:textId="3E56B6F8" w:rsidR="00A4668D" w:rsidRDefault="00A4668D" w:rsidP="00A4668D">
            <w:pPr>
              <w:pStyle w:val="BStabletextbold"/>
              <w:pBdr>
                <w:top w:val="nil"/>
                <w:left w:val="nil"/>
                <w:bottom w:val="nil"/>
                <w:right w:val="nil"/>
                <w:between w:val="nil"/>
                <w:bar w:val="nil"/>
              </w:pBdr>
              <w:jc w:val="right"/>
              <w:rPr>
                <w:rFonts w:eastAsia="Arial Unicode MS"/>
                <w:bdr w:val="nil"/>
              </w:rPr>
            </w:pPr>
            <w:r>
              <w:rPr>
                <w:rFonts w:cs="Calibri"/>
                <w:bdr w:val="nil"/>
              </w:rPr>
              <w:t>Target</w:t>
            </w:r>
          </w:p>
        </w:tc>
        <w:tc>
          <w:tcPr>
            <w:tcW w:w="1821" w:type="dxa"/>
            <w:tcBorders>
              <w:top w:val="nil"/>
              <w:left w:val="nil"/>
              <w:bottom w:val="single" w:sz="4" w:space="0" w:color="auto"/>
              <w:right w:val="nil"/>
            </w:tcBorders>
            <w:vAlign w:val="center"/>
            <w:hideMark/>
          </w:tcPr>
          <w:p w14:paraId="5E65E072" w14:textId="25D6C6D0" w:rsidR="00A4668D" w:rsidRDefault="00A4668D" w:rsidP="00A4668D">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Target</w:t>
            </w:r>
          </w:p>
        </w:tc>
        <w:tc>
          <w:tcPr>
            <w:tcW w:w="1821" w:type="dxa"/>
            <w:tcBorders>
              <w:top w:val="nil"/>
              <w:left w:val="nil"/>
              <w:bottom w:val="single" w:sz="4" w:space="0" w:color="auto"/>
              <w:right w:val="nil"/>
            </w:tcBorders>
            <w:vAlign w:val="center"/>
            <w:hideMark/>
          </w:tcPr>
          <w:p w14:paraId="0560636A" w14:textId="009C5FA2" w:rsidR="00A4668D" w:rsidRDefault="00A4668D" w:rsidP="00A4668D">
            <w:pPr>
              <w:pStyle w:val="BStabletextbold"/>
              <w:pBdr>
                <w:top w:val="nil"/>
                <w:left w:val="nil"/>
                <w:bottom w:val="nil"/>
                <w:right w:val="nil"/>
                <w:between w:val="nil"/>
                <w:bar w:val="nil"/>
              </w:pBdr>
              <w:jc w:val="right"/>
              <w:rPr>
                <w:rFonts w:eastAsia="Arial Unicode MS"/>
                <w:bdr w:val="nil"/>
              </w:rPr>
            </w:pPr>
            <w:r>
              <w:rPr>
                <w:rFonts w:cs="Calibri"/>
                <w:bdr w:val="nil"/>
              </w:rPr>
              <w:t>Estimate</w:t>
            </w:r>
          </w:p>
        </w:tc>
        <w:tc>
          <w:tcPr>
            <w:tcW w:w="1821" w:type="dxa"/>
            <w:tcBorders>
              <w:top w:val="nil"/>
              <w:left w:val="nil"/>
              <w:bottom w:val="single" w:sz="4" w:space="0" w:color="auto"/>
              <w:right w:val="nil"/>
            </w:tcBorders>
            <w:vAlign w:val="center"/>
            <w:hideMark/>
          </w:tcPr>
          <w:p w14:paraId="5DD27F7F" w14:textId="3FE76FB6" w:rsidR="00A4668D" w:rsidRDefault="00A4668D" w:rsidP="00A4668D">
            <w:pPr>
              <w:pStyle w:val="BStabletextbold"/>
              <w:pBdr>
                <w:top w:val="nil"/>
                <w:left w:val="nil"/>
                <w:bottom w:val="nil"/>
                <w:right w:val="nil"/>
                <w:between w:val="nil"/>
                <w:bar w:val="nil"/>
              </w:pBdr>
              <w:jc w:val="right"/>
              <w:rPr>
                <w:rFonts w:eastAsia="Arial Unicode MS"/>
                <w:bdr w:val="nil"/>
              </w:rPr>
            </w:pPr>
            <w:r>
              <w:rPr>
                <w:rFonts w:cs="Calibri"/>
                <w:bdr w:val="nil"/>
              </w:rPr>
              <w:t>Estimate</w:t>
            </w:r>
          </w:p>
        </w:tc>
        <w:tc>
          <w:tcPr>
            <w:tcW w:w="1821" w:type="dxa"/>
            <w:noWrap/>
            <w:tcMar>
              <w:top w:w="20" w:type="dxa"/>
              <w:left w:w="20" w:type="dxa"/>
              <w:bottom w:w="0" w:type="dxa"/>
              <w:right w:w="20" w:type="dxa"/>
            </w:tcMar>
            <w:vAlign w:val="center"/>
            <w:hideMark/>
          </w:tcPr>
          <w:p w14:paraId="6F72087F" w14:textId="45F59A93" w:rsidR="00A4668D" w:rsidRDefault="00A4668D" w:rsidP="00A4668D">
            <w:pPr>
              <w:pStyle w:val="BStabletextbold"/>
              <w:pBdr>
                <w:top w:val="nil"/>
                <w:left w:val="nil"/>
                <w:bottom w:val="nil"/>
                <w:right w:val="nil"/>
                <w:between w:val="nil"/>
                <w:bar w:val="nil"/>
              </w:pBdr>
              <w:jc w:val="right"/>
              <w:rPr>
                <w:rFonts w:eastAsia="Arial Unicode MS"/>
                <w:bdr w:val="nil"/>
              </w:rPr>
            </w:pPr>
            <w:r>
              <w:rPr>
                <w:rFonts w:cs="Calibri"/>
                <w:bdr w:val="nil"/>
              </w:rPr>
              <w:t>Estimate</w:t>
            </w:r>
          </w:p>
        </w:tc>
      </w:tr>
      <w:tr w:rsidR="00C07D35" w14:paraId="451ABE48" w14:textId="77777777" w:rsidTr="00A4668D">
        <w:trPr>
          <w:cantSplit/>
          <w:trHeight w:val="284"/>
          <w:jc w:val="center"/>
        </w:trPr>
        <w:tc>
          <w:tcPr>
            <w:tcW w:w="1821" w:type="dxa"/>
            <w:tcBorders>
              <w:top w:val="single" w:sz="4" w:space="0" w:color="auto"/>
              <w:left w:val="nil"/>
              <w:bottom w:val="single" w:sz="4" w:space="0" w:color="auto"/>
              <w:right w:val="nil"/>
            </w:tcBorders>
            <w:vAlign w:val="center"/>
            <w:hideMark/>
          </w:tcPr>
          <w:p w14:paraId="5B7A7819"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90%</w:t>
            </w:r>
          </w:p>
        </w:tc>
        <w:tc>
          <w:tcPr>
            <w:tcW w:w="1821" w:type="dxa"/>
            <w:tcBorders>
              <w:top w:val="single" w:sz="4" w:space="0" w:color="auto"/>
              <w:left w:val="nil"/>
              <w:bottom w:val="single" w:sz="4" w:space="0" w:color="auto"/>
              <w:right w:val="nil"/>
            </w:tcBorders>
            <w:vAlign w:val="center"/>
            <w:hideMark/>
          </w:tcPr>
          <w:p w14:paraId="045E3DE3" w14:textId="77777777" w:rsidR="00A4668D" w:rsidRDefault="00A4668D">
            <w:pPr>
              <w:pStyle w:val="BStablefigures00"/>
              <w:pBdr>
                <w:top w:val="nil"/>
                <w:left w:val="nil"/>
                <w:bottom w:val="nil"/>
                <w:right w:val="nil"/>
                <w:between w:val="nil"/>
                <w:bar w:val="nil"/>
              </w:pBdr>
              <w:rPr>
                <w:sz w:val="20"/>
                <w:szCs w:val="20"/>
                <w:highlight w:val="yellow"/>
                <w:bdr w:val="nil"/>
              </w:rPr>
            </w:pPr>
            <w:r>
              <w:rPr>
                <w:sz w:val="20"/>
                <w:szCs w:val="20"/>
                <w:bdr w:val="nil"/>
              </w:rPr>
              <w:t>90%</w:t>
            </w:r>
          </w:p>
        </w:tc>
        <w:tc>
          <w:tcPr>
            <w:tcW w:w="1821" w:type="dxa"/>
            <w:tcBorders>
              <w:top w:val="single" w:sz="4" w:space="0" w:color="auto"/>
              <w:left w:val="nil"/>
              <w:bottom w:val="single" w:sz="4" w:space="0" w:color="auto"/>
              <w:right w:val="nil"/>
            </w:tcBorders>
            <w:vAlign w:val="center"/>
            <w:hideMark/>
          </w:tcPr>
          <w:p w14:paraId="2E78E909" w14:textId="77777777" w:rsidR="00A4668D" w:rsidRDefault="00A4668D">
            <w:pPr>
              <w:pStyle w:val="BStablefigures00"/>
              <w:pBdr>
                <w:top w:val="nil"/>
                <w:left w:val="nil"/>
                <w:bottom w:val="nil"/>
                <w:right w:val="nil"/>
                <w:between w:val="nil"/>
                <w:bar w:val="nil"/>
              </w:pBdr>
              <w:rPr>
                <w:sz w:val="20"/>
                <w:szCs w:val="20"/>
                <w:highlight w:val="yellow"/>
                <w:bdr w:val="nil"/>
              </w:rPr>
            </w:pPr>
            <w:r>
              <w:rPr>
                <w:sz w:val="20"/>
                <w:szCs w:val="20"/>
                <w:bdr w:val="nil"/>
              </w:rPr>
              <w:t>90%</w:t>
            </w:r>
          </w:p>
        </w:tc>
        <w:tc>
          <w:tcPr>
            <w:tcW w:w="1821" w:type="dxa"/>
            <w:tcBorders>
              <w:top w:val="single" w:sz="4" w:space="0" w:color="auto"/>
              <w:left w:val="nil"/>
              <w:bottom w:val="single" w:sz="4" w:space="0" w:color="auto"/>
              <w:right w:val="nil"/>
            </w:tcBorders>
            <w:vAlign w:val="center"/>
            <w:hideMark/>
          </w:tcPr>
          <w:p w14:paraId="6F90C141" w14:textId="77777777" w:rsidR="00A4668D" w:rsidRDefault="00A4668D">
            <w:pPr>
              <w:pStyle w:val="BStablefigures00"/>
              <w:pBdr>
                <w:top w:val="nil"/>
                <w:left w:val="nil"/>
                <w:bottom w:val="nil"/>
                <w:right w:val="nil"/>
                <w:between w:val="nil"/>
                <w:bar w:val="nil"/>
              </w:pBdr>
              <w:rPr>
                <w:sz w:val="20"/>
                <w:szCs w:val="20"/>
                <w:highlight w:val="yellow"/>
                <w:bdr w:val="nil"/>
              </w:rPr>
            </w:pPr>
            <w:r>
              <w:rPr>
                <w:sz w:val="20"/>
                <w:szCs w:val="20"/>
                <w:bdr w:val="nil"/>
              </w:rPr>
              <w:t>90%</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1F52C34A" w14:textId="77777777" w:rsidR="00A4668D" w:rsidRDefault="00A4668D">
            <w:pPr>
              <w:pStyle w:val="BStablefigures00"/>
              <w:pBdr>
                <w:top w:val="nil"/>
                <w:left w:val="nil"/>
                <w:bottom w:val="nil"/>
                <w:right w:val="nil"/>
                <w:between w:val="nil"/>
                <w:bar w:val="nil"/>
              </w:pBdr>
              <w:rPr>
                <w:sz w:val="20"/>
                <w:szCs w:val="20"/>
                <w:highlight w:val="yellow"/>
                <w:bdr w:val="nil"/>
              </w:rPr>
            </w:pPr>
            <w:r>
              <w:rPr>
                <w:sz w:val="20"/>
                <w:szCs w:val="20"/>
                <w:bdr w:val="nil"/>
              </w:rPr>
              <w:t>90%</w:t>
            </w:r>
          </w:p>
        </w:tc>
      </w:tr>
    </w:tbl>
    <w:p w14:paraId="36ADD3E8" w14:textId="77777777" w:rsidR="00A4668D" w:rsidRDefault="00A4668D" w:rsidP="000500CC">
      <w:pPr>
        <w:pStyle w:val="Heading32"/>
        <w:rPr>
          <w:bdr w:val="nil"/>
        </w:rPr>
      </w:pPr>
      <w:bookmarkStart w:id="24" w:name="_Toc514926325"/>
      <w:r>
        <w:rPr>
          <w:bdr w:val="nil"/>
        </w:rPr>
        <w:t>Strategic Objective 5</w:t>
      </w:r>
      <w:bookmarkEnd w:id="24"/>
      <w:r>
        <w:rPr>
          <w:bdr w:val="nil"/>
        </w:rPr>
        <w:t xml:space="preserve"> </w:t>
      </w:r>
    </w:p>
    <w:p w14:paraId="45A730AA" w14:textId="77777777" w:rsidR="00A4668D" w:rsidRDefault="00A4668D" w:rsidP="00A4668D">
      <w:pPr>
        <w:pStyle w:val="Heading4"/>
        <w:pBdr>
          <w:top w:val="nil"/>
          <w:left w:val="nil"/>
          <w:bottom w:val="nil"/>
          <w:right w:val="nil"/>
          <w:between w:val="nil"/>
          <w:bar w:val="nil"/>
        </w:pBdr>
        <w:rPr>
          <w:i w:val="0"/>
          <w:bdr w:val="nil"/>
        </w:rPr>
      </w:pPr>
      <w:r>
        <w:rPr>
          <w:bdr w:val="nil"/>
        </w:rPr>
        <w:t>Promote an anti-violence culture in the ACT to ensure that women feel safe</w:t>
      </w:r>
    </w:p>
    <w:p w14:paraId="4AA06580" w14:textId="77777777" w:rsidR="00A4668D" w:rsidRDefault="00A4668D" w:rsidP="00A4668D">
      <w:pPr>
        <w:pStyle w:val="Normal20"/>
        <w:pBdr>
          <w:top w:val="nil"/>
          <w:left w:val="nil"/>
          <w:bottom w:val="nil"/>
          <w:right w:val="nil"/>
          <w:between w:val="nil"/>
          <w:bar w:val="nil"/>
        </w:pBdr>
        <w:rPr>
          <w:szCs w:val="24"/>
          <w:bdr w:val="nil"/>
        </w:rPr>
      </w:pPr>
      <w:r>
        <w:rPr>
          <w:szCs w:val="24"/>
          <w:bdr w:val="nil"/>
        </w:rPr>
        <w:t xml:space="preserve">The Directorate works to enhance the status of women and girls in the ACT and to create a community where they are safe, healthy, equally represented and valued for their contribution to society. This is achieved through the implementation of the </w:t>
      </w:r>
      <w:r>
        <w:rPr>
          <w:szCs w:val="24"/>
          <w:bdr w:val="nil"/>
        </w:rPr>
        <w:br/>
      </w:r>
      <w:r>
        <w:rPr>
          <w:i/>
          <w:szCs w:val="24"/>
          <w:bdr w:val="nil"/>
        </w:rPr>
        <w:t>ACT Women’s Plan</w:t>
      </w:r>
      <w:r>
        <w:rPr>
          <w:szCs w:val="24"/>
          <w:bdr w:val="nil"/>
        </w:rPr>
        <w:t xml:space="preserve"> and work under the </w:t>
      </w:r>
      <w:r>
        <w:rPr>
          <w:i/>
          <w:szCs w:val="24"/>
          <w:bdr w:val="nil"/>
        </w:rPr>
        <w:t>National Plan to Reduce Violence against Women and their Children 2010-2022</w:t>
      </w:r>
      <w:r>
        <w:rPr>
          <w:szCs w:val="24"/>
          <w:bdr w:val="nil"/>
        </w:rPr>
        <w:t>. This is also achieved through targeted women’s programs such as grant and leadership programs for women and girls, International Women’s Day, and the application of women’s safety assessments to ACT funded events and environment design in urban planning.</w:t>
      </w:r>
    </w:p>
    <w:p w14:paraId="183BC911" w14:textId="0662B9DE" w:rsidR="00A4668D" w:rsidRDefault="00A4668D" w:rsidP="00A4668D">
      <w:pPr>
        <w:pStyle w:val="Normal20"/>
        <w:pBdr>
          <w:top w:val="nil"/>
          <w:left w:val="nil"/>
          <w:bottom w:val="nil"/>
          <w:right w:val="nil"/>
          <w:between w:val="nil"/>
          <w:bar w:val="nil"/>
        </w:pBdr>
        <w:rPr>
          <w:szCs w:val="24"/>
          <w:bdr w:val="nil"/>
        </w:rPr>
      </w:pPr>
      <w:r>
        <w:rPr>
          <w:bdr w:val="nil"/>
        </w:rPr>
        <w:t>The data is obtained from the ‘Community Satisfaction with Policing’ national survey, measuring women’s perception of safety when they are by themselves walking in the neighbourhood during the day and at night.</w:t>
      </w:r>
    </w:p>
    <w:p w14:paraId="489D45DA" w14:textId="1C17CB14" w:rsidR="00A4668D" w:rsidRDefault="00A4668D" w:rsidP="00A4668D">
      <w:pPr>
        <w:pStyle w:val="Heading4"/>
        <w:pBdr>
          <w:top w:val="nil"/>
          <w:left w:val="nil"/>
          <w:bottom w:val="nil"/>
          <w:right w:val="nil"/>
          <w:between w:val="nil"/>
          <w:bar w:val="nil"/>
        </w:pBdr>
        <w:rPr>
          <w:i w:val="0"/>
          <w:bdr w:val="nil"/>
        </w:rPr>
      </w:pPr>
      <w:r>
        <w:rPr>
          <w:bdr w:val="nil"/>
        </w:rPr>
        <w:t xml:space="preserve">Strategic Indicator 5: The proportion of women </w:t>
      </w:r>
      <w:r>
        <w:rPr>
          <w:rFonts w:cs="Calibri"/>
          <w:bdr w:val="nil"/>
        </w:rPr>
        <w:t>who feel safe when they are by themselves, walking in the neighbourhood during the day and at night</w:t>
      </w:r>
    </w:p>
    <w:tbl>
      <w:tblPr>
        <w:tblW w:w="9105" w:type="dxa"/>
        <w:jc w:val="right"/>
        <w:tblLayout w:type="fixed"/>
        <w:tblCellMar>
          <w:left w:w="0" w:type="dxa"/>
          <w:right w:w="0" w:type="dxa"/>
        </w:tblCellMar>
        <w:tblLook w:val="04A0" w:firstRow="1" w:lastRow="0" w:firstColumn="1" w:lastColumn="0" w:noHBand="0" w:noVBand="1"/>
      </w:tblPr>
      <w:tblGrid>
        <w:gridCol w:w="1492"/>
        <w:gridCol w:w="1493"/>
        <w:gridCol w:w="1493"/>
        <w:gridCol w:w="1791"/>
        <w:gridCol w:w="1492"/>
        <w:gridCol w:w="1344"/>
      </w:tblGrid>
      <w:tr w:rsidR="00C07D35" w14:paraId="1A8126E1" w14:textId="77777777" w:rsidTr="00A4668D">
        <w:trPr>
          <w:trHeight w:val="45"/>
          <w:jc w:val="right"/>
        </w:trPr>
        <w:tc>
          <w:tcPr>
            <w:tcW w:w="1492" w:type="dxa"/>
            <w:tcBorders>
              <w:top w:val="single" w:sz="8" w:space="0" w:color="auto"/>
              <w:left w:val="nil"/>
              <w:bottom w:val="nil"/>
              <w:right w:val="nil"/>
            </w:tcBorders>
          </w:tcPr>
          <w:p w14:paraId="548D8A45" w14:textId="7777777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p>
        </w:tc>
        <w:tc>
          <w:tcPr>
            <w:tcW w:w="1493" w:type="dxa"/>
            <w:tcBorders>
              <w:top w:val="single" w:sz="8" w:space="0" w:color="auto"/>
              <w:left w:val="nil"/>
              <w:bottom w:val="nil"/>
              <w:right w:val="nil"/>
            </w:tcBorders>
            <w:tcMar>
              <w:top w:w="0" w:type="dxa"/>
              <w:left w:w="0" w:type="dxa"/>
              <w:bottom w:w="0" w:type="dxa"/>
              <w:right w:w="113" w:type="dxa"/>
            </w:tcMar>
            <w:vAlign w:val="center"/>
            <w:hideMark/>
          </w:tcPr>
          <w:p w14:paraId="54FE5D3F" w14:textId="2628D66B"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493" w:type="dxa"/>
            <w:tcBorders>
              <w:top w:val="single" w:sz="8" w:space="0" w:color="auto"/>
              <w:left w:val="nil"/>
              <w:bottom w:val="nil"/>
              <w:right w:val="nil"/>
            </w:tcBorders>
            <w:noWrap/>
            <w:tcMar>
              <w:top w:w="15" w:type="dxa"/>
              <w:left w:w="15" w:type="dxa"/>
              <w:bottom w:w="0" w:type="dxa"/>
              <w:right w:w="15" w:type="dxa"/>
            </w:tcMar>
            <w:vAlign w:val="center"/>
            <w:hideMark/>
          </w:tcPr>
          <w:p w14:paraId="3D4C0E1B" w14:textId="7FEAA9B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791" w:type="dxa"/>
            <w:tcBorders>
              <w:top w:val="single" w:sz="8" w:space="0" w:color="auto"/>
              <w:left w:val="nil"/>
              <w:bottom w:val="nil"/>
              <w:right w:val="nil"/>
            </w:tcBorders>
            <w:noWrap/>
            <w:tcMar>
              <w:top w:w="15" w:type="dxa"/>
              <w:left w:w="15" w:type="dxa"/>
              <w:bottom w:w="0" w:type="dxa"/>
              <w:right w:w="15" w:type="dxa"/>
            </w:tcMar>
            <w:vAlign w:val="center"/>
            <w:hideMark/>
          </w:tcPr>
          <w:p w14:paraId="29C601F1" w14:textId="2F3DA0F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492" w:type="dxa"/>
            <w:tcBorders>
              <w:top w:val="single" w:sz="8" w:space="0" w:color="auto"/>
              <w:left w:val="nil"/>
              <w:bottom w:val="nil"/>
              <w:right w:val="nil"/>
            </w:tcBorders>
            <w:noWrap/>
            <w:tcMar>
              <w:top w:w="15" w:type="dxa"/>
              <w:left w:w="15" w:type="dxa"/>
              <w:bottom w:w="0" w:type="dxa"/>
              <w:right w:w="15" w:type="dxa"/>
            </w:tcMar>
            <w:vAlign w:val="center"/>
            <w:hideMark/>
          </w:tcPr>
          <w:p w14:paraId="2C45561D" w14:textId="553DED80"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344" w:type="dxa"/>
            <w:tcBorders>
              <w:top w:val="single" w:sz="8" w:space="0" w:color="auto"/>
              <w:left w:val="nil"/>
              <w:bottom w:val="nil"/>
              <w:right w:val="nil"/>
            </w:tcBorders>
            <w:noWrap/>
            <w:tcMar>
              <w:top w:w="15" w:type="dxa"/>
              <w:left w:w="15" w:type="dxa"/>
              <w:bottom w:w="0" w:type="dxa"/>
              <w:right w:w="15" w:type="dxa"/>
            </w:tcMar>
            <w:vAlign w:val="center"/>
            <w:hideMark/>
          </w:tcPr>
          <w:p w14:paraId="7B056F06" w14:textId="3181A16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5E1F4870" w14:textId="77777777" w:rsidTr="00A4668D">
        <w:trPr>
          <w:trHeight w:val="65"/>
          <w:jc w:val="right"/>
        </w:trPr>
        <w:tc>
          <w:tcPr>
            <w:tcW w:w="1492" w:type="dxa"/>
          </w:tcPr>
          <w:p w14:paraId="67BD3637" w14:textId="7777777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p>
        </w:tc>
        <w:tc>
          <w:tcPr>
            <w:tcW w:w="1493" w:type="dxa"/>
            <w:tcMar>
              <w:top w:w="0" w:type="dxa"/>
              <w:left w:w="0" w:type="dxa"/>
              <w:bottom w:w="0" w:type="dxa"/>
              <w:right w:w="113" w:type="dxa"/>
            </w:tcMar>
            <w:vAlign w:val="center"/>
            <w:hideMark/>
          </w:tcPr>
          <w:p w14:paraId="60D5C9D3" w14:textId="41B34E30"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493" w:type="dxa"/>
            <w:noWrap/>
            <w:tcMar>
              <w:top w:w="15" w:type="dxa"/>
              <w:left w:w="15" w:type="dxa"/>
              <w:bottom w:w="0" w:type="dxa"/>
              <w:right w:w="15" w:type="dxa"/>
            </w:tcMar>
            <w:vAlign w:val="center"/>
            <w:hideMark/>
          </w:tcPr>
          <w:p w14:paraId="04AC886F" w14:textId="1595F8FE"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791" w:type="dxa"/>
            <w:noWrap/>
            <w:tcMar>
              <w:top w:w="15" w:type="dxa"/>
              <w:left w:w="15" w:type="dxa"/>
              <w:bottom w:w="0" w:type="dxa"/>
              <w:right w:w="15" w:type="dxa"/>
            </w:tcMar>
            <w:vAlign w:val="center"/>
            <w:hideMark/>
          </w:tcPr>
          <w:p w14:paraId="69FAC990" w14:textId="376451EF"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492" w:type="dxa"/>
            <w:noWrap/>
            <w:tcMar>
              <w:top w:w="15" w:type="dxa"/>
              <w:left w:w="15" w:type="dxa"/>
              <w:bottom w:w="0" w:type="dxa"/>
              <w:right w:w="15" w:type="dxa"/>
            </w:tcMar>
            <w:vAlign w:val="center"/>
            <w:hideMark/>
          </w:tcPr>
          <w:p w14:paraId="55137ED7" w14:textId="2F08A44E"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344" w:type="dxa"/>
            <w:noWrap/>
            <w:tcMar>
              <w:top w:w="15" w:type="dxa"/>
              <w:left w:w="15" w:type="dxa"/>
              <w:bottom w:w="0" w:type="dxa"/>
              <w:right w:w="15" w:type="dxa"/>
            </w:tcMar>
            <w:vAlign w:val="center"/>
            <w:hideMark/>
          </w:tcPr>
          <w:p w14:paraId="67F5DCAA" w14:textId="4134231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247B2841" w14:textId="77777777" w:rsidTr="00A4668D">
        <w:trPr>
          <w:trHeight w:val="65"/>
          <w:jc w:val="right"/>
        </w:trPr>
        <w:tc>
          <w:tcPr>
            <w:tcW w:w="1492" w:type="dxa"/>
            <w:tcBorders>
              <w:top w:val="nil"/>
              <w:left w:val="nil"/>
              <w:bottom w:val="single" w:sz="8" w:space="0" w:color="auto"/>
              <w:right w:val="nil"/>
            </w:tcBorders>
          </w:tcPr>
          <w:p w14:paraId="712AD2FE"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p>
        </w:tc>
        <w:tc>
          <w:tcPr>
            <w:tcW w:w="1493" w:type="dxa"/>
            <w:tcBorders>
              <w:top w:val="nil"/>
              <w:left w:val="nil"/>
              <w:bottom w:val="single" w:sz="8" w:space="0" w:color="auto"/>
              <w:right w:val="nil"/>
            </w:tcBorders>
            <w:tcMar>
              <w:top w:w="0" w:type="dxa"/>
              <w:left w:w="0" w:type="dxa"/>
              <w:bottom w:w="0" w:type="dxa"/>
              <w:right w:w="113" w:type="dxa"/>
            </w:tcMar>
            <w:vAlign w:val="bottom"/>
            <w:hideMark/>
          </w:tcPr>
          <w:p w14:paraId="12ED401B"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493" w:type="dxa"/>
            <w:tcBorders>
              <w:top w:val="nil"/>
              <w:left w:val="nil"/>
              <w:bottom w:val="single" w:sz="8" w:space="0" w:color="auto"/>
              <w:right w:val="nil"/>
            </w:tcBorders>
            <w:noWrap/>
            <w:tcMar>
              <w:top w:w="15" w:type="dxa"/>
              <w:left w:w="15" w:type="dxa"/>
              <w:bottom w:w="0" w:type="dxa"/>
              <w:right w:w="15" w:type="dxa"/>
            </w:tcMar>
            <w:vAlign w:val="bottom"/>
            <w:hideMark/>
          </w:tcPr>
          <w:p w14:paraId="32C0F997"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791" w:type="dxa"/>
            <w:tcBorders>
              <w:top w:val="nil"/>
              <w:left w:val="nil"/>
              <w:bottom w:val="single" w:sz="8" w:space="0" w:color="auto"/>
              <w:right w:val="nil"/>
            </w:tcBorders>
            <w:noWrap/>
            <w:tcMar>
              <w:top w:w="15" w:type="dxa"/>
              <w:left w:w="15" w:type="dxa"/>
              <w:bottom w:w="0" w:type="dxa"/>
              <w:right w:w="15" w:type="dxa"/>
            </w:tcMar>
            <w:vAlign w:val="bottom"/>
            <w:hideMark/>
          </w:tcPr>
          <w:p w14:paraId="3033EF05"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492" w:type="dxa"/>
            <w:tcBorders>
              <w:top w:val="nil"/>
              <w:left w:val="nil"/>
              <w:bottom w:val="single" w:sz="8" w:space="0" w:color="auto"/>
              <w:right w:val="nil"/>
            </w:tcBorders>
            <w:noWrap/>
            <w:tcMar>
              <w:top w:w="15" w:type="dxa"/>
              <w:left w:w="15" w:type="dxa"/>
              <w:bottom w:w="0" w:type="dxa"/>
              <w:right w:w="15" w:type="dxa"/>
            </w:tcMar>
            <w:vAlign w:val="bottom"/>
            <w:hideMark/>
          </w:tcPr>
          <w:p w14:paraId="53657280"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344" w:type="dxa"/>
            <w:tcBorders>
              <w:top w:val="nil"/>
              <w:left w:val="nil"/>
              <w:bottom w:val="single" w:sz="8" w:space="0" w:color="auto"/>
              <w:right w:val="nil"/>
            </w:tcBorders>
            <w:noWrap/>
            <w:tcMar>
              <w:top w:w="15" w:type="dxa"/>
              <w:left w:w="15" w:type="dxa"/>
              <w:bottom w:w="0" w:type="dxa"/>
              <w:right w:w="15" w:type="dxa"/>
            </w:tcMar>
            <w:vAlign w:val="bottom"/>
            <w:hideMark/>
          </w:tcPr>
          <w:p w14:paraId="75E6709D"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07D35" w14:paraId="186D2FF2" w14:textId="77777777" w:rsidTr="00A4668D">
        <w:trPr>
          <w:trHeight w:val="351"/>
          <w:jc w:val="right"/>
        </w:trPr>
        <w:tc>
          <w:tcPr>
            <w:tcW w:w="1492" w:type="dxa"/>
            <w:tcBorders>
              <w:top w:val="single" w:sz="8" w:space="0" w:color="auto"/>
              <w:left w:val="nil"/>
              <w:bottom w:val="nil"/>
              <w:right w:val="nil"/>
            </w:tcBorders>
            <w:vAlign w:val="center"/>
            <w:hideMark/>
          </w:tcPr>
          <w:p w14:paraId="23C40AC6" w14:textId="77777777" w:rsidR="00A4668D" w:rsidRDefault="00A4668D" w:rsidP="00A4668D">
            <w:pPr>
              <w:pStyle w:val="BStabletext00"/>
              <w:pBdr>
                <w:top w:val="nil"/>
                <w:left w:val="nil"/>
                <w:bottom w:val="nil"/>
                <w:right w:val="nil"/>
                <w:between w:val="nil"/>
                <w:bar w:val="nil"/>
              </w:pBdr>
              <w:rPr>
                <w:rFonts w:cs="Times New Roman"/>
                <w:sz w:val="20"/>
                <w:szCs w:val="20"/>
                <w:bdr w:val="nil"/>
              </w:rPr>
            </w:pPr>
            <w:r>
              <w:rPr>
                <w:sz w:val="20"/>
                <w:szCs w:val="20"/>
                <w:bdr w:val="nil"/>
              </w:rPr>
              <w:t xml:space="preserve">Day </w:t>
            </w:r>
          </w:p>
        </w:tc>
        <w:tc>
          <w:tcPr>
            <w:tcW w:w="1493" w:type="dxa"/>
            <w:tcBorders>
              <w:top w:val="single" w:sz="8" w:space="0" w:color="auto"/>
              <w:left w:val="nil"/>
              <w:bottom w:val="nil"/>
              <w:right w:val="nil"/>
            </w:tcBorders>
            <w:tcMar>
              <w:top w:w="0" w:type="dxa"/>
              <w:left w:w="0" w:type="dxa"/>
              <w:bottom w:w="0" w:type="dxa"/>
              <w:right w:w="113" w:type="dxa"/>
            </w:tcMar>
            <w:vAlign w:val="center"/>
            <w:hideMark/>
          </w:tcPr>
          <w:p w14:paraId="32DE1A82" w14:textId="15092A85"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93</w:t>
            </w:r>
          </w:p>
        </w:tc>
        <w:tc>
          <w:tcPr>
            <w:tcW w:w="1493" w:type="dxa"/>
            <w:tcBorders>
              <w:top w:val="single" w:sz="8" w:space="0" w:color="auto"/>
              <w:left w:val="nil"/>
              <w:bottom w:val="nil"/>
              <w:right w:val="nil"/>
            </w:tcBorders>
            <w:noWrap/>
            <w:tcMar>
              <w:top w:w="15" w:type="dxa"/>
              <w:left w:w="15" w:type="dxa"/>
              <w:bottom w:w="0" w:type="dxa"/>
              <w:right w:w="15" w:type="dxa"/>
            </w:tcMar>
            <w:vAlign w:val="center"/>
            <w:hideMark/>
          </w:tcPr>
          <w:p w14:paraId="0DABB922" w14:textId="7010A706"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93</w:t>
            </w:r>
          </w:p>
        </w:tc>
        <w:tc>
          <w:tcPr>
            <w:tcW w:w="1791" w:type="dxa"/>
            <w:tcBorders>
              <w:top w:val="single" w:sz="8" w:space="0" w:color="auto"/>
              <w:left w:val="nil"/>
              <w:bottom w:val="nil"/>
              <w:right w:val="nil"/>
            </w:tcBorders>
            <w:noWrap/>
            <w:tcMar>
              <w:top w:w="15" w:type="dxa"/>
              <w:left w:w="15" w:type="dxa"/>
              <w:bottom w:w="0" w:type="dxa"/>
              <w:right w:w="15" w:type="dxa"/>
            </w:tcMar>
            <w:vAlign w:val="center"/>
            <w:hideMark/>
          </w:tcPr>
          <w:p w14:paraId="0FEA00E8" w14:textId="5C8B3DBC"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93</w:t>
            </w:r>
          </w:p>
        </w:tc>
        <w:tc>
          <w:tcPr>
            <w:tcW w:w="1492" w:type="dxa"/>
            <w:tcBorders>
              <w:top w:val="single" w:sz="8" w:space="0" w:color="auto"/>
              <w:left w:val="nil"/>
              <w:bottom w:val="nil"/>
              <w:right w:val="nil"/>
            </w:tcBorders>
            <w:noWrap/>
            <w:tcMar>
              <w:top w:w="15" w:type="dxa"/>
              <w:left w:w="15" w:type="dxa"/>
              <w:bottom w:w="0" w:type="dxa"/>
              <w:right w:w="15" w:type="dxa"/>
            </w:tcMar>
            <w:vAlign w:val="center"/>
            <w:hideMark/>
          </w:tcPr>
          <w:p w14:paraId="1F31768F" w14:textId="0A97A81A"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93</w:t>
            </w:r>
          </w:p>
        </w:tc>
        <w:tc>
          <w:tcPr>
            <w:tcW w:w="1344" w:type="dxa"/>
            <w:tcBorders>
              <w:top w:val="single" w:sz="8" w:space="0" w:color="auto"/>
              <w:left w:val="nil"/>
              <w:bottom w:val="nil"/>
              <w:right w:val="nil"/>
            </w:tcBorders>
            <w:noWrap/>
            <w:tcMar>
              <w:top w:w="15" w:type="dxa"/>
              <w:left w:w="15" w:type="dxa"/>
              <w:bottom w:w="0" w:type="dxa"/>
              <w:right w:w="15" w:type="dxa"/>
            </w:tcMar>
            <w:vAlign w:val="center"/>
            <w:hideMark/>
          </w:tcPr>
          <w:p w14:paraId="479E2138" w14:textId="08BC9A12"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93</w:t>
            </w:r>
          </w:p>
        </w:tc>
      </w:tr>
      <w:tr w:rsidR="00C07D35" w14:paraId="337A36DF" w14:textId="77777777" w:rsidTr="00A4668D">
        <w:trPr>
          <w:trHeight w:val="65"/>
          <w:jc w:val="right"/>
        </w:trPr>
        <w:tc>
          <w:tcPr>
            <w:tcW w:w="1492" w:type="dxa"/>
            <w:tcBorders>
              <w:top w:val="nil"/>
              <w:left w:val="nil"/>
              <w:bottom w:val="single" w:sz="8" w:space="0" w:color="auto"/>
              <w:right w:val="nil"/>
            </w:tcBorders>
            <w:vAlign w:val="center"/>
            <w:hideMark/>
          </w:tcPr>
          <w:p w14:paraId="2FD51F25" w14:textId="77777777" w:rsidR="00A4668D" w:rsidRDefault="00A4668D" w:rsidP="00A4668D">
            <w:pPr>
              <w:pStyle w:val="BStabletext00"/>
              <w:pBdr>
                <w:top w:val="nil"/>
                <w:left w:val="nil"/>
                <w:bottom w:val="nil"/>
                <w:right w:val="nil"/>
                <w:between w:val="nil"/>
                <w:bar w:val="nil"/>
              </w:pBdr>
              <w:rPr>
                <w:sz w:val="20"/>
                <w:szCs w:val="20"/>
                <w:bdr w:val="nil"/>
              </w:rPr>
            </w:pPr>
            <w:r>
              <w:rPr>
                <w:sz w:val="20"/>
                <w:szCs w:val="20"/>
                <w:bdr w:val="nil"/>
              </w:rPr>
              <w:t>Night</w:t>
            </w:r>
          </w:p>
        </w:tc>
        <w:tc>
          <w:tcPr>
            <w:tcW w:w="1493" w:type="dxa"/>
            <w:tcBorders>
              <w:top w:val="nil"/>
              <w:left w:val="nil"/>
              <w:bottom w:val="single" w:sz="8" w:space="0" w:color="auto"/>
              <w:right w:val="nil"/>
            </w:tcBorders>
            <w:tcMar>
              <w:top w:w="0" w:type="dxa"/>
              <w:left w:w="0" w:type="dxa"/>
              <w:bottom w:w="0" w:type="dxa"/>
              <w:right w:w="113" w:type="dxa"/>
            </w:tcMar>
            <w:vAlign w:val="center"/>
            <w:hideMark/>
          </w:tcPr>
          <w:p w14:paraId="1E18AC2E" w14:textId="48DCCF56"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41</w:t>
            </w:r>
          </w:p>
        </w:tc>
        <w:tc>
          <w:tcPr>
            <w:tcW w:w="1493" w:type="dxa"/>
            <w:tcBorders>
              <w:top w:val="nil"/>
              <w:left w:val="nil"/>
              <w:bottom w:val="single" w:sz="8" w:space="0" w:color="auto"/>
              <w:right w:val="nil"/>
            </w:tcBorders>
            <w:noWrap/>
            <w:tcMar>
              <w:top w:w="15" w:type="dxa"/>
              <w:left w:w="15" w:type="dxa"/>
              <w:bottom w:w="0" w:type="dxa"/>
              <w:right w:w="15" w:type="dxa"/>
            </w:tcMar>
            <w:vAlign w:val="center"/>
            <w:hideMark/>
          </w:tcPr>
          <w:p w14:paraId="33921D1B" w14:textId="73274A96"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42</w:t>
            </w:r>
          </w:p>
        </w:tc>
        <w:tc>
          <w:tcPr>
            <w:tcW w:w="1791" w:type="dxa"/>
            <w:tcBorders>
              <w:top w:val="nil"/>
              <w:left w:val="nil"/>
              <w:bottom w:val="single" w:sz="8" w:space="0" w:color="auto"/>
              <w:right w:val="nil"/>
            </w:tcBorders>
            <w:noWrap/>
            <w:tcMar>
              <w:top w:w="15" w:type="dxa"/>
              <w:left w:w="15" w:type="dxa"/>
              <w:bottom w:w="0" w:type="dxa"/>
              <w:right w:w="15" w:type="dxa"/>
            </w:tcMar>
            <w:vAlign w:val="center"/>
            <w:hideMark/>
          </w:tcPr>
          <w:p w14:paraId="077357B9" w14:textId="5D70E119"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42</w:t>
            </w:r>
          </w:p>
        </w:tc>
        <w:tc>
          <w:tcPr>
            <w:tcW w:w="1492" w:type="dxa"/>
            <w:tcBorders>
              <w:top w:val="nil"/>
              <w:left w:val="nil"/>
              <w:bottom w:val="single" w:sz="8" w:space="0" w:color="auto"/>
              <w:right w:val="nil"/>
            </w:tcBorders>
            <w:noWrap/>
            <w:tcMar>
              <w:top w:w="15" w:type="dxa"/>
              <w:left w:w="15" w:type="dxa"/>
              <w:bottom w:w="0" w:type="dxa"/>
              <w:right w:w="15" w:type="dxa"/>
            </w:tcMar>
            <w:vAlign w:val="center"/>
            <w:hideMark/>
          </w:tcPr>
          <w:p w14:paraId="6EF90F8C" w14:textId="7C061390"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42</w:t>
            </w:r>
          </w:p>
        </w:tc>
        <w:tc>
          <w:tcPr>
            <w:tcW w:w="1344" w:type="dxa"/>
            <w:tcBorders>
              <w:top w:val="nil"/>
              <w:left w:val="nil"/>
              <w:bottom w:val="single" w:sz="8" w:space="0" w:color="auto"/>
              <w:right w:val="nil"/>
            </w:tcBorders>
            <w:noWrap/>
            <w:tcMar>
              <w:top w:w="15" w:type="dxa"/>
              <w:left w:w="15" w:type="dxa"/>
              <w:bottom w:w="0" w:type="dxa"/>
              <w:right w:w="15" w:type="dxa"/>
            </w:tcMar>
            <w:vAlign w:val="center"/>
            <w:hideMark/>
          </w:tcPr>
          <w:p w14:paraId="63D668AA" w14:textId="6AAF4F48" w:rsidR="00A4668D" w:rsidRDefault="00A4668D" w:rsidP="00A4668D">
            <w:pPr>
              <w:pStyle w:val="BStablefigures00"/>
              <w:pBdr>
                <w:top w:val="nil"/>
                <w:left w:val="nil"/>
                <w:bottom w:val="nil"/>
                <w:right w:val="nil"/>
                <w:between w:val="nil"/>
                <w:bar w:val="nil"/>
              </w:pBdr>
              <w:rPr>
                <w:sz w:val="20"/>
                <w:szCs w:val="20"/>
                <w:bdr w:val="nil"/>
              </w:rPr>
            </w:pPr>
            <w:r>
              <w:rPr>
                <w:sz w:val="20"/>
                <w:szCs w:val="20"/>
                <w:bdr w:val="nil"/>
              </w:rPr>
              <w:t>42</w:t>
            </w:r>
          </w:p>
        </w:tc>
      </w:tr>
    </w:tbl>
    <w:p w14:paraId="58BC5778" w14:textId="77777777" w:rsidR="00A4668D" w:rsidRDefault="00A4668D" w:rsidP="000500CC">
      <w:pPr>
        <w:pStyle w:val="Heading32"/>
        <w:rPr>
          <w:bdr w:val="nil"/>
        </w:rPr>
      </w:pPr>
      <w:bookmarkStart w:id="25" w:name="_Toc514926327"/>
      <w:r>
        <w:rPr>
          <w:bdr w:val="nil"/>
        </w:rPr>
        <w:lastRenderedPageBreak/>
        <w:t xml:space="preserve">Strategic Objective </w:t>
      </w:r>
      <w:bookmarkEnd w:id="25"/>
      <w:r>
        <w:rPr>
          <w:bdr w:val="nil"/>
        </w:rPr>
        <w:t>6</w:t>
      </w:r>
    </w:p>
    <w:p w14:paraId="4C747FCB" w14:textId="77777777" w:rsidR="00A4668D" w:rsidRDefault="00A4668D" w:rsidP="00A4668D">
      <w:pPr>
        <w:pStyle w:val="Heading4"/>
        <w:pBdr>
          <w:top w:val="nil"/>
          <w:left w:val="nil"/>
          <w:bottom w:val="nil"/>
          <w:right w:val="nil"/>
          <w:between w:val="nil"/>
          <w:bar w:val="nil"/>
        </w:pBdr>
        <w:rPr>
          <w:i w:val="0"/>
          <w:bdr w:val="nil"/>
        </w:rPr>
      </w:pPr>
      <w:r>
        <w:rPr>
          <w:bdr w:val="nil"/>
        </w:rPr>
        <w:t>Provision of services and interventions that reduce the risk of re</w:t>
      </w:r>
      <w:r>
        <w:rPr>
          <w:bdr w:val="nil"/>
        </w:rPr>
        <w:noBreakHyphen/>
        <w:t>substantiated reports of abuse</w:t>
      </w:r>
    </w:p>
    <w:p w14:paraId="2C57697C" w14:textId="7C301AC2" w:rsidR="00A4668D" w:rsidRDefault="00A4668D" w:rsidP="00A4668D">
      <w:pPr>
        <w:pStyle w:val="Normal20"/>
        <w:pBdr>
          <w:top w:val="nil"/>
          <w:left w:val="nil"/>
          <w:bottom w:val="nil"/>
          <w:right w:val="nil"/>
          <w:between w:val="nil"/>
          <w:bar w:val="nil"/>
        </w:pBdr>
        <w:rPr>
          <w:szCs w:val="24"/>
          <w:bdr w:val="nil"/>
        </w:rPr>
      </w:pPr>
      <w:r>
        <w:rPr>
          <w:szCs w:val="24"/>
          <w:bdr w:val="nil"/>
        </w:rPr>
        <w:t>The Directorate provides child protection services for children and young people. A reduced re-substantiation rate is an indication that assessment, evaluation of risk and action have been taken to minimise experiences of abuse and neglect to reoccur. Repeated occurrences of maltreatment, as indicated by re-substantiation, are an indicator of cumulative harm. This is a national indicator for child protection services.</w:t>
      </w:r>
    </w:p>
    <w:p w14:paraId="3076929D" w14:textId="77777777" w:rsidR="00A4668D" w:rsidRDefault="00A4668D" w:rsidP="00A4668D">
      <w:pPr>
        <w:pStyle w:val="Heading4"/>
        <w:pBdr>
          <w:top w:val="nil"/>
          <w:left w:val="nil"/>
          <w:bottom w:val="nil"/>
          <w:right w:val="nil"/>
          <w:between w:val="nil"/>
          <w:bar w:val="nil"/>
        </w:pBdr>
        <w:rPr>
          <w:i w:val="0"/>
          <w:bdr w:val="nil"/>
        </w:rPr>
      </w:pPr>
      <w:r>
        <w:rPr>
          <w:bdr w:val="nil"/>
        </w:rPr>
        <w:t xml:space="preserve">Strategic Indicator 6: </w:t>
      </w:r>
      <w:r>
        <w:rPr>
          <w:rFonts w:cs="Arial"/>
          <w:kern w:val="28"/>
          <w:bdr w:val="nil"/>
        </w:rPr>
        <w:t>Re</w:t>
      </w:r>
      <w:r>
        <w:rPr>
          <w:rFonts w:cs="Arial"/>
          <w:kern w:val="28"/>
          <w:bdr w:val="nil"/>
        </w:rPr>
        <w:noBreakHyphen/>
        <w:t xml:space="preserve">substantiation rates </w:t>
      </w:r>
    </w:p>
    <w:tbl>
      <w:tblPr>
        <w:tblW w:w="9105" w:type="dxa"/>
        <w:tblLayout w:type="fixed"/>
        <w:tblCellMar>
          <w:left w:w="0" w:type="dxa"/>
          <w:right w:w="0" w:type="dxa"/>
        </w:tblCellMar>
        <w:tblLook w:val="04A0" w:firstRow="1" w:lastRow="0" w:firstColumn="1" w:lastColumn="0" w:noHBand="0" w:noVBand="1"/>
      </w:tblPr>
      <w:tblGrid>
        <w:gridCol w:w="3970"/>
        <w:gridCol w:w="851"/>
        <w:gridCol w:w="993"/>
        <w:gridCol w:w="1135"/>
        <w:gridCol w:w="1135"/>
        <w:gridCol w:w="1021"/>
      </w:tblGrid>
      <w:tr w:rsidR="00C07D35" w14:paraId="3BC2E056" w14:textId="77777777" w:rsidTr="00A4668D">
        <w:trPr>
          <w:cantSplit/>
          <w:trHeight w:val="397"/>
        </w:trPr>
        <w:tc>
          <w:tcPr>
            <w:tcW w:w="3970" w:type="dxa"/>
            <w:tcBorders>
              <w:top w:val="single" w:sz="4" w:space="0" w:color="auto"/>
              <w:left w:val="nil"/>
              <w:bottom w:val="nil"/>
              <w:right w:val="nil"/>
            </w:tcBorders>
            <w:noWrap/>
            <w:tcMar>
              <w:top w:w="15" w:type="dxa"/>
              <w:left w:w="15" w:type="dxa"/>
              <w:bottom w:w="0" w:type="dxa"/>
              <w:right w:w="15" w:type="dxa"/>
            </w:tcMar>
          </w:tcPr>
          <w:p w14:paraId="4FE35F56" w14:textId="77777777" w:rsidR="00A4668D" w:rsidRDefault="00A4668D" w:rsidP="00A4668D">
            <w:pPr>
              <w:pStyle w:val="TableTextHeading1"/>
              <w:pBdr>
                <w:top w:val="nil"/>
                <w:left w:val="nil"/>
                <w:bottom w:val="nil"/>
                <w:right w:val="nil"/>
                <w:between w:val="nil"/>
                <w:bar w:val="nil"/>
              </w:pBdr>
              <w:jc w:val="center"/>
              <w:rPr>
                <w:rFonts w:ascii="Calibri" w:eastAsia="Arial Unicode MS" w:hAnsi="Calibri" w:cs="Calibri"/>
                <w:sz w:val="20"/>
                <w:bdr w:val="nil"/>
              </w:rPr>
            </w:pPr>
          </w:p>
        </w:tc>
        <w:tc>
          <w:tcPr>
            <w:tcW w:w="851" w:type="dxa"/>
            <w:tcBorders>
              <w:top w:val="single" w:sz="4" w:space="0" w:color="auto"/>
              <w:left w:val="nil"/>
              <w:bottom w:val="nil"/>
              <w:right w:val="nil"/>
            </w:tcBorders>
            <w:vAlign w:val="center"/>
            <w:hideMark/>
          </w:tcPr>
          <w:p w14:paraId="60CD38F6" w14:textId="63B79B1A"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993" w:type="dxa"/>
            <w:tcBorders>
              <w:top w:val="single" w:sz="4" w:space="0" w:color="auto"/>
              <w:left w:val="nil"/>
              <w:bottom w:val="nil"/>
              <w:right w:val="nil"/>
            </w:tcBorders>
            <w:noWrap/>
            <w:tcMar>
              <w:top w:w="15" w:type="dxa"/>
              <w:left w:w="15" w:type="dxa"/>
              <w:bottom w:w="0" w:type="dxa"/>
              <w:right w:w="15" w:type="dxa"/>
            </w:tcMar>
            <w:vAlign w:val="center"/>
            <w:hideMark/>
          </w:tcPr>
          <w:p w14:paraId="3C0F2396" w14:textId="6BB1461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135" w:type="dxa"/>
            <w:tcBorders>
              <w:top w:val="single" w:sz="4" w:space="0" w:color="auto"/>
              <w:left w:val="nil"/>
              <w:bottom w:val="nil"/>
              <w:right w:val="nil"/>
            </w:tcBorders>
            <w:noWrap/>
            <w:tcMar>
              <w:top w:w="15" w:type="dxa"/>
              <w:left w:w="15" w:type="dxa"/>
              <w:bottom w:w="0" w:type="dxa"/>
              <w:right w:w="15" w:type="dxa"/>
            </w:tcMar>
            <w:vAlign w:val="center"/>
            <w:hideMark/>
          </w:tcPr>
          <w:p w14:paraId="2BD512C0" w14:textId="7E1B677C"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135" w:type="dxa"/>
            <w:tcBorders>
              <w:top w:val="single" w:sz="4" w:space="0" w:color="auto"/>
              <w:left w:val="nil"/>
              <w:bottom w:val="nil"/>
              <w:right w:val="nil"/>
            </w:tcBorders>
            <w:noWrap/>
            <w:tcMar>
              <w:top w:w="15" w:type="dxa"/>
              <w:left w:w="15" w:type="dxa"/>
              <w:bottom w:w="0" w:type="dxa"/>
              <w:right w:w="15" w:type="dxa"/>
            </w:tcMar>
            <w:vAlign w:val="center"/>
            <w:hideMark/>
          </w:tcPr>
          <w:p w14:paraId="283D20C0" w14:textId="3D05CB61"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021" w:type="dxa"/>
            <w:tcBorders>
              <w:top w:val="single" w:sz="4" w:space="0" w:color="auto"/>
              <w:left w:val="nil"/>
              <w:bottom w:val="nil"/>
              <w:right w:val="nil"/>
            </w:tcBorders>
            <w:noWrap/>
            <w:tcMar>
              <w:top w:w="15" w:type="dxa"/>
              <w:left w:w="15" w:type="dxa"/>
              <w:bottom w:w="0" w:type="dxa"/>
              <w:right w:w="15" w:type="dxa"/>
            </w:tcMar>
            <w:vAlign w:val="center"/>
            <w:hideMark/>
          </w:tcPr>
          <w:p w14:paraId="4C1E26CA" w14:textId="4CA9F3D1"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714983C5" w14:textId="77777777" w:rsidTr="00A4668D">
        <w:trPr>
          <w:cantSplit/>
          <w:trHeight w:val="427"/>
        </w:trPr>
        <w:tc>
          <w:tcPr>
            <w:tcW w:w="3970" w:type="dxa"/>
            <w:tcBorders>
              <w:top w:val="nil"/>
              <w:left w:val="nil"/>
              <w:bottom w:val="single" w:sz="4" w:space="0" w:color="auto"/>
              <w:right w:val="nil"/>
            </w:tcBorders>
            <w:noWrap/>
            <w:tcMar>
              <w:top w:w="15" w:type="dxa"/>
              <w:left w:w="15" w:type="dxa"/>
              <w:bottom w:w="0" w:type="dxa"/>
              <w:right w:w="15" w:type="dxa"/>
            </w:tcMar>
          </w:tcPr>
          <w:p w14:paraId="3E250BA0" w14:textId="77777777" w:rsidR="00A4668D" w:rsidRDefault="00A4668D">
            <w:pPr>
              <w:pStyle w:val="TableTextHeading1"/>
              <w:pBdr>
                <w:top w:val="nil"/>
                <w:left w:val="nil"/>
                <w:bottom w:val="nil"/>
                <w:right w:val="nil"/>
                <w:between w:val="nil"/>
                <w:bar w:val="nil"/>
              </w:pBdr>
              <w:jc w:val="center"/>
              <w:rPr>
                <w:rFonts w:ascii="Calibri" w:eastAsia="Arial Unicode MS" w:hAnsi="Calibri" w:cs="Calibri"/>
                <w:sz w:val="20"/>
                <w:bdr w:val="nil"/>
              </w:rPr>
            </w:pPr>
          </w:p>
        </w:tc>
        <w:tc>
          <w:tcPr>
            <w:tcW w:w="851" w:type="dxa"/>
            <w:tcBorders>
              <w:top w:val="nil"/>
              <w:left w:val="nil"/>
              <w:bottom w:val="single" w:sz="4" w:space="0" w:color="auto"/>
              <w:right w:val="nil"/>
            </w:tcBorders>
            <w:hideMark/>
          </w:tcPr>
          <w:p w14:paraId="2E3BBE6F"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Target</w:t>
            </w:r>
          </w:p>
          <w:p w14:paraId="450582D6"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993" w:type="dxa"/>
            <w:tcBorders>
              <w:top w:val="nil"/>
              <w:left w:val="nil"/>
              <w:bottom w:val="single" w:sz="4" w:space="0" w:color="auto"/>
              <w:right w:val="nil"/>
            </w:tcBorders>
            <w:noWrap/>
            <w:tcMar>
              <w:top w:w="15" w:type="dxa"/>
              <w:left w:w="15" w:type="dxa"/>
              <w:bottom w:w="0" w:type="dxa"/>
              <w:right w:w="15" w:type="dxa"/>
            </w:tcMar>
            <w:hideMark/>
          </w:tcPr>
          <w:p w14:paraId="7F7935C3"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Target</w:t>
            </w:r>
          </w:p>
          <w:p w14:paraId="68107ADD"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5B466865"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Estimate</w:t>
            </w:r>
          </w:p>
          <w:p w14:paraId="371FCB0D"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59BD7BD3"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Estimate</w:t>
            </w:r>
          </w:p>
          <w:p w14:paraId="55444024"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21" w:type="dxa"/>
            <w:tcBorders>
              <w:top w:val="nil"/>
              <w:left w:val="nil"/>
              <w:bottom w:val="single" w:sz="4" w:space="0" w:color="auto"/>
              <w:right w:val="nil"/>
            </w:tcBorders>
            <w:noWrap/>
            <w:tcMar>
              <w:top w:w="15" w:type="dxa"/>
              <w:left w:w="15" w:type="dxa"/>
              <w:bottom w:w="0" w:type="dxa"/>
              <w:right w:w="15" w:type="dxa"/>
            </w:tcMar>
            <w:hideMark/>
          </w:tcPr>
          <w:p w14:paraId="365D93E6"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Estimate</w:t>
            </w:r>
          </w:p>
          <w:p w14:paraId="3EFFAAD5"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r>
      <w:tr w:rsidR="00C07D35" w14:paraId="5B27E46D" w14:textId="77777777" w:rsidTr="00A4668D">
        <w:trPr>
          <w:cantSplit/>
          <w:trHeight w:val="57"/>
        </w:trPr>
        <w:tc>
          <w:tcPr>
            <w:tcW w:w="3970" w:type="dxa"/>
            <w:tcBorders>
              <w:top w:val="single" w:sz="4" w:space="0" w:color="auto"/>
              <w:left w:val="nil"/>
              <w:bottom w:val="nil"/>
              <w:right w:val="nil"/>
            </w:tcBorders>
            <w:tcMar>
              <w:top w:w="15" w:type="dxa"/>
              <w:left w:w="180" w:type="dxa"/>
              <w:bottom w:w="0" w:type="dxa"/>
              <w:right w:w="15" w:type="dxa"/>
            </w:tcMar>
            <w:hideMark/>
          </w:tcPr>
          <w:p w14:paraId="2C5106F7" w14:textId="77777777" w:rsidR="00A4668D" w:rsidRDefault="00A4668D">
            <w:pPr>
              <w:pStyle w:val="BStabletext00"/>
              <w:pBdr>
                <w:top w:val="nil"/>
                <w:left w:val="nil"/>
                <w:bottom w:val="nil"/>
                <w:right w:val="nil"/>
                <w:between w:val="nil"/>
                <w:bar w:val="nil"/>
              </w:pBdr>
              <w:rPr>
                <w:sz w:val="20"/>
                <w:szCs w:val="20"/>
                <w:bdr w:val="nil"/>
              </w:rPr>
            </w:pPr>
            <w:r>
              <w:rPr>
                <w:sz w:val="20"/>
                <w:szCs w:val="20"/>
                <w:bdr w:val="nil"/>
              </w:rPr>
              <w:t>Re</w:t>
            </w:r>
            <w:r>
              <w:rPr>
                <w:sz w:val="20"/>
                <w:szCs w:val="20"/>
                <w:bdr w:val="nil"/>
              </w:rPr>
              <w:noBreakHyphen/>
              <w:t>substantiation Rate — Within 3 Months</w:t>
            </w:r>
          </w:p>
        </w:tc>
        <w:tc>
          <w:tcPr>
            <w:tcW w:w="851" w:type="dxa"/>
            <w:tcBorders>
              <w:top w:val="single" w:sz="4" w:space="0" w:color="auto"/>
              <w:left w:val="nil"/>
              <w:bottom w:val="nil"/>
              <w:right w:val="nil"/>
            </w:tcBorders>
            <w:hideMark/>
          </w:tcPr>
          <w:p w14:paraId="3B8508DF"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12</w:t>
            </w:r>
          </w:p>
        </w:tc>
        <w:tc>
          <w:tcPr>
            <w:tcW w:w="993" w:type="dxa"/>
            <w:tcBorders>
              <w:top w:val="single" w:sz="4" w:space="0" w:color="auto"/>
              <w:left w:val="nil"/>
              <w:bottom w:val="nil"/>
              <w:right w:val="nil"/>
            </w:tcBorders>
            <w:noWrap/>
            <w:tcMar>
              <w:top w:w="15" w:type="dxa"/>
              <w:left w:w="15" w:type="dxa"/>
              <w:bottom w:w="0" w:type="dxa"/>
              <w:right w:w="15" w:type="dxa"/>
            </w:tcMar>
            <w:hideMark/>
          </w:tcPr>
          <w:p w14:paraId="79B2365D"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12</w:t>
            </w:r>
          </w:p>
        </w:tc>
        <w:tc>
          <w:tcPr>
            <w:tcW w:w="1135" w:type="dxa"/>
            <w:tcBorders>
              <w:top w:val="single" w:sz="4" w:space="0" w:color="auto"/>
              <w:left w:val="nil"/>
              <w:bottom w:val="nil"/>
              <w:right w:val="nil"/>
            </w:tcBorders>
            <w:noWrap/>
            <w:tcMar>
              <w:top w:w="15" w:type="dxa"/>
              <w:left w:w="15" w:type="dxa"/>
              <w:bottom w:w="0" w:type="dxa"/>
              <w:right w:w="15" w:type="dxa"/>
            </w:tcMar>
            <w:hideMark/>
          </w:tcPr>
          <w:p w14:paraId="44DC8871"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12</w:t>
            </w:r>
          </w:p>
        </w:tc>
        <w:tc>
          <w:tcPr>
            <w:tcW w:w="1135" w:type="dxa"/>
            <w:tcBorders>
              <w:top w:val="single" w:sz="4" w:space="0" w:color="auto"/>
              <w:left w:val="nil"/>
              <w:bottom w:val="nil"/>
              <w:right w:val="nil"/>
            </w:tcBorders>
            <w:noWrap/>
            <w:tcMar>
              <w:top w:w="15" w:type="dxa"/>
              <w:left w:w="15" w:type="dxa"/>
              <w:bottom w:w="0" w:type="dxa"/>
              <w:right w:w="15" w:type="dxa"/>
            </w:tcMar>
            <w:hideMark/>
          </w:tcPr>
          <w:p w14:paraId="5B6B3E3A"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12</w:t>
            </w:r>
          </w:p>
        </w:tc>
        <w:tc>
          <w:tcPr>
            <w:tcW w:w="1021" w:type="dxa"/>
            <w:tcBorders>
              <w:top w:val="single" w:sz="4" w:space="0" w:color="auto"/>
              <w:left w:val="nil"/>
              <w:bottom w:val="nil"/>
              <w:right w:val="nil"/>
            </w:tcBorders>
            <w:noWrap/>
            <w:tcMar>
              <w:top w:w="15" w:type="dxa"/>
              <w:left w:w="15" w:type="dxa"/>
              <w:bottom w:w="0" w:type="dxa"/>
              <w:right w:w="15" w:type="dxa"/>
            </w:tcMar>
            <w:hideMark/>
          </w:tcPr>
          <w:p w14:paraId="3C3F157B"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12</w:t>
            </w:r>
          </w:p>
        </w:tc>
      </w:tr>
      <w:tr w:rsidR="00C07D35" w14:paraId="6E1CC0A0" w14:textId="77777777" w:rsidTr="00A4668D">
        <w:trPr>
          <w:cantSplit/>
          <w:trHeight w:val="57"/>
        </w:trPr>
        <w:tc>
          <w:tcPr>
            <w:tcW w:w="3970" w:type="dxa"/>
            <w:tcBorders>
              <w:top w:val="nil"/>
              <w:left w:val="nil"/>
              <w:bottom w:val="single" w:sz="4" w:space="0" w:color="auto"/>
              <w:right w:val="nil"/>
            </w:tcBorders>
            <w:tcMar>
              <w:top w:w="15" w:type="dxa"/>
              <w:left w:w="180" w:type="dxa"/>
              <w:bottom w:w="0" w:type="dxa"/>
              <w:right w:w="15" w:type="dxa"/>
            </w:tcMar>
            <w:hideMark/>
          </w:tcPr>
          <w:p w14:paraId="24731426" w14:textId="77777777" w:rsidR="00A4668D" w:rsidRDefault="00A4668D">
            <w:pPr>
              <w:pStyle w:val="BStabletext00"/>
              <w:pBdr>
                <w:top w:val="nil"/>
                <w:left w:val="nil"/>
                <w:bottom w:val="nil"/>
                <w:right w:val="nil"/>
                <w:between w:val="nil"/>
                <w:bar w:val="nil"/>
              </w:pBdr>
              <w:rPr>
                <w:sz w:val="20"/>
                <w:szCs w:val="20"/>
                <w:bdr w:val="nil"/>
              </w:rPr>
            </w:pPr>
            <w:r>
              <w:rPr>
                <w:sz w:val="20"/>
                <w:szCs w:val="20"/>
                <w:bdr w:val="nil"/>
              </w:rPr>
              <w:t>Re</w:t>
            </w:r>
            <w:r>
              <w:rPr>
                <w:sz w:val="20"/>
                <w:szCs w:val="20"/>
                <w:bdr w:val="nil"/>
              </w:rPr>
              <w:noBreakHyphen/>
              <w:t>substantiation Rate — Within 12 Months</w:t>
            </w:r>
          </w:p>
        </w:tc>
        <w:tc>
          <w:tcPr>
            <w:tcW w:w="851" w:type="dxa"/>
            <w:tcBorders>
              <w:top w:val="nil"/>
              <w:left w:val="nil"/>
              <w:bottom w:val="single" w:sz="4" w:space="0" w:color="auto"/>
              <w:right w:val="nil"/>
            </w:tcBorders>
            <w:hideMark/>
          </w:tcPr>
          <w:p w14:paraId="6DD8B484"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22</w:t>
            </w:r>
          </w:p>
        </w:tc>
        <w:tc>
          <w:tcPr>
            <w:tcW w:w="993" w:type="dxa"/>
            <w:tcBorders>
              <w:top w:val="nil"/>
              <w:left w:val="nil"/>
              <w:bottom w:val="single" w:sz="4" w:space="0" w:color="auto"/>
              <w:right w:val="nil"/>
            </w:tcBorders>
            <w:noWrap/>
            <w:tcMar>
              <w:top w:w="15" w:type="dxa"/>
              <w:left w:w="15" w:type="dxa"/>
              <w:bottom w:w="0" w:type="dxa"/>
              <w:right w:w="15" w:type="dxa"/>
            </w:tcMar>
            <w:hideMark/>
          </w:tcPr>
          <w:p w14:paraId="2D922D6E"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22</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5BE5AA01"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22</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14B7C86D"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22</w:t>
            </w:r>
          </w:p>
        </w:tc>
        <w:tc>
          <w:tcPr>
            <w:tcW w:w="1021" w:type="dxa"/>
            <w:tcBorders>
              <w:top w:val="nil"/>
              <w:left w:val="nil"/>
              <w:bottom w:val="single" w:sz="4" w:space="0" w:color="auto"/>
              <w:right w:val="nil"/>
            </w:tcBorders>
            <w:noWrap/>
            <w:tcMar>
              <w:top w:w="15" w:type="dxa"/>
              <w:left w:w="15" w:type="dxa"/>
              <w:bottom w:w="0" w:type="dxa"/>
              <w:right w:w="15" w:type="dxa"/>
            </w:tcMar>
            <w:hideMark/>
          </w:tcPr>
          <w:p w14:paraId="6990ABD4"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22</w:t>
            </w:r>
          </w:p>
        </w:tc>
      </w:tr>
    </w:tbl>
    <w:p w14:paraId="6016A772" w14:textId="77777777" w:rsidR="00A4668D" w:rsidRDefault="00A4668D" w:rsidP="000500CC">
      <w:pPr>
        <w:pStyle w:val="Heading32"/>
        <w:rPr>
          <w:bdr w:val="nil"/>
        </w:rPr>
      </w:pPr>
      <w:bookmarkStart w:id="26" w:name="_Toc514926328"/>
      <w:r>
        <w:rPr>
          <w:bdr w:val="nil"/>
        </w:rPr>
        <w:t xml:space="preserve">Strategic Objective </w:t>
      </w:r>
      <w:bookmarkEnd w:id="26"/>
      <w:r>
        <w:rPr>
          <w:bdr w:val="nil"/>
        </w:rPr>
        <w:t>7</w:t>
      </w:r>
    </w:p>
    <w:p w14:paraId="60229ADA" w14:textId="77777777" w:rsidR="00A4668D" w:rsidRDefault="00A4668D" w:rsidP="00A4668D">
      <w:pPr>
        <w:pStyle w:val="Heading4"/>
        <w:pBdr>
          <w:top w:val="nil"/>
          <w:left w:val="nil"/>
          <w:bottom w:val="nil"/>
          <w:right w:val="nil"/>
          <w:between w:val="nil"/>
          <w:bar w:val="nil"/>
        </w:pBdr>
        <w:rPr>
          <w:i w:val="0"/>
          <w:bdr w:val="nil"/>
        </w:rPr>
      </w:pPr>
      <w:r>
        <w:rPr>
          <w:bdr w:val="nil"/>
        </w:rPr>
        <w:t>Provision of services that improve outcomes for young people involved with the justice system</w:t>
      </w:r>
    </w:p>
    <w:p w14:paraId="6DCE4BDC" w14:textId="77777777" w:rsidR="00A4668D" w:rsidRDefault="00A4668D" w:rsidP="00A4668D">
      <w:pPr>
        <w:pStyle w:val="Normal20"/>
        <w:pBdr>
          <w:top w:val="nil"/>
          <w:left w:val="nil"/>
          <w:bottom w:val="nil"/>
          <w:right w:val="nil"/>
          <w:between w:val="nil"/>
          <w:bar w:val="nil"/>
        </w:pBdr>
        <w:rPr>
          <w:szCs w:val="24"/>
          <w:bdr w:val="nil"/>
        </w:rPr>
      </w:pPr>
      <w:r>
        <w:rPr>
          <w:szCs w:val="24"/>
          <w:bdr w:val="nil"/>
        </w:rPr>
        <w:t>The Directorate aims to improve outcomes by providing support services to young people at risk and through the support and supervision of young offenders.</w:t>
      </w:r>
    </w:p>
    <w:p w14:paraId="2A93F609" w14:textId="12A603DB" w:rsidR="00A4668D" w:rsidRDefault="00A4668D" w:rsidP="00A4668D">
      <w:pPr>
        <w:pStyle w:val="Normal20"/>
        <w:pBdr>
          <w:top w:val="nil"/>
          <w:left w:val="nil"/>
          <w:bottom w:val="nil"/>
          <w:right w:val="nil"/>
          <w:between w:val="nil"/>
          <w:bar w:val="nil"/>
        </w:pBdr>
        <w:rPr>
          <w:szCs w:val="24"/>
          <w:bdr w:val="nil"/>
        </w:rPr>
      </w:pPr>
      <w:r>
        <w:rPr>
          <w:szCs w:val="24"/>
          <w:bdr w:val="nil"/>
        </w:rPr>
        <w:t xml:space="preserve">Recidivism rates measure the return of young people to the youth justice system, after receiving a final Court Order. They are an indicator of outcomes for young people, </w:t>
      </w:r>
      <w:proofErr w:type="gramStart"/>
      <w:r>
        <w:rPr>
          <w:szCs w:val="24"/>
          <w:bdr w:val="nil"/>
        </w:rPr>
        <w:t>in particular whether</w:t>
      </w:r>
      <w:proofErr w:type="gramEnd"/>
      <w:r>
        <w:rPr>
          <w:szCs w:val="24"/>
          <w:bdr w:val="nil"/>
        </w:rPr>
        <w:t xml:space="preserve"> interventions have been successful in assisting young people to exit the youth justice system.</w:t>
      </w:r>
    </w:p>
    <w:p w14:paraId="0952887F" w14:textId="38F30F52" w:rsidR="00A4668D" w:rsidRDefault="00A4668D" w:rsidP="00A4668D">
      <w:pPr>
        <w:pStyle w:val="Heading4"/>
        <w:pBdr>
          <w:top w:val="nil"/>
          <w:left w:val="nil"/>
          <w:bottom w:val="nil"/>
          <w:right w:val="nil"/>
          <w:between w:val="nil"/>
          <w:bar w:val="nil"/>
        </w:pBdr>
        <w:rPr>
          <w:i w:val="0"/>
          <w:bdr w:val="nil"/>
        </w:rPr>
      </w:pPr>
      <w:r>
        <w:rPr>
          <w:bdr w:val="nil"/>
        </w:rPr>
        <w:t xml:space="preserve">Strategic Indicator 7: </w:t>
      </w:r>
      <w:r w:rsidR="003C2FCF">
        <w:rPr>
          <w:bdr w:val="nil"/>
        </w:rPr>
        <w:t xml:space="preserve">Returns to Sentenced Supervision </w:t>
      </w:r>
      <w:r w:rsidR="003C2FCF" w:rsidRPr="005B721C">
        <w:rPr>
          <w:bdr w:val="nil"/>
          <w:vertAlign w:val="superscript"/>
        </w:rPr>
        <w:t>1</w:t>
      </w:r>
    </w:p>
    <w:tbl>
      <w:tblPr>
        <w:tblW w:w="9135" w:type="dxa"/>
        <w:jc w:val="center"/>
        <w:tblLayout w:type="fixed"/>
        <w:tblCellMar>
          <w:left w:w="0" w:type="dxa"/>
          <w:right w:w="0" w:type="dxa"/>
        </w:tblCellMar>
        <w:tblLook w:val="04A0" w:firstRow="1" w:lastRow="0" w:firstColumn="1" w:lastColumn="0" w:noHBand="0" w:noVBand="1"/>
      </w:tblPr>
      <w:tblGrid>
        <w:gridCol w:w="4125"/>
        <w:gridCol w:w="1002"/>
        <w:gridCol w:w="1002"/>
        <w:gridCol w:w="1002"/>
        <w:gridCol w:w="1002"/>
        <w:gridCol w:w="1002"/>
      </w:tblGrid>
      <w:tr w:rsidR="00C07D35" w14:paraId="6A730A8B" w14:textId="77777777" w:rsidTr="00A4668D">
        <w:trPr>
          <w:trHeight w:val="170"/>
          <w:jc w:val="center"/>
        </w:trPr>
        <w:tc>
          <w:tcPr>
            <w:tcW w:w="4125" w:type="dxa"/>
            <w:tcBorders>
              <w:top w:val="single" w:sz="4" w:space="0" w:color="auto"/>
              <w:left w:val="nil"/>
              <w:bottom w:val="nil"/>
              <w:right w:val="nil"/>
            </w:tcBorders>
            <w:tcMar>
              <w:top w:w="0" w:type="dxa"/>
              <w:left w:w="108" w:type="dxa"/>
              <w:bottom w:w="0" w:type="dxa"/>
              <w:right w:w="108" w:type="dxa"/>
            </w:tcMar>
            <w:vAlign w:val="bottom"/>
            <w:hideMark/>
          </w:tcPr>
          <w:p w14:paraId="3E4B1FB7" w14:textId="7777777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 </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630C966E" w14:textId="7F1D93C4"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2020-21</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74F3E9D3" w14:textId="1562C9A2"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2021-22</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4C5E4B1F" w14:textId="263F982E"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2022-23</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5874CDAF" w14:textId="3E0AE60C"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2023-24</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1403A238" w14:textId="793650E2"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2024-25</w:t>
            </w:r>
          </w:p>
        </w:tc>
      </w:tr>
      <w:tr w:rsidR="00C07D35" w14:paraId="61CB5AA9" w14:textId="77777777" w:rsidTr="00A4668D">
        <w:trPr>
          <w:trHeight w:val="170"/>
          <w:jc w:val="center"/>
        </w:trPr>
        <w:tc>
          <w:tcPr>
            <w:tcW w:w="4125" w:type="dxa"/>
            <w:tcMar>
              <w:top w:w="0" w:type="dxa"/>
              <w:left w:w="108" w:type="dxa"/>
              <w:bottom w:w="0" w:type="dxa"/>
              <w:right w:w="108" w:type="dxa"/>
            </w:tcMar>
            <w:vAlign w:val="bottom"/>
          </w:tcPr>
          <w:p w14:paraId="5A686C48" w14:textId="7777777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p>
        </w:tc>
        <w:tc>
          <w:tcPr>
            <w:tcW w:w="1002" w:type="dxa"/>
            <w:tcMar>
              <w:top w:w="0" w:type="dxa"/>
              <w:left w:w="108" w:type="dxa"/>
              <w:bottom w:w="0" w:type="dxa"/>
              <w:right w:w="108" w:type="dxa"/>
            </w:tcMar>
            <w:vAlign w:val="center"/>
            <w:hideMark/>
          </w:tcPr>
          <w:p w14:paraId="730EF4AC" w14:textId="663DA745"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Target</w:t>
            </w:r>
          </w:p>
        </w:tc>
        <w:tc>
          <w:tcPr>
            <w:tcW w:w="1002" w:type="dxa"/>
            <w:tcMar>
              <w:top w:w="0" w:type="dxa"/>
              <w:left w:w="108" w:type="dxa"/>
              <w:bottom w:w="0" w:type="dxa"/>
              <w:right w:w="108" w:type="dxa"/>
            </w:tcMar>
            <w:vAlign w:val="center"/>
            <w:hideMark/>
          </w:tcPr>
          <w:p w14:paraId="1FCD679E" w14:textId="489CF760" w:rsidR="00A4668D" w:rsidRDefault="00A4668D" w:rsidP="00A4668D">
            <w:pPr>
              <w:pStyle w:val="BStablefiguresbold"/>
              <w:pBdr>
                <w:top w:val="nil"/>
                <w:left w:val="nil"/>
                <w:bottom w:val="nil"/>
                <w:right w:val="nil"/>
                <w:between w:val="nil"/>
                <w:bar w:val="nil"/>
              </w:pBdr>
              <w:rPr>
                <w:rFonts w:eastAsia="Arial Unicode MS"/>
                <w:bdr w:val="nil"/>
              </w:rPr>
            </w:pPr>
            <w:r>
              <w:rPr>
                <w:rFonts w:eastAsia="Arial Unicode MS" w:cs="Calibri"/>
                <w:bdr w:val="nil"/>
              </w:rPr>
              <w:t>Target</w:t>
            </w:r>
          </w:p>
        </w:tc>
        <w:tc>
          <w:tcPr>
            <w:tcW w:w="1002" w:type="dxa"/>
            <w:tcMar>
              <w:top w:w="0" w:type="dxa"/>
              <w:left w:w="108" w:type="dxa"/>
              <w:bottom w:w="0" w:type="dxa"/>
              <w:right w:w="108" w:type="dxa"/>
            </w:tcMar>
            <w:vAlign w:val="center"/>
            <w:hideMark/>
          </w:tcPr>
          <w:p w14:paraId="260CD910" w14:textId="2BE1AC6C"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Estimate</w:t>
            </w:r>
          </w:p>
        </w:tc>
        <w:tc>
          <w:tcPr>
            <w:tcW w:w="1002" w:type="dxa"/>
            <w:tcMar>
              <w:top w:w="0" w:type="dxa"/>
              <w:left w:w="108" w:type="dxa"/>
              <w:bottom w:w="0" w:type="dxa"/>
              <w:right w:w="108" w:type="dxa"/>
            </w:tcMar>
            <w:vAlign w:val="center"/>
            <w:hideMark/>
          </w:tcPr>
          <w:p w14:paraId="55F00B49" w14:textId="28155BF7"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Estimate</w:t>
            </w:r>
          </w:p>
        </w:tc>
        <w:tc>
          <w:tcPr>
            <w:tcW w:w="1002" w:type="dxa"/>
            <w:tcMar>
              <w:top w:w="0" w:type="dxa"/>
              <w:left w:w="108" w:type="dxa"/>
              <w:bottom w:w="0" w:type="dxa"/>
              <w:right w:w="108" w:type="dxa"/>
            </w:tcMar>
            <w:vAlign w:val="center"/>
            <w:hideMark/>
          </w:tcPr>
          <w:p w14:paraId="74EDCC81" w14:textId="010ABC5E" w:rsidR="00A4668D" w:rsidRDefault="00A4668D" w:rsidP="00A4668D">
            <w:pPr>
              <w:pStyle w:val="BStablefiguresbold"/>
              <w:pBdr>
                <w:top w:val="nil"/>
                <w:left w:val="nil"/>
                <w:bottom w:val="nil"/>
                <w:right w:val="nil"/>
                <w:between w:val="nil"/>
                <w:bar w:val="nil"/>
              </w:pBdr>
              <w:rPr>
                <w:rFonts w:eastAsia="Arial Unicode MS"/>
                <w:bdr w:val="nil"/>
              </w:rPr>
            </w:pPr>
            <w:r>
              <w:rPr>
                <w:rFonts w:cs="Calibri"/>
                <w:bdr w:val="nil"/>
              </w:rPr>
              <w:t>Estimate</w:t>
            </w:r>
          </w:p>
        </w:tc>
      </w:tr>
      <w:tr w:rsidR="00C07D35" w14:paraId="3DB5BACB" w14:textId="77777777" w:rsidTr="00A4668D">
        <w:trPr>
          <w:trHeight w:val="170"/>
          <w:jc w:val="center"/>
        </w:trPr>
        <w:tc>
          <w:tcPr>
            <w:tcW w:w="4125" w:type="dxa"/>
            <w:tcBorders>
              <w:top w:val="nil"/>
              <w:left w:val="nil"/>
              <w:bottom w:val="single" w:sz="4" w:space="0" w:color="auto"/>
              <w:right w:val="nil"/>
            </w:tcBorders>
            <w:tcMar>
              <w:top w:w="0" w:type="dxa"/>
              <w:left w:w="108" w:type="dxa"/>
              <w:bottom w:w="0" w:type="dxa"/>
              <w:right w:w="108" w:type="dxa"/>
            </w:tcMar>
            <w:vAlign w:val="bottom"/>
          </w:tcPr>
          <w:p w14:paraId="5161F184"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p>
        </w:tc>
        <w:tc>
          <w:tcPr>
            <w:tcW w:w="1002" w:type="dxa"/>
            <w:tcBorders>
              <w:top w:val="nil"/>
              <w:left w:val="nil"/>
              <w:bottom w:val="single" w:sz="4" w:space="0" w:color="auto"/>
              <w:right w:val="nil"/>
            </w:tcBorders>
            <w:tcMar>
              <w:top w:w="0" w:type="dxa"/>
              <w:left w:w="108" w:type="dxa"/>
              <w:bottom w:w="0" w:type="dxa"/>
              <w:right w:w="108" w:type="dxa"/>
            </w:tcMar>
            <w:hideMark/>
          </w:tcPr>
          <w:p w14:paraId="357B32EA"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525D0C4E"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56ADE93F"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68D9F8B7"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0D2774BA" w14:textId="77777777" w:rsidR="00A4668D" w:rsidRDefault="00A4668D">
            <w:pPr>
              <w:pStyle w:val="BStablefiguresbold"/>
              <w:pBdr>
                <w:top w:val="nil"/>
                <w:left w:val="nil"/>
                <w:bottom w:val="nil"/>
                <w:right w:val="nil"/>
                <w:between w:val="nil"/>
                <w:bar w:val="nil"/>
              </w:pBdr>
              <w:rPr>
                <w:rFonts w:eastAsia="Arial Unicode MS"/>
                <w:bdr w:val="nil"/>
              </w:rPr>
            </w:pPr>
            <w:r>
              <w:rPr>
                <w:rFonts w:eastAsia="Arial Unicode MS"/>
                <w:bdr w:val="nil"/>
              </w:rPr>
              <w:t>%</w:t>
            </w:r>
          </w:p>
        </w:tc>
      </w:tr>
      <w:tr w:rsidR="003C2FCF" w14:paraId="19CE6A97" w14:textId="77777777" w:rsidTr="00A4668D">
        <w:trPr>
          <w:trHeight w:val="170"/>
          <w:jc w:val="center"/>
        </w:trPr>
        <w:tc>
          <w:tcPr>
            <w:tcW w:w="4125" w:type="dxa"/>
            <w:tcBorders>
              <w:left w:val="nil"/>
              <w:bottom w:val="single" w:sz="4" w:space="0" w:color="auto"/>
              <w:right w:val="nil"/>
            </w:tcBorders>
            <w:tcMar>
              <w:top w:w="0" w:type="dxa"/>
              <w:left w:w="108" w:type="dxa"/>
              <w:bottom w:w="0" w:type="dxa"/>
              <w:right w:w="108" w:type="dxa"/>
            </w:tcMar>
            <w:hideMark/>
          </w:tcPr>
          <w:p w14:paraId="1FC57188" w14:textId="24E95DA3" w:rsidR="003C2FCF" w:rsidRDefault="003C2FCF" w:rsidP="003C2FCF">
            <w:pPr>
              <w:pStyle w:val="BStabletext00"/>
              <w:pBdr>
                <w:top w:val="nil"/>
                <w:left w:val="nil"/>
                <w:bottom w:val="nil"/>
                <w:right w:val="nil"/>
                <w:between w:val="nil"/>
                <w:bar w:val="nil"/>
              </w:pBdr>
              <w:rPr>
                <w:sz w:val="20"/>
                <w:szCs w:val="20"/>
                <w:bdr w:val="nil"/>
              </w:rPr>
            </w:pPr>
            <w:r>
              <w:rPr>
                <w:sz w:val="20"/>
                <w:szCs w:val="20"/>
                <w:bdr w:val="nil"/>
              </w:rPr>
              <w:t>Returns to Sentenced Supervision</w:t>
            </w:r>
          </w:p>
        </w:tc>
        <w:tc>
          <w:tcPr>
            <w:tcW w:w="1002" w:type="dxa"/>
            <w:tcBorders>
              <w:left w:val="nil"/>
              <w:bottom w:val="single" w:sz="4" w:space="0" w:color="auto"/>
              <w:right w:val="nil"/>
            </w:tcBorders>
            <w:tcMar>
              <w:top w:w="0" w:type="dxa"/>
              <w:left w:w="108" w:type="dxa"/>
              <w:bottom w:w="0" w:type="dxa"/>
              <w:right w:w="108" w:type="dxa"/>
            </w:tcMar>
            <w:vAlign w:val="center"/>
            <w:hideMark/>
          </w:tcPr>
          <w:p w14:paraId="74A13F8D" w14:textId="27B9EDF7" w:rsidR="003C2FCF" w:rsidRDefault="003C2FCF" w:rsidP="003C2FCF">
            <w:pPr>
              <w:pStyle w:val="BStablefigures00"/>
              <w:pBdr>
                <w:top w:val="nil"/>
                <w:left w:val="nil"/>
                <w:bottom w:val="nil"/>
                <w:right w:val="nil"/>
                <w:between w:val="nil"/>
                <w:bar w:val="nil"/>
              </w:pBdr>
              <w:rPr>
                <w:sz w:val="20"/>
                <w:szCs w:val="20"/>
                <w:bdr w:val="nil"/>
              </w:rPr>
            </w:pPr>
            <w:r>
              <w:rPr>
                <w:sz w:val="20"/>
                <w:szCs w:val="20"/>
                <w:bdr w:val="nil"/>
              </w:rPr>
              <w:t>N/A</w:t>
            </w:r>
          </w:p>
        </w:tc>
        <w:tc>
          <w:tcPr>
            <w:tcW w:w="1002" w:type="dxa"/>
            <w:tcBorders>
              <w:left w:val="nil"/>
              <w:bottom w:val="single" w:sz="4" w:space="0" w:color="auto"/>
              <w:right w:val="nil"/>
            </w:tcBorders>
            <w:tcMar>
              <w:top w:w="0" w:type="dxa"/>
              <w:left w:w="108" w:type="dxa"/>
              <w:bottom w:w="0" w:type="dxa"/>
              <w:right w:w="108" w:type="dxa"/>
            </w:tcMar>
            <w:vAlign w:val="center"/>
            <w:hideMark/>
          </w:tcPr>
          <w:p w14:paraId="690FF98F" w14:textId="22EAD59A" w:rsidR="003C2FCF" w:rsidRDefault="003C2FCF" w:rsidP="003C2FCF">
            <w:pPr>
              <w:pStyle w:val="BStablefigures00"/>
              <w:pBdr>
                <w:top w:val="nil"/>
                <w:left w:val="nil"/>
                <w:bottom w:val="nil"/>
                <w:right w:val="nil"/>
                <w:between w:val="nil"/>
                <w:bar w:val="nil"/>
              </w:pBdr>
              <w:rPr>
                <w:sz w:val="20"/>
                <w:szCs w:val="20"/>
                <w:bdr w:val="nil"/>
              </w:rPr>
            </w:pPr>
            <w:r>
              <w:rPr>
                <w:sz w:val="20"/>
                <w:szCs w:val="20"/>
                <w:bdr w:val="nil"/>
              </w:rPr>
              <w:t>35</w:t>
            </w:r>
          </w:p>
        </w:tc>
        <w:tc>
          <w:tcPr>
            <w:tcW w:w="1002" w:type="dxa"/>
            <w:tcBorders>
              <w:left w:val="nil"/>
              <w:bottom w:val="single" w:sz="4" w:space="0" w:color="auto"/>
              <w:right w:val="nil"/>
            </w:tcBorders>
            <w:tcMar>
              <w:top w:w="0" w:type="dxa"/>
              <w:left w:w="108" w:type="dxa"/>
              <w:bottom w:w="0" w:type="dxa"/>
              <w:right w:w="108" w:type="dxa"/>
            </w:tcMar>
            <w:vAlign w:val="center"/>
            <w:hideMark/>
          </w:tcPr>
          <w:p w14:paraId="24E5CE2C" w14:textId="2611499E" w:rsidR="003C2FCF" w:rsidRDefault="003C2FCF" w:rsidP="003C2FCF">
            <w:pPr>
              <w:pStyle w:val="BStablefigures00"/>
              <w:pBdr>
                <w:top w:val="nil"/>
                <w:left w:val="nil"/>
                <w:bottom w:val="nil"/>
                <w:right w:val="nil"/>
                <w:between w:val="nil"/>
                <w:bar w:val="nil"/>
              </w:pBdr>
              <w:rPr>
                <w:sz w:val="20"/>
                <w:szCs w:val="20"/>
                <w:bdr w:val="nil"/>
              </w:rPr>
            </w:pPr>
            <w:r>
              <w:rPr>
                <w:sz w:val="20"/>
                <w:szCs w:val="20"/>
                <w:bdr w:val="nil"/>
              </w:rPr>
              <w:t>35</w:t>
            </w:r>
          </w:p>
        </w:tc>
        <w:tc>
          <w:tcPr>
            <w:tcW w:w="1002" w:type="dxa"/>
            <w:tcBorders>
              <w:left w:val="nil"/>
              <w:bottom w:val="single" w:sz="4" w:space="0" w:color="auto"/>
              <w:right w:val="nil"/>
            </w:tcBorders>
            <w:tcMar>
              <w:top w:w="0" w:type="dxa"/>
              <w:left w:w="108" w:type="dxa"/>
              <w:bottom w:w="0" w:type="dxa"/>
              <w:right w:w="108" w:type="dxa"/>
            </w:tcMar>
            <w:vAlign w:val="center"/>
            <w:hideMark/>
          </w:tcPr>
          <w:p w14:paraId="1F23450E" w14:textId="0041EF9E" w:rsidR="003C2FCF" w:rsidRDefault="003C2FCF" w:rsidP="003C2FCF">
            <w:pPr>
              <w:pStyle w:val="BStablefigures00"/>
              <w:pBdr>
                <w:top w:val="nil"/>
                <w:left w:val="nil"/>
                <w:bottom w:val="nil"/>
                <w:right w:val="nil"/>
                <w:between w:val="nil"/>
                <w:bar w:val="nil"/>
              </w:pBdr>
              <w:rPr>
                <w:sz w:val="20"/>
                <w:szCs w:val="20"/>
                <w:bdr w:val="nil"/>
              </w:rPr>
            </w:pPr>
            <w:r>
              <w:rPr>
                <w:sz w:val="20"/>
                <w:szCs w:val="20"/>
                <w:bdr w:val="nil"/>
              </w:rPr>
              <w:t>35</w:t>
            </w:r>
          </w:p>
        </w:tc>
        <w:tc>
          <w:tcPr>
            <w:tcW w:w="1002" w:type="dxa"/>
            <w:tcBorders>
              <w:left w:val="nil"/>
              <w:bottom w:val="single" w:sz="4" w:space="0" w:color="auto"/>
              <w:right w:val="nil"/>
            </w:tcBorders>
            <w:tcMar>
              <w:top w:w="0" w:type="dxa"/>
              <w:left w:w="108" w:type="dxa"/>
              <w:bottom w:w="0" w:type="dxa"/>
              <w:right w:w="108" w:type="dxa"/>
            </w:tcMar>
            <w:vAlign w:val="center"/>
            <w:hideMark/>
          </w:tcPr>
          <w:p w14:paraId="271CE01C" w14:textId="7C92433B" w:rsidR="003C2FCF" w:rsidRDefault="003C2FCF" w:rsidP="003C2FCF">
            <w:pPr>
              <w:pStyle w:val="BStablefigures00"/>
              <w:pBdr>
                <w:top w:val="nil"/>
                <w:left w:val="nil"/>
                <w:bottom w:val="nil"/>
                <w:right w:val="nil"/>
                <w:between w:val="nil"/>
                <w:bar w:val="nil"/>
              </w:pBdr>
              <w:rPr>
                <w:sz w:val="20"/>
                <w:szCs w:val="20"/>
                <w:bdr w:val="nil"/>
              </w:rPr>
            </w:pPr>
            <w:r>
              <w:rPr>
                <w:sz w:val="20"/>
                <w:szCs w:val="20"/>
                <w:bdr w:val="nil"/>
              </w:rPr>
              <w:t>35</w:t>
            </w:r>
          </w:p>
        </w:tc>
      </w:tr>
    </w:tbl>
    <w:p w14:paraId="1861F3D2" w14:textId="77777777" w:rsidR="003C2FCF" w:rsidRPr="003C2FCF" w:rsidRDefault="003C2FCF" w:rsidP="003C2FCF">
      <w:pPr>
        <w:pStyle w:val="BSnote0"/>
        <w:pBdr>
          <w:top w:val="nil"/>
          <w:left w:val="nil"/>
          <w:bottom w:val="nil"/>
          <w:right w:val="nil"/>
          <w:between w:val="nil"/>
          <w:bar w:val="nil"/>
        </w:pBdr>
        <w:rPr>
          <w:bdr w:val="nil"/>
        </w:rPr>
      </w:pPr>
      <w:bookmarkStart w:id="27" w:name="_Toc514926329"/>
      <w:r w:rsidRPr="003C2FCF">
        <w:rPr>
          <w:bdr w:val="nil"/>
        </w:rPr>
        <w:t xml:space="preserve">Note: </w:t>
      </w:r>
    </w:p>
    <w:p w14:paraId="1EB4DA0E" w14:textId="725065F4" w:rsidR="003C2FCF" w:rsidRDefault="003C2FCF" w:rsidP="003C2FCF">
      <w:pPr>
        <w:pStyle w:val="BSnoteslist"/>
        <w:numPr>
          <w:ilvl w:val="0"/>
          <w:numId w:val="81"/>
        </w:numPr>
        <w:pBdr>
          <w:top w:val="nil"/>
          <w:left w:val="nil"/>
          <w:bottom w:val="nil"/>
          <w:right w:val="nil"/>
          <w:between w:val="nil"/>
          <w:bar w:val="nil"/>
        </w:pBdr>
        <w:rPr>
          <w:bdr w:val="nil"/>
        </w:rPr>
      </w:pPr>
      <w:r w:rsidRPr="003C2FCF">
        <w:rPr>
          <w:bdr w:val="nil"/>
        </w:rPr>
        <w:t>In 2021-22 Budget, the Directorate combined the previous measures on Recidivism of Sentenced Young People in Custody and Recidivism of Young People on Community Based Orders into a single measure</w:t>
      </w:r>
      <w:r>
        <w:rPr>
          <w:bdr w:val="nil"/>
        </w:rPr>
        <w:t>.</w:t>
      </w:r>
    </w:p>
    <w:p w14:paraId="4C04E19F" w14:textId="4B844C91" w:rsidR="00A4668D" w:rsidRPr="003C2FCF" w:rsidRDefault="003C2FCF" w:rsidP="003C2FCF">
      <w:pPr>
        <w:spacing w:before="0" w:after="0"/>
        <w:rPr>
          <w:sz w:val="18"/>
          <w:szCs w:val="24"/>
          <w:bdr w:val="nil"/>
        </w:rPr>
      </w:pPr>
      <w:r>
        <w:rPr>
          <w:bdr w:val="nil"/>
        </w:rPr>
        <w:br w:type="page"/>
      </w:r>
    </w:p>
    <w:p w14:paraId="1EDBE339" w14:textId="7B524884" w:rsidR="00A4668D" w:rsidRDefault="00A4668D" w:rsidP="000500CC">
      <w:pPr>
        <w:pStyle w:val="Heading32"/>
        <w:rPr>
          <w:bdr w:val="nil"/>
        </w:rPr>
      </w:pPr>
      <w:r>
        <w:rPr>
          <w:bdr w:val="nil"/>
        </w:rPr>
        <w:lastRenderedPageBreak/>
        <w:t xml:space="preserve">Strategic Objective </w:t>
      </w:r>
      <w:bookmarkEnd w:id="27"/>
      <w:r>
        <w:rPr>
          <w:bdr w:val="nil"/>
        </w:rPr>
        <w:t>8</w:t>
      </w:r>
    </w:p>
    <w:p w14:paraId="74A8B64E" w14:textId="77777777" w:rsidR="00A4668D" w:rsidRDefault="00A4668D" w:rsidP="00A4668D">
      <w:pPr>
        <w:pStyle w:val="Heading4"/>
        <w:pBdr>
          <w:top w:val="nil"/>
          <w:left w:val="nil"/>
          <w:bottom w:val="nil"/>
          <w:right w:val="nil"/>
          <w:between w:val="nil"/>
          <w:bar w:val="nil"/>
        </w:pBdr>
        <w:rPr>
          <w:i w:val="0"/>
          <w:bdr w:val="nil"/>
        </w:rPr>
      </w:pPr>
      <w:r>
        <w:rPr>
          <w:bdr w:val="nil"/>
        </w:rPr>
        <w:t>Improve stability of children in care through case management and appropriate services and programs</w:t>
      </w:r>
    </w:p>
    <w:p w14:paraId="2B52BF4C" w14:textId="77777777" w:rsidR="00A4668D" w:rsidRDefault="00A4668D" w:rsidP="00A4668D">
      <w:pPr>
        <w:pStyle w:val="Normal20"/>
        <w:pBdr>
          <w:top w:val="nil"/>
          <w:left w:val="nil"/>
          <w:bottom w:val="nil"/>
          <w:right w:val="nil"/>
          <w:between w:val="nil"/>
          <w:bar w:val="nil"/>
        </w:pBdr>
        <w:rPr>
          <w:szCs w:val="24"/>
          <w:bdr w:val="nil"/>
        </w:rPr>
      </w:pPr>
      <w:r>
        <w:rPr>
          <w:szCs w:val="24"/>
          <w:bdr w:val="nil"/>
        </w:rPr>
        <w:t>The Directorate provides child protection services for children and young people by promoting their safety within the family unit. Where a child is at risk and cannot remain within the family home, the Directorate supports the child in out of home care.</w:t>
      </w:r>
    </w:p>
    <w:p w14:paraId="0B3FB637" w14:textId="208197D5" w:rsidR="00A4668D" w:rsidRDefault="00A4668D" w:rsidP="00A4668D">
      <w:pPr>
        <w:pStyle w:val="Normal20"/>
        <w:pBdr>
          <w:top w:val="nil"/>
          <w:left w:val="nil"/>
          <w:bottom w:val="nil"/>
          <w:right w:val="nil"/>
          <w:between w:val="nil"/>
          <w:bar w:val="nil"/>
        </w:pBdr>
        <w:rPr>
          <w:szCs w:val="24"/>
          <w:bdr w:val="nil"/>
        </w:rPr>
      </w:pPr>
      <w:r>
        <w:rPr>
          <w:szCs w:val="24"/>
          <w:bdr w:val="nil"/>
        </w:rPr>
        <w:t xml:space="preserve">Uninterrupted placements signal appropriately targeted intervention, </w:t>
      </w:r>
      <w:proofErr w:type="gramStart"/>
      <w:r>
        <w:rPr>
          <w:szCs w:val="24"/>
          <w:bdr w:val="nil"/>
        </w:rPr>
        <w:t>stability</w:t>
      </w:r>
      <w:proofErr w:type="gramEnd"/>
      <w:r>
        <w:rPr>
          <w:szCs w:val="24"/>
          <w:bdr w:val="nil"/>
        </w:rPr>
        <w:t xml:space="preserve"> and continuity of care. This maximises opportunities to achieve positive outcomes for vulnerable children and young people.</w:t>
      </w:r>
    </w:p>
    <w:p w14:paraId="263E106F" w14:textId="77777777" w:rsidR="00A4668D" w:rsidRDefault="00A4668D" w:rsidP="00A4668D">
      <w:pPr>
        <w:pStyle w:val="Heading4"/>
        <w:pBdr>
          <w:top w:val="nil"/>
          <w:left w:val="nil"/>
          <w:bottom w:val="nil"/>
          <w:right w:val="nil"/>
          <w:between w:val="nil"/>
          <w:bar w:val="nil"/>
        </w:pBdr>
        <w:rPr>
          <w:i w:val="0"/>
          <w:bdr w:val="nil"/>
        </w:rPr>
      </w:pPr>
      <w:r>
        <w:rPr>
          <w:bdr w:val="nil"/>
        </w:rPr>
        <w:t>Strategic Indicator 8: Proportion of children exiting care having experienced no more than two placements in care</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58485CAE" w14:textId="77777777" w:rsidTr="00A4668D">
        <w:trPr>
          <w:trHeight w:val="170"/>
          <w:jc w:val="center"/>
        </w:trPr>
        <w:tc>
          <w:tcPr>
            <w:tcW w:w="1821" w:type="dxa"/>
            <w:tcBorders>
              <w:top w:val="single" w:sz="4" w:space="0" w:color="auto"/>
              <w:left w:val="nil"/>
              <w:bottom w:val="nil"/>
              <w:right w:val="nil"/>
            </w:tcBorders>
            <w:vAlign w:val="center"/>
            <w:hideMark/>
          </w:tcPr>
          <w:p w14:paraId="36092B7F" w14:textId="71657D98"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8D67152" w14:textId="7E7C1E1D"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5C60385" w14:textId="5847BD29"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881F004" w14:textId="0E4915D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BE1961B" w14:textId="713DC047"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728FD517" w14:textId="77777777" w:rsidTr="00A4668D">
        <w:trPr>
          <w:trHeight w:val="170"/>
          <w:jc w:val="center"/>
        </w:trPr>
        <w:tc>
          <w:tcPr>
            <w:tcW w:w="1821" w:type="dxa"/>
            <w:vAlign w:val="center"/>
            <w:hideMark/>
          </w:tcPr>
          <w:p w14:paraId="6B185500" w14:textId="357BFC48"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noWrap/>
            <w:tcMar>
              <w:top w:w="15" w:type="dxa"/>
              <w:left w:w="15" w:type="dxa"/>
              <w:bottom w:w="0" w:type="dxa"/>
              <w:right w:w="15" w:type="dxa"/>
            </w:tcMar>
            <w:vAlign w:val="center"/>
            <w:hideMark/>
          </w:tcPr>
          <w:p w14:paraId="1F81E061" w14:textId="7E07565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center"/>
            <w:hideMark/>
          </w:tcPr>
          <w:p w14:paraId="5489BAFC" w14:textId="5041C92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42D735E8" w14:textId="3CF4A299"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553BCF62" w14:textId="1B1D0BE0"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2885DD40" w14:textId="77777777" w:rsidTr="00A4668D">
        <w:trPr>
          <w:trHeight w:val="170"/>
          <w:jc w:val="center"/>
        </w:trPr>
        <w:tc>
          <w:tcPr>
            <w:tcW w:w="1821" w:type="dxa"/>
            <w:tcBorders>
              <w:top w:val="nil"/>
              <w:left w:val="nil"/>
              <w:bottom w:val="single" w:sz="4" w:space="0" w:color="auto"/>
              <w:right w:val="nil"/>
            </w:tcBorders>
            <w:vAlign w:val="bottom"/>
            <w:hideMark/>
          </w:tcPr>
          <w:p w14:paraId="12EEC22D"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6C9C04B2"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386D2464"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4E19D064"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4F5C71C8"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07D35" w14:paraId="4B0C66E2" w14:textId="77777777" w:rsidTr="00A4668D">
        <w:trPr>
          <w:trHeight w:val="284"/>
          <w:jc w:val="center"/>
        </w:trPr>
        <w:tc>
          <w:tcPr>
            <w:tcW w:w="1821" w:type="dxa"/>
            <w:tcBorders>
              <w:top w:val="single" w:sz="4" w:space="0" w:color="auto"/>
              <w:left w:val="nil"/>
              <w:bottom w:val="single" w:sz="4" w:space="0" w:color="auto"/>
              <w:right w:val="nil"/>
            </w:tcBorders>
            <w:vAlign w:val="center"/>
            <w:hideMark/>
          </w:tcPr>
          <w:p w14:paraId="3285A0B1" w14:textId="77777777" w:rsidR="00A4668D" w:rsidRDefault="00A4668D">
            <w:pPr>
              <w:pStyle w:val="BStablefigures00"/>
              <w:pBdr>
                <w:top w:val="nil"/>
                <w:left w:val="nil"/>
                <w:bottom w:val="nil"/>
                <w:right w:val="nil"/>
                <w:between w:val="nil"/>
                <w:bar w:val="nil"/>
              </w:pBdr>
              <w:rPr>
                <w:rFonts w:cs="Times New Roman"/>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B7261DE"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E216AFF"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312A14F"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CC34A76" w14:textId="77777777" w:rsidR="00A4668D" w:rsidRDefault="00A4668D">
            <w:pPr>
              <w:pStyle w:val="BStablefigures00"/>
              <w:pBdr>
                <w:top w:val="nil"/>
                <w:left w:val="nil"/>
                <w:bottom w:val="nil"/>
                <w:right w:val="nil"/>
                <w:between w:val="nil"/>
                <w:bar w:val="nil"/>
              </w:pBdr>
              <w:rPr>
                <w:sz w:val="20"/>
                <w:szCs w:val="20"/>
                <w:bdr w:val="nil"/>
              </w:rPr>
            </w:pPr>
            <w:r>
              <w:rPr>
                <w:sz w:val="20"/>
                <w:szCs w:val="20"/>
                <w:bdr w:val="nil"/>
              </w:rPr>
              <w:t>75</w:t>
            </w:r>
          </w:p>
        </w:tc>
      </w:tr>
    </w:tbl>
    <w:p w14:paraId="47C3BECB" w14:textId="77777777" w:rsidR="00A4668D" w:rsidRPr="00D35602" w:rsidRDefault="00A4668D" w:rsidP="000500CC">
      <w:pPr>
        <w:pStyle w:val="Heading32"/>
        <w:rPr>
          <w:bdr w:val="nil"/>
        </w:rPr>
      </w:pPr>
      <w:bookmarkStart w:id="28" w:name="_Toc514926330"/>
      <w:r>
        <w:rPr>
          <w:bdr w:val="nil"/>
        </w:rPr>
        <w:t xml:space="preserve">Strategic Objective </w:t>
      </w:r>
      <w:bookmarkEnd w:id="28"/>
      <w:r>
        <w:rPr>
          <w:bdr w:val="nil"/>
        </w:rPr>
        <w:t>9</w:t>
      </w:r>
    </w:p>
    <w:p w14:paraId="3B7B57A6" w14:textId="77777777" w:rsidR="00A4668D" w:rsidRDefault="00A4668D" w:rsidP="00A4668D">
      <w:pPr>
        <w:pStyle w:val="Heading4"/>
        <w:pBdr>
          <w:top w:val="nil"/>
          <w:left w:val="nil"/>
          <w:bottom w:val="nil"/>
          <w:right w:val="nil"/>
          <w:between w:val="nil"/>
          <w:bar w:val="nil"/>
        </w:pBdr>
        <w:rPr>
          <w:i w:val="0"/>
          <w:bdr w:val="nil"/>
        </w:rPr>
      </w:pPr>
      <w:bookmarkStart w:id="29" w:name="_Hlk9959347"/>
      <w:r>
        <w:rPr>
          <w:bdr w:val="nil"/>
        </w:rPr>
        <w:t>Ensure the high quality of suitable entities for care and protection purposes</w:t>
      </w:r>
      <w:bookmarkEnd w:id="29"/>
    </w:p>
    <w:p w14:paraId="05DE5659" w14:textId="77777777" w:rsidR="00A4668D" w:rsidRDefault="00A4668D" w:rsidP="00A4668D">
      <w:pPr>
        <w:pStyle w:val="Normal20"/>
        <w:pBdr>
          <w:top w:val="nil"/>
          <w:left w:val="nil"/>
          <w:bottom w:val="nil"/>
          <w:right w:val="nil"/>
          <w:between w:val="nil"/>
          <w:bar w:val="nil"/>
        </w:pBdr>
        <w:rPr>
          <w:szCs w:val="24"/>
          <w:bdr w:val="nil"/>
        </w:rPr>
      </w:pPr>
      <w:r>
        <w:rPr>
          <w:szCs w:val="24"/>
          <w:bdr w:val="nil"/>
        </w:rPr>
        <w:t>The Directorate has responsibility for the oversight of suitable entities for care and protection purposes. This function requires that suitable entities in the ACT are financially sound, supported by robust governance structures and adhere to current best practice standards.</w:t>
      </w:r>
    </w:p>
    <w:p w14:paraId="3DA33C0B" w14:textId="77777777" w:rsidR="00A4668D" w:rsidRDefault="00A4668D" w:rsidP="00A4668D">
      <w:pPr>
        <w:pStyle w:val="Heading4"/>
        <w:pBdr>
          <w:top w:val="nil"/>
          <w:left w:val="nil"/>
          <w:bottom w:val="nil"/>
          <w:right w:val="nil"/>
          <w:between w:val="nil"/>
          <w:bar w:val="nil"/>
        </w:pBdr>
        <w:rPr>
          <w:i w:val="0"/>
          <w:bdr w:val="nil"/>
        </w:rPr>
      </w:pPr>
      <w:r>
        <w:rPr>
          <w:bdr w:val="nil"/>
        </w:rPr>
        <w:t>Strategic Indicator 9: The proportion of suitable entities compliant with registration standards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21F422F4" w14:textId="77777777" w:rsidTr="00A4668D">
        <w:trPr>
          <w:trHeight w:val="170"/>
          <w:jc w:val="center"/>
        </w:trPr>
        <w:tc>
          <w:tcPr>
            <w:tcW w:w="1821" w:type="dxa"/>
            <w:tcBorders>
              <w:top w:val="single" w:sz="4" w:space="0" w:color="auto"/>
              <w:left w:val="nil"/>
              <w:bottom w:val="nil"/>
              <w:right w:val="nil"/>
            </w:tcBorders>
            <w:vAlign w:val="center"/>
            <w:hideMark/>
          </w:tcPr>
          <w:p w14:paraId="3A43562D" w14:textId="0656CB9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44DD091" w14:textId="21050311"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8472ACE" w14:textId="151B1DB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5D4222C3" w14:textId="0FB69DAD"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D3C6B7B" w14:textId="019E4AA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5973FAE9" w14:textId="77777777" w:rsidTr="00A4668D">
        <w:trPr>
          <w:trHeight w:val="170"/>
          <w:jc w:val="center"/>
        </w:trPr>
        <w:tc>
          <w:tcPr>
            <w:tcW w:w="1821" w:type="dxa"/>
            <w:vAlign w:val="center"/>
            <w:hideMark/>
          </w:tcPr>
          <w:p w14:paraId="2DEDB93E" w14:textId="4FD5AE6D"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noWrap/>
            <w:tcMar>
              <w:top w:w="15" w:type="dxa"/>
              <w:left w:w="15" w:type="dxa"/>
              <w:bottom w:w="0" w:type="dxa"/>
              <w:right w:w="15" w:type="dxa"/>
            </w:tcMar>
            <w:vAlign w:val="center"/>
            <w:hideMark/>
          </w:tcPr>
          <w:p w14:paraId="13E847C2" w14:textId="0B78E0A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center"/>
            <w:hideMark/>
          </w:tcPr>
          <w:p w14:paraId="511594D9" w14:textId="5C243B85"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43FC2B96" w14:textId="72B7F3AA"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3C2102C4" w14:textId="58BA945C"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101EEE6F" w14:textId="77777777" w:rsidTr="00A4668D">
        <w:trPr>
          <w:trHeight w:val="170"/>
          <w:jc w:val="center"/>
        </w:trPr>
        <w:tc>
          <w:tcPr>
            <w:tcW w:w="1821" w:type="dxa"/>
            <w:tcBorders>
              <w:top w:val="nil"/>
              <w:left w:val="nil"/>
              <w:bottom w:val="single" w:sz="4" w:space="0" w:color="auto"/>
              <w:right w:val="nil"/>
            </w:tcBorders>
            <w:vAlign w:val="bottom"/>
            <w:hideMark/>
          </w:tcPr>
          <w:p w14:paraId="516D9117"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7363EE07"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5BAF781B"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759F7D7F"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029E5B3D"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07D35" w14:paraId="043B5483" w14:textId="77777777" w:rsidTr="00A4668D">
        <w:trPr>
          <w:trHeight w:val="284"/>
          <w:jc w:val="center"/>
        </w:trPr>
        <w:tc>
          <w:tcPr>
            <w:tcW w:w="1821" w:type="dxa"/>
            <w:tcBorders>
              <w:top w:val="single" w:sz="4" w:space="0" w:color="auto"/>
              <w:left w:val="nil"/>
              <w:bottom w:val="single" w:sz="4" w:space="0" w:color="auto"/>
              <w:right w:val="nil"/>
            </w:tcBorders>
            <w:vAlign w:val="center"/>
            <w:hideMark/>
          </w:tcPr>
          <w:p w14:paraId="0DADBF71" w14:textId="77777777" w:rsidR="00A4668D" w:rsidRDefault="00A4668D">
            <w:pPr>
              <w:pStyle w:val="BStablefigures00"/>
              <w:pBdr>
                <w:top w:val="nil"/>
                <w:left w:val="nil"/>
                <w:bottom w:val="nil"/>
                <w:right w:val="nil"/>
                <w:between w:val="nil"/>
                <w:bar w:val="nil"/>
              </w:pBdr>
              <w:rPr>
                <w:rFonts w:cs="Times New Roman"/>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D96157C" w14:textId="77777777" w:rsidR="00A4668D" w:rsidRDefault="00A4668D">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1C3222B" w14:textId="77777777" w:rsidR="00A4668D" w:rsidRDefault="00A4668D">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602A996" w14:textId="77777777" w:rsidR="00A4668D" w:rsidRDefault="00A4668D">
            <w:pPr>
              <w:pStyle w:val="BStablefigures00"/>
              <w:pBdr>
                <w:top w:val="nil"/>
                <w:left w:val="nil"/>
                <w:bottom w:val="nil"/>
                <w:right w:val="nil"/>
                <w:between w:val="nil"/>
                <w:bar w:val="nil"/>
              </w:pBdr>
              <w:rPr>
                <w:strike/>
                <w:color w:val="FF0000"/>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F308A6C" w14:textId="77777777" w:rsidR="00A4668D" w:rsidRDefault="00A4668D">
            <w:pPr>
              <w:pStyle w:val="BStablefigures00"/>
              <w:pBdr>
                <w:top w:val="nil"/>
                <w:left w:val="nil"/>
                <w:bottom w:val="nil"/>
                <w:right w:val="nil"/>
                <w:between w:val="nil"/>
                <w:bar w:val="nil"/>
              </w:pBdr>
              <w:rPr>
                <w:strike/>
                <w:color w:val="FF0000"/>
                <w:sz w:val="20"/>
                <w:szCs w:val="20"/>
                <w:bdr w:val="nil"/>
              </w:rPr>
            </w:pPr>
            <w:r>
              <w:rPr>
                <w:sz w:val="20"/>
                <w:szCs w:val="20"/>
                <w:bdr w:val="nil"/>
              </w:rPr>
              <w:t>100</w:t>
            </w:r>
          </w:p>
        </w:tc>
      </w:tr>
    </w:tbl>
    <w:p w14:paraId="65902E87" w14:textId="77777777" w:rsidR="00A4668D" w:rsidRDefault="00A4668D" w:rsidP="000500CC">
      <w:pPr>
        <w:pStyle w:val="Heading30"/>
      </w:pPr>
    </w:p>
    <w:p w14:paraId="626EC519" w14:textId="77777777" w:rsidR="00A4668D" w:rsidRDefault="00A4668D">
      <w:pPr>
        <w:pBdr>
          <w:top w:val="nil"/>
          <w:left w:val="nil"/>
          <w:bottom w:val="nil"/>
          <w:right w:val="nil"/>
          <w:between w:val="nil"/>
          <w:bar w:val="nil"/>
        </w:pBdr>
        <w:spacing w:before="0" w:after="0"/>
        <w:rPr>
          <w:b/>
          <w:bCs/>
          <w:sz w:val="28"/>
          <w:szCs w:val="28"/>
          <w:bdr w:val="nil"/>
        </w:rPr>
      </w:pPr>
      <w:r>
        <w:rPr>
          <w:szCs w:val="28"/>
          <w:bdr w:val="nil"/>
        </w:rPr>
        <w:br w:type="page"/>
      </w:r>
    </w:p>
    <w:p w14:paraId="7325E20E" w14:textId="6755D239" w:rsidR="00A4668D" w:rsidRDefault="00A4668D" w:rsidP="000500CC">
      <w:pPr>
        <w:pStyle w:val="Heading32"/>
        <w:rPr>
          <w:bdr w:val="nil"/>
        </w:rPr>
      </w:pPr>
      <w:r>
        <w:rPr>
          <w:bdr w:val="nil"/>
        </w:rPr>
        <w:lastRenderedPageBreak/>
        <w:t>Strategic Objective 10</w:t>
      </w:r>
    </w:p>
    <w:p w14:paraId="0F5E2355" w14:textId="77777777" w:rsidR="00A4668D" w:rsidRDefault="00A4668D" w:rsidP="00A4668D">
      <w:pPr>
        <w:pStyle w:val="Heading4"/>
        <w:pBdr>
          <w:top w:val="nil"/>
          <w:left w:val="nil"/>
          <w:bottom w:val="nil"/>
          <w:right w:val="nil"/>
          <w:between w:val="nil"/>
          <w:bar w:val="nil"/>
        </w:pBdr>
        <w:rPr>
          <w:i w:val="0"/>
          <w:bdr w:val="nil"/>
        </w:rPr>
      </w:pPr>
      <w:r>
        <w:rPr>
          <w:bdr w:val="nil"/>
        </w:rPr>
        <w:t>Ensure the high quality of suitable entities for community housing purposes</w:t>
      </w:r>
    </w:p>
    <w:p w14:paraId="297E2B41" w14:textId="77777777" w:rsidR="00A4668D" w:rsidRDefault="00A4668D" w:rsidP="00A4668D">
      <w:pPr>
        <w:pStyle w:val="Normal20"/>
        <w:pBdr>
          <w:top w:val="nil"/>
          <w:left w:val="nil"/>
          <w:bottom w:val="nil"/>
          <w:right w:val="nil"/>
          <w:between w:val="nil"/>
          <w:bar w:val="nil"/>
        </w:pBdr>
        <w:rPr>
          <w:szCs w:val="24"/>
          <w:bdr w:val="nil"/>
        </w:rPr>
      </w:pPr>
      <w:r>
        <w:rPr>
          <w:szCs w:val="24"/>
          <w:bdr w:val="nil"/>
        </w:rPr>
        <w:t>The Directorate has responsibility for the oversight of suitable entities for community housing purposes. This function requires that suitable entities in the ACT are financially sound, supported by robust governance structures and adhere to current best practice standards.</w:t>
      </w:r>
    </w:p>
    <w:p w14:paraId="684E1901" w14:textId="77777777" w:rsidR="00A4668D" w:rsidRDefault="00A4668D" w:rsidP="00A4668D">
      <w:pPr>
        <w:pStyle w:val="Heading4"/>
        <w:pBdr>
          <w:top w:val="nil"/>
          <w:left w:val="nil"/>
          <w:bottom w:val="nil"/>
          <w:right w:val="nil"/>
          <w:between w:val="nil"/>
          <w:bar w:val="nil"/>
        </w:pBdr>
        <w:rPr>
          <w:i w:val="0"/>
          <w:bdr w:val="nil"/>
        </w:rPr>
      </w:pPr>
      <w:r>
        <w:rPr>
          <w:bdr w:val="nil"/>
        </w:rPr>
        <w:t>Strategic Indicator 10: The proportion of suitable entities compliant with registration standards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07D35" w14:paraId="2F1D9CF3" w14:textId="77777777" w:rsidTr="00A4668D">
        <w:trPr>
          <w:trHeight w:val="170"/>
          <w:jc w:val="center"/>
        </w:trPr>
        <w:tc>
          <w:tcPr>
            <w:tcW w:w="1821" w:type="dxa"/>
            <w:tcBorders>
              <w:top w:val="single" w:sz="4" w:space="0" w:color="auto"/>
              <w:left w:val="nil"/>
              <w:bottom w:val="nil"/>
              <w:right w:val="nil"/>
            </w:tcBorders>
            <w:vAlign w:val="center"/>
            <w:hideMark/>
          </w:tcPr>
          <w:p w14:paraId="172224A4" w14:textId="33E521E3"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3E462ED" w14:textId="7699598A"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BB3CC2E" w14:textId="32B8C6D1"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BACCF62" w14:textId="7F214E2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2F9CD82A" w14:textId="503C8F44"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2024-25</w:t>
            </w:r>
          </w:p>
        </w:tc>
      </w:tr>
      <w:tr w:rsidR="00C07D35" w14:paraId="692F2F60" w14:textId="77777777" w:rsidTr="00A4668D">
        <w:trPr>
          <w:trHeight w:val="170"/>
          <w:jc w:val="center"/>
        </w:trPr>
        <w:tc>
          <w:tcPr>
            <w:tcW w:w="1821" w:type="dxa"/>
            <w:vAlign w:val="center"/>
            <w:hideMark/>
          </w:tcPr>
          <w:p w14:paraId="1E1ADA04" w14:textId="46D60FBE"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noWrap/>
            <w:tcMar>
              <w:top w:w="15" w:type="dxa"/>
              <w:left w:w="15" w:type="dxa"/>
              <w:bottom w:w="0" w:type="dxa"/>
              <w:right w:w="15" w:type="dxa"/>
            </w:tcMar>
            <w:vAlign w:val="center"/>
            <w:hideMark/>
          </w:tcPr>
          <w:p w14:paraId="072A86BA" w14:textId="72D7E896"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center"/>
            <w:hideMark/>
          </w:tcPr>
          <w:p w14:paraId="057F34B0" w14:textId="6114451A"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7C14F05E" w14:textId="19C0D6E8"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4A563B56" w14:textId="49526FCF" w:rsidR="00A4668D" w:rsidRDefault="00A4668D" w:rsidP="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07D35" w14:paraId="11E15444" w14:textId="77777777" w:rsidTr="00A4668D">
        <w:trPr>
          <w:trHeight w:val="170"/>
          <w:jc w:val="center"/>
        </w:trPr>
        <w:tc>
          <w:tcPr>
            <w:tcW w:w="1821" w:type="dxa"/>
            <w:tcBorders>
              <w:top w:val="nil"/>
              <w:left w:val="nil"/>
              <w:bottom w:val="single" w:sz="4" w:space="0" w:color="auto"/>
              <w:right w:val="nil"/>
            </w:tcBorders>
            <w:vAlign w:val="bottom"/>
            <w:hideMark/>
          </w:tcPr>
          <w:p w14:paraId="52396D9C"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002EDD8E"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20F648EF"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2358C315"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1F40BEB8" w14:textId="77777777" w:rsidR="00A4668D" w:rsidRDefault="00A4668D">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07D35" w14:paraId="6E07ACA0" w14:textId="77777777" w:rsidTr="00A4668D">
        <w:trPr>
          <w:trHeight w:val="284"/>
          <w:jc w:val="center"/>
        </w:trPr>
        <w:tc>
          <w:tcPr>
            <w:tcW w:w="1821" w:type="dxa"/>
            <w:tcBorders>
              <w:top w:val="single" w:sz="4" w:space="0" w:color="auto"/>
              <w:left w:val="nil"/>
              <w:bottom w:val="single" w:sz="4" w:space="0" w:color="auto"/>
              <w:right w:val="nil"/>
            </w:tcBorders>
            <w:vAlign w:val="center"/>
            <w:hideMark/>
          </w:tcPr>
          <w:p w14:paraId="0C6A69C1" w14:textId="19FF700C" w:rsidR="00A4668D" w:rsidRDefault="00A4668D">
            <w:pPr>
              <w:pStyle w:val="BStablefigures00"/>
              <w:pBdr>
                <w:top w:val="nil"/>
                <w:left w:val="nil"/>
                <w:bottom w:val="nil"/>
                <w:right w:val="nil"/>
                <w:between w:val="nil"/>
                <w:bar w:val="nil"/>
              </w:pBdr>
              <w:rPr>
                <w:rFonts w:cs="Times New Roman"/>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967DBAA" w14:textId="77777777" w:rsidR="00A4668D" w:rsidRDefault="00A4668D">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062FEB2" w14:textId="77777777" w:rsidR="00A4668D" w:rsidRDefault="00A4668D">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0D1C8C3" w14:textId="77777777" w:rsidR="00A4668D" w:rsidRDefault="00A4668D">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B0F8901" w14:textId="77777777" w:rsidR="00A4668D" w:rsidRDefault="00A4668D">
            <w:pPr>
              <w:pStyle w:val="BStablefigures00"/>
              <w:pBdr>
                <w:top w:val="nil"/>
                <w:left w:val="nil"/>
                <w:bottom w:val="nil"/>
                <w:right w:val="nil"/>
                <w:between w:val="nil"/>
                <w:bar w:val="nil"/>
              </w:pBdr>
              <w:rPr>
                <w:strike/>
                <w:sz w:val="20"/>
                <w:szCs w:val="20"/>
                <w:bdr w:val="nil"/>
              </w:rPr>
            </w:pPr>
            <w:r>
              <w:rPr>
                <w:sz w:val="20"/>
                <w:szCs w:val="20"/>
                <w:bdr w:val="nil"/>
              </w:rPr>
              <w:t>100</w:t>
            </w:r>
          </w:p>
        </w:tc>
      </w:tr>
    </w:tbl>
    <w:p w14:paraId="0F35D5F8" w14:textId="77777777" w:rsidR="00A4668D" w:rsidRDefault="00A4668D" w:rsidP="00A4668D">
      <w:pPr>
        <w:pStyle w:val="Heading2"/>
        <w:pageBreakBefore/>
        <w:pBdr>
          <w:top w:val="nil"/>
          <w:left w:val="nil"/>
          <w:bottom w:val="nil"/>
          <w:right w:val="nil"/>
          <w:between w:val="nil"/>
          <w:bar w:val="nil"/>
        </w:pBdr>
        <w:rPr>
          <w:bdr w:val="nil"/>
        </w:rPr>
      </w:pPr>
      <w:bookmarkStart w:id="30" w:name="_Toc452467799"/>
      <w:bookmarkStart w:id="31" w:name="_Toc84071135"/>
      <w:r>
        <w:rPr>
          <w:bdr w:val="nil"/>
        </w:rPr>
        <w:lastRenderedPageBreak/>
        <w:t>Output Classes</w:t>
      </w:r>
      <w:bookmarkEnd w:id="30"/>
      <w:r>
        <w:rPr>
          <w:bdr w:val="nil"/>
        </w:rPr>
        <w:t xml:space="preserve"> (Controlled GGS)</w:t>
      </w:r>
      <w:bookmarkEnd w:id="31"/>
    </w:p>
    <w:p w14:paraId="48D12D1C" w14:textId="1FC88F19" w:rsidR="00A4668D" w:rsidRPr="00655027" w:rsidRDefault="00A4668D" w:rsidP="000500CC">
      <w:pPr>
        <w:pStyle w:val="Heading32"/>
        <w:rPr>
          <w:bdr w:val="nil"/>
        </w:rPr>
      </w:pPr>
      <w:r w:rsidRPr="00655027">
        <w:rPr>
          <w:bdr w:val="nil"/>
        </w:rPr>
        <w:t>Output Class 1: Strategic Policy, Inclusion and Participation</w:t>
      </w:r>
    </w:p>
    <w:p w14:paraId="1BBC61B7" w14:textId="160C0A56"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2</w:t>
      </w:r>
      <w:r w:rsidRPr="00655027">
        <w:rPr>
          <w:noProof/>
          <w:bdr w:val="nil"/>
        </w:rPr>
        <w:fldChar w:fldCharType="end"/>
      </w:r>
      <w:r w:rsidRPr="00655027">
        <w:rPr>
          <w:bdr w:val="nil"/>
        </w:rPr>
        <w:t>: Output Class 1: Strategic Policy, Inclusion and Participation</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59F129AD"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5EB6555"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29B1E83"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3EE36A6"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4B3347B"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48406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3D8A745"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995B83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FC9E282"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F039A39"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5AF32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9A66F30"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1046D7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1E92137"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7ABF56D"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22AF30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CBE9F92"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7FC6EBD"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A314C89"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75,039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051F19F"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79,978</w:t>
            </w:r>
          </w:p>
        </w:tc>
      </w:tr>
      <w:tr w:rsidR="00C07D35" w:rsidRPr="00655027" w14:paraId="36FA5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5D2A9DA"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DCAEF34"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D478405"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70,489</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BA07D78"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77,734</w:t>
            </w:r>
          </w:p>
        </w:tc>
      </w:tr>
    </w:tbl>
    <w:p w14:paraId="2B75E00B" w14:textId="77777777"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6420C3BC" w14:textId="5F1FB2EF" w:rsidR="00A4668D" w:rsidRPr="00655027" w:rsidRDefault="00A4668D" w:rsidP="009A24FA">
      <w:pPr>
        <w:pStyle w:val="BSnoteslist1"/>
        <w:numPr>
          <w:ilvl w:val="0"/>
          <w:numId w:val="10"/>
        </w:numPr>
        <w:pBdr>
          <w:top w:val="nil"/>
          <w:left w:val="nil"/>
          <w:bottom w:val="nil"/>
          <w:right w:val="nil"/>
          <w:between w:val="nil"/>
          <w:bar w:val="nil"/>
        </w:pBdr>
        <w:rPr>
          <w:bdr w:val="nil"/>
        </w:rPr>
      </w:pPr>
      <w:r w:rsidRPr="00655027">
        <w:rPr>
          <w:bdr w:val="nil"/>
        </w:rPr>
        <w:t xml:space="preserve">Total cost </w:t>
      </w:r>
      <w:r w:rsidRPr="00655027">
        <w:rPr>
          <w:szCs w:val="16"/>
          <w:bdr w:val="nil"/>
        </w:rPr>
        <w:t>includes</w:t>
      </w:r>
      <w:r w:rsidRPr="00655027">
        <w:rPr>
          <w:bdr w:val="nil"/>
        </w:rPr>
        <w:t xml:space="preserve"> depreciation and amortisation of $0.066 million in 2020-21 and $0.497 million in 2021-22.</w:t>
      </w:r>
    </w:p>
    <w:p w14:paraId="5801F6E9" w14:textId="4166A86E" w:rsidR="00A4668D" w:rsidRPr="00655027" w:rsidRDefault="00A4668D" w:rsidP="009A24FA">
      <w:pPr>
        <w:pStyle w:val="BSnoteslist1"/>
        <w:numPr>
          <w:ilvl w:val="0"/>
          <w:numId w:val="10"/>
        </w:numPr>
        <w:pBdr>
          <w:top w:val="nil"/>
          <w:left w:val="nil"/>
          <w:bottom w:val="nil"/>
          <w:right w:val="nil"/>
          <w:between w:val="nil"/>
          <w:bar w:val="nil"/>
        </w:pBdr>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5E6A2CE6" w14:textId="755C7F71" w:rsidR="00A4668D" w:rsidRPr="00655027" w:rsidRDefault="00A4668D" w:rsidP="00A4668D">
      <w:pPr>
        <w:pStyle w:val="Heading4"/>
        <w:pBdr>
          <w:top w:val="nil"/>
          <w:left w:val="nil"/>
          <w:bottom w:val="nil"/>
          <w:right w:val="nil"/>
          <w:between w:val="nil"/>
          <w:bar w:val="nil"/>
        </w:pBdr>
        <w:rPr>
          <w:bdr w:val="nil"/>
        </w:rPr>
      </w:pPr>
      <w:r w:rsidRPr="00655027">
        <w:rPr>
          <w:bdr w:val="nil"/>
        </w:rPr>
        <w:t>Output 1.1: Inclusion and Participation</w:t>
      </w:r>
    </w:p>
    <w:p w14:paraId="2A494EBE" w14:textId="67C022F7" w:rsidR="00A4668D" w:rsidRPr="00655027" w:rsidRDefault="00A4668D" w:rsidP="00A4668D">
      <w:pPr>
        <w:pStyle w:val="Normal3"/>
        <w:pBdr>
          <w:top w:val="nil"/>
          <w:left w:val="nil"/>
          <w:bottom w:val="nil"/>
          <w:right w:val="nil"/>
          <w:between w:val="nil"/>
          <w:bar w:val="nil"/>
        </w:pBdr>
        <w:rPr>
          <w:bdr w:val="nil"/>
        </w:rPr>
      </w:pPr>
      <w:r w:rsidRPr="00655027">
        <w:rPr>
          <w:bdr w:val="nil"/>
        </w:rPr>
        <w:t xml:space="preserve">Inclusion and Participation provides strategic advice to strengthen the inclusion and participation of all people in Canberra’s community, including people from multicultural backgrounds, youth, women, veterans and seniors and people with disability. The contribution and support for the engagement of all people is recognised through community events, awards, </w:t>
      </w:r>
      <w:proofErr w:type="gramStart"/>
      <w:r w:rsidRPr="00655027">
        <w:rPr>
          <w:bdr w:val="nil"/>
        </w:rPr>
        <w:t>ceremonies</w:t>
      </w:r>
      <w:proofErr w:type="gramEnd"/>
      <w:r w:rsidRPr="00655027">
        <w:rPr>
          <w:bdr w:val="nil"/>
        </w:rPr>
        <w:t xml:space="preserve"> and grants. Inclusion and Participation manages the ACT Governments Social Recovery. Inclusion and Participation also administers and funds community sector services and programs.</w:t>
      </w:r>
    </w:p>
    <w:p w14:paraId="595EAB09" w14:textId="6E5F3877"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3</w:t>
      </w:r>
      <w:r w:rsidRPr="00655027">
        <w:rPr>
          <w:noProof/>
          <w:bdr w:val="nil"/>
        </w:rPr>
        <w:fldChar w:fldCharType="end"/>
      </w:r>
      <w:r w:rsidRPr="00655027">
        <w:rPr>
          <w:bdr w:val="nil"/>
        </w:rPr>
        <w:t>: Output 1.1: Inclusion and Participation</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305F3C4A"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C677566"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80F9415"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8B0D527"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2EE05B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39D67F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098BCD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E9296A0"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28A922E9"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BAD139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5ECBC3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4E50E29"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25D267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A9A8352"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4ACA892"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0B702C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A1142A2"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33627E2"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FA4B337"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46,313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C7BFB9B"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47,574</w:t>
            </w:r>
          </w:p>
        </w:tc>
      </w:tr>
      <w:tr w:rsidR="00C07D35" w:rsidRPr="00655027" w14:paraId="1FFDE2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9716125"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1</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DA8A667"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A048EB8"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43,837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BE3DF64"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46,601</w:t>
            </w:r>
          </w:p>
        </w:tc>
      </w:tr>
    </w:tbl>
    <w:p w14:paraId="2FAF4A39" w14:textId="3406E558" w:rsidR="00A4668D" w:rsidRPr="00655027" w:rsidRDefault="00A4668D" w:rsidP="00A4668D">
      <w:pPr>
        <w:pStyle w:val="BSnote"/>
        <w:pBdr>
          <w:top w:val="nil"/>
          <w:left w:val="nil"/>
          <w:bottom w:val="nil"/>
          <w:right w:val="nil"/>
          <w:between w:val="nil"/>
          <w:bar w:val="nil"/>
        </w:pBdr>
        <w:rPr>
          <w:bdr w:val="nil"/>
        </w:rPr>
      </w:pPr>
      <w:r w:rsidRPr="00655027">
        <w:rPr>
          <w:bdr w:val="nil"/>
        </w:rPr>
        <w:t>Note:</w:t>
      </w:r>
    </w:p>
    <w:p w14:paraId="72BF45CB" w14:textId="5329231C" w:rsidR="00A4668D" w:rsidRPr="00655027" w:rsidRDefault="00A4668D" w:rsidP="009A24FA">
      <w:pPr>
        <w:pStyle w:val="BSnoteslist1"/>
        <w:numPr>
          <w:ilvl w:val="0"/>
          <w:numId w:val="11"/>
        </w:numPr>
        <w:pBdr>
          <w:top w:val="nil"/>
          <w:left w:val="nil"/>
          <w:bottom w:val="nil"/>
          <w:right w:val="nil"/>
          <w:between w:val="nil"/>
          <w:bar w:val="nil"/>
        </w:pBdr>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2EE57BD3" w14:textId="77777777" w:rsidR="00A4668D" w:rsidRPr="00655027" w:rsidRDefault="00A4668D">
      <w:pPr>
        <w:pBdr>
          <w:top w:val="nil"/>
          <w:left w:val="nil"/>
          <w:bottom w:val="nil"/>
          <w:right w:val="nil"/>
          <w:between w:val="nil"/>
          <w:bar w:val="nil"/>
        </w:pBdr>
        <w:spacing w:before="0" w:after="0"/>
        <w:rPr>
          <w:b/>
          <w:i/>
          <w:bdr w:val="nil"/>
        </w:rPr>
      </w:pPr>
      <w:r w:rsidRPr="00655027">
        <w:rPr>
          <w:bdr w:val="nil"/>
        </w:rPr>
        <w:br w:type="page"/>
      </w:r>
    </w:p>
    <w:p w14:paraId="34CC29E4" w14:textId="1B3C39A4" w:rsidR="00A4668D" w:rsidRPr="00655027" w:rsidRDefault="00A4668D" w:rsidP="00A4668D">
      <w:pPr>
        <w:pStyle w:val="Heading4"/>
        <w:pBdr>
          <w:top w:val="nil"/>
          <w:left w:val="nil"/>
          <w:bottom w:val="nil"/>
          <w:right w:val="nil"/>
          <w:between w:val="nil"/>
          <w:bar w:val="nil"/>
        </w:pBdr>
        <w:rPr>
          <w:bdr w:val="nil"/>
        </w:rPr>
      </w:pPr>
      <w:r w:rsidRPr="00655027">
        <w:rPr>
          <w:bdr w:val="nil"/>
        </w:rPr>
        <w:lastRenderedPageBreak/>
        <w:t>Output 1.2: Office for Disability</w:t>
      </w:r>
    </w:p>
    <w:p w14:paraId="2D33394D" w14:textId="3A1D618D" w:rsidR="00A4668D" w:rsidRPr="00655027" w:rsidRDefault="00A4668D" w:rsidP="00A4668D">
      <w:pPr>
        <w:pStyle w:val="Normal3"/>
        <w:pBdr>
          <w:top w:val="nil"/>
          <w:left w:val="nil"/>
          <w:bottom w:val="nil"/>
          <w:right w:val="nil"/>
          <w:between w:val="nil"/>
          <w:bar w:val="nil"/>
        </w:pBdr>
        <w:rPr>
          <w:szCs w:val="24"/>
          <w:bdr w:val="nil"/>
        </w:rPr>
      </w:pPr>
      <w:r w:rsidRPr="00655027">
        <w:rPr>
          <w:bdr w:val="nil"/>
        </w:rPr>
        <w:t xml:space="preserve">The ACT Office for Disability promotes social inclusion and community participation of people with disability through supporting the implementation of the NDIS; progressing the objectives of the National Disability Strategy including equal access to justice for people with disability through the Disability Justice Strategy, equal access to services and participation in mainstream community activities; promoting the </w:t>
      </w:r>
      <w:r w:rsidR="00F72C3A">
        <w:rPr>
          <w:bdr w:val="nil"/>
        </w:rPr>
        <w:br/>
      </w:r>
      <w:r w:rsidRPr="00655027">
        <w:rPr>
          <w:bdr w:val="nil"/>
        </w:rPr>
        <w:t>International Day of People with Disability; and supporting the Disability Reference Group, the ACT Inclusion Council and the Chief Minister’s Inclusion Awards.</w:t>
      </w:r>
    </w:p>
    <w:p w14:paraId="3916D14E" w14:textId="68FC9498"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4</w:t>
      </w:r>
      <w:r w:rsidRPr="00655027">
        <w:rPr>
          <w:noProof/>
          <w:bdr w:val="nil"/>
        </w:rPr>
        <w:fldChar w:fldCharType="end"/>
      </w:r>
      <w:r w:rsidRPr="00655027">
        <w:rPr>
          <w:bdr w:val="nil"/>
        </w:rPr>
        <w:t>: Output 1.2: Office for Disability</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63A6A9D3"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9DA08D9"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C925162"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44913AA"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2842C5C"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1E725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BCDECC8"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601620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2E1BDC80"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DE6E87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6C4BF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3024576"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92F7944"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D4BDE6D"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2A0C256"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1C47F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A1C57B2"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C5D1A28"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AC17035"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4,936</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9FA8EDF"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4,921</w:t>
            </w:r>
          </w:p>
        </w:tc>
      </w:tr>
      <w:tr w:rsidR="00C07D35" w:rsidRPr="00655027" w14:paraId="276C6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FE51E01"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1</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3BCD857"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EC4627C"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4,188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F0329EE"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4,862</w:t>
            </w:r>
          </w:p>
        </w:tc>
      </w:tr>
    </w:tbl>
    <w:p w14:paraId="31BF2A60" w14:textId="77777777" w:rsidR="00A4668D" w:rsidRPr="00655027" w:rsidRDefault="00A4668D" w:rsidP="00A4668D">
      <w:pPr>
        <w:pStyle w:val="BSnote"/>
        <w:pBdr>
          <w:top w:val="nil"/>
          <w:left w:val="nil"/>
          <w:bottom w:val="nil"/>
          <w:right w:val="nil"/>
          <w:between w:val="nil"/>
          <w:bar w:val="nil"/>
        </w:pBdr>
        <w:rPr>
          <w:bdr w:val="nil"/>
        </w:rPr>
      </w:pPr>
      <w:r w:rsidRPr="00655027">
        <w:rPr>
          <w:bdr w:val="nil"/>
        </w:rPr>
        <w:t>Note:</w:t>
      </w:r>
    </w:p>
    <w:p w14:paraId="0DC969AA" w14:textId="786780AB" w:rsidR="00A4668D" w:rsidRPr="00655027" w:rsidRDefault="00A4668D" w:rsidP="009A24FA">
      <w:pPr>
        <w:pStyle w:val="BSnoteslist1"/>
        <w:numPr>
          <w:ilvl w:val="0"/>
          <w:numId w:val="12"/>
        </w:numPr>
        <w:pBdr>
          <w:top w:val="nil"/>
          <w:left w:val="nil"/>
          <w:bottom w:val="nil"/>
          <w:right w:val="nil"/>
          <w:between w:val="nil"/>
          <w:bar w:val="nil"/>
        </w:pBdr>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02E7487F" w14:textId="6E04130D" w:rsidR="00A4668D" w:rsidRPr="00655027" w:rsidRDefault="00A4668D" w:rsidP="00A4668D">
      <w:pPr>
        <w:pStyle w:val="Heading4"/>
        <w:pBdr>
          <w:top w:val="nil"/>
          <w:left w:val="nil"/>
          <w:bottom w:val="nil"/>
          <w:right w:val="nil"/>
          <w:between w:val="nil"/>
          <w:bar w:val="nil"/>
        </w:pBdr>
        <w:rPr>
          <w:bdr w:val="nil"/>
        </w:rPr>
      </w:pPr>
      <w:r w:rsidRPr="00655027">
        <w:rPr>
          <w:bdr w:val="nil"/>
        </w:rPr>
        <w:t>Output 1.3: Strategic Policy</w:t>
      </w:r>
    </w:p>
    <w:p w14:paraId="6AC78B20" w14:textId="77777777" w:rsidR="00A4668D" w:rsidRPr="00655027" w:rsidRDefault="00A4668D" w:rsidP="00A4668D">
      <w:pPr>
        <w:pStyle w:val="Normal3"/>
        <w:pBdr>
          <w:top w:val="nil"/>
          <w:left w:val="nil"/>
          <w:bottom w:val="nil"/>
          <w:right w:val="nil"/>
          <w:between w:val="nil"/>
          <w:bar w:val="nil"/>
        </w:pBdr>
        <w:rPr>
          <w:szCs w:val="24"/>
          <w:bdr w:val="nil"/>
        </w:rPr>
      </w:pPr>
      <w:r w:rsidRPr="00655027">
        <w:rPr>
          <w:szCs w:val="24"/>
          <w:bdr w:val="nil"/>
        </w:rPr>
        <w:t xml:space="preserve">Strategic Policy drives evidence informed policy advice and service design, information analysis and governance, digital strategy, reform initiatives and Aboriginal and Torres Strait Islander policy and engagement, with a focus on innovation, </w:t>
      </w:r>
      <w:proofErr w:type="gramStart"/>
      <w:r w:rsidRPr="00655027">
        <w:rPr>
          <w:szCs w:val="24"/>
          <w:bdr w:val="nil"/>
        </w:rPr>
        <w:t>sustainability</w:t>
      </w:r>
      <w:proofErr w:type="gramEnd"/>
      <w:r w:rsidRPr="00655027">
        <w:rPr>
          <w:szCs w:val="24"/>
          <w:bdr w:val="nil"/>
        </w:rPr>
        <w:t xml:space="preserve"> and continuous improvement. </w:t>
      </w:r>
    </w:p>
    <w:p w14:paraId="40071246" w14:textId="0431285D" w:rsidR="00A4668D" w:rsidRPr="00655027" w:rsidRDefault="00A4668D" w:rsidP="00A4668D">
      <w:pPr>
        <w:pStyle w:val="Normal3"/>
        <w:pBdr>
          <w:top w:val="nil"/>
          <w:left w:val="nil"/>
          <w:bottom w:val="nil"/>
          <w:right w:val="nil"/>
          <w:between w:val="nil"/>
          <w:bar w:val="nil"/>
        </w:pBdr>
        <w:rPr>
          <w:szCs w:val="24"/>
          <w:bdr w:val="nil"/>
        </w:rPr>
      </w:pPr>
      <w:r w:rsidRPr="00655027">
        <w:rPr>
          <w:szCs w:val="24"/>
          <w:bdr w:val="nil"/>
        </w:rPr>
        <w:t>The Division provides strategic legislative reform and policy development to improve and drive long term, human-centred initiatives that focus on early investment and support. The Division supports teams across the Directorate to embed the Strategic Plan outcomes into their day-to-day work, improve their data literacy and capability, and leads the digital transformation agenda for the Directorate.</w:t>
      </w:r>
    </w:p>
    <w:p w14:paraId="07A4136B" w14:textId="1D009E5A"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5</w:t>
      </w:r>
      <w:r w:rsidRPr="00655027">
        <w:rPr>
          <w:noProof/>
          <w:bdr w:val="nil"/>
        </w:rPr>
        <w:fldChar w:fldCharType="end"/>
      </w:r>
      <w:r w:rsidRPr="00655027">
        <w:rPr>
          <w:bdr w:val="nil"/>
        </w:rPr>
        <w:t>: Output 1.3: Strategic Policy</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43055A9B"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46F87E4"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5BCE974"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B54E6B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32524E7"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2A758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F71B7F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8AC40E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34379AC"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E9F9074"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78DF8D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A6B2F25"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CFCA10A"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2BAED8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83809D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15CBE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333F34F"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B09FCA2"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92DB202"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13,100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912EAF0"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16,980</w:t>
            </w:r>
          </w:p>
        </w:tc>
      </w:tr>
      <w:tr w:rsidR="00C07D35" w:rsidRPr="00655027" w14:paraId="2462AF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4B98D51B" w14:textId="6A192F79"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13447B2"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DAF5E2B"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13,494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BBC5DAE"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16,002</w:t>
            </w:r>
          </w:p>
        </w:tc>
      </w:tr>
    </w:tbl>
    <w:p w14:paraId="09350906" w14:textId="21C51E7C"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0868ED39" w14:textId="3A56833A" w:rsidR="00A4668D" w:rsidRPr="00655027" w:rsidRDefault="00A4668D" w:rsidP="009A24FA">
      <w:pPr>
        <w:pStyle w:val="BSnoteslist1"/>
        <w:numPr>
          <w:ilvl w:val="0"/>
          <w:numId w:val="13"/>
        </w:numPr>
        <w:pBdr>
          <w:top w:val="nil"/>
          <w:left w:val="nil"/>
          <w:bottom w:val="nil"/>
          <w:right w:val="nil"/>
          <w:between w:val="nil"/>
          <w:bar w:val="nil"/>
        </w:pBdr>
        <w:rPr>
          <w:bdr w:val="nil"/>
        </w:rPr>
      </w:pPr>
      <w:r w:rsidRPr="00655027">
        <w:rPr>
          <w:bdr w:val="nil"/>
        </w:rPr>
        <w:t xml:space="preserve">Total cost </w:t>
      </w:r>
      <w:r w:rsidRPr="00655027">
        <w:rPr>
          <w:szCs w:val="16"/>
          <w:bdr w:val="nil"/>
        </w:rPr>
        <w:t>includes</w:t>
      </w:r>
      <w:r w:rsidRPr="00655027">
        <w:rPr>
          <w:bdr w:val="nil"/>
        </w:rPr>
        <w:t xml:space="preserve"> amortisation of $0.431 million in 2021-22.</w:t>
      </w:r>
    </w:p>
    <w:p w14:paraId="52A7D42A" w14:textId="26711C9F" w:rsidR="00A4668D" w:rsidRPr="00655027" w:rsidRDefault="00A4668D" w:rsidP="009A24FA">
      <w:pPr>
        <w:pStyle w:val="BSnoteslist1"/>
        <w:numPr>
          <w:ilvl w:val="0"/>
          <w:numId w:val="13"/>
        </w:numPr>
        <w:pBdr>
          <w:top w:val="nil"/>
          <w:left w:val="nil"/>
          <w:bottom w:val="nil"/>
          <w:right w:val="nil"/>
          <w:between w:val="nil"/>
          <w:bar w:val="nil"/>
        </w:pBdr>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0B8336D0" w14:textId="77777777" w:rsidR="00A4668D" w:rsidRPr="00655027" w:rsidRDefault="00A4668D">
      <w:pPr>
        <w:pBdr>
          <w:top w:val="nil"/>
          <w:left w:val="nil"/>
          <w:bottom w:val="nil"/>
          <w:right w:val="nil"/>
          <w:between w:val="nil"/>
          <w:bar w:val="nil"/>
        </w:pBdr>
        <w:spacing w:before="0" w:after="0"/>
        <w:rPr>
          <w:b/>
          <w:i/>
          <w:bdr w:val="nil"/>
        </w:rPr>
      </w:pPr>
      <w:r w:rsidRPr="00655027">
        <w:rPr>
          <w:bdr w:val="nil"/>
        </w:rPr>
        <w:br w:type="page"/>
      </w:r>
    </w:p>
    <w:p w14:paraId="43DA7E16" w14:textId="7427B5CB" w:rsidR="00A4668D" w:rsidRPr="00655027" w:rsidRDefault="00A4668D" w:rsidP="00A4668D">
      <w:pPr>
        <w:pStyle w:val="Heading4"/>
        <w:pBdr>
          <w:top w:val="nil"/>
          <w:left w:val="nil"/>
          <w:bottom w:val="nil"/>
          <w:right w:val="nil"/>
          <w:between w:val="nil"/>
          <w:bar w:val="nil"/>
        </w:pBdr>
        <w:rPr>
          <w:bdr w:val="nil"/>
        </w:rPr>
      </w:pPr>
      <w:r w:rsidRPr="00655027">
        <w:rPr>
          <w:bdr w:val="nil"/>
        </w:rPr>
        <w:lastRenderedPageBreak/>
        <w:t>Output 1.4: Quality, Complaints and Regulation</w:t>
      </w:r>
    </w:p>
    <w:p w14:paraId="664F5289" w14:textId="7A499E5A" w:rsidR="00A4668D" w:rsidRPr="00655027" w:rsidRDefault="00A4668D" w:rsidP="00A4668D">
      <w:pPr>
        <w:pStyle w:val="Normal3"/>
        <w:pBdr>
          <w:top w:val="nil"/>
          <w:left w:val="nil"/>
          <w:bottom w:val="nil"/>
          <w:right w:val="nil"/>
          <w:between w:val="nil"/>
          <w:bar w:val="nil"/>
        </w:pBdr>
        <w:rPr>
          <w:bdr w:val="nil"/>
        </w:rPr>
      </w:pPr>
      <w:r w:rsidRPr="00655027">
        <w:rPr>
          <w:szCs w:val="24"/>
          <w:bdr w:val="nil"/>
        </w:rPr>
        <w:t xml:space="preserve">Quality, Complaints and Regulation (QCR) operates independently from program, </w:t>
      </w:r>
      <w:proofErr w:type="gramStart"/>
      <w:r w:rsidRPr="00655027">
        <w:rPr>
          <w:szCs w:val="24"/>
          <w:bdr w:val="nil"/>
        </w:rPr>
        <w:t>funding</w:t>
      </w:r>
      <w:proofErr w:type="gramEnd"/>
      <w:r w:rsidRPr="00655027">
        <w:rPr>
          <w:szCs w:val="24"/>
          <w:bdr w:val="nil"/>
        </w:rPr>
        <w:t xml:space="preserve"> or policy streams within the Directorate. Its aim is to ensure high quality services to often vulnerable people. It includes the Office of the Human Services Registrar, which regulates human services providers under ACT legislation and the Office of the Senior Practitioner for the reduction and elimination of restrictive practices. QCR is responsible for building capacity of service providers to deliver quality and viable services whilst investigating incidents and complex complaints made about government and non-government service providers. QCR provides support to strategic committees and projects </w:t>
      </w:r>
      <w:proofErr w:type="gramStart"/>
      <w:r w:rsidRPr="00655027">
        <w:rPr>
          <w:szCs w:val="24"/>
          <w:bdr w:val="nil"/>
        </w:rPr>
        <w:t>and also</w:t>
      </w:r>
      <w:proofErr w:type="gramEnd"/>
      <w:r w:rsidRPr="00655027">
        <w:rPr>
          <w:szCs w:val="24"/>
          <w:bdr w:val="nil"/>
        </w:rPr>
        <w:t xml:space="preserve"> represents the Directorate on matters relating to quality and safeguards for vulnerable and disadvantaged members of our community.</w:t>
      </w:r>
    </w:p>
    <w:p w14:paraId="6F00E631" w14:textId="79E38D18"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6</w:t>
      </w:r>
      <w:r w:rsidRPr="00655027">
        <w:rPr>
          <w:noProof/>
          <w:bdr w:val="nil"/>
        </w:rPr>
        <w:fldChar w:fldCharType="end"/>
      </w:r>
      <w:r w:rsidRPr="00655027">
        <w:rPr>
          <w:bdr w:val="nil"/>
        </w:rPr>
        <w:t>: Output 1.4: Quality, Complaints and Regulation</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0A51D3FF"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8FA8D62"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F0EED60"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AB5509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8E2A7F2"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5CC1A6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03E9264"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B82B501"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066EDC9"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7BD1AF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2AFC19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C297546"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D84ADA3"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6060A53"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0C6F043"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09933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46DF113"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8C6231F"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43E1F19"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3,351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E3BDCD1"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3,183</w:t>
            </w:r>
          </w:p>
        </w:tc>
      </w:tr>
      <w:tr w:rsidR="00C07D35" w:rsidRPr="00655027" w14:paraId="12BEC6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0926C02"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C466962"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445BABA"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3,232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2196184"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3,029</w:t>
            </w:r>
          </w:p>
        </w:tc>
      </w:tr>
    </w:tbl>
    <w:p w14:paraId="610F312D" w14:textId="77777777"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1EDE77B2" w14:textId="6B516F99" w:rsidR="00A4668D" w:rsidRPr="00655027" w:rsidRDefault="00A4668D" w:rsidP="009A24FA">
      <w:pPr>
        <w:pStyle w:val="BSnoteslist2"/>
        <w:numPr>
          <w:ilvl w:val="0"/>
          <w:numId w:val="15"/>
        </w:numPr>
        <w:pBdr>
          <w:top w:val="nil"/>
          <w:left w:val="nil"/>
          <w:bottom w:val="nil"/>
          <w:right w:val="nil"/>
          <w:between w:val="nil"/>
          <w:bar w:val="nil"/>
        </w:pBdr>
        <w:rPr>
          <w:bdr w:val="nil"/>
        </w:rPr>
      </w:pPr>
      <w:r w:rsidRPr="00655027">
        <w:rPr>
          <w:bdr w:val="nil"/>
        </w:rPr>
        <w:t xml:space="preserve">Total cost </w:t>
      </w:r>
      <w:r w:rsidRPr="00655027">
        <w:rPr>
          <w:szCs w:val="16"/>
          <w:bdr w:val="nil"/>
        </w:rPr>
        <w:t>includes</w:t>
      </w:r>
      <w:r w:rsidRPr="00655027">
        <w:rPr>
          <w:bdr w:val="nil"/>
        </w:rPr>
        <w:t xml:space="preserve"> amortisation of $0.066 million in 2020-21 and $0.066 million in 2021-22.</w:t>
      </w:r>
    </w:p>
    <w:p w14:paraId="57A2B42A" w14:textId="5701819D" w:rsidR="00A4668D" w:rsidRPr="00655027" w:rsidRDefault="00A4668D" w:rsidP="009A24FA">
      <w:pPr>
        <w:pStyle w:val="BSnoteslist1"/>
        <w:numPr>
          <w:ilvl w:val="0"/>
          <w:numId w:val="15"/>
        </w:numPr>
        <w:pBdr>
          <w:top w:val="nil"/>
          <w:left w:val="nil"/>
          <w:bottom w:val="nil"/>
          <w:right w:val="nil"/>
          <w:between w:val="nil"/>
          <w:bar w:val="nil"/>
        </w:pBdr>
        <w:rPr>
          <w:bdr w:val="nil"/>
        </w:rPr>
      </w:pPr>
      <w:r w:rsidRPr="00655027">
        <w:rPr>
          <w:bdr w:val="nil"/>
        </w:rPr>
        <w:t xml:space="preserve">The decrease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 xml:space="preserve">utcome is mainly due to the cessation of the </w:t>
      </w:r>
      <w:r w:rsidRPr="00655027">
        <w:rPr>
          <w:bdr w:val="nil"/>
        </w:rPr>
        <w:br/>
        <w:t>Child and Youth Protection Services Quality Assurance and Improvement initiative.</w:t>
      </w:r>
    </w:p>
    <w:p w14:paraId="17E69A8F" w14:textId="3A9067BD" w:rsidR="00A4668D" w:rsidRPr="00655027" w:rsidRDefault="00A4668D" w:rsidP="00A4668D">
      <w:pPr>
        <w:pStyle w:val="Heading4"/>
        <w:pBdr>
          <w:top w:val="nil"/>
          <w:left w:val="nil"/>
          <w:bottom w:val="nil"/>
          <w:right w:val="nil"/>
          <w:between w:val="nil"/>
          <w:bar w:val="nil"/>
        </w:pBdr>
        <w:rPr>
          <w:bdr w:val="nil"/>
        </w:rPr>
      </w:pPr>
      <w:r w:rsidRPr="00655027">
        <w:rPr>
          <w:bdr w:val="nil"/>
        </w:rPr>
        <w:t>Output 1.5: Safer Families</w:t>
      </w:r>
    </w:p>
    <w:p w14:paraId="04C417A0" w14:textId="71DE17E5" w:rsidR="00A4668D" w:rsidRPr="00655027" w:rsidRDefault="00A4668D" w:rsidP="00A4668D">
      <w:pPr>
        <w:pStyle w:val="Normal1"/>
        <w:pBdr>
          <w:top w:val="nil"/>
          <w:left w:val="nil"/>
          <w:bottom w:val="nil"/>
          <w:right w:val="nil"/>
          <w:between w:val="nil"/>
          <w:bar w:val="nil"/>
        </w:pBdr>
        <w:rPr>
          <w:bdr w:val="nil"/>
        </w:rPr>
      </w:pPr>
      <w:r w:rsidRPr="00655027">
        <w:rPr>
          <w:bdr w:val="nil"/>
        </w:rPr>
        <w:t>The Office of the Coordinator General for Family Safety provides strategic leadership, coordination, policy analysis and innovation expertise to drive cultural change and system reform, and to build whole-of-Government and whole-of-community capability to address domestic and family violence.</w:t>
      </w:r>
    </w:p>
    <w:p w14:paraId="71CB0706" w14:textId="66B4C763"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7</w:t>
      </w:r>
      <w:r w:rsidRPr="00655027">
        <w:rPr>
          <w:noProof/>
          <w:bdr w:val="nil"/>
        </w:rPr>
        <w:fldChar w:fldCharType="end"/>
      </w:r>
      <w:r w:rsidRPr="00655027">
        <w:rPr>
          <w:bdr w:val="nil"/>
        </w:rPr>
        <w:t>: Output 1.5: Safer Families</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5CD3A8E0"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BDE0CCE"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09DFC3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7E2ECA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79EA95A"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1FC01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F0288A5"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F40F1AA"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983EAC9"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4D30DAB"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11E4B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7DDC22B"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16EA4CC"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CB4C9E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EB35C33"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267041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EC06D4E"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72DF642"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94D048E"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7,339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AB46AC0"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7,320</w:t>
            </w:r>
          </w:p>
        </w:tc>
      </w:tr>
      <w:tr w:rsidR="00C07D35" w:rsidRPr="00655027" w14:paraId="03262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B9DC7C3"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F055331"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A553FFC"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5,738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384A7CD"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7,240</w:t>
            </w:r>
          </w:p>
        </w:tc>
      </w:tr>
    </w:tbl>
    <w:p w14:paraId="74B75028" w14:textId="23FC213F"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3FB11FE1" w14:textId="29077106" w:rsidR="00A4668D" w:rsidRPr="00655027" w:rsidRDefault="00A4668D" w:rsidP="009A24FA">
      <w:pPr>
        <w:pStyle w:val="BSnoteslist1"/>
        <w:numPr>
          <w:ilvl w:val="0"/>
          <w:numId w:val="16"/>
        </w:numPr>
        <w:pBdr>
          <w:top w:val="nil"/>
          <w:left w:val="nil"/>
          <w:bottom w:val="nil"/>
          <w:right w:val="nil"/>
          <w:between w:val="nil"/>
          <w:bar w:val="nil"/>
        </w:pBdr>
        <w:ind w:left="426"/>
        <w:rPr>
          <w:bdr w:val="nil"/>
        </w:rPr>
      </w:pPr>
      <w:r w:rsidRPr="00655027">
        <w:rPr>
          <w:bdr w:val="nil"/>
        </w:rPr>
        <w:t xml:space="preserve">The 2020-21 total cost was higher than the controlled recurrent payments. The result was mainly due to the </w:t>
      </w:r>
      <w:r w:rsidR="00B16B3B">
        <w:rPr>
          <w:bdr w:val="nil"/>
        </w:rPr>
        <w:br/>
      </w:r>
      <w:r w:rsidRPr="00655027">
        <w:rPr>
          <w:bdr w:val="nil"/>
        </w:rPr>
        <w:t xml:space="preserve">2019-20 National Partnership Agreement </w:t>
      </w:r>
      <w:r w:rsidR="00BA7B7D">
        <w:rPr>
          <w:bdr w:val="nil"/>
        </w:rPr>
        <w:t>funding</w:t>
      </w:r>
      <w:r w:rsidRPr="00655027">
        <w:rPr>
          <w:bdr w:val="nil"/>
        </w:rPr>
        <w:t xml:space="preserve"> on COVID-19 Domestic Violence Support was spent in 2020-21 financial year.</w:t>
      </w:r>
    </w:p>
    <w:p w14:paraId="378B0239" w14:textId="34C4C2FA" w:rsidR="00A4668D" w:rsidRPr="00655027" w:rsidRDefault="00A4668D" w:rsidP="009A24FA">
      <w:pPr>
        <w:pStyle w:val="BSnoteslist1"/>
        <w:numPr>
          <w:ilvl w:val="0"/>
          <w:numId w:val="16"/>
        </w:numPr>
        <w:pBdr>
          <w:top w:val="nil"/>
          <w:left w:val="nil"/>
          <w:bottom w:val="nil"/>
          <w:right w:val="nil"/>
          <w:between w:val="nil"/>
          <w:bar w:val="nil"/>
        </w:pBdr>
        <w:ind w:left="426"/>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6AE10990" w14:textId="77777777" w:rsidR="00A4668D" w:rsidRPr="00655027" w:rsidRDefault="00A4668D">
      <w:pPr>
        <w:pBdr>
          <w:top w:val="nil"/>
          <w:left w:val="nil"/>
          <w:bottom w:val="nil"/>
          <w:right w:val="nil"/>
          <w:between w:val="nil"/>
          <w:bar w:val="nil"/>
        </w:pBdr>
        <w:spacing w:before="0" w:after="0"/>
        <w:rPr>
          <w:b/>
          <w:bCs/>
          <w:sz w:val="28"/>
          <w:szCs w:val="26"/>
          <w:bdr w:val="nil"/>
        </w:rPr>
      </w:pPr>
      <w:r w:rsidRPr="00655027">
        <w:rPr>
          <w:bdr w:val="nil"/>
        </w:rPr>
        <w:br w:type="page"/>
      </w:r>
    </w:p>
    <w:p w14:paraId="5638D6BE" w14:textId="422DA423" w:rsidR="00A4668D" w:rsidRPr="00655027" w:rsidRDefault="00A4668D" w:rsidP="000500CC">
      <w:pPr>
        <w:pStyle w:val="Heading32"/>
        <w:rPr>
          <w:bdr w:val="nil"/>
        </w:rPr>
      </w:pPr>
      <w:r w:rsidRPr="00655027">
        <w:rPr>
          <w:bdr w:val="nil"/>
        </w:rPr>
        <w:lastRenderedPageBreak/>
        <w:t>Output Class 2: Children, Youth and Families</w:t>
      </w:r>
    </w:p>
    <w:p w14:paraId="5D93138F" w14:textId="6A5FFFD1"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8</w:t>
      </w:r>
      <w:r w:rsidRPr="00655027">
        <w:rPr>
          <w:noProof/>
          <w:bdr w:val="nil"/>
        </w:rPr>
        <w:fldChar w:fldCharType="end"/>
      </w:r>
      <w:r w:rsidRPr="00655027">
        <w:rPr>
          <w:bdr w:val="nil"/>
        </w:rPr>
        <w:t>: Output Class 2: Children, Youth and Families</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5EFD127F"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933E3F6"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6BD4A16"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6CFDFD2"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FCA4D1D"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3038D8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2DBB7E7C"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CF0278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42A1127"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CE10992"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75750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FC3F137"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B0983B3"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70E571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C312C16"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10162A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610830D"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2803ED8"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CF7DC5A"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142,561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BCD5A82"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150,616</w:t>
            </w:r>
          </w:p>
        </w:tc>
      </w:tr>
      <w:tr w:rsidR="00C07D35" w:rsidRPr="00655027" w14:paraId="6F150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D5B2C66"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DC31AEC"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0ECAFB7"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136,758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31DF38B"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141,894</w:t>
            </w:r>
          </w:p>
        </w:tc>
      </w:tr>
    </w:tbl>
    <w:p w14:paraId="4989D775" w14:textId="77777777"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481B7F4A" w14:textId="143CA2A9" w:rsidR="00A4668D" w:rsidRPr="00655027" w:rsidRDefault="00A4668D" w:rsidP="009A24FA">
      <w:pPr>
        <w:pStyle w:val="BSnoteslist10"/>
        <w:numPr>
          <w:ilvl w:val="0"/>
          <w:numId w:val="17"/>
        </w:numPr>
        <w:pBdr>
          <w:top w:val="nil"/>
          <w:left w:val="nil"/>
          <w:bottom w:val="nil"/>
          <w:right w:val="nil"/>
          <w:between w:val="nil"/>
          <w:bar w:val="nil"/>
        </w:pBdr>
        <w:rPr>
          <w:b/>
          <w:bdr w:val="nil"/>
        </w:rPr>
      </w:pPr>
      <w:r w:rsidRPr="00655027">
        <w:rPr>
          <w:bdr w:val="nil"/>
        </w:rPr>
        <w:t xml:space="preserve">Total cost </w:t>
      </w:r>
      <w:r w:rsidRPr="00655027">
        <w:rPr>
          <w:szCs w:val="16"/>
          <w:bdr w:val="nil"/>
        </w:rPr>
        <w:t>includes</w:t>
      </w:r>
      <w:r w:rsidRPr="00655027">
        <w:rPr>
          <w:bdr w:val="nil"/>
        </w:rPr>
        <w:t xml:space="preserve"> depreciation and amortisation of $3.506 million in 2020-21 and $4.236 million in 2021-22. The total cost also includes </w:t>
      </w:r>
      <w:r w:rsidR="007E501B">
        <w:rPr>
          <w:bdr w:val="nil"/>
        </w:rPr>
        <w:t>s</w:t>
      </w:r>
      <w:r w:rsidRPr="00655027">
        <w:rPr>
          <w:bdr w:val="nil"/>
        </w:rPr>
        <w:t xml:space="preserve">ervices </w:t>
      </w:r>
      <w:r w:rsidR="007E501B">
        <w:rPr>
          <w:bdr w:val="nil"/>
        </w:rPr>
        <w:t>p</w:t>
      </w:r>
      <w:r w:rsidRPr="00655027">
        <w:rPr>
          <w:bdr w:val="nil"/>
        </w:rPr>
        <w:t xml:space="preserve">rovided </w:t>
      </w:r>
      <w:r w:rsidR="007E501B">
        <w:rPr>
          <w:bdr w:val="nil"/>
        </w:rPr>
        <w:t>f</w:t>
      </w:r>
      <w:r w:rsidRPr="00655027">
        <w:rPr>
          <w:bdr w:val="nil"/>
        </w:rPr>
        <w:t>ree-of-</w:t>
      </w:r>
      <w:r w:rsidR="007E501B">
        <w:rPr>
          <w:bdr w:val="nil"/>
        </w:rPr>
        <w:t>c</w:t>
      </w:r>
      <w:r w:rsidRPr="00655027">
        <w:rPr>
          <w:bdr w:val="nil"/>
        </w:rPr>
        <w:t>harge by other ACT Government agencies including legal, human resources and finance services.</w:t>
      </w:r>
    </w:p>
    <w:p w14:paraId="61EF2747" w14:textId="5F31688D" w:rsidR="00A4668D" w:rsidRPr="00655027" w:rsidRDefault="00A4668D" w:rsidP="009A24FA">
      <w:pPr>
        <w:pStyle w:val="BSnoteslist1"/>
        <w:numPr>
          <w:ilvl w:val="0"/>
          <w:numId w:val="17"/>
        </w:numPr>
        <w:pBdr>
          <w:top w:val="nil"/>
          <w:left w:val="nil"/>
          <w:bottom w:val="nil"/>
          <w:right w:val="nil"/>
          <w:between w:val="nil"/>
          <w:bar w:val="nil"/>
        </w:pBdr>
        <w:rPr>
          <w:b/>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2EC2B020" w14:textId="40A93AEE" w:rsidR="00A4668D" w:rsidRPr="00655027" w:rsidRDefault="00A4668D" w:rsidP="00A4668D">
      <w:pPr>
        <w:pStyle w:val="Heading4"/>
        <w:pBdr>
          <w:top w:val="nil"/>
          <w:left w:val="nil"/>
          <w:bottom w:val="nil"/>
          <w:right w:val="nil"/>
          <w:between w:val="nil"/>
          <w:bar w:val="nil"/>
        </w:pBdr>
        <w:rPr>
          <w:bdr w:val="nil"/>
        </w:rPr>
      </w:pPr>
      <w:r w:rsidRPr="00655027">
        <w:rPr>
          <w:bdr w:val="nil"/>
        </w:rPr>
        <w:t>Output 2.1: Child and Family Centres</w:t>
      </w:r>
    </w:p>
    <w:p w14:paraId="7DEB9396" w14:textId="74065252" w:rsidR="00A4668D" w:rsidRPr="00655027" w:rsidRDefault="00A4668D" w:rsidP="00A4668D">
      <w:pPr>
        <w:pStyle w:val="Normal3"/>
        <w:pBdr>
          <w:top w:val="nil"/>
          <w:left w:val="nil"/>
          <w:bottom w:val="nil"/>
          <w:right w:val="nil"/>
          <w:between w:val="nil"/>
          <w:bar w:val="nil"/>
        </w:pBdr>
        <w:rPr>
          <w:bdr w:val="nil"/>
        </w:rPr>
      </w:pPr>
      <w:r w:rsidRPr="00655027">
        <w:rPr>
          <w:bCs/>
          <w:iCs/>
          <w:bdr w:val="nil"/>
        </w:rPr>
        <w:t>Early intervention and prevention services are provided through a universal platform with targeted services for vulnerable families. Services provided include parenting groups, advice and support, sustained home visiting, specialist clinical services, and community development and education programs. Services are delivered in partnership with other agencies, local community organisations and service providers</w:t>
      </w:r>
      <w:r w:rsidRPr="00655027">
        <w:rPr>
          <w:bdr w:val="nil"/>
        </w:rPr>
        <w:t>.</w:t>
      </w:r>
    </w:p>
    <w:p w14:paraId="5189EB22" w14:textId="58589AEC"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9</w:t>
      </w:r>
      <w:r w:rsidRPr="00655027">
        <w:rPr>
          <w:noProof/>
          <w:bdr w:val="nil"/>
        </w:rPr>
        <w:fldChar w:fldCharType="end"/>
      </w:r>
      <w:r w:rsidRPr="00655027">
        <w:rPr>
          <w:bdr w:val="nil"/>
        </w:rPr>
        <w:t>: Output 2.1: Child and Family Centres</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48AEDA38"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42B5DD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EBC9B0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4957C00"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5C2AE8A"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4E080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76F67A5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8C17B28"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19E960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BEF7FD7"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2637F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5C28033"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1BCF095"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866459E"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6898ECC"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7A71C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D1CFF8B"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C84633E"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DE02302"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6,034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AABC358"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6,946</w:t>
            </w:r>
          </w:p>
        </w:tc>
      </w:tr>
      <w:tr w:rsidR="00C07D35" w:rsidRPr="00655027" w14:paraId="2E2A7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943CAFC"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8CF308A"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F85F5DF"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6,315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13660C0"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6,544</w:t>
            </w:r>
          </w:p>
        </w:tc>
      </w:tr>
    </w:tbl>
    <w:p w14:paraId="4B3029BA" w14:textId="0C81F669" w:rsidR="00A4668D" w:rsidRPr="00655027" w:rsidRDefault="00A4668D" w:rsidP="00A4668D">
      <w:pPr>
        <w:pStyle w:val="BSnote"/>
        <w:pBdr>
          <w:top w:val="nil"/>
          <w:left w:val="nil"/>
          <w:bottom w:val="nil"/>
          <w:right w:val="nil"/>
          <w:between w:val="nil"/>
          <w:bar w:val="nil"/>
        </w:pBdr>
        <w:rPr>
          <w:bdr w:val="nil"/>
        </w:rPr>
      </w:pPr>
      <w:r w:rsidRPr="00655027">
        <w:rPr>
          <w:bdr w:val="nil"/>
        </w:rPr>
        <w:t>Note:</w:t>
      </w:r>
    </w:p>
    <w:p w14:paraId="11BD9785" w14:textId="7328BD17" w:rsidR="00A4668D" w:rsidRPr="00655027" w:rsidRDefault="00A4668D" w:rsidP="009A24FA">
      <w:pPr>
        <w:pStyle w:val="BSnoteslist1"/>
        <w:numPr>
          <w:ilvl w:val="0"/>
          <w:numId w:val="18"/>
        </w:numPr>
        <w:pBdr>
          <w:top w:val="nil"/>
          <w:left w:val="nil"/>
          <w:bottom w:val="nil"/>
          <w:right w:val="nil"/>
          <w:between w:val="nil"/>
          <w:bar w:val="nil"/>
        </w:pBdr>
        <w:rPr>
          <w:bdr w:val="nil"/>
        </w:rPr>
      </w:pPr>
      <w:r w:rsidRPr="00655027">
        <w:rPr>
          <w:bdr w:val="nil"/>
        </w:rPr>
        <w:t xml:space="preserve">Total cost </w:t>
      </w:r>
      <w:r w:rsidRPr="00655027">
        <w:rPr>
          <w:szCs w:val="16"/>
          <w:bdr w:val="nil"/>
        </w:rPr>
        <w:t>includes</w:t>
      </w:r>
      <w:r w:rsidRPr="00655027">
        <w:rPr>
          <w:bdr w:val="nil"/>
        </w:rPr>
        <w:t xml:space="preserve"> depreciation of $0.209 million in 2020-21 and $0.209 million in 2021-22.</w:t>
      </w:r>
    </w:p>
    <w:p w14:paraId="316A7FB7" w14:textId="20C63514" w:rsidR="00A4668D" w:rsidRPr="00655027" w:rsidRDefault="00A4668D" w:rsidP="00A4668D">
      <w:pPr>
        <w:pStyle w:val="Heading4"/>
        <w:pBdr>
          <w:top w:val="nil"/>
          <w:left w:val="nil"/>
          <w:bottom w:val="nil"/>
          <w:right w:val="nil"/>
          <w:between w:val="nil"/>
          <w:bar w:val="nil"/>
        </w:pBdr>
        <w:rPr>
          <w:bdr w:val="nil"/>
        </w:rPr>
      </w:pPr>
      <w:r w:rsidRPr="00655027">
        <w:rPr>
          <w:bdr w:val="nil"/>
        </w:rPr>
        <w:t>Output 2.2: Child Development Service</w:t>
      </w:r>
    </w:p>
    <w:p w14:paraId="4DBCE930" w14:textId="3BF32B18" w:rsidR="00A4668D" w:rsidRPr="00380020" w:rsidRDefault="00A4668D" w:rsidP="00380020">
      <w:pPr>
        <w:pStyle w:val="Normal3"/>
        <w:pBdr>
          <w:top w:val="nil"/>
          <w:left w:val="nil"/>
          <w:bottom w:val="nil"/>
          <w:right w:val="nil"/>
          <w:between w:val="nil"/>
          <w:bar w:val="nil"/>
        </w:pBdr>
        <w:rPr>
          <w:szCs w:val="24"/>
          <w:bdr w:val="nil"/>
        </w:rPr>
      </w:pPr>
      <w:r w:rsidRPr="00655027">
        <w:rPr>
          <w:bCs/>
          <w:iCs/>
          <w:bdr w:val="nil"/>
        </w:rPr>
        <w:t xml:space="preserve">The Child Development Service has a focus on early identification and intervention and provides assessment, referral, </w:t>
      </w:r>
      <w:proofErr w:type="gramStart"/>
      <w:r w:rsidRPr="00655027">
        <w:rPr>
          <w:bCs/>
          <w:iCs/>
          <w:bdr w:val="nil"/>
        </w:rPr>
        <w:t>information</w:t>
      </w:r>
      <w:proofErr w:type="gramEnd"/>
      <w:r w:rsidRPr="00655027">
        <w:rPr>
          <w:bCs/>
          <w:iCs/>
          <w:bdr w:val="nil"/>
        </w:rPr>
        <w:t xml:space="preserve"> and linkages for children birth to six years living in the ACT, where there are concerns relating to their development. Autism assessments are provided for children up to twelve years. Children seven to eight years with complex needs who have not had a previous assessment by allied health professionals can access the service</w:t>
      </w:r>
      <w:r w:rsidRPr="00655027">
        <w:rPr>
          <w:szCs w:val="24"/>
          <w:bdr w:val="nil"/>
        </w:rPr>
        <w:t>.</w:t>
      </w:r>
    </w:p>
    <w:p w14:paraId="1FC18900" w14:textId="1D163956"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10</w:t>
      </w:r>
      <w:r w:rsidRPr="00655027">
        <w:rPr>
          <w:noProof/>
          <w:bdr w:val="nil"/>
        </w:rPr>
        <w:fldChar w:fldCharType="end"/>
      </w:r>
      <w:r w:rsidRPr="00655027">
        <w:rPr>
          <w:bdr w:val="nil"/>
        </w:rPr>
        <w:t>: Output 2.2: Child Development Service</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6008F7C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F6D9587"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A0E356F"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E24B18D"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0BC39F9"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55D5F4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3172DFE"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3B4C3DCB"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6EB6A63"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05D4968"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38BF3B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C21C8EB"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725A848"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AB57B84"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F505AFC"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2CCCF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1B671C65"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DB90324"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DBA5B9D"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5,545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1596038"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6,387</w:t>
            </w:r>
          </w:p>
        </w:tc>
      </w:tr>
      <w:tr w:rsidR="00C07D35" w:rsidRPr="00655027" w14:paraId="2BE414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4D49509A"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0A5F09A"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90BF074"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5,003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A1467EE"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5,960</w:t>
            </w:r>
          </w:p>
        </w:tc>
      </w:tr>
    </w:tbl>
    <w:p w14:paraId="59DAACD1" w14:textId="4C8B8224"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3524C24A" w14:textId="2F9584F6" w:rsidR="00A4668D" w:rsidRPr="00655027" w:rsidRDefault="00A4668D" w:rsidP="009A24FA">
      <w:pPr>
        <w:pStyle w:val="BSnoteslist1"/>
        <w:numPr>
          <w:ilvl w:val="0"/>
          <w:numId w:val="19"/>
        </w:numPr>
        <w:pBdr>
          <w:top w:val="nil"/>
          <w:left w:val="nil"/>
          <w:bottom w:val="nil"/>
          <w:right w:val="nil"/>
          <w:between w:val="nil"/>
          <w:bar w:val="nil"/>
        </w:pBdr>
        <w:rPr>
          <w:bdr w:val="nil"/>
        </w:rPr>
      </w:pPr>
      <w:r w:rsidRPr="00655027">
        <w:rPr>
          <w:bdr w:val="nil"/>
        </w:rPr>
        <w:t xml:space="preserve">Total cost </w:t>
      </w:r>
      <w:r w:rsidRPr="00655027">
        <w:rPr>
          <w:szCs w:val="16"/>
          <w:bdr w:val="nil"/>
        </w:rPr>
        <w:t>includes</w:t>
      </w:r>
      <w:r w:rsidRPr="00655027">
        <w:rPr>
          <w:bdr w:val="nil"/>
        </w:rPr>
        <w:t xml:space="preserve"> depreciation and amortisation of $0.230 million in 2020-21 and $0.253 million in 2021-22.</w:t>
      </w:r>
    </w:p>
    <w:p w14:paraId="5E3E6E18" w14:textId="05820ED8" w:rsidR="00A4668D" w:rsidRPr="00655027" w:rsidRDefault="00A4668D" w:rsidP="009A24FA">
      <w:pPr>
        <w:pStyle w:val="BSnoteslist1"/>
        <w:numPr>
          <w:ilvl w:val="0"/>
          <w:numId w:val="19"/>
        </w:numPr>
        <w:pBdr>
          <w:top w:val="nil"/>
          <w:left w:val="nil"/>
          <w:bottom w:val="nil"/>
          <w:right w:val="nil"/>
          <w:between w:val="nil"/>
          <w:bar w:val="nil"/>
        </w:pBdr>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1C126710" w14:textId="1612F265" w:rsidR="00A4668D" w:rsidRPr="00655027" w:rsidRDefault="00A4668D" w:rsidP="00A4668D">
      <w:pPr>
        <w:pStyle w:val="Heading4"/>
        <w:pBdr>
          <w:top w:val="nil"/>
          <w:left w:val="nil"/>
          <w:bottom w:val="nil"/>
          <w:right w:val="nil"/>
          <w:between w:val="nil"/>
          <w:bar w:val="nil"/>
        </w:pBdr>
        <w:rPr>
          <w:bdr w:val="nil"/>
        </w:rPr>
      </w:pPr>
      <w:r w:rsidRPr="00655027">
        <w:rPr>
          <w:bdr w:val="nil"/>
        </w:rPr>
        <w:lastRenderedPageBreak/>
        <w:t>Output 2.3: Child and Youth Protection Services</w:t>
      </w:r>
    </w:p>
    <w:p w14:paraId="09088A36" w14:textId="77777777" w:rsidR="00A4668D" w:rsidRPr="00655027" w:rsidRDefault="00A4668D" w:rsidP="00A4668D">
      <w:pPr>
        <w:pStyle w:val="Normal3"/>
        <w:pBdr>
          <w:top w:val="nil"/>
          <w:left w:val="nil"/>
          <w:bottom w:val="nil"/>
          <w:right w:val="nil"/>
          <w:between w:val="nil"/>
          <w:bar w:val="nil"/>
        </w:pBdr>
        <w:rPr>
          <w:szCs w:val="24"/>
          <w:bdr w:val="nil"/>
        </w:rPr>
      </w:pPr>
      <w:r w:rsidRPr="00655027">
        <w:rPr>
          <w:szCs w:val="24"/>
          <w:bdr w:val="nil"/>
        </w:rPr>
        <w:t xml:space="preserve">Provision of statutory child protection and youth justice services is aimed at improving and promoting the safety and the wellbeing of children, young people, their </w:t>
      </w:r>
      <w:proofErr w:type="gramStart"/>
      <w:r w:rsidRPr="00655027">
        <w:rPr>
          <w:szCs w:val="24"/>
          <w:bdr w:val="nil"/>
        </w:rPr>
        <w:t>families</w:t>
      </w:r>
      <w:proofErr w:type="gramEnd"/>
      <w:r w:rsidRPr="00655027">
        <w:rPr>
          <w:szCs w:val="24"/>
          <w:bdr w:val="nil"/>
        </w:rPr>
        <w:t xml:space="preserve"> and the community.</w:t>
      </w:r>
    </w:p>
    <w:p w14:paraId="27AAF257" w14:textId="03C28D76" w:rsidR="00A4668D" w:rsidRPr="00655027" w:rsidRDefault="00A4668D" w:rsidP="00A4668D">
      <w:pPr>
        <w:pStyle w:val="Caption"/>
        <w:pBdr>
          <w:top w:val="nil"/>
          <w:left w:val="nil"/>
          <w:bottom w:val="nil"/>
          <w:right w:val="nil"/>
          <w:between w:val="nil"/>
          <w:bar w:val="nil"/>
        </w:pBdr>
        <w:rPr>
          <w:bdr w:val="nil"/>
        </w:rPr>
      </w:pPr>
      <w:r w:rsidRPr="00655027">
        <w:rPr>
          <w:bdr w:val="nil"/>
        </w:rPr>
        <w:t xml:space="preserve">Table </w:t>
      </w:r>
      <w:r w:rsidRPr="00655027">
        <w:rPr>
          <w:bdr w:val="nil"/>
        </w:rPr>
        <w:fldChar w:fldCharType="begin"/>
      </w:r>
      <w:r w:rsidRPr="00655027">
        <w:rPr>
          <w:bdr w:val="nil"/>
        </w:rPr>
        <w:instrText xml:space="preserve"> SEQ Table \* ARABIC </w:instrText>
      </w:r>
      <w:r w:rsidRPr="00655027">
        <w:rPr>
          <w:bdr w:val="nil"/>
        </w:rPr>
        <w:fldChar w:fldCharType="separate"/>
      </w:r>
      <w:r w:rsidR="001E4FEE">
        <w:rPr>
          <w:noProof/>
          <w:bdr w:val="nil"/>
        </w:rPr>
        <w:t>11</w:t>
      </w:r>
      <w:r w:rsidRPr="00655027">
        <w:rPr>
          <w:noProof/>
          <w:bdr w:val="nil"/>
        </w:rPr>
        <w:fldChar w:fldCharType="end"/>
      </w:r>
      <w:r w:rsidRPr="00655027">
        <w:rPr>
          <w:bdr w:val="nil"/>
        </w:rPr>
        <w:t>: Output 2.3: Child and Youth Protection Services</w:t>
      </w:r>
    </w:p>
    <w:tbl>
      <w:tblPr>
        <w:tblW w:w="9060" w:type="dxa"/>
        <w:tblLayout w:type="fixed"/>
        <w:tblLook w:val="0600" w:firstRow="0" w:lastRow="0" w:firstColumn="0" w:lastColumn="0" w:noHBand="1" w:noVBand="1"/>
      </w:tblPr>
      <w:tblGrid>
        <w:gridCol w:w="4695"/>
        <w:gridCol w:w="540"/>
        <w:gridCol w:w="2175"/>
        <w:gridCol w:w="1650"/>
      </w:tblGrid>
      <w:tr w:rsidR="00C07D35" w:rsidRPr="00655027" w14:paraId="4696DB4A"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8004DDA"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EB7848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16505B1"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B982380"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2021-22</w:t>
            </w:r>
          </w:p>
        </w:tc>
      </w:tr>
      <w:tr w:rsidR="00C07D35" w:rsidRPr="00655027" w14:paraId="0C907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24676E0A"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EF54C67"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380CBEF"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F1C525C"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Budget</w:t>
            </w:r>
          </w:p>
        </w:tc>
      </w:tr>
      <w:tr w:rsidR="00C07D35" w:rsidRPr="00655027" w14:paraId="52900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D71615B"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1B0ACDD" w14:textId="77777777" w:rsidR="00C07D35" w:rsidRPr="00655027" w:rsidRDefault="00C07D35">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1E454BB"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F93577B" w14:textId="77777777" w:rsidR="00C07D35" w:rsidRPr="00655027" w:rsidRDefault="00A4668D">
            <w:pPr>
              <w:pBdr>
                <w:top w:val="nil"/>
                <w:left w:val="nil"/>
                <w:bottom w:val="nil"/>
                <w:right w:val="nil"/>
                <w:between w:val="nil"/>
                <w:bar w:val="nil"/>
              </w:pBdr>
              <w:spacing w:before="0" w:after="0"/>
              <w:jc w:val="right"/>
              <w:rPr>
                <w:rFonts w:eastAsia="Calibri" w:cs="Calibri"/>
                <w:b/>
                <w:color w:val="000000"/>
                <w:sz w:val="18"/>
                <w:bdr w:val="nil"/>
              </w:rPr>
            </w:pPr>
            <w:r w:rsidRPr="00655027">
              <w:rPr>
                <w:rFonts w:eastAsia="Calibri" w:cs="Calibri"/>
                <w:b/>
                <w:color w:val="000000"/>
                <w:sz w:val="18"/>
                <w:bdr w:val="nil"/>
              </w:rPr>
              <w:t>$'000</w:t>
            </w:r>
          </w:p>
        </w:tc>
      </w:tr>
      <w:tr w:rsidR="00C07D35" w:rsidRPr="00655027" w14:paraId="10AA0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AD53B6A"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Total Cost </w:t>
            </w:r>
            <w:r w:rsidRPr="00655027">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1553CF4"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E1048C4"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130,982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1C43ECC"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137,283</w:t>
            </w:r>
          </w:p>
        </w:tc>
      </w:tr>
      <w:tr w:rsidR="00C07D35" w:rsidRPr="00655027" w14:paraId="54264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72BD58D" w14:textId="77777777" w:rsidR="00C07D35" w:rsidRPr="00655027" w:rsidRDefault="00A4668D">
            <w:pPr>
              <w:pBdr>
                <w:top w:val="nil"/>
                <w:left w:val="nil"/>
                <w:bottom w:val="nil"/>
                <w:right w:val="nil"/>
                <w:between w:val="nil"/>
                <w:bar w:val="nil"/>
              </w:pBdr>
              <w:spacing w:before="0" w:after="0"/>
              <w:rPr>
                <w:rFonts w:eastAsia="Calibri" w:cs="Calibri"/>
                <w:b/>
                <w:color w:val="000000"/>
                <w:sz w:val="18"/>
                <w:bdr w:val="nil"/>
              </w:rPr>
            </w:pPr>
            <w:r w:rsidRPr="00655027">
              <w:rPr>
                <w:rFonts w:eastAsia="Calibri" w:cs="Calibri"/>
                <w:b/>
                <w:color w:val="000000"/>
                <w:sz w:val="18"/>
                <w:bdr w:val="nil"/>
              </w:rPr>
              <w:t xml:space="preserve">Controlled Recurrent Payments </w:t>
            </w:r>
            <w:r w:rsidRPr="00655027">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7AC6C06" w14:textId="77777777" w:rsidR="00C07D35" w:rsidRPr="00655027" w:rsidRDefault="00C07D35">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CB8E7F0"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125,440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CA6C025" w14:textId="77777777" w:rsidR="00C07D35" w:rsidRPr="00655027" w:rsidRDefault="00A4668D">
            <w:pPr>
              <w:pBdr>
                <w:top w:val="nil"/>
                <w:left w:val="nil"/>
                <w:bottom w:val="nil"/>
                <w:right w:val="nil"/>
                <w:between w:val="nil"/>
                <w:bar w:val="nil"/>
              </w:pBdr>
              <w:spacing w:before="0" w:after="0"/>
              <w:jc w:val="right"/>
              <w:rPr>
                <w:rFonts w:eastAsia="Calibri" w:cs="Calibri"/>
                <w:color w:val="000000"/>
                <w:sz w:val="18"/>
                <w:bdr w:val="nil"/>
              </w:rPr>
            </w:pPr>
            <w:r w:rsidRPr="00655027">
              <w:rPr>
                <w:rFonts w:eastAsia="Calibri" w:cs="Calibri"/>
                <w:color w:val="000000"/>
                <w:sz w:val="18"/>
                <w:bdr w:val="nil"/>
              </w:rPr>
              <w:t>129,390</w:t>
            </w:r>
          </w:p>
        </w:tc>
      </w:tr>
    </w:tbl>
    <w:p w14:paraId="303C6111" w14:textId="77777777" w:rsidR="00A4668D" w:rsidRPr="00655027" w:rsidRDefault="00A4668D" w:rsidP="00A4668D">
      <w:pPr>
        <w:pStyle w:val="BSnote"/>
        <w:pBdr>
          <w:top w:val="nil"/>
          <w:left w:val="nil"/>
          <w:bottom w:val="nil"/>
          <w:right w:val="nil"/>
          <w:between w:val="nil"/>
          <w:bar w:val="nil"/>
        </w:pBdr>
        <w:rPr>
          <w:bdr w:val="nil"/>
        </w:rPr>
      </w:pPr>
      <w:r w:rsidRPr="00655027">
        <w:rPr>
          <w:bdr w:val="nil"/>
        </w:rPr>
        <w:t>Notes:</w:t>
      </w:r>
    </w:p>
    <w:p w14:paraId="17648B44" w14:textId="4A72B88F" w:rsidR="00A4668D" w:rsidRPr="00655027" w:rsidRDefault="00A4668D" w:rsidP="009A24FA">
      <w:pPr>
        <w:pStyle w:val="BSnoteslist10"/>
        <w:numPr>
          <w:ilvl w:val="0"/>
          <w:numId w:val="20"/>
        </w:numPr>
        <w:pBdr>
          <w:top w:val="nil"/>
          <w:left w:val="nil"/>
          <w:bottom w:val="nil"/>
          <w:right w:val="nil"/>
          <w:between w:val="nil"/>
          <w:bar w:val="nil"/>
        </w:pBdr>
        <w:rPr>
          <w:bdr w:val="nil"/>
        </w:rPr>
      </w:pPr>
      <w:r w:rsidRPr="00655027">
        <w:rPr>
          <w:bdr w:val="nil"/>
        </w:rPr>
        <w:t xml:space="preserve">Total cost </w:t>
      </w:r>
      <w:r w:rsidRPr="00655027">
        <w:rPr>
          <w:szCs w:val="16"/>
          <w:bdr w:val="nil"/>
        </w:rPr>
        <w:t>includes</w:t>
      </w:r>
      <w:r w:rsidRPr="00655027">
        <w:rPr>
          <w:bdr w:val="nil"/>
        </w:rPr>
        <w:t xml:space="preserve"> depreciation and amortisation of $3.067 million in 2020-21 and $3.774 million in 2021-22. The total cost also includes </w:t>
      </w:r>
      <w:r w:rsidR="007E501B">
        <w:rPr>
          <w:bdr w:val="nil"/>
        </w:rPr>
        <w:t>s</w:t>
      </w:r>
      <w:r w:rsidRPr="00655027">
        <w:rPr>
          <w:bdr w:val="nil"/>
        </w:rPr>
        <w:t xml:space="preserve">ervices </w:t>
      </w:r>
      <w:r w:rsidR="007E501B">
        <w:rPr>
          <w:bdr w:val="nil"/>
        </w:rPr>
        <w:t>p</w:t>
      </w:r>
      <w:r w:rsidRPr="00655027">
        <w:rPr>
          <w:bdr w:val="nil"/>
        </w:rPr>
        <w:t xml:space="preserve">rovided </w:t>
      </w:r>
      <w:r w:rsidR="007E501B">
        <w:rPr>
          <w:bdr w:val="nil"/>
        </w:rPr>
        <w:t>f</w:t>
      </w:r>
      <w:r w:rsidRPr="00655027">
        <w:rPr>
          <w:bdr w:val="nil"/>
        </w:rPr>
        <w:t>ree-of-</w:t>
      </w:r>
      <w:r w:rsidR="007E501B">
        <w:rPr>
          <w:bdr w:val="nil"/>
        </w:rPr>
        <w:t>c</w:t>
      </w:r>
      <w:r w:rsidRPr="00655027">
        <w:rPr>
          <w:bdr w:val="nil"/>
        </w:rPr>
        <w:t>harge by other ACT Government agencies including legal, human resources and finance services.</w:t>
      </w:r>
    </w:p>
    <w:p w14:paraId="073F6B20" w14:textId="58D5D2C7" w:rsidR="00A4668D" w:rsidRPr="00655027" w:rsidRDefault="00A4668D" w:rsidP="009A24FA">
      <w:pPr>
        <w:pStyle w:val="BSnoteslist1"/>
        <w:numPr>
          <w:ilvl w:val="0"/>
          <w:numId w:val="20"/>
        </w:numPr>
        <w:pBdr>
          <w:top w:val="nil"/>
          <w:left w:val="nil"/>
          <w:bottom w:val="nil"/>
          <w:right w:val="nil"/>
          <w:between w:val="nil"/>
          <w:bar w:val="nil"/>
        </w:pBdr>
        <w:rPr>
          <w:bdr w:val="nil"/>
        </w:rPr>
      </w:pPr>
      <w:r w:rsidRPr="00655027">
        <w:rPr>
          <w:bdr w:val="nil"/>
        </w:rPr>
        <w:t xml:space="preserve">The increase in the 2021-22 </w:t>
      </w:r>
      <w:r w:rsidR="00AB2182">
        <w:rPr>
          <w:bdr w:val="nil"/>
        </w:rPr>
        <w:t>B</w:t>
      </w:r>
      <w:r w:rsidRPr="00655027">
        <w:rPr>
          <w:bdr w:val="nil"/>
        </w:rPr>
        <w:t xml:space="preserve">udget from the 2020-21 </w:t>
      </w:r>
      <w:r w:rsidR="00AB2182">
        <w:rPr>
          <w:bdr w:val="nil"/>
        </w:rPr>
        <w:t>I</w:t>
      </w:r>
      <w:r w:rsidRPr="00655027">
        <w:rPr>
          <w:bdr w:val="nil"/>
        </w:rPr>
        <w:t xml:space="preserve">nterim </w:t>
      </w:r>
      <w:r w:rsidR="00AB2182">
        <w:rPr>
          <w:bdr w:val="nil"/>
        </w:rPr>
        <w:t>O</w:t>
      </w:r>
      <w:r w:rsidRPr="00655027">
        <w:rPr>
          <w:bdr w:val="nil"/>
        </w:rPr>
        <w:t>utcome is mainly due to new initiatives.</w:t>
      </w:r>
    </w:p>
    <w:p w14:paraId="7C90EB1B" w14:textId="621C2EF6" w:rsidR="00A4668D" w:rsidRDefault="00A4668D" w:rsidP="00A4668D">
      <w:pPr>
        <w:pStyle w:val="Heading2"/>
        <w:pageBreakBefore/>
        <w:pBdr>
          <w:top w:val="nil"/>
          <w:left w:val="nil"/>
          <w:bottom w:val="nil"/>
          <w:right w:val="nil"/>
          <w:between w:val="nil"/>
          <w:bar w:val="nil"/>
        </w:pBdr>
        <w:rPr>
          <w:bdr w:val="nil"/>
        </w:rPr>
      </w:pPr>
      <w:bookmarkStart w:id="32" w:name="_Toc452467800"/>
      <w:bookmarkStart w:id="33" w:name="_Toc84071136"/>
      <w:r>
        <w:rPr>
          <w:bdr w:val="nil"/>
        </w:rPr>
        <w:lastRenderedPageBreak/>
        <w:t>Accountability Indicators</w:t>
      </w:r>
      <w:bookmarkEnd w:id="32"/>
      <w:bookmarkEnd w:id="33"/>
    </w:p>
    <w:p w14:paraId="687D7223" w14:textId="0C782F15" w:rsidR="00A4668D" w:rsidRDefault="00A4668D" w:rsidP="00A4668D">
      <w:pPr>
        <w:pBdr>
          <w:top w:val="nil"/>
          <w:left w:val="nil"/>
          <w:bottom w:val="nil"/>
          <w:right w:val="nil"/>
          <w:between w:val="nil"/>
          <w:bar w:val="nil"/>
        </w:pBdr>
        <w:rPr>
          <w:bdr w:val="nil"/>
        </w:rPr>
      </w:pPr>
      <w:r w:rsidRPr="007313B9">
        <w:rPr>
          <w:bdr w:val="nil"/>
        </w:rPr>
        <w:t xml:space="preserve">Due to the release of the 2021-22 Budget on </w:t>
      </w:r>
      <w:r>
        <w:rPr>
          <w:bdr w:val="nil"/>
        </w:rPr>
        <w:t>6</w:t>
      </w:r>
      <w:r w:rsidRPr="007313B9">
        <w:rPr>
          <w:bdr w:val="nil"/>
        </w:rPr>
        <w:t xml:space="preserve"> </w:t>
      </w:r>
      <w:r>
        <w:rPr>
          <w:bdr w:val="nil"/>
        </w:rPr>
        <w:t>October</w:t>
      </w:r>
      <w:r w:rsidRPr="007313B9">
        <w:rPr>
          <w:bdr w:val="nil"/>
        </w:rPr>
        <w:t xml:space="preserve"> 2021, the 2020-21 </w:t>
      </w:r>
      <w:r w:rsidRPr="00A069CA">
        <w:rPr>
          <w:bdr w:val="nil"/>
        </w:rPr>
        <w:t>Interim Outcome column reflects the interim outcome included in the draft 2020-21 Statement</w:t>
      </w:r>
      <w:r w:rsidR="00AD26B7">
        <w:rPr>
          <w:bdr w:val="nil"/>
        </w:rPr>
        <w:t xml:space="preserve"> of Performance</w:t>
      </w:r>
      <w:r w:rsidRPr="00A069CA">
        <w:rPr>
          <w:bdr w:val="nil"/>
        </w:rPr>
        <w:t>, which were unaudited at the time of preparing these budget statements</w:t>
      </w:r>
      <w:r w:rsidRPr="007313B9">
        <w:rPr>
          <w:bdr w:val="nil"/>
        </w:rPr>
        <w:t>.</w:t>
      </w:r>
    </w:p>
    <w:p w14:paraId="44EF07C0" w14:textId="7B25F0CE" w:rsidR="00A4668D" w:rsidRDefault="00A4668D" w:rsidP="00A4668D">
      <w:pPr>
        <w:pStyle w:val="Heading32"/>
        <w:pBdr>
          <w:top w:val="nil"/>
          <w:left w:val="nil"/>
          <w:bottom w:val="nil"/>
          <w:right w:val="nil"/>
          <w:between w:val="nil"/>
          <w:bar w:val="nil"/>
        </w:pBdr>
        <w:rPr>
          <w:bdr w:val="nil"/>
        </w:rPr>
      </w:pPr>
      <w:bookmarkStart w:id="34" w:name="_Toc514926337"/>
      <w:r>
        <w:rPr>
          <w:bdr w:val="nil"/>
        </w:rPr>
        <w:t>Output Class 1: Strategic Policy, Inclusion and Participation</w:t>
      </w:r>
      <w:bookmarkEnd w:id="34"/>
    </w:p>
    <w:p w14:paraId="21092978" w14:textId="5E50E1FE" w:rsidR="00A4668D" w:rsidRDefault="00A4668D" w:rsidP="00A4668D">
      <w:pPr>
        <w:pStyle w:val="Heading41"/>
        <w:pBdr>
          <w:top w:val="nil"/>
          <w:left w:val="nil"/>
          <w:bottom w:val="nil"/>
          <w:right w:val="nil"/>
          <w:between w:val="nil"/>
          <w:bar w:val="nil"/>
        </w:pBdr>
        <w:rPr>
          <w:bdr w:val="nil"/>
        </w:rPr>
      </w:pPr>
      <w:r>
        <w:rPr>
          <w:bdr w:val="nil"/>
        </w:rPr>
        <w:t>Output 1.1: Inclusion and Participation</w:t>
      </w:r>
    </w:p>
    <w:p w14:paraId="77889677" w14:textId="431DACCC"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12</w:t>
      </w:r>
      <w:r>
        <w:rPr>
          <w:noProof/>
          <w:bdr w:val="nil"/>
        </w:rPr>
        <w:fldChar w:fldCharType="end"/>
      </w:r>
      <w:r>
        <w:rPr>
          <w:noProof/>
          <w:bdr w:val="nil"/>
        </w:rPr>
        <w:t>:</w:t>
      </w:r>
      <w:r>
        <w:rPr>
          <w:bdr w:val="nil"/>
        </w:rPr>
        <w:t xml:space="preserve"> Accountability Indicators</w:t>
      </w:r>
      <w:r>
        <w:rPr>
          <w:noProof/>
          <w:bdr w:val="nil"/>
        </w:rPr>
        <w:t xml:space="preserve"> Output 1.1</w:t>
      </w:r>
    </w:p>
    <w:tbl>
      <w:tblPr>
        <w:tblW w:w="9100" w:type="dxa"/>
        <w:tblBorders>
          <w:top w:val="single" w:sz="12" w:space="0" w:color="000000"/>
          <w:bottom w:val="single" w:sz="12" w:space="0" w:color="000000"/>
        </w:tblBorders>
        <w:tblLook w:val="04A0" w:firstRow="1" w:lastRow="0" w:firstColumn="1" w:lastColumn="0" w:noHBand="0" w:noVBand="1"/>
      </w:tblPr>
      <w:tblGrid>
        <w:gridCol w:w="5354"/>
        <w:gridCol w:w="996"/>
        <w:gridCol w:w="1374"/>
        <w:gridCol w:w="1376"/>
      </w:tblGrid>
      <w:tr w:rsidR="00C07D35" w14:paraId="01E74D97" w14:textId="1BBFEA5D" w:rsidTr="00A4668D">
        <w:trPr>
          <w:tblHeader/>
        </w:trPr>
        <w:tc>
          <w:tcPr>
            <w:tcW w:w="2942" w:type="pct"/>
            <w:tcBorders>
              <w:top w:val="single" w:sz="12" w:space="0" w:color="000000"/>
              <w:left w:val="nil"/>
              <w:bottom w:val="single" w:sz="4" w:space="0" w:color="auto"/>
              <w:right w:val="nil"/>
            </w:tcBorders>
          </w:tcPr>
          <w:p w14:paraId="4E014412" w14:textId="77777777" w:rsidR="00A4668D" w:rsidRDefault="00A4668D" w:rsidP="00A4668D">
            <w:pPr>
              <w:pStyle w:val="Heading6"/>
              <w:pBdr>
                <w:top w:val="nil"/>
                <w:left w:val="nil"/>
                <w:bottom w:val="nil"/>
                <w:right w:val="nil"/>
                <w:between w:val="nil"/>
                <w:bar w:val="nil"/>
              </w:pBdr>
              <w:jc w:val="left"/>
              <w:rPr>
                <w:bdr w:val="nil"/>
              </w:rPr>
            </w:pPr>
          </w:p>
        </w:tc>
        <w:tc>
          <w:tcPr>
            <w:tcW w:w="547" w:type="pct"/>
            <w:tcBorders>
              <w:top w:val="single" w:sz="12" w:space="0" w:color="000000"/>
              <w:left w:val="nil"/>
              <w:bottom w:val="single" w:sz="4" w:space="0" w:color="auto"/>
              <w:right w:val="nil"/>
            </w:tcBorders>
            <w:hideMark/>
          </w:tcPr>
          <w:p w14:paraId="7F6135D2"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2BEBF62F" w14:textId="4F5AC69A"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Targets</w:t>
            </w:r>
          </w:p>
        </w:tc>
        <w:tc>
          <w:tcPr>
            <w:tcW w:w="755" w:type="pct"/>
            <w:tcBorders>
              <w:top w:val="single" w:sz="12" w:space="0" w:color="000000"/>
              <w:left w:val="nil"/>
              <w:bottom w:val="single" w:sz="4" w:space="0" w:color="auto"/>
              <w:right w:val="nil"/>
            </w:tcBorders>
            <w:hideMark/>
          </w:tcPr>
          <w:p w14:paraId="5C2C5969"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1D273F15" w14:textId="0CD8B913"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756" w:type="pct"/>
            <w:tcBorders>
              <w:top w:val="single" w:sz="12" w:space="0" w:color="000000"/>
              <w:left w:val="nil"/>
              <w:bottom w:val="single" w:sz="4" w:space="0" w:color="auto"/>
              <w:right w:val="nil"/>
            </w:tcBorders>
            <w:hideMark/>
          </w:tcPr>
          <w:p w14:paraId="115FA205" w14:textId="3B2683D3"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2B98043C" w14:textId="49314CD3"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Targets</w:t>
            </w:r>
          </w:p>
        </w:tc>
      </w:tr>
      <w:tr w:rsidR="00C07D35" w14:paraId="680A0803" w14:textId="787DA077" w:rsidTr="00A4668D">
        <w:trPr>
          <w:trHeight w:val="310"/>
        </w:trPr>
        <w:tc>
          <w:tcPr>
            <w:tcW w:w="5000" w:type="pct"/>
            <w:gridSpan w:val="4"/>
            <w:tcBorders>
              <w:top w:val="single" w:sz="4" w:space="0" w:color="auto"/>
              <w:left w:val="nil"/>
              <w:bottom w:val="nil"/>
              <w:right w:val="nil"/>
            </w:tcBorders>
            <w:hideMark/>
          </w:tcPr>
          <w:p w14:paraId="21983A87" w14:textId="77777777" w:rsidR="00A4668D" w:rsidRDefault="00A4668D">
            <w:pPr>
              <w:pStyle w:val="BStablelist"/>
              <w:numPr>
                <w:ilvl w:val="0"/>
                <w:numId w:val="0"/>
              </w:numPr>
              <w:pBdr>
                <w:top w:val="nil"/>
                <w:left w:val="nil"/>
                <w:bottom w:val="nil"/>
                <w:right w:val="nil"/>
                <w:between w:val="nil"/>
                <w:bar w:val="nil"/>
              </w:pBdr>
              <w:ind w:left="360" w:hanging="360"/>
              <w:rPr>
                <w:b/>
                <w:bdr w:val="nil"/>
              </w:rPr>
            </w:pPr>
            <w:r>
              <w:rPr>
                <w:b/>
                <w:bdr w:val="nil"/>
              </w:rPr>
              <w:t>Inclusion and Participation</w:t>
            </w:r>
          </w:p>
        </w:tc>
      </w:tr>
      <w:tr w:rsidR="00C07D35" w14:paraId="613D64EE" w14:textId="403631BA" w:rsidTr="00A4668D">
        <w:trPr>
          <w:trHeight w:val="580"/>
        </w:trPr>
        <w:tc>
          <w:tcPr>
            <w:tcW w:w="2942" w:type="pct"/>
            <w:tcBorders>
              <w:top w:val="nil"/>
              <w:left w:val="nil"/>
              <w:bottom w:val="nil"/>
              <w:right w:val="nil"/>
            </w:tcBorders>
            <w:hideMark/>
          </w:tcPr>
          <w:p w14:paraId="63E24A0F" w14:textId="0286BD72" w:rsidR="00A4668D" w:rsidRDefault="00A4668D" w:rsidP="009A24FA">
            <w:pPr>
              <w:pStyle w:val="BStablelist"/>
              <w:numPr>
                <w:ilvl w:val="0"/>
                <w:numId w:val="22"/>
              </w:numPr>
              <w:pBdr>
                <w:top w:val="nil"/>
                <w:left w:val="nil"/>
                <w:bottom w:val="nil"/>
                <w:right w:val="nil"/>
                <w:between w:val="nil"/>
                <w:bar w:val="nil"/>
              </w:pBdr>
              <w:rPr>
                <w:bdr w:val="nil"/>
              </w:rPr>
            </w:pPr>
            <w:r>
              <w:rPr>
                <w:bdr w:val="nil"/>
              </w:rPr>
              <w:t xml:space="preserve">Number of community building, participation grants and scholarship programs administered </w:t>
            </w:r>
          </w:p>
        </w:tc>
        <w:tc>
          <w:tcPr>
            <w:tcW w:w="547" w:type="pct"/>
            <w:tcBorders>
              <w:top w:val="nil"/>
              <w:left w:val="nil"/>
              <w:bottom w:val="nil"/>
              <w:right w:val="nil"/>
            </w:tcBorders>
            <w:vAlign w:val="center"/>
            <w:hideMark/>
          </w:tcPr>
          <w:p w14:paraId="7B3FFBA9" w14:textId="3F1C2940" w:rsidR="00A4668D" w:rsidRDefault="00A4668D" w:rsidP="00A4668D">
            <w:pPr>
              <w:pStyle w:val="BStablefigures1"/>
              <w:pBdr>
                <w:top w:val="nil"/>
                <w:left w:val="nil"/>
                <w:bottom w:val="nil"/>
                <w:right w:val="nil"/>
                <w:between w:val="nil"/>
                <w:bar w:val="nil"/>
              </w:pBdr>
              <w:rPr>
                <w:b w:val="0"/>
                <w:bdr w:val="nil"/>
              </w:rPr>
            </w:pPr>
            <w:r>
              <w:rPr>
                <w:b w:val="0"/>
                <w:bCs/>
                <w:bdr w:val="nil"/>
              </w:rPr>
              <w:t>15</w:t>
            </w:r>
          </w:p>
        </w:tc>
        <w:tc>
          <w:tcPr>
            <w:tcW w:w="755" w:type="pct"/>
            <w:tcBorders>
              <w:top w:val="nil"/>
              <w:left w:val="nil"/>
              <w:bottom w:val="nil"/>
              <w:right w:val="nil"/>
            </w:tcBorders>
            <w:vAlign w:val="center"/>
          </w:tcPr>
          <w:p w14:paraId="60A676E8" w14:textId="78DF3845" w:rsidR="00A4668D" w:rsidRDefault="00A4668D" w:rsidP="00A4668D">
            <w:pPr>
              <w:pStyle w:val="BStablefigures1"/>
              <w:pBdr>
                <w:top w:val="nil"/>
                <w:left w:val="nil"/>
                <w:bottom w:val="nil"/>
                <w:right w:val="nil"/>
                <w:between w:val="nil"/>
                <w:bar w:val="nil"/>
              </w:pBdr>
              <w:rPr>
                <w:b w:val="0"/>
                <w:bdr w:val="nil"/>
              </w:rPr>
            </w:pPr>
            <w:r>
              <w:rPr>
                <w:b w:val="0"/>
                <w:bdr w:val="nil"/>
              </w:rPr>
              <w:t>14</w:t>
            </w:r>
          </w:p>
        </w:tc>
        <w:tc>
          <w:tcPr>
            <w:tcW w:w="756" w:type="pct"/>
            <w:tcBorders>
              <w:top w:val="nil"/>
              <w:left w:val="nil"/>
              <w:bottom w:val="nil"/>
              <w:right w:val="nil"/>
            </w:tcBorders>
            <w:vAlign w:val="center"/>
          </w:tcPr>
          <w:p w14:paraId="6D2C8D80" w14:textId="5756812F" w:rsidR="00A4668D" w:rsidRDefault="00A4668D" w:rsidP="00A4668D">
            <w:pPr>
              <w:pStyle w:val="BStablefigures1"/>
              <w:pBdr>
                <w:top w:val="nil"/>
                <w:left w:val="nil"/>
                <w:bottom w:val="nil"/>
                <w:right w:val="nil"/>
                <w:between w:val="nil"/>
                <w:bar w:val="nil"/>
              </w:pBdr>
              <w:rPr>
                <w:b w:val="0"/>
                <w:bdr w:val="nil"/>
              </w:rPr>
            </w:pPr>
            <w:r>
              <w:rPr>
                <w:b w:val="0"/>
                <w:bdr w:val="nil"/>
              </w:rPr>
              <w:t>19</w:t>
            </w:r>
          </w:p>
        </w:tc>
      </w:tr>
      <w:tr w:rsidR="00C07D35" w14:paraId="423209B8" w14:textId="009E55BE" w:rsidTr="00A4668D">
        <w:trPr>
          <w:trHeight w:val="559"/>
        </w:trPr>
        <w:tc>
          <w:tcPr>
            <w:tcW w:w="2942" w:type="pct"/>
            <w:tcBorders>
              <w:top w:val="nil"/>
              <w:left w:val="nil"/>
              <w:bottom w:val="nil"/>
              <w:right w:val="nil"/>
            </w:tcBorders>
            <w:hideMark/>
          </w:tcPr>
          <w:p w14:paraId="0B55DB00" w14:textId="2D0D0471" w:rsidR="00A4668D" w:rsidRDefault="00A4668D" w:rsidP="009A24FA">
            <w:pPr>
              <w:pStyle w:val="BStablelist"/>
              <w:numPr>
                <w:ilvl w:val="0"/>
                <w:numId w:val="22"/>
              </w:numPr>
              <w:pBdr>
                <w:top w:val="nil"/>
                <w:left w:val="nil"/>
                <w:bottom w:val="nil"/>
                <w:right w:val="nil"/>
                <w:between w:val="nil"/>
                <w:bar w:val="nil"/>
              </w:pBdr>
              <w:rPr>
                <w:bdr w:val="nil"/>
              </w:rPr>
            </w:pPr>
            <w:r>
              <w:rPr>
                <w:bdr w:val="nil"/>
              </w:rPr>
              <w:t>Percentage of participants who successfully complete the Work Experience and Support Program</w:t>
            </w:r>
          </w:p>
        </w:tc>
        <w:tc>
          <w:tcPr>
            <w:tcW w:w="547" w:type="pct"/>
            <w:tcBorders>
              <w:top w:val="nil"/>
              <w:left w:val="nil"/>
              <w:bottom w:val="nil"/>
              <w:right w:val="nil"/>
            </w:tcBorders>
            <w:vAlign w:val="center"/>
            <w:hideMark/>
          </w:tcPr>
          <w:p w14:paraId="77BF4EFC" w14:textId="67701FBE" w:rsidR="00A4668D" w:rsidRDefault="00A4668D" w:rsidP="00A4668D">
            <w:pPr>
              <w:pStyle w:val="BStablefigures1"/>
              <w:pBdr>
                <w:top w:val="nil"/>
                <w:left w:val="nil"/>
                <w:bottom w:val="nil"/>
                <w:right w:val="nil"/>
                <w:between w:val="nil"/>
                <w:bar w:val="nil"/>
              </w:pBdr>
              <w:rPr>
                <w:b w:val="0"/>
                <w:bdr w:val="nil"/>
              </w:rPr>
            </w:pPr>
            <w:r>
              <w:rPr>
                <w:b w:val="0"/>
                <w:bCs/>
                <w:bdr w:val="nil"/>
              </w:rPr>
              <w:t>90%</w:t>
            </w:r>
          </w:p>
        </w:tc>
        <w:tc>
          <w:tcPr>
            <w:tcW w:w="755" w:type="pct"/>
            <w:tcBorders>
              <w:top w:val="nil"/>
              <w:left w:val="nil"/>
              <w:bottom w:val="nil"/>
              <w:right w:val="nil"/>
            </w:tcBorders>
            <w:vAlign w:val="center"/>
          </w:tcPr>
          <w:p w14:paraId="01461E66" w14:textId="0591B089" w:rsidR="00A4668D" w:rsidRDefault="00A4668D" w:rsidP="00A4668D">
            <w:pPr>
              <w:pStyle w:val="BStablefigures1"/>
              <w:pBdr>
                <w:top w:val="nil"/>
                <w:left w:val="nil"/>
                <w:bottom w:val="nil"/>
                <w:right w:val="nil"/>
                <w:between w:val="nil"/>
                <w:bar w:val="nil"/>
              </w:pBdr>
              <w:rPr>
                <w:b w:val="0"/>
                <w:bdr w:val="nil"/>
              </w:rPr>
            </w:pPr>
            <w:r>
              <w:rPr>
                <w:b w:val="0"/>
                <w:bdr w:val="nil"/>
              </w:rPr>
              <w:t>94%</w:t>
            </w:r>
          </w:p>
        </w:tc>
        <w:tc>
          <w:tcPr>
            <w:tcW w:w="756" w:type="pct"/>
            <w:tcBorders>
              <w:top w:val="nil"/>
              <w:left w:val="nil"/>
              <w:bottom w:val="nil"/>
              <w:right w:val="nil"/>
            </w:tcBorders>
            <w:vAlign w:val="center"/>
          </w:tcPr>
          <w:p w14:paraId="7A08E47A" w14:textId="7CADF215" w:rsidR="00A4668D" w:rsidRDefault="00A4668D" w:rsidP="00A4668D">
            <w:pPr>
              <w:pStyle w:val="BStablefigures1"/>
              <w:pBdr>
                <w:top w:val="nil"/>
                <w:left w:val="nil"/>
                <w:bottom w:val="nil"/>
                <w:right w:val="nil"/>
                <w:between w:val="nil"/>
                <w:bar w:val="nil"/>
              </w:pBdr>
              <w:rPr>
                <w:b w:val="0"/>
                <w:bdr w:val="nil"/>
              </w:rPr>
            </w:pPr>
            <w:r>
              <w:rPr>
                <w:b w:val="0"/>
                <w:bCs/>
                <w:bdr w:val="nil"/>
              </w:rPr>
              <w:t>90%</w:t>
            </w:r>
          </w:p>
        </w:tc>
      </w:tr>
      <w:tr w:rsidR="00C07D35" w14:paraId="5C44BA5E" w14:textId="61587D0D" w:rsidTr="00A4668D">
        <w:trPr>
          <w:trHeight w:val="568"/>
        </w:trPr>
        <w:tc>
          <w:tcPr>
            <w:tcW w:w="2942" w:type="pct"/>
            <w:tcBorders>
              <w:top w:val="nil"/>
              <w:left w:val="nil"/>
              <w:bottom w:val="nil"/>
              <w:right w:val="nil"/>
            </w:tcBorders>
            <w:hideMark/>
          </w:tcPr>
          <w:p w14:paraId="14AB9E5B" w14:textId="061E6A1A" w:rsidR="00A4668D" w:rsidRDefault="00A4668D" w:rsidP="009A24FA">
            <w:pPr>
              <w:pStyle w:val="BStablelist"/>
              <w:numPr>
                <w:ilvl w:val="0"/>
                <w:numId w:val="22"/>
              </w:numPr>
              <w:pBdr>
                <w:top w:val="nil"/>
                <w:left w:val="nil"/>
                <w:bottom w:val="nil"/>
                <w:right w:val="nil"/>
                <w:between w:val="nil"/>
                <w:bar w:val="nil"/>
              </w:pBdr>
              <w:rPr>
                <w:bdr w:val="nil"/>
              </w:rPr>
            </w:pPr>
            <w:r>
              <w:rPr>
                <w:bdr w:val="nil"/>
              </w:rPr>
              <w:t xml:space="preserve">Proportion of funded services that were visited by a Relationship Manager during the financial year </w:t>
            </w:r>
          </w:p>
        </w:tc>
        <w:tc>
          <w:tcPr>
            <w:tcW w:w="547" w:type="pct"/>
            <w:tcBorders>
              <w:top w:val="nil"/>
              <w:left w:val="nil"/>
              <w:bottom w:val="nil"/>
              <w:right w:val="nil"/>
            </w:tcBorders>
            <w:vAlign w:val="center"/>
            <w:hideMark/>
          </w:tcPr>
          <w:p w14:paraId="16E6B99D" w14:textId="63E1BB11" w:rsidR="00A4668D" w:rsidRDefault="00A4668D" w:rsidP="00A4668D">
            <w:pPr>
              <w:pStyle w:val="BStablefigures1"/>
              <w:pBdr>
                <w:top w:val="nil"/>
                <w:left w:val="nil"/>
                <w:bottom w:val="nil"/>
                <w:right w:val="nil"/>
                <w:between w:val="nil"/>
                <w:bar w:val="nil"/>
              </w:pBdr>
              <w:rPr>
                <w:b w:val="0"/>
                <w:bdr w:val="nil"/>
              </w:rPr>
            </w:pPr>
            <w:r>
              <w:rPr>
                <w:b w:val="0"/>
                <w:bCs/>
                <w:bdr w:val="nil"/>
              </w:rPr>
              <w:t>75%</w:t>
            </w:r>
          </w:p>
        </w:tc>
        <w:tc>
          <w:tcPr>
            <w:tcW w:w="755" w:type="pct"/>
            <w:tcBorders>
              <w:top w:val="nil"/>
              <w:left w:val="nil"/>
              <w:bottom w:val="nil"/>
              <w:right w:val="nil"/>
            </w:tcBorders>
            <w:vAlign w:val="center"/>
          </w:tcPr>
          <w:p w14:paraId="2C6B8A7D" w14:textId="6C77D36F" w:rsidR="00A4668D" w:rsidRDefault="00A4668D" w:rsidP="00A4668D">
            <w:pPr>
              <w:pStyle w:val="BStablefigures1"/>
              <w:pBdr>
                <w:top w:val="nil"/>
                <w:left w:val="nil"/>
                <w:bottom w:val="nil"/>
                <w:right w:val="nil"/>
                <w:between w:val="nil"/>
                <w:bar w:val="nil"/>
              </w:pBdr>
              <w:rPr>
                <w:b w:val="0"/>
                <w:bdr w:val="nil"/>
              </w:rPr>
            </w:pPr>
            <w:r>
              <w:rPr>
                <w:b w:val="0"/>
                <w:bdr w:val="nil"/>
              </w:rPr>
              <w:t>61%</w:t>
            </w:r>
          </w:p>
        </w:tc>
        <w:tc>
          <w:tcPr>
            <w:tcW w:w="756" w:type="pct"/>
            <w:tcBorders>
              <w:top w:val="nil"/>
              <w:left w:val="nil"/>
              <w:bottom w:val="nil"/>
              <w:right w:val="nil"/>
            </w:tcBorders>
            <w:vAlign w:val="center"/>
          </w:tcPr>
          <w:p w14:paraId="34AC97B5" w14:textId="7A194F8C" w:rsidR="00A4668D" w:rsidRDefault="00A4668D" w:rsidP="00A4668D">
            <w:pPr>
              <w:pStyle w:val="BStablefigures1"/>
              <w:pBdr>
                <w:top w:val="nil"/>
                <w:left w:val="nil"/>
                <w:bottom w:val="nil"/>
                <w:right w:val="nil"/>
                <w:between w:val="nil"/>
                <w:bar w:val="nil"/>
              </w:pBdr>
              <w:ind w:left="0" w:firstLine="0"/>
              <w:rPr>
                <w:b w:val="0"/>
                <w:bdr w:val="nil"/>
              </w:rPr>
            </w:pPr>
            <w:r>
              <w:rPr>
                <w:b w:val="0"/>
                <w:bCs/>
                <w:bdr w:val="nil"/>
              </w:rPr>
              <w:t>75%</w:t>
            </w:r>
          </w:p>
        </w:tc>
      </w:tr>
      <w:tr w:rsidR="00C07D35" w14:paraId="70B4EC77" w14:textId="2A7BE53B" w:rsidTr="00A4668D">
        <w:trPr>
          <w:trHeight w:val="576"/>
        </w:trPr>
        <w:tc>
          <w:tcPr>
            <w:tcW w:w="2942" w:type="pct"/>
            <w:tcBorders>
              <w:top w:val="nil"/>
              <w:left w:val="nil"/>
              <w:bottom w:val="nil"/>
              <w:right w:val="nil"/>
            </w:tcBorders>
            <w:hideMark/>
          </w:tcPr>
          <w:p w14:paraId="53AE8A27" w14:textId="57D916F3" w:rsidR="00A4668D" w:rsidRDefault="00A4668D" w:rsidP="009A24FA">
            <w:pPr>
              <w:pStyle w:val="BStablelist"/>
              <w:numPr>
                <w:ilvl w:val="0"/>
                <w:numId w:val="22"/>
              </w:numPr>
              <w:pBdr>
                <w:top w:val="nil"/>
                <w:left w:val="nil"/>
                <w:bottom w:val="nil"/>
                <w:right w:val="nil"/>
                <w:between w:val="nil"/>
                <w:bar w:val="nil"/>
              </w:pBdr>
              <w:rPr>
                <w:bdr w:val="nil"/>
              </w:rPr>
            </w:pPr>
            <w:r>
              <w:rPr>
                <w:bdr w:val="nil"/>
              </w:rPr>
              <w:t xml:space="preserve">Number of community engagement opportunities for veterans in the ACT </w:t>
            </w:r>
          </w:p>
        </w:tc>
        <w:tc>
          <w:tcPr>
            <w:tcW w:w="547" w:type="pct"/>
            <w:tcBorders>
              <w:top w:val="nil"/>
              <w:left w:val="nil"/>
              <w:bottom w:val="nil"/>
              <w:right w:val="nil"/>
            </w:tcBorders>
            <w:vAlign w:val="center"/>
            <w:hideMark/>
          </w:tcPr>
          <w:p w14:paraId="69F6EA7C" w14:textId="11295455" w:rsidR="00A4668D" w:rsidRDefault="00A4668D" w:rsidP="00A4668D">
            <w:pPr>
              <w:pStyle w:val="BStablefigures1"/>
              <w:pBdr>
                <w:top w:val="nil"/>
                <w:left w:val="nil"/>
                <w:bottom w:val="nil"/>
                <w:right w:val="nil"/>
                <w:between w:val="nil"/>
                <w:bar w:val="nil"/>
              </w:pBdr>
              <w:rPr>
                <w:b w:val="0"/>
                <w:bdr w:val="nil"/>
              </w:rPr>
            </w:pPr>
            <w:r>
              <w:rPr>
                <w:b w:val="0"/>
                <w:bCs/>
                <w:bdr w:val="nil"/>
              </w:rPr>
              <w:t>7</w:t>
            </w:r>
          </w:p>
        </w:tc>
        <w:tc>
          <w:tcPr>
            <w:tcW w:w="755" w:type="pct"/>
            <w:tcBorders>
              <w:top w:val="nil"/>
              <w:left w:val="nil"/>
              <w:bottom w:val="nil"/>
              <w:right w:val="nil"/>
            </w:tcBorders>
            <w:vAlign w:val="center"/>
          </w:tcPr>
          <w:p w14:paraId="408E7B9A" w14:textId="4BF743C2" w:rsidR="00A4668D" w:rsidRDefault="00A4668D" w:rsidP="00A4668D">
            <w:pPr>
              <w:pStyle w:val="BStablefigures1"/>
              <w:pBdr>
                <w:top w:val="nil"/>
                <w:left w:val="nil"/>
                <w:bottom w:val="nil"/>
                <w:right w:val="nil"/>
                <w:between w:val="nil"/>
                <w:bar w:val="nil"/>
              </w:pBdr>
              <w:rPr>
                <w:b w:val="0"/>
                <w:bdr w:val="nil"/>
              </w:rPr>
            </w:pPr>
            <w:r>
              <w:rPr>
                <w:b w:val="0"/>
                <w:bdr w:val="nil"/>
              </w:rPr>
              <w:t>9</w:t>
            </w:r>
          </w:p>
        </w:tc>
        <w:tc>
          <w:tcPr>
            <w:tcW w:w="756" w:type="pct"/>
            <w:tcBorders>
              <w:top w:val="nil"/>
              <w:left w:val="nil"/>
              <w:bottom w:val="nil"/>
              <w:right w:val="nil"/>
            </w:tcBorders>
            <w:vAlign w:val="center"/>
          </w:tcPr>
          <w:p w14:paraId="352893A5" w14:textId="4F2D47E6" w:rsidR="00A4668D" w:rsidRDefault="00A4668D" w:rsidP="00A4668D">
            <w:pPr>
              <w:pStyle w:val="BStablefigures1"/>
              <w:pBdr>
                <w:top w:val="nil"/>
                <w:left w:val="nil"/>
                <w:bottom w:val="nil"/>
                <w:right w:val="nil"/>
                <w:between w:val="nil"/>
                <w:bar w:val="nil"/>
              </w:pBdr>
              <w:rPr>
                <w:b w:val="0"/>
                <w:bdr w:val="nil"/>
              </w:rPr>
            </w:pPr>
            <w:r>
              <w:rPr>
                <w:b w:val="0"/>
                <w:bdr w:val="nil"/>
              </w:rPr>
              <w:t>7</w:t>
            </w:r>
          </w:p>
        </w:tc>
      </w:tr>
      <w:tr w:rsidR="00C07D35" w14:paraId="18B77C7F" w14:textId="0AA261C6" w:rsidTr="00A4668D">
        <w:trPr>
          <w:trHeight w:val="558"/>
        </w:trPr>
        <w:tc>
          <w:tcPr>
            <w:tcW w:w="2942" w:type="pct"/>
            <w:tcBorders>
              <w:top w:val="nil"/>
              <w:left w:val="nil"/>
              <w:bottom w:val="single" w:sz="4" w:space="0" w:color="auto"/>
              <w:right w:val="nil"/>
            </w:tcBorders>
            <w:hideMark/>
          </w:tcPr>
          <w:p w14:paraId="154F7FA6" w14:textId="3E525F41" w:rsidR="00A4668D" w:rsidRDefault="00A4668D" w:rsidP="009A24FA">
            <w:pPr>
              <w:pStyle w:val="BStablelist"/>
              <w:numPr>
                <w:ilvl w:val="0"/>
                <w:numId w:val="22"/>
              </w:numPr>
              <w:pBdr>
                <w:top w:val="nil"/>
                <w:left w:val="nil"/>
                <w:bottom w:val="nil"/>
                <w:right w:val="nil"/>
                <w:between w:val="nil"/>
                <w:bar w:val="nil"/>
              </w:pBdr>
              <w:rPr>
                <w:bdr w:val="nil"/>
              </w:rPr>
            </w:pPr>
            <w:r>
              <w:rPr>
                <w:bdr w:val="nil"/>
              </w:rPr>
              <w:t xml:space="preserve">Number of community engagement opportunities for seniors in the ACT </w:t>
            </w:r>
          </w:p>
        </w:tc>
        <w:tc>
          <w:tcPr>
            <w:tcW w:w="547" w:type="pct"/>
            <w:tcBorders>
              <w:top w:val="nil"/>
              <w:left w:val="nil"/>
              <w:bottom w:val="single" w:sz="4" w:space="0" w:color="auto"/>
              <w:right w:val="nil"/>
            </w:tcBorders>
            <w:vAlign w:val="center"/>
            <w:hideMark/>
          </w:tcPr>
          <w:p w14:paraId="25E0B668" w14:textId="7AFFCC12" w:rsidR="00A4668D" w:rsidRDefault="00A4668D" w:rsidP="00A4668D">
            <w:pPr>
              <w:pStyle w:val="BStablefigures1"/>
              <w:pBdr>
                <w:top w:val="nil"/>
                <w:left w:val="nil"/>
                <w:bottom w:val="nil"/>
                <w:right w:val="nil"/>
                <w:between w:val="nil"/>
                <w:bar w:val="nil"/>
              </w:pBdr>
              <w:rPr>
                <w:b w:val="0"/>
                <w:bdr w:val="nil"/>
              </w:rPr>
            </w:pPr>
            <w:r>
              <w:rPr>
                <w:b w:val="0"/>
                <w:bCs/>
                <w:bdr w:val="nil"/>
              </w:rPr>
              <w:t>7</w:t>
            </w:r>
          </w:p>
        </w:tc>
        <w:tc>
          <w:tcPr>
            <w:tcW w:w="755" w:type="pct"/>
            <w:tcBorders>
              <w:top w:val="nil"/>
              <w:left w:val="nil"/>
              <w:bottom w:val="single" w:sz="4" w:space="0" w:color="auto"/>
              <w:right w:val="nil"/>
            </w:tcBorders>
            <w:vAlign w:val="center"/>
          </w:tcPr>
          <w:p w14:paraId="38C288FA" w14:textId="67EF3BD2" w:rsidR="00A4668D" w:rsidRDefault="00A4668D" w:rsidP="00A4668D">
            <w:pPr>
              <w:pStyle w:val="BStablefigures1"/>
              <w:pBdr>
                <w:top w:val="nil"/>
                <w:left w:val="nil"/>
                <w:bottom w:val="nil"/>
                <w:right w:val="nil"/>
                <w:between w:val="nil"/>
                <w:bar w:val="nil"/>
              </w:pBdr>
              <w:rPr>
                <w:b w:val="0"/>
                <w:bdr w:val="nil"/>
              </w:rPr>
            </w:pPr>
            <w:r>
              <w:rPr>
                <w:b w:val="0"/>
                <w:bdr w:val="nil"/>
              </w:rPr>
              <w:t>6</w:t>
            </w:r>
          </w:p>
        </w:tc>
        <w:tc>
          <w:tcPr>
            <w:tcW w:w="756" w:type="pct"/>
            <w:tcBorders>
              <w:top w:val="nil"/>
              <w:left w:val="nil"/>
              <w:bottom w:val="single" w:sz="4" w:space="0" w:color="auto"/>
              <w:right w:val="nil"/>
            </w:tcBorders>
            <w:vAlign w:val="center"/>
          </w:tcPr>
          <w:p w14:paraId="1A0DA674" w14:textId="15243F84" w:rsidR="00A4668D" w:rsidRDefault="00A4668D" w:rsidP="00A4668D">
            <w:pPr>
              <w:pStyle w:val="BStablefigures1"/>
              <w:pBdr>
                <w:top w:val="nil"/>
                <w:left w:val="nil"/>
                <w:bottom w:val="nil"/>
                <w:right w:val="nil"/>
                <w:between w:val="nil"/>
                <w:bar w:val="nil"/>
              </w:pBdr>
              <w:rPr>
                <w:b w:val="0"/>
                <w:bdr w:val="nil"/>
              </w:rPr>
            </w:pPr>
            <w:r>
              <w:rPr>
                <w:b w:val="0"/>
                <w:bdr w:val="nil"/>
              </w:rPr>
              <w:t>7</w:t>
            </w:r>
          </w:p>
        </w:tc>
      </w:tr>
    </w:tbl>
    <w:p w14:paraId="732D4653" w14:textId="593E4091" w:rsidR="00A4668D" w:rsidRPr="007158D0" w:rsidRDefault="00A4668D" w:rsidP="00A4668D">
      <w:pPr>
        <w:pStyle w:val="BSnote2"/>
        <w:pBdr>
          <w:top w:val="nil"/>
          <w:left w:val="nil"/>
          <w:bottom w:val="nil"/>
          <w:right w:val="nil"/>
          <w:between w:val="nil"/>
          <w:bar w:val="nil"/>
        </w:pBdr>
        <w:rPr>
          <w:bdr w:val="nil"/>
        </w:rPr>
      </w:pPr>
      <w:r w:rsidRPr="007158D0">
        <w:rPr>
          <w:bdr w:val="nil"/>
        </w:rPr>
        <w:t>Notes:</w:t>
      </w:r>
    </w:p>
    <w:p w14:paraId="2ACCD760" w14:textId="77777777" w:rsidR="00A4668D" w:rsidRDefault="00A4668D" w:rsidP="009A24FA">
      <w:pPr>
        <w:pStyle w:val="BSnoteslist2"/>
        <w:numPr>
          <w:ilvl w:val="0"/>
          <w:numId w:val="23"/>
        </w:numPr>
        <w:pBdr>
          <w:top w:val="nil"/>
          <w:left w:val="nil"/>
          <w:bottom w:val="nil"/>
          <w:right w:val="nil"/>
          <w:between w:val="nil"/>
          <w:bar w:val="nil"/>
        </w:pBdr>
        <w:rPr>
          <w:rFonts w:cs="Times New Roman"/>
          <w:bdr w:val="nil"/>
        </w:rPr>
      </w:pPr>
      <w:r>
        <w:rPr>
          <w:rFonts w:cs="Times New Roman"/>
          <w:bdr w:val="nil"/>
        </w:rPr>
        <w:t>This indicator is measured by grant assessments completed and reports approved by delegate, letter of offers issues and accepted, payments made and recipient grant acquittals.</w:t>
      </w:r>
    </w:p>
    <w:p w14:paraId="0F6F57DE" w14:textId="77777777" w:rsidR="00A4668D" w:rsidRDefault="00A4668D" w:rsidP="009A24FA">
      <w:pPr>
        <w:pStyle w:val="BSnoteslist2"/>
        <w:numPr>
          <w:ilvl w:val="0"/>
          <w:numId w:val="23"/>
        </w:numPr>
        <w:pBdr>
          <w:top w:val="nil"/>
          <w:left w:val="nil"/>
          <w:bottom w:val="nil"/>
          <w:right w:val="nil"/>
          <w:between w:val="nil"/>
          <w:bar w:val="nil"/>
        </w:pBdr>
        <w:rPr>
          <w:rFonts w:cs="Times New Roman"/>
          <w:bdr w:val="nil"/>
        </w:rPr>
      </w:pPr>
      <w:r>
        <w:rPr>
          <w:rFonts w:cs="Times New Roman"/>
          <w:bdr w:val="nil"/>
        </w:rPr>
        <w:t>This indicator measures the percentage of people who finish the program which is designed to assist Canberrans from culturally and linguistically diverse backgrounds enter the workforce by providing an opportunity to improve skills and confidence, as well as develop important networks with the ACT Public Service.</w:t>
      </w:r>
    </w:p>
    <w:p w14:paraId="3D8A98E5" w14:textId="77777777" w:rsidR="00A4668D" w:rsidRDefault="00A4668D" w:rsidP="009A24FA">
      <w:pPr>
        <w:pStyle w:val="BSnoteslist2"/>
        <w:numPr>
          <w:ilvl w:val="0"/>
          <w:numId w:val="23"/>
        </w:numPr>
        <w:pBdr>
          <w:top w:val="nil"/>
          <w:left w:val="nil"/>
          <w:bottom w:val="nil"/>
          <w:right w:val="nil"/>
          <w:between w:val="nil"/>
          <w:bar w:val="nil"/>
        </w:pBdr>
        <w:rPr>
          <w:rFonts w:cs="Times New Roman"/>
          <w:bdr w:val="nil"/>
        </w:rPr>
      </w:pPr>
      <w:r>
        <w:rPr>
          <w:rFonts w:cs="Times New Roman"/>
          <w:bdr w:val="nil"/>
        </w:rPr>
        <w:t xml:space="preserve">This indicator measures the proportion of funded services organisations visited during the financial year. </w:t>
      </w:r>
    </w:p>
    <w:p w14:paraId="09185A58" w14:textId="77777777" w:rsidR="00A4668D" w:rsidRDefault="00A4668D" w:rsidP="009A24FA">
      <w:pPr>
        <w:pStyle w:val="BSnoteslist2"/>
        <w:numPr>
          <w:ilvl w:val="0"/>
          <w:numId w:val="23"/>
        </w:numPr>
        <w:pBdr>
          <w:top w:val="nil"/>
          <w:left w:val="nil"/>
          <w:bottom w:val="nil"/>
          <w:right w:val="nil"/>
          <w:between w:val="nil"/>
          <w:bar w:val="nil"/>
        </w:pBdr>
        <w:rPr>
          <w:rFonts w:cs="Times New Roman"/>
          <w:bdr w:val="nil"/>
        </w:rPr>
      </w:pPr>
      <w:r>
        <w:rPr>
          <w:rFonts w:cs="Times New Roman"/>
          <w:bdr w:val="nil"/>
        </w:rPr>
        <w:t>This indicator measures the number of Veterans Advisory Committee meetings and community consultation forums held.</w:t>
      </w:r>
    </w:p>
    <w:p w14:paraId="4F51B975" w14:textId="064E8A95" w:rsidR="00A4668D" w:rsidRPr="00F85EB1" w:rsidRDefault="00A4668D" w:rsidP="009A24FA">
      <w:pPr>
        <w:pStyle w:val="BSnoteslist2"/>
        <w:numPr>
          <w:ilvl w:val="0"/>
          <w:numId w:val="23"/>
        </w:numPr>
        <w:pBdr>
          <w:top w:val="nil"/>
          <w:left w:val="nil"/>
          <w:bottom w:val="nil"/>
          <w:right w:val="nil"/>
          <w:between w:val="nil"/>
          <w:bar w:val="nil"/>
        </w:pBdr>
        <w:rPr>
          <w:rFonts w:cs="Times New Roman"/>
          <w:bdr w:val="nil"/>
        </w:rPr>
      </w:pPr>
      <w:r>
        <w:rPr>
          <w:rFonts w:cs="Times New Roman"/>
          <w:bdr w:val="nil"/>
        </w:rPr>
        <w:t>This indicator measures the number of community engagement opportunities for seniors in the ACT.</w:t>
      </w:r>
      <w:r w:rsidRPr="00F85EB1">
        <w:rPr>
          <w:rFonts w:cs="Times New Roman"/>
          <w:bdr w:val="nil"/>
        </w:rPr>
        <w:t xml:space="preserve"> </w:t>
      </w:r>
    </w:p>
    <w:p w14:paraId="203E9606" w14:textId="77777777" w:rsidR="00DB6218" w:rsidRDefault="00DB6218">
      <w:pPr>
        <w:spacing w:before="0" w:after="0"/>
        <w:rPr>
          <w:b/>
          <w:i/>
          <w:bdr w:val="nil"/>
        </w:rPr>
      </w:pPr>
      <w:r>
        <w:rPr>
          <w:bdr w:val="nil"/>
        </w:rPr>
        <w:br w:type="page"/>
      </w:r>
    </w:p>
    <w:p w14:paraId="244DFB38" w14:textId="4F844457" w:rsidR="00A4668D" w:rsidRDefault="00A4668D" w:rsidP="00A4668D">
      <w:pPr>
        <w:pStyle w:val="Heading41"/>
        <w:pBdr>
          <w:top w:val="nil"/>
          <w:left w:val="nil"/>
          <w:bottom w:val="nil"/>
          <w:right w:val="nil"/>
          <w:between w:val="nil"/>
          <w:bar w:val="nil"/>
        </w:pBdr>
        <w:rPr>
          <w:bdr w:val="nil"/>
        </w:rPr>
      </w:pPr>
      <w:r>
        <w:rPr>
          <w:bdr w:val="nil"/>
        </w:rPr>
        <w:lastRenderedPageBreak/>
        <w:t>Output 1.2: Office for Disability</w:t>
      </w:r>
    </w:p>
    <w:p w14:paraId="5EAB55F4" w14:textId="3DFFB88C"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13</w:t>
      </w:r>
      <w:r>
        <w:rPr>
          <w:noProof/>
          <w:bdr w:val="nil"/>
        </w:rPr>
        <w:fldChar w:fldCharType="end"/>
      </w:r>
      <w:r>
        <w:rPr>
          <w:bdr w:val="nil"/>
        </w:rPr>
        <w:t>: Accountability Indicators Output 1.2</w:t>
      </w:r>
    </w:p>
    <w:tbl>
      <w:tblPr>
        <w:tblW w:w="9100" w:type="dxa"/>
        <w:tblBorders>
          <w:top w:val="single" w:sz="12" w:space="0" w:color="000000"/>
          <w:bottom w:val="single" w:sz="12" w:space="0" w:color="000000"/>
        </w:tblBorders>
        <w:tblLook w:val="04A0" w:firstRow="1" w:lastRow="0" w:firstColumn="1" w:lastColumn="0" w:noHBand="0" w:noVBand="1"/>
      </w:tblPr>
      <w:tblGrid>
        <w:gridCol w:w="5716"/>
        <w:gridCol w:w="1247"/>
        <w:gridCol w:w="1094"/>
        <w:gridCol w:w="1043"/>
      </w:tblGrid>
      <w:tr w:rsidR="00C07D35" w14:paraId="0DAB8CDD" w14:textId="3B4215F8" w:rsidTr="00A4668D">
        <w:trPr>
          <w:tblHeader/>
        </w:trPr>
        <w:tc>
          <w:tcPr>
            <w:tcW w:w="3141" w:type="pct"/>
            <w:tcBorders>
              <w:top w:val="single" w:sz="12" w:space="0" w:color="000000"/>
              <w:left w:val="nil"/>
              <w:bottom w:val="single" w:sz="4" w:space="0" w:color="auto"/>
              <w:right w:val="nil"/>
            </w:tcBorders>
          </w:tcPr>
          <w:p w14:paraId="6E0D5DD6" w14:textId="77777777" w:rsidR="00A4668D" w:rsidRDefault="00A4668D" w:rsidP="00A4668D">
            <w:pPr>
              <w:pStyle w:val="Heading6"/>
              <w:pBdr>
                <w:top w:val="nil"/>
                <w:left w:val="nil"/>
                <w:bottom w:val="nil"/>
                <w:right w:val="nil"/>
                <w:between w:val="nil"/>
                <w:bar w:val="nil"/>
              </w:pBdr>
              <w:jc w:val="left"/>
              <w:rPr>
                <w:bdr w:val="nil"/>
              </w:rPr>
            </w:pPr>
          </w:p>
        </w:tc>
        <w:tc>
          <w:tcPr>
            <w:tcW w:w="685" w:type="pct"/>
            <w:tcBorders>
              <w:top w:val="single" w:sz="12" w:space="0" w:color="000000"/>
              <w:left w:val="nil"/>
              <w:bottom w:val="single" w:sz="4" w:space="0" w:color="auto"/>
              <w:right w:val="nil"/>
            </w:tcBorders>
            <w:hideMark/>
          </w:tcPr>
          <w:p w14:paraId="0A76F2CD"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5026F6BC" w14:textId="104D5EDE"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Targets</w:t>
            </w:r>
          </w:p>
        </w:tc>
        <w:tc>
          <w:tcPr>
            <w:tcW w:w="601" w:type="pct"/>
            <w:tcBorders>
              <w:top w:val="single" w:sz="12" w:space="0" w:color="000000"/>
              <w:left w:val="nil"/>
              <w:bottom w:val="single" w:sz="4" w:space="0" w:color="auto"/>
              <w:right w:val="nil"/>
            </w:tcBorders>
            <w:hideMark/>
          </w:tcPr>
          <w:p w14:paraId="5D09A8A7"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4DA1F269" w14:textId="26EDF1B3"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573" w:type="pct"/>
            <w:tcBorders>
              <w:top w:val="single" w:sz="12" w:space="0" w:color="000000"/>
              <w:left w:val="nil"/>
              <w:bottom w:val="single" w:sz="4" w:space="0" w:color="auto"/>
              <w:right w:val="nil"/>
            </w:tcBorders>
            <w:hideMark/>
          </w:tcPr>
          <w:p w14:paraId="09388D23" w14:textId="50C05D0C"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44D72B79" w14:textId="66B9C3D6"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Targets</w:t>
            </w:r>
          </w:p>
        </w:tc>
      </w:tr>
      <w:tr w:rsidR="00C07D35" w14:paraId="1DE4C362" w14:textId="63765EE7" w:rsidTr="00A4668D">
        <w:trPr>
          <w:trHeight w:val="344"/>
        </w:trPr>
        <w:tc>
          <w:tcPr>
            <w:tcW w:w="5000" w:type="pct"/>
            <w:gridSpan w:val="4"/>
            <w:tcBorders>
              <w:top w:val="single" w:sz="4" w:space="0" w:color="auto"/>
              <w:left w:val="nil"/>
              <w:bottom w:val="nil"/>
              <w:right w:val="nil"/>
            </w:tcBorders>
            <w:hideMark/>
          </w:tcPr>
          <w:p w14:paraId="0947ADD7" w14:textId="77777777" w:rsidR="00A4668D" w:rsidRDefault="00A4668D">
            <w:pPr>
              <w:pStyle w:val="BStablelist"/>
              <w:numPr>
                <w:ilvl w:val="0"/>
                <w:numId w:val="0"/>
              </w:numPr>
              <w:pBdr>
                <w:top w:val="nil"/>
                <w:left w:val="nil"/>
                <w:bottom w:val="nil"/>
                <w:right w:val="nil"/>
                <w:between w:val="nil"/>
                <w:bar w:val="nil"/>
              </w:pBdr>
              <w:ind w:left="360" w:hanging="360"/>
              <w:rPr>
                <w:b/>
                <w:bdr w:val="nil"/>
              </w:rPr>
            </w:pPr>
            <w:r>
              <w:rPr>
                <w:b/>
                <w:bdr w:val="nil"/>
              </w:rPr>
              <w:t>Office for Disability</w:t>
            </w:r>
          </w:p>
        </w:tc>
      </w:tr>
      <w:tr w:rsidR="00C07D35" w14:paraId="64AB9A55" w14:textId="243FAEF6" w:rsidTr="00A4668D">
        <w:trPr>
          <w:trHeight w:val="586"/>
        </w:trPr>
        <w:tc>
          <w:tcPr>
            <w:tcW w:w="3141" w:type="pct"/>
            <w:tcBorders>
              <w:top w:val="nil"/>
              <w:left w:val="nil"/>
              <w:bottom w:val="nil"/>
              <w:right w:val="nil"/>
            </w:tcBorders>
            <w:hideMark/>
          </w:tcPr>
          <w:p w14:paraId="6C285BDE" w14:textId="1C0E248C" w:rsidR="00A4668D" w:rsidRDefault="00A4668D" w:rsidP="009A24FA">
            <w:pPr>
              <w:pStyle w:val="BStablelist"/>
              <w:numPr>
                <w:ilvl w:val="0"/>
                <w:numId w:val="24"/>
              </w:numPr>
              <w:pBdr>
                <w:top w:val="nil"/>
                <w:left w:val="nil"/>
                <w:bottom w:val="nil"/>
                <w:right w:val="nil"/>
                <w:between w:val="nil"/>
                <w:bar w:val="nil"/>
              </w:pBdr>
              <w:rPr>
                <w:bdr w:val="nil"/>
              </w:rPr>
            </w:pPr>
            <w:r>
              <w:rPr>
                <w:bdr w:val="nil"/>
              </w:rPr>
              <w:t xml:space="preserve">Community engagement activities on National Disability Strategy </w:t>
            </w:r>
          </w:p>
        </w:tc>
        <w:tc>
          <w:tcPr>
            <w:tcW w:w="685" w:type="pct"/>
            <w:tcBorders>
              <w:top w:val="nil"/>
              <w:left w:val="nil"/>
              <w:bottom w:val="nil"/>
              <w:right w:val="nil"/>
            </w:tcBorders>
            <w:vAlign w:val="center"/>
            <w:hideMark/>
          </w:tcPr>
          <w:p w14:paraId="6359489C" w14:textId="750B9F8B" w:rsidR="00A4668D" w:rsidRDefault="00A4668D" w:rsidP="00A4668D">
            <w:pPr>
              <w:pStyle w:val="BStablefigures1"/>
              <w:pBdr>
                <w:top w:val="nil"/>
                <w:left w:val="nil"/>
                <w:bottom w:val="nil"/>
                <w:right w:val="nil"/>
                <w:between w:val="nil"/>
                <w:bar w:val="nil"/>
              </w:pBdr>
              <w:rPr>
                <w:b w:val="0"/>
                <w:bdr w:val="nil"/>
              </w:rPr>
            </w:pPr>
            <w:r>
              <w:rPr>
                <w:b w:val="0"/>
                <w:bCs/>
                <w:bdr w:val="nil"/>
              </w:rPr>
              <w:t>8</w:t>
            </w:r>
          </w:p>
        </w:tc>
        <w:tc>
          <w:tcPr>
            <w:tcW w:w="601" w:type="pct"/>
            <w:tcBorders>
              <w:top w:val="nil"/>
              <w:left w:val="nil"/>
              <w:bottom w:val="nil"/>
              <w:right w:val="nil"/>
            </w:tcBorders>
            <w:vAlign w:val="center"/>
          </w:tcPr>
          <w:p w14:paraId="73437757" w14:textId="5568A059" w:rsidR="00A4668D" w:rsidRDefault="00A4668D" w:rsidP="00A4668D">
            <w:pPr>
              <w:pStyle w:val="BStablefigures1"/>
              <w:pBdr>
                <w:top w:val="nil"/>
                <w:left w:val="nil"/>
                <w:bottom w:val="nil"/>
                <w:right w:val="nil"/>
                <w:between w:val="nil"/>
                <w:bar w:val="nil"/>
              </w:pBdr>
              <w:rPr>
                <w:b w:val="0"/>
                <w:bdr w:val="nil"/>
              </w:rPr>
            </w:pPr>
            <w:r>
              <w:rPr>
                <w:b w:val="0"/>
                <w:bdr w:val="nil"/>
              </w:rPr>
              <w:t>10</w:t>
            </w:r>
          </w:p>
        </w:tc>
        <w:tc>
          <w:tcPr>
            <w:tcW w:w="573" w:type="pct"/>
            <w:tcBorders>
              <w:top w:val="nil"/>
              <w:left w:val="nil"/>
              <w:bottom w:val="nil"/>
              <w:right w:val="nil"/>
            </w:tcBorders>
            <w:vAlign w:val="center"/>
          </w:tcPr>
          <w:p w14:paraId="7E46294E" w14:textId="5018EC2A" w:rsidR="00A4668D" w:rsidRDefault="00A4668D" w:rsidP="00A4668D">
            <w:pPr>
              <w:pStyle w:val="BStablefigures1"/>
              <w:pBdr>
                <w:top w:val="nil"/>
                <w:left w:val="nil"/>
                <w:bottom w:val="nil"/>
                <w:right w:val="nil"/>
                <w:between w:val="nil"/>
                <w:bar w:val="nil"/>
              </w:pBdr>
              <w:rPr>
                <w:b w:val="0"/>
                <w:bdr w:val="nil"/>
              </w:rPr>
            </w:pPr>
            <w:r>
              <w:rPr>
                <w:b w:val="0"/>
                <w:bdr w:val="nil"/>
              </w:rPr>
              <w:t>8</w:t>
            </w:r>
          </w:p>
        </w:tc>
      </w:tr>
      <w:tr w:rsidR="00C07D35" w14:paraId="5215E917" w14:textId="2DAF8766" w:rsidTr="00A4668D">
        <w:trPr>
          <w:trHeight w:val="552"/>
        </w:trPr>
        <w:tc>
          <w:tcPr>
            <w:tcW w:w="3141" w:type="pct"/>
            <w:tcBorders>
              <w:top w:val="nil"/>
              <w:left w:val="nil"/>
              <w:bottom w:val="single" w:sz="4" w:space="0" w:color="auto"/>
              <w:right w:val="nil"/>
            </w:tcBorders>
            <w:hideMark/>
          </w:tcPr>
          <w:p w14:paraId="2BF9FE84" w14:textId="463A8C8B" w:rsidR="00A4668D" w:rsidRDefault="00A4668D" w:rsidP="009A24FA">
            <w:pPr>
              <w:pStyle w:val="BStablelist"/>
              <w:numPr>
                <w:ilvl w:val="0"/>
                <w:numId w:val="24"/>
              </w:numPr>
              <w:pBdr>
                <w:top w:val="nil"/>
                <w:left w:val="nil"/>
                <w:bottom w:val="nil"/>
                <w:right w:val="nil"/>
                <w:between w:val="nil"/>
                <w:bar w:val="nil"/>
              </w:pBdr>
              <w:rPr>
                <w:bdr w:val="nil"/>
              </w:rPr>
            </w:pPr>
            <w:r>
              <w:rPr>
                <w:bdr w:val="nil"/>
              </w:rPr>
              <w:t>Implement Companion Card Program - Number of Companion Card affiliates</w:t>
            </w:r>
          </w:p>
        </w:tc>
        <w:tc>
          <w:tcPr>
            <w:tcW w:w="685" w:type="pct"/>
            <w:tcBorders>
              <w:top w:val="nil"/>
              <w:left w:val="nil"/>
              <w:bottom w:val="single" w:sz="4" w:space="0" w:color="auto"/>
              <w:right w:val="nil"/>
            </w:tcBorders>
            <w:vAlign w:val="center"/>
            <w:hideMark/>
          </w:tcPr>
          <w:p w14:paraId="30A5D583" w14:textId="3DE0200E" w:rsidR="00A4668D" w:rsidRDefault="00A4668D" w:rsidP="00A4668D">
            <w:pPr>
              <w:pStyle w:val="BStablefigures1"/>
              <w:pBdr>
                <w:top w:val="nil"/>
                <w:left w:val="nil"/>
                <w:bottom w:val="nil"/>
                <w:right w:val="nil"/>
                <w:between w:val="nil"/>
                <w:bar w:val="nil"/>
              </w:pBdr>
              <w:rPr>
                <w:b w:val="0"/>
                <w:bdr w:val="nil"/>
              </w:rPr>
            </w:pPr>
            <w:r>
              <w:rPr>
                <w:b w:val="0"/>
                <w:bCs/>
                <w:bdr w:val="nil"/>
              </w:rPr>
              <w:t>94</w:t>
            </w:r>
          </w:p>
        </w:tc>
        <w:tc>
          <w:tcPr>
            <w:tcW w:w="601" w:type="pct"/>
            <w:tcBorders>
              <w:top w:val="nil"/>
              <w:left w:val="nil"/>
              <w:bottom w:val="single" w:sz="4" w:space="0" w:color="auto"/>
              <w:right w:val="nil"/>
            </w:tcBorders>
            <w:vAlign w:val="center"/>
          </w:tcPr>
          <w:p w14:paraId="64FCC7F9" w14:textId="05B725BE" w:rsidR="00A4668D" w:rsidRDefault="00A4668D" w:rsidP="00A4668D">
            <w:pPr>
              <w:pStyle w:val="BStablefigures1"/>
              <w:pBdr>
                <w:top w:val="nil"/>
                <w:left w:val="nil"/>
                <w:bottom w:val="nil"/>
                <w:right w:val="nil"/>
                <w:between w:val="nil"/>
                <w:bar w:val="nil"/>
              </w:pBdr>
              <w:rPr>
                <w:b w:val="0"/>
                <w:bdr w:val="nil"/>
              </w:rPr>
            </w:pPr>
            <w:r>
              <w:rPr>
                <w:b w:val="0"/>
                <w:bdr w:val="nil"/>
              </w:rPr>
              <w:t>88</w:t>
            </w:r>
          </w:p>
        </w:tc>
        <w:tc>
          <w:tcPr>
            <w:tcW w:w="573" w:type="pct"/>
            <w:tcBorders>
              <w:top w:val="nil"/>
              <w:left w:val="nil"/>
              <w:bottom w:val="single" w:sz="4" w:space="0" w:color="auto"/>
              <w:right w:val="nil"/>
            </w:tcBorders>
            <w:vAlign w:val="center"/>
          </w:tcPr>
          <w:p w14:paraId="50907CF0" w14:textId="742B7063" w:rsidR="00A4668D" w:rsidRDefault="00A4668D" w:rsidP="00A4668D">
            <w:pPr>
              <w:pStyle w:val="BStablefigures1"/>
              <w:pBdr>
                <w:top w:val="nil"/>
                <w:left w:val="nil"/>
                <w:bottom w:val="nil"/>
                <w:right w:val="nil"/>
                <w:between w:val="nil"/>
                <w:bar w:val="nil"/>
              </w:pBdr>
              <w:rPr>
                <w:b w:val="0"/>
                <w:bdr w:val="nil"/>
              </w:rPr>
            </w:pPr>
            <w:r>
              <w:rPr>
                <w:b w:val="0"/>
                <w:bdr w:val="nil"/>
              </w:rPr>
              <w:t>90</w:t>
            </w:r>
          </w:p>
        </w:tc>
      </w:tr>
    </w:tbl>
    <w:p w14:paraId="01015576" w14:textId="326D6442" w:rsidR="00A4668D" w:rsidRPr="007158D0" w:rsidRDefault="00A4668D" w:rsidP="00A4668D">
      <w:pPr>
        <w:pStyle w:val="BSnote2"/>
        <w:pBdr>
          <w:top w:val="nil"/>
          <w:left w:val="nil"/>
          <w:bottom w:val="nil"/>
          <w:right w:val="nil"/>
          <w:between w:val="nil"/>
          <w:bar w:val="nil"/>
        </w:pBdr>
        <w:rPr>
          <w:bdr w:val="nil"/>
        </w:rPr>
      </w:pPr>
      <w:r w:rsidRPr="007158D0">
        <w:rPr>
          <w:bdr w:val="nil"/>
        </w:rPr>
        <w:t>Notes:</w:t>
      </w:r>
    </w:p>
    <w:p w14:paraId="7DCE99CB" w14:textId="77777777" w:rsidR="00A4668D" w:rsidRDefault="00A4668D" w:rsidP="009A24FA">
      <w:pPr>
        <w:pStyle w:val="BSnoteslist2"/>
        <w:numPr>
          <w:ilvl w:val="0"/>
          <w:numId w:val="25"/>
        </w:numPr>
        <w:pBdr>
          <w:top w:val="nil"/>
          <w:left w:val="nil"/>
          <w:bottom w:val="nil"/>
          <w:right w:val="nil"/>
          <w:between w:val="nil"/>
          <w:bar w:val="nil"/>
        </w:pBdr>
        <w:rPr>
          <w:rFonts w:cs="Times New Roman"/>
          <w:bdr w:val="nil"/>
        </w:rPr>
      </w:pPr>
      <w:r>
        <w:rPr>
          <w:rFonts w:cs="Times New Roman"/>
          <w:bdr w:val="nil"/>
        </w:rPr>
        <w:t>This indicator measures the number of policy and project initiatives that engage directly with the community on issues to inform progress of outcomes against the commitment to the National Disability Strategy.</w:t>
      </w:r>
    </w:p>
    <w:p w14:paraId="25E176A6" w14:textId="11E7D076" w:rsidR="00A4668D" w:rsidRPr="00F85EB1" w:rsidRDefault="00A4668D" w:rsidP="009A24FA">
      <w:pPr>
        <w:pStyle w:val="BSnoteslist2"/>
        <w:numPr>
          <w:ilvl w:val="0"/>
          <w:numId w:val="25"/>
        </w:numPr>
        <w:pBdr>
          <w:top w:val="nil"/>
          <w:left w:val="nil"/>
          <w:bottom w:val="nil"/>
          <w:right w:val="nil"/>
          <w:between w:val="nil"/>
          <w:bar w:val="nil"/>
        </w:pBdr>
        <w:rPr>
          <w:rFonts w:cs="Times New Roman"/>
          <w:bdr w:val="nil"/>
        </w:rPr>
      </w:pPr>
      <w:r>
        <w:rPr>
          <w:rFonts w:cs="Times New Roman"/>
          <w:bdr w:val="nil"/>
        </w:rPr>
        <w:t>This indicator measures the implementation of the Companion Card Program through the number of Companion Card affiliates recruited.</w:t>
      </w:r>
      <w:r w:rsidRPr="00F85EB1">
        <w:rPr>
          <w:rFonts w:cs="Times New Roman"/>
          <w:bdr w:val="nil"/>
        </w:rPr>
        <w:t xml:space="preserve"> </w:t>
      </w:r>
    </w:p>
    <w:p w14:paraId="190B7563" w14:textId="42464CF7" w:rsidR="00A4668D" w:rsidRDefault="00A4668D" w:rsidP="00A4668D">
      <w:pPr>
        <w:pStyle w:val="Heading41"/>
        <w:pBdr>
          <w:top w:val="nil"/>
          <w:left w:val="nil"/>
          <w:bottom w:val="nil"/>
          <w:right w:val="nil"/>
          <w:between w:val="nil"/>
          <w:bar w:val="nil"/>
        </w:pBdr>
        <w:rPr>
          <w:bdr w:val="nil"/>
        </w:rPr>
      </w:pPr>
      <w:r>
        <w:rPr>
          <w:bdr w:val="nil"/>
        </w:rPr>
        <w:t>Output 1.3: Strategic Policy</w:t>
      </w:r>
    </w:p>
    <w:p w14:paraId="67A304D2" w14:textId="22EA7645"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14</w:t>
      </w:r>
      <w:r>
        <w:rPr>
          <w:noProof/>
          <w:bdr w:val="nil"/>
        </w:rPr>
        <w:fldChar w:fldCharType="end"/>
      </w:r>
      <w:r>
        <w:rPr>
          <w:bdr w:val="nil"/>
        </w:rPr>
        <w:t>: Accountability Indicators Output 1.3</w:t>
      </w:r>
    </w:p>
    <w:tbl>
      <w:tblPr>
        <w:tblW w:w="9100" w:type="dxa"/>
        <w:tblBorders>
          <w:top w:val="single" w:sz="12" w:space="0" w:color="000000"/>
          <w:bottom w:val="single" w:sz="12" w:space="0" w:color="000000"/>
        </w:tblBorders>
        <w:tblLook w:val="04A0" w:firstRow="1" w:lastRow="0" w:firstColumn="1" w:lastColumn="0" w:noHBand="0" w:noVBand="1"/>
      </w:tblPr>
      <w:tblGrid>
        <w:gridCol w:w="5873"/>
        <w:gridCol w:w="1090"/>
        <w:gridCol w:w="1096"/>
        <w:gridCol w:w="1041"/>
      </w:tblGrid>
      <w:tr w:rsidR="00C07D35" w14:paraId="6DB738A2" w14:textId="5DB68BBF" w:rsidTr="00A4668D">
        <w:trPr>
          <w:tblHeader/>
        </w:trPr>
        <w:tc>
          <w:tcPr>
            <w:tcW w:w="3227" w:type="pct"/>
            <w:tcBorders>
              <w:top w:val="single" w:sz="12" w:space="0" w:color="000000"/>
              <w:left w:val="nil"/>
              <w:bottom w:val="single" w:sz="4" w:space="0" w:color="auto"/>
              <w:right w:val="nil"/>
            </w:tcBorders>
          </w:tcPr>
          <w:p w14:paraId="73FCCC6B" w14:textId="77777777" w:rsidR="00A4668D" w:rsidRDefault="00A4668D" w:rsidP="00A4668D">
            <w:pPr>
              <w:pStyle w:val="Heading6"/>
              <w:pBdr>
                <w:top w:val="nil"/>
                <w:left w:val="nil"/>
                <w:bottom w:val="nil"/>
                <w:right w:val="nil"/>
                <w:between w:val="nil"/>
                <w:bar w:val="nil"/>
              </w:pBdr>
              <w:jc w:val="left"/>
              <w:rPr>
                <w:bdr w:val="nil"/>
              </w:rPr>
            </w:pPr>
          </w:p>
        </w:tc>
        <w:tc>
          <w:tcPr>
            <w:tcW w:w="599" w:type="pct"/>
            <w:tcBorders>
              <w:top w:val="single" w:sz="12" w:space="0" w:color="000000"/>
              <w:left w:val="nil"/>
              <w:bottom w:val="single" w:sz="4" w:space="0" w:color="auto"/>
              <w:right w:val="nil"/>
            </w:tcBorders>
            <w:hideMark/>
          </w:tcPr>
          <w:p w14:paraId="6EAC3ECF"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2C4C38C0" w14:textId="60F2749F"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Targets</w:t>
            </w:r>
          </w:p>
        </w:tc>
        <w:tc>
          <w:tcPr>
            <w:tcW w:w="602" w:type="pct"/>
            <w:tcBorders>
              <w:top w:val="single" w:sz="12" w:space="0" w:color="000000"/>
              <w:left w:val="nil"/>
              <w:bottom w:val="single" w:sz="4" w:space="0" w:color="auto"/>
              <w:right w:val="nil"/>
            </w:tcBorders>
            <w:hideMark/>
          </w:tcPr>
          <w:p w14:paraId="166D2CDB"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7B5CD56A" w14:textId="03426772"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572" w:type="pct"/>
            <w:tcBorders>
              <w:top w:val="single" w:sz="12" w:space="0" w:color="000000"/>
              <w:left w:val="nil"/>
              <w:bottom w:val="single" w:sz="4" w:space="0" w:color="auto"/>
              <w:right w:val="nil"/>
            </w:tcBorders>
            <w:hideMark/>
          </w:tcPr>
          <w:p w14:paraId="307A0B2C" w14:textId="317DB06C"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0BB30443" w14:textId="4BDE888B"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Targets</w:t>
            </w:r>
          </w:p>
        </w:tc>
      </w:tr>
      <w:tr w:rsidR="00C07D35" w14:paraId="2D689B19" w14:textId="327B534D" w:rsidTr="00A4668D">
        <w:trPr>
          <w:trHeight w:val="355"/>
        </w:trPr>
        <w:tc>
          <w:tcPr>
            <w:tcW w:w="5000" w:type="pct"/>
            <w:gridSpan w:val="4"/>
            <w:tcBorders>
              <w:top w:val="single" w:sz="4" w:space="0" w:color="auto"/>
              <w:left w:val="nil"/>
              <w:bottom w:val="nil"/>
              <w:right w:val="nil"/>
            </w:tcBorders>
            <w:hideMark/>
          </w:tcPr>
          <w:p w14:paraId="290484D5" w14:textId="77777777" w:rsidR="00A4668D" w:rsidRDefault="00A4668D">
            <w:pPr>
              <w:pStyle w:val="BStablelist"/>
              <w:numPr>
                <w:ilvl w:val="0"/>
                <w:numId w:val="0"/>
              </w:numPr>
              <w:pBdr>
                <w:top w:val="nil"/>
                <w:left w:val="nil"/>
                <w:bottom w:val="nil"/>
                <w:right w:val="nil"/>
                <w:between w:val="nil"/>
                <w:bar w:val="nil"/>
              </w:pBdr>
              <w:ind w:left="360" w:hanging="360"/>
              <w:rPr>
                <w:b/>
                <w:strike/>
                <w:bdr w:val="nil"/>
              </w:rPr>
            </w:pPr>
            <w:r>
              <w:rPr>
                <w:b/>
                <w:bdr w:val="nil"/>
              </w:rPr>
              <w:t>Strategic Policy</w:t>
            </w:r>
          </w:p>
        </w:tc>
      </w:tr>
      <w:tr w:rsidR="00C07D35" w14:paraId="3AD53D34" w14:textId="295FF294" w:rsidTr="00A4668D">
        <w:trPr>
          <w:trHeight w:val="865"/>
        </w:trPr>
        <w:tc>
          <w:tcPr>
            <w:tcW w:w="3227" w:type="pct"/>
            <w:tcBorders>
              <w:top w:val="nil"/>
              <w:left w:val="nil"/>
              <w:bottom w:val="nil"/>
              <w:right w:val="nil"/>
            </w:tcBorders>
            <w:hideMark/>
          </w:tcPr>
          <w:p w14:paraId="2112DF02" w14:textId="528AF3A3" w:rsidR="00A4668D" w:rsidRDefault="00A4668D" w:rsidP="009A24FA">
            <w:pPr>
              <w:pStyle w:val="BStablelist"/>
              <w:numPr>
                <w:ilvl w:val="0"/>
                <w:numId w:val="26"/>
              </w:numPr>
              <w:pBdr>
                <w:top w:val="nil"/>
                <w:left w:val="nil"/>
                <w:bottom w:val="nil"/>
                <w:right w:val="nil"/>
                <w:between w:val="nil"/>
                <w:bar w:val="nil"/>
              </w:pBdr>
              <w:rPr>
                <w:bdr w:val="nil"/>
              </w:rPr>
            </w:pPr>
            <w:r>
              <w:rPr>
                <w:bdr w:val="nil"/>
              </w:rPr>
              <w:t xml:space="preserve">Implementation of projects included in the </w:t>
            </w:r>
            <w:r>
              <w:rPr>
                <w:bdr w:val="nil"/>
              </w:rPr>
              <w:br/>
              <w:t xml:space="preserve">Whole of Government plan on Aboriginal and Torres Strait Islander Agreement </w:t>
            </w:r>
          </w:p>
        </w:tc>
        <w:tc>
          <w:tcPr>
            <w:tcW w:w="599" w:type="pct"/>
            <w:tcBorders>
              <w:top w:val="nil"/>
              <w:left w:val="nil"/>
              <w:bottom w:val="nil"/>
              <w:right w:val="nil"/>
            </w:tcBorders>
            <w:vAlign w:val="center"/>
            <w:hideMark/>
          </w:tcPr>
          <w:p w14:paraId="6C0209CB" w14:textId="2FCF1B45" w:rsidR="00A4668D" w:rsidRDefault="00A4668D">
            <w:pPr>
              <w:pStyle w:val="BStablefigures1"/>
              <w:pBdr>
                <w:top w:val="nil"/>
                <w:left w:val="nil"/>
                <w:bottom w:val="nil"/>
                <w:right w:val="nil"/>
                <w:between w:val="nil"/>
                <w:bar w:val="nil"/>
              </w:pBdr>
              <w:rPr>
                <w:b w:val="0"/>
                <w:bdr w:val="nil"/>
              </w:rPr>
            </w:pPr>
            <w:r>
              <w:rPr>
                <w:b w:val="0"/>
                <w:bCs/>
                <w:bdr w:val="nil"/>
              </w:rPr>
              <w:t>2</w:t>
            </w:r>
          </w:p>
        </w:tc>
        <w:tc>
          <w:tcPr>
            <w:tcW w:w="602" w:type="pct"/>
            <w:tcBorders>
              <w:top w:val="nil"/>
              <w:left w:val="nil"/>
              <w:bottom w:val="nil"/>
              <w:right w:val="nil"/>
            </w:tcBorders>
            <w:vAlign w:val="center"/>
          </w:tcPr>
          <w:p w14:paraId="253EA82F" w14:textId="209EBD55" w:rsidR="00A4668D" w:rsidRDefault="00A4668D">
            <w:pPr>
              <w:pStyle w:val="BStablefigures1"/>
              <w:pBdr>
                <w:top w:val="nil"/>
                <w:left w:val="nil"/>
                <w:bottom w:val="nil"/>
                <w:right w:val="nil"/>
                <w:between w:val="nil"/>
                <w:bar w:val="nil"/>
              </w:pBdr>
              <w:rPr>
                <w:b w:val="0"/>
                <w:bdr w:val="nil"/>
              </w:rPr>
            </w:pPr>
            <w:r>
              <w:rPr>
                <w:b w:val="0"/>
                <w:bdr w:val="nil"/>
              </w:rPr>
              <w:t>1</w:t>
            </w:r>
          </w:p>
        </w:tc>
        <w:tc>
          <w:tcPr>
            <w:tcW w:w="572" w:type="pct"/>
            <w:tcBorders>
              <w:top w:val="nil"/>
              <w:left w:val="nil"/>
              <w:bottom w:val="nil"/>
              <w:right w:val="nil"/>
            </w:tcBorders>
            <w:vAlign w:val="center"/>
          </w:tcPr>
          <w:p w14:paraId="6FC6DB3A" w14:textId="69E21DDB" w:rsidR="00A4668D" w:rsidRDefault="00A4668D">
            <w:pPr>
              <w:pStyle w:val="BStablefigures1"/>
              <w:pBdr>
                <w:top w:val="nil"/>
                <w:left w:val="nil"/>
                <w:bottom w:val="nil"/>
                <w:right w:val="nil"/>
                <w:between w:val="nil"/>
                <w:bar w:val="nil"/>
              </w:pBdr>
              <w:rPr>
                <w:b w:val="0"/>
                <w:bdr w:val="nil"/>
              </w:rPr>
            </w:pPr>
            <w:r>
              <w:rPr>
                <w:b w:val="0"/>
                <w:bdr w:val="nil"/>
              </w:rPr>
              <w:t>2</w:t>
            </w:r>
          </w:p>
        </w:tc>
      </w:tr>
      <w:tr w:rsidR="00C07D35" w14:paraId="5A70D562" w14:textId="07CD112B" w:rsidTr="00A4668D">
        <w:trPr>
          <w:trHeight w:val="550"/>
        </w:trPr>
        <w:tc>
          <w:tcPr>
            <w:tcW w:w="3227" w:type="pct"/>
            <w:tcBorders>
              <w:top w:val="nil"/>
              <w:left w:val="nil"/>
              <w:bottom w:val="nil"/>
              <w:right w:val="nil"/>
            </w:tcBorders>
            <w:hideMark/>
          </w:tcPr>
          <w:p w14:paraId="2199B48E" w14:textId="37B183B7" w:rsidR="00A4668D" w:rsidRDefault="00A4668D" w:rsidP="009A24FA">
            <w:pPr>
              <w:pStyle w:val="BStablelist"/>
              <w:numPr>
                <w:ilvl w:val="0"/>
                <w:numId w:val="26"/>
              </w:numPr>
              <w:pBdr>
                <w:top w:val="nil"/>
                <w:left w:val="nil"/>
                <w:bottom w:val="nil"/>
                <w:right w:val="nil"/>
                <w:between w:val="nil"/>
                <w:bar w:val="nil"/>
              </w:pBdr>
              <w:rPr>
                <w:bdr w:val="nil"/>
              </w:rPr>
            </w:pPr>
            <w:r>
              <w:rPr>
                <w:bdr w:val="nil"/>
              </w:rPr>
              <w:t xml:space="preserve">Satisfaction of funded organisations with government contract administration (as measured by annual survey) </w:t>
            </w:r>
          </w:p>
        </w:tc>
        <w:tc>
          <w:tcPr>
            <w:tcW w:w="599" w:type="pct"/>
            <w:tcBorders>
              <w:top w:val="nil"/>
              <w:left w:val="nil"/>
              <w:bottom w:val="nil"/>
              <w:right w:val="nil"/>
            </w:tcBorders>
            <w:vAlign w:val="center"/>
            <w:hideMark/>
          </w:tcPr>
          <w:p w14:paraId="20B07C10" w14:textId="6C83E475" w:rsidR="00A4668D" w:rsidRDefault="00A4668D">
            <w:pPr>
              <w:pStyle w:val="BStablefigures1"/>
              <w:pBdr>
                <w:top w:val="nil"/>
                <w:left w:val="nil"/>
                <w:bottom w:val="nil"/>
                <w:right w:val="nil"/>
                <w:between w:val="nil"/>
                <w:bar w:val="nil"/>
              </w:pBdr>
              <w:rPr>
                <w:b w:val="0"/>
                <w:bdr w:val="nil"/>
              </w:rPr>
            </w:pPr>
            <w:r>
              <w:rPr>
                <w:b w:val="0"/>
                <w:bCs/>
                <w:bdr w:val="nil"/>
              </w:rPr>
              <w:t>90%</w:t>
            </w:r>
          </w:p>
        </w:tc>
        <w:tc>
          <w:tcPr>
            <w:tcW w:w="602" w:type="pct"/>
            <w:tcBorders>
              <w:top w:val="nil"/>
              <w:left w:val="nil"/>
              <w:bottom w:val="nil"/>
              <w:right w:val="nil"/>
            </w:tcBorders>
            <w:vAlign w:val="center"/>
          </w:tcPr>
          <w:p w14:paraId="2D942870" w14:textId="006C8CF7" w:rsidR="00A4668D" w:rsidRDefault="00A4668D">
            <w:pPr>
              <w:pStyle w:val="BStablefigures1"/>
              <w:pBdr>
                <w:top w:val="nil"/>
                <w:left w:val="nil"/>
                <w:bottom w:val="nil"/>
                <w:right w:val="nil"/>
                <w:between w:val="nil"/>
                <w:bar w:val="nil"/>
              </w:pBdr>
              <w:rPr>
                <w:b w:val="0"/>
                <w:bdr w:val="nil"/>
              </w:rPr>
            </w:pPr>
            <w:r>
              <w:rPr>
                <w:b w:val="0"/>
                <w:bdr w:val="nil"/>
              </w:rPr>
              <w:t>81%</w:t>
            </w:r>
          </w:p>
        </w:tc>
        <w:tc>
          <w:tcPr>
            <w:tcW w:w="572" w:type="pct"/>
            <w:tcBorders>
              <w:top w:val="nil"/>
              <w:left w:val="nil"/>
              <w:bottom w:val="nil"/>
              <w:right w:val="nil"/>
            </w:tcBorders>
            <w:vAlign w:val="center"/>
          </w:tcPr>
          <w:p w14:paraId="27E01420" w14:textId="66A5D6B0" w:rsidR="00A4668D" w:rsidRDefault="00A4668D">
            <w:pPr>
              <w:pStyle w:val="BStablefigures1"/>
              <w:pBdr>
                <w:top w:val="nil"/>
                <w:left w:val="nil"/>
                <w:bottom w:val="nil"/>
                <w:right w:val="nil"/>
                <w:between w:val="nil"/>
                <w:bar w:val="nil"/>
              </w:pBdr>
              <w:rPr>
                <w:b w:val="0"/>
                <w:bdr w:val="nil"/>
              </w:rPr>
            </w:pPr>
            <w:r>
              <w:rPr>
                <w:b w:val="0"/>
                <w:bdr w:val="nil"/>
              </w:rPr>
              <w:t>90%</w:t>
            </w:r>
          </w:p>
        </w:tc>
      </w:tr>
      <w:tr w:rsidR="00C07D35" w14:paraId="1E2B7140" w14:textId="7D8275B5" w:rsidTr="00A4668D">
        <w:trPr>
          <w:trHeight w:val="856"/>
        </w:trPr>
        <w:tc>
          <w:tcPr>
            <w:tcW w:w="3227" w:type="pct"/>
            <w:tcBorders>
              <w:top w:val="nil"/>
              <w:left w:val="nil"/>
              <w:bottom w:val="nil"/>
              <w:right w:val="nil"/>
            </w:tcBorders>
            <w:hideMark/>
          </w:tcPr>
          <w:p w14:paraId="35B6EE90" w14:textId="3016D29B" w:rsidR="00A4668D" w:rsidRDefault="00A4668D" w:rsidP="009A24FA">
            <w:pPr>
              <w:pStyle w:val="BStablelist"/>
              <w:numPr>
                <w:ilvl w:val="0"/>
                <w:numId w:val="26"/>
              </w:numPr>
              <w:pBdr>
                <w:top w:val="nil"/>
                <w:left w:val="nil"/>
                <w:bottom w:val="nil"/>
                <w:right w:val="nil"/>
                <w:between w:val="nil"/>
                <w:bar w:val="nil"/>
              </w:pBdr>
              <w:rPr>
                <w:bdr w:val="nil"/>
              </w:rPr>
            </w:pPr>
            <w:r>
              <w:rPr>
                <w:bdr w:val="nil"/>
              </w:rPr>
              <w:t xml:space="preserve">Provision of strategic policy advice on human services issues to drive improved outcomes for children, young </w:t>
            </w:r>
            <w:proofErr w:type="gramStart"/>
            <w:r>
              <w:rPr>
                <w:bdr w:val="nil"/>
              </w:rPr>
              <w:t>people</w:t>
            </w:r>
            <w:proofErr w:type="gramEnd"/>
            <w:r>
              <w:rPr>
                <w:bdr w:val="nil"/>
              </w:rPr>
              <w:t xml:space="preserve"> and their families </w:t>
            </w:r>
          </w:p>
        </w:tc>
        <w:tc>
          <w:tcPr>
            <w:tcW w:w="599" w:type="pct"/>
            <w:tcBorders>
              <w:top w:val="nil"/>
              <w:left w:val="nil"/>
              <w:bottom w:val="nil"/>
              <w:right w:val="nil"/>
            </w:tcBorders>
            <w:vAlign w:val="center"/>
            <w:hideMark/>
          </w:tcPr>
          <w:p w14:paraId="45EADB9C" w14:textId="7B0D8264" w:rsidR="00A4668D" w:rsidRDefault="00A4668D">
            <w:pPr>
              <w:pStyle w:val="BStablefigures1"/>
              <w:pBdr>
                <w:top w:val="nil"/>
                <w:left w:val="nil"/>
                <w:bottom w:val="nil"/>
                <w:right w:val="nil"/>
                <w:between w:val="nil"/>
                <w:bar w:val="nil"/>
              </w:pBdr>
              <w:rPr>
                <w:b w:val="0"/>
                <w:bdr w:val="nil"/>
              </w:rPr>
            </w:pPr>
            <w:r>
              <w:rPr>
                <w:b w:val="0"/>
                <w:bCs/>
                <w:bdr w:val="nil"/>
              </w:rPr>
              <w:t>3</w:t>
            </w:r>
          </w:p>
        </w:tc>
        <w:tc>
          <w:tcPr>
            <w:tcW w:w="602" w:type="pct"/>
            <w:tcBorders>
              <w:top w:val="nil"/>
              <w:left w:val="nil"/>
              <w:bottom w:val="nil"/>
              <w:right w:val="nil"/>
            </w:tcBorders>
            <w:vAlign w:val="center"/>
          </w:tcPr>
          <w:p w14:paraId="5DF7CC95" w14:textId="5F689B5F" w:rsidR="00A4668D" w:rsidRDefault="00A4668D">
            <w:pPr>
              <w:pStyle w:val="BStablefigures1"/>
              <w:pBdr>
                <w:top w:val="nil"/>
                <w:left w:val="nil"/>
                <w:bottom w:val="nil"/>
                <w:right w:val="nil"/>
                <w:between w:val="nil"/>
                <w:bar w:val="nil"/>
              </w:pBdr>
              <w:rPr>
                <w:b w:val="0"/>
                <w:bdr w:val="nil"/>
              </w:rPr>
            </w:pPr>
            <w:r>
              <w:rPr>
                <w:b w:val="0"/>
                <w:bdr w:val="nil"/>
              </w:rPr>
              <w:t>2</w:t>
            </w:r>
          </w:p>
        </w:tc>
        <w:tc>
          <w:tcPr>
            <w:tcW w:w="572" w:type="pct"/>
            <w:tcBorders>
              <w:top w:val="nil"/>
              <w:left w:val="nil"/>
              <w:bottom w:val="nil"/>
              <w:right w:val="nil"/>
            </w:tcBorders>
            <w:vAlign w:val="center"/>
          </w:tcPr>
          <w:p w14:paraId="067052F7" w14:textId="7FA855B5" w:rsidR="00A4668D" w:rsidRDefault="00A4668D">
            <w:pPr>
              <w:pStyle w:val="BStablefigures1"/>
              <w:pBdr>
                <w:top w:val="nil"/>
                <w:left w:val="nil"/>
                <w:bottom w:val="nil"/>
                <w:right w:val="nil"/>
                <w:between w:val="nil"/>
                <w:bar w:val="nil"/>
              </w:pBdr>
              <w:rPr>
                <w:b w:val="0"/>
                <w:bdr w:val="nil"/>
              </w:rPr>
            </w:pPr>
            <w:r>
              <w:rPr>
                <w:b w:val="0"/>
                <w:bdr w:val="nil"/>
              </w:rPr>
              <w:t>3</w:t>
            </w:r>
          </w:p>
        </w:tc>
      </w:tr>
      <w:tr w:rsidR="00C07D35" w14:paraId="4875D400" w14:textId="13059600" w:rsidTr="00A4668D">
        <w:trPr>
          <w:trHeight w:val="364"/>
        </w:trPr>
        <w:tc>
          <w:tcPr>
            <w:tcW w:w="3227" w:type="pct"/>
            <w:tcBorders>
              <w:top w:val="nil"/>
              <w:left w:val="nil"/>
              <w:bottom w:val="single" w:sz="4" w:space="0" w:color="auto"/>
              <w:right w:val="nil"/>
            </w:tcBorders>
            <w:hideMark/>
          </w:tcPr>
          <w:p w14:paraId="03A45B7A" w14:textId="1899C251" w:rsidR="00A4668D" w:rsidRDefault="00A4668D" w:rsidP="009A24FA">
            <w:pPr>
              <w:pStyle w:val="BStablelist"/>
              <w:numPr>
                <w:ilvl w:val="0"/>
                <w:numId w:val="26"/>
              </w:numPr>
              <w:pBdr>
                <w:top w:val="nil"/>
                <w:left w:val="nil"/>
                <w:bottom w:val="nil"/>
                <w:right w:val="nil"/>
                <w:between w:val="nil"/>
                <w:bar w:val="nil"/>
              </w:pBdr>
              <w:rPr>
                <w:bdr w:val="nil"/>
              </w:rPr>
            </w:pPr>
            <w:r>
              <w:rPr>
                <w:bdr w:val="nil"/>
              </w:rPr>
              <w:t>Performance improvement initiatives</w:t>
            </w:r>
          </w:p>
        </w:tc>
        <w:tc>
          <w:tcPr>
            <w:tcW w:w="599" w:type="pct"/>
            <w:tcBorders>
              <w:top w:val="nil"/>
              <w:left w:val="nil"/>
              <w:bottom w:val="single" w:sz="4" w:space="0" w:color="auto"/>
              <w:right w:val="nil"/>
            </w:tcBorders>
            <w:vAlign w:val="center"/>
            <w:hideMark/>
          </w:tcPr>
          <w:p w14:paraId="535605C6" w14:textId="5DC05612" w:rsidR="00A4668D" w:rsidRDefault="00A4668D">
            <w:pPr>
              <w:pStyle w:val="BStablefigures1"/>
              <w:pBdr>
                <w:top w:val="nil"/>
                <w:left w:val="nil"/>
                <w:bottom w:val="nil"/>
                <w:right w:val="nil"/>
                <w:between w:val="nil"/>
                <w:bar w:val="nil"/>
              </w:pBdr>
              <w:rPr>
                <w:b w:val="0"/>
                <w:bdr w:val="nil"/>
              </w:rPr>
            </w:pPr>
            <w:r>
              <w:rPr>
                <w:b w:val="0"/>
                <w:bCs/>
                <w:bdr w:val="nil"/>
              </w:rPr>
              <w:t>3</w:t>
            </w:r>
          </w:p>
        </w:tc>
        <w:tc>
          <w:tcPr>
            <w:tcW w:w="602" w:type="pct"/>
            <w:tcBorders>
              <w:top w:val="nil"/>
              <w:left w:val="nil"/>
              <w:bottom w:val="single" w:sz="4" w:space="0" w:color="auto"/>
              <w:right w:val="nil"/>
            </w:tcBorders>
            <w:vAlign w:val="center"/>
          </w:tcPr>
          <w:p w14:paraId="26286E73" w14:textId="4B1D7BD4" w:rsidR="00A4668D" w:rsidRDefault="00A4668D">
            <w:pPr>
              <w:pStyle w:val="BStablefigures1"/>
              <w:pBdr>
                <w:top w:val="nil"/>
                <w:left w:val="nil"/>
                <w:bottom w:val="nil"/>
                <w:right w:val="nil"/>
                <w:between w:val="nil"/>
                <w:bar w:val="nil"/>
              </w:pBdr>
              <w:rPr>
                <w:b w:val="0"/>
                <w:bdr w:val="nil"/>
              </w:rPr>
            </w:pPr>
            <w:r>
              <w:rPr>
                <w:b w:val="0"/>
                <w:bdr w:val="nil"/>
              </w:rPr>
              <w:t>3</w:t>
            </w:r>
          </w:p>
        </w:tc>
        <w:tc>
          <w:tcPr>
            <w:tcW w:w="572" w:type="pct"/>
            <w:tcBorders>
              <w:top w:val="nil"/>
              <w:left w:val="nil"/>
              <w:bottom w:val="single" w:sz="4" w:space="0" w:color="auto"/>
              <w:right w:val="nil"/>
            </w:tcBorders>
            <w:vAlign w:val="center"/>
          </w:tcPr>
          <w:p w14:paraId="7821EC5E" w14:textId="05E227B4" w:rsidR="00A4668D" w:rsidRDefault="00A4668D">
            <w:pPr>
              <w:pStyle w:val="BStablefigures1"/>
              <w:pBdr>
                <w:top w:val="nil"/>
                <w:left w:val="nil"/>
                <w:bottom w:val="nil"/>
                <w:right w:val="nil"/>
                <w:between w:val="nil"/>
                <w:bar w:val="nil"/>
              </w:pBdr>
              <w:rPr>
                <w:b w:val="0"/>
                <w:bdr w:val="nil"/>
              </w:rPr>
            </w:pPr>
            <w:r>
              <w:rPr>
                <w:b w:val="0"/>
                <w:bCs/>
                <w:bdr w:val="nil"/>
              </w:rPr>
              <w:t>3</w:t>
            </w:r>
          </w:p>
        </w:tc>
      </w:tr>
    </w:tbl>
    <w:p w14:paraId="00D1021E" w14:textId="0C9D58C0" w:rsidR="00A4668D" w:rsidRPr="007158D0" w:rsidRDefault="00A4668D" w:rsidP="00A4668D">
      <w:pPr>
        <w:pStyle w:val="BSnote2"/>
        <w:pBdr>
          <w:top w:val="nil"/>
          <w:left w:val="nil"/>
          <w:bottom w:val="nil"/>
          <w:right w:val="nil"/>
          <w:between w:val="nil"/>
          <w:bar w:val="nil"/>
        </w:pBdr>
        <w:rPr>
          <w:bdr w:val="nil"/>
        </w:rPr>
      </w:pPr>
      <w:r w:rsidRPr="007158D0">
        <w:rPr>
          <w:bdr w:val="nil"/>
        </w:rPr>
        <w:t>Notes:</w:t>
      </w:r>
    </w:p>
    <w:p w14:paraId="77D82D52" w14:textId="5EB133E4" w:rsidR="00A4668D" w:rsidRDefault="00A4668D" w:rsidP="009A24FA">
      <w:pPr>
        <w:pStyle w:val="BSnoteslist2"/>
        <w:numPr>
          <w:ilvl w:val="0"/>
          <w:numId w:val="27"/>
        </w:numPr>
        <w:pBdr>
          <w:top w:val="nil"/>
          <w:left w:val="nil"/>
          <w:bottom w:val="nil"/>
          <w:right w:val="nil"/>
          <w:between w:val="nil"/>
          <w:bar w:val="nil"/>
        </w:pBdr>
        <w:rPr>
          <w:rFonts w:cs="Times New Roman"/>
          <w:bdr w:val="nil"/>
        </w:rPr>
      </w:pPr>
      <w:r>
        <w:rPr>
          <w:rFonts w:cs="Times New Roman"/>
          <w:bdr w:val="nil"/>
        </w:rPr>
        <w:t>The two projects in 2020-21 are: ‘finalise the Outcomes Framework under the Aboriginal and Torres Strait Islander Agreement 2019-2028’ and ‘delivery of the Aboriginal and Torres Strait Islander Governance Framework and Toolkit in collaboration with the Aboriginal and Torres Strait Islander Elected Body’.</w:t>
      </w:r>
    </w:p>
    <w:p w14:paraId="4B74EDF2" w14:textId="2FE1787D" w:rsidR="00A4668D" w:rsidRDefault="00A4668D" w:rsidP="00A4668D">
      <w:pPr>
        <w:pStyle w:val="BSnoteslist2"/>
        <w:numPr>
          <w:ilvl w:val="0"/>
          <w:numId w:val="0"/>
        </w:numPr>
        <w:pBdr>
          <w:top w:val="nil"/>
          <w:left w:val="nil"/>
          <w:bottom w:val="nil"/>
          <w:right w:val="nil"/>
          <w:between w:val="nil"/>
          <w:bar w:val="nil"/>
        </w:pBdr>
        <w:ind w:left="360"/>
        <w:rPr>
          <w:rFonts w:cs="Times New Roman"/>
          <w:bdr w:val="nil"/>
        </w:rPr>
      </w:pPr>
      <w:r>
        <w:rPr>
          <w:rFonts w:cs="Times New Roman"/>
          <w:bdr w:val="nil"/>
        </w:rPr>
        <w:t>The two projects in 2021-22 are: ‘Healing and Reconciliation Fund governance operational</w:t>
      </w:r>
      <w:r>
        <w:rPr>
          <w:rFonts w:cs="Times New Roman"/>
          <w:i/>
          <w:color w:val="000000"/>
          <w:bdr w:val="nil"/>
        </w:rPr>
        <w:t>’</w:t>
      </w:r>
      <w:r>
        <w:rPr>
          <w:rFonts w:cs="Times New Roman"/>
          <w:color w:val="000000"/>
          <w:bdr w:val="nil"/>
        </w:rPr>
        <w:t xml:space="preserve"> and ‘</w:t>
      </w:r>
      <w:r>
        <w:rPr>
          <w:rFonts w:cs="Times New Roman"/>
          <w:bdr w:val="nil"/>
        </w:rPr>
        <w:t>Yarramundi Cultural Centre – Strategic Vision agreed’.</w:t>
      </w:r>
    </w:p>
    <w:p w14:paraId="5FD940B8" w14:textId="77777777" w:rsidR="00A4668D" w:rsidRDefault="00A4668D" w:rsidP="009A24FA">
      <w:pPr>
        <w:pStyle w:val="BSnoteslist2"/>
        <w:numPr>
          <w:ilvl w:val="0"/>
          <w:numId w:val="27"/>
        </w:numPr>
        <w:pBdr>
          <w:top w:val="nil"/>
          <w:left w:val="nil"/>
          <w:bottom w:val="nil"/>
          <w:right w:val="nil"/>
          <w:between w:val="nil"/>
          <w:bar w:val="nil"/>
        </w:pBdr>
        <w:rPr>
          <w:rFonts w:cs="Times New Roman"/>
          <w:bdr w:val="nil"/>
        </w:rPr>
      </w:pPr>
      <w:r>
        <w:rPr>
          <w:rFonts w:cs="Times New Roman"/>
          <w:bdr w:val="nil"/>
        </w:rPr>
        <w:t>This indicator measures the extent to which non-government entities that administer and provide services contracted by the government are satisfied with the way their contracts are administered, including management of contract compliance through monitoring contractual requirements and service delivery quality, disbursement of contract payments and offering advice and support to service providers.</w:t>
      </w:r>
    </w:p>
    <w:p w14:paraId="2C94AA96" w14:textId="63506931" w:rsidR="00A4668D" w:rsidRDefault="00A4668D" w:rsidP="009A24FA">
      <w:pPr>
        <w:pStyle w:val="BSnoteslist2"/>
        <w:numPr>
          <w:ilvl w:val="0"/>
          <w:numId w:val="27"/>
        </w:numPr>
        <w:pBdr>
          <w:top w:val="nil"/>
          <w:left w:val="nil"/>
          <w:bottom w:val="nil"/>
          <w:right w:val="nil"/>
          <w:between w:val="nil"/>
          <w:bar w:val="nil"/>
        </w:pBdr>
        <w:rPr>
          <w:rFonts w:cs="Times New Roman"/>
          <w:bdr w:val="nil"/>
        </w:rPr>
      </w:pPr>
      <w:r>
        <w:rPr>
          <w:rFonts w:cs="Times New Roman"/>
          <w:bdr w:val="nil"/>
        </w:rPr>
        <w:t xml:space="preserve">The three initiatives are: ‘legislative reform identified by the </w:t>
      </w:r>
      <w:r>
        <w:rPr>
          <w:rFonts w:cs="Times New Roman"/>
          <w:i/>
          <w:iCs/>
          <w:bdr w:val="nil"/>
        </w:rPr>
        <w:t xml:space="preserve">Our </w:t>
      </w:r>
      <w:proofErr w:type="spellStart"/>
      <w:r>
        <w:rPr>
          <w:rFonts w:cs="Times New Roman"/>
          <w:i/>
          <w:iCs/>
          <w:bdr w:val="nil"/>
        </w:rPr>
        <w:t>Booris</w:t>
      </w:r>
      <w:proofErr w:type="spellEnd"/>
      <w:r>
        <w:rPr>
          <w:rFonts w:cs="Times New Roman"/>
          <w:i/>
          <w:iCs/>
          <w:bdr w:val="nil"/>
        </w:rPr>
        <w:t>, Our Way</w:t>
      </w:r>
      <w:r>
        <w:rPr>
          <w:rFonts w:cs="Times New Roman"/>
          <w:bdr w:val="nil"/>
        </w:rPr>
        <w:t xml:space="preserve"> Review’, ‘provision of policy advice into service system analysis for raising the minimum age of criminal responsibility’ and ‘delivery of a defined model of external merits review’.</w:t>
      </w:r>
    </w:p>
    <w:p w14:paraId="650DF7FF" w14:textId="0B7C8F93" w:rsidR="00A4668D" w:rsidRPr="00DB6218" w:rsidRDefault="00A4668D" w:rsidP="009A24FA">
      <w:pPr>
        <w:pStyle w:val="BSnoteslist2"/>
        <w:numPr>
          <w:ilvl w:val="0"/>
          <w:numId w:val="27"/>
        </w:numPr>
        <w:pBdr>
          <w:top w:val="nil"/>
          <w:left w:val="nil"/>
          <w:bottom w:val="nil"/>
          <w:right w:val="nil"/>
          <w:between w:val="nil"/>
          <w:bar w:val="nil"/>
        </w:pBdr>
        <w:rPr>
          <w:rFonts w:cs="Times New Roman"/>
          <w:bdr w:val="nil"/>
        </w:rPr>
      </w:pPr>
      <w:r>
        <w:rPr>
          <w:rFonts w:cs="Times New Roman"/>
          <w:bdr w:val="nil"/>
        </w:rPr>
        <w:t>The three initiatives are: ‘Australian Early Development Census’, ‘</w:t>
      </w:r>
      <w:r>
        <w:rPr>
          <w:rFonts w:cs="Times New Roman"/>
          <w:i/>
          <w:iCs/>
          <w:bdr w:val="nil"/>
        </w:rPr>
        <w:t xml:space="preserve">Our </w:t>
      </w:r>
      <w:proofErr w:type="spellStart"/>
      <w:r>
        <w:rPr>
          <w:rFonts w:cs="Times New Roman"/>
          <w:i/>
          <w:iCs/>
          <w:bdr w:val="nil"/>
        </w:rPr>
        <w:t>Booris</w:t>
      </w:r>
      <w:proofErr w:type="spellEnd"/>
      <w:r>
        <w:rPr>
          <w:rFonts w:cs="Times New Roman"/>
          <w:i/>
          <w:iCs/>
          <w:bdr w:val="nil"/>
        </w:rPr>
        <w:t>, Our Way</w:t>
      </w:r>
      <w:r>
        <w:rPr>
          <w:rFonts w:cs="Times New Roman"/>
          <w:bdr w:val="nil"/>
        </w:rPr>
        <w:t xml:space="preserve"> Dashboard Reporting’ and ‘support progress against </w:t>
      </w:r>
      <w:r>
        <w:rPr>
          <w:rFonts w:cs="Times New Roman"/>
          <w:i/>
          <w:iCs/>
          <w:bdr w:val="nil"/>
        </w:rPr>
        <w:t>Empowering People: Community Services Directorate Strategic Plan 2018-2028</w:t>
      </w:r>
      <w:r>
        <w:rPr>
          <w:rFonts w:cs="Times New Roman"/>
          <w:bdr w:val="nil"/>
        </w:rPr>
        <w:t>’.</w:t>
      </w:r>
      <w:r w:rsidRPr="00772584">
        <w:rPr>
          <w:rFonts w:cs="Times New Roman"/>
          <w:bdr w:val="nil"/>
        </w:rPr>
        <w:t xml:space="preserve"> </w:t>
      </w:r>
      <w:r w:rsidRPr="00DB6218">
        <w:rPr>
          <w:bdr w:val="nil"/>
        </w:rPr>
        <w:br w:type="page"/>
      </w:r>
    </w:p>
    <w:p w14:paraId="572E7957" w14:textId="722C6BAD" w:rsidR="00A4668D" w:rsidRDefault="00A4668D">
      <w:pPr>
        <w:pStyle w:val="Heading41"/>
        <w:pBdr>
          <w:top w:val="nil"/>
          <w:left w:val="nil"/>
          <w:bottom w:val="nil"/>
          <w:right w:val="nil"/>
          <w:between w:val="nil"/>
          <w:bar w:val="nil"/>
        </w:pBdr>
        <w:rPr>
          <w:bdr w:val="nil"/>
        </w:rPr>
      </w:pPr>
      <w:r>
        <w:rPr>
          <w:bdr w:val="nil"/>
        </w:rPr>
        <w:lastRenderedPageBreak/>
        <w:t>Output 1.4: Quality, Complaints and Regulation</w:t>
      </w:r>
    </w:p>
    <w:p w14:paraId="2CF1D141" w14:textId="4B8DF03C"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15</w:t>
      </w:r>
      <w:r>
        <w:rPr>
          <w:noProof/>
          <w:bdr w:val="nil"/>
        </w:rPr>
        <w:fldChar w:fldCharType="end"/>
      </w:r>
      <w:r>
        <w:rPr>
          <w:bdr w:val="nil"/>
        </w:rPr>
        <w:t>: Accountability Indicators Output 1.4</w:t>
      </w:r>
    </w:p>
    <w:tbl>
      <w:tblPr>
        <w:tblW w:w="9100" w:type="dxa"/>
        <w:tblBorders>
          <w:top w:val="single" w:sz="12" w:space="0" w:color="000000"/>
          <w:bottom w:val="single" w:sz="12" w:space="0" w:color="000000"/>
        </w:tblBorders>
        <w:tblLook w:val="04A0" w:firstRow="1" w:lastRow="0" w:firstColumn="1" w:lastColumn="0" w:noHBand="0" w:noVBand="1"/>
      </w:tblPr>
      <w:tblGrid>
        <w:gridCol w:w="5682"/>
        <w:gridCol w:w="1090"/>
        <w:gridCol w:w="1274"/>
        <w:gridCol w:w="1054"/>
      </w:tblGrid>
      <w:tr w:rsidR="00C07D35" w14:paraId="2B92C766" w14:textId="290C696D" w:rsidTr="00A4668D">
        <w:trPr>
          <w:tblHeader/>
        </w:trPr>
        <w:tc>
          <w:tcPr>
            <w:tcW w:w="3122" w:type="pct"/>
            <w:tcBorders>
              <w:top w:val="single" w:sz="12" w:space="0" w:color="000000"/>
              <w:left w:val="nil"/>
              <w:bottom w:val="single" w:sz="4" w:space="0" w:color="auto"/>
              <w:right w:val="nil"/>
            </w:tcBorders>
          </w:tcPr>
          <w:p w14:paraId="53F56B80" w14:textId="77777777" w:rsidR="00A4668D" w:rsidRDefault="00A4668D" w:rsidP="00A4668D">
            <w:pPr>
              <w:pStyle w:val="Heading6"/>
              <w:pBdr>
                <w:top w:val="nil"/>
                <w:left w:val="nil"/>
                <w:bottom w:val="nil"/>
                <w:right w:val="nil"/>
                <w:between w:val="nil"/>
                <w:bar w:val="nil"/>
              </w:pBdr>
              <w:jc w:val="left"/>
              <w:rPr>
                <w:bdr w:val="nil"/>
              </w:rPr>
            </w:pPr>
          </w:p>
        </w:tc>
        <w:tc>
          <w:tcPr>
            <w:tcW w:w="599" w:type="pct"/>
            <w:tcBorders>
              <w:top w:val="single" w:sz="12" w:space="0" w:color="000000"/>
              <w:left w:val="nil"/>
              <w:bottom w:val="single" w:sz="4" w:space="0" w:color="auto"/>
              <w:right w:val="nil"/>
            </w:tcBorders>
            <w:hideMark/>
          </w:tcPr>
          <w:p w14:paraId="7302527A"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2957725D" w14:textId="3B23179E"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Targets</w:t>
            </w:r>
          </w:p>
        </w:tc>
        <w:tc>
          <w:tcPr>
            <w:tcW w:w="700" w:type="pct"/>
            <w:tcBorders>
              <w:top w:val="single" w:sz="12" w:space="0" w:color="000000"/>
              <w:left w:val="nil"/>
              <w:bottom w:val="single" w:sz="4" w:space="0" w:color="auto"/>
              <w:right w:val="nil"/>
            </w:tcBorders>
            <w:hideMark/>
          </w:tcPr>
          <w:p w14:paraId="63BC0685"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7D57F786" w14:textId="66A7AF7D"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579" w:type="pct"/>
            <w:tcBorders>
              <w:top w:val="single" w:sz="12" w:space="0" w:color="000000"/>
              <w:left w:val="nil"/>
              <w:bottom w:val="single" w:sz="4" w:space="0" w:color="auto"/>
              <w:right w:val="nil"/>
            </w:tcBorders>
            <w:hideMark/>
          </w:tcPr>
          <w:p w14:paraId="3D4D2011" w14:textId="449B248A"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00B14438" w14:textId="4B317A4A"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Targets</w:t>
            </w:r>
          </w:p>
        </w:tc>
      </w:tr>
      <w:tr w:rsidR="00C07D35" w14:paraId="2E0442B6" w14:textId="02181F57" w:rsidTr="00A4668D">
        <w:trPr>
          <w:trHeight w:val="397"/>
        </w:trPr>
        <w:tc>
          <w:tcPr>
            <w:tcW w:w="5000" w:type="pct"/>
            <w:gridSpan w:val="4"/>
            <w:tcBorders>
              <w:top w:val="single" w:sz="4" w:space="0" w:color="auto"/>
              <w:left w:val="nil"/>
              <w:bottom w:val="nil"/>
              <w:right w:val="nil"/>
            </w:tcBorders>
            <w:hideMark/>
          </w:tcPr>
          <w:p w14:paraId="38F87098" w14:textId="77777777" w:rsidR="00A4668D" w:rsidRDefault="00A4668D">
            <w:pPr>
              <w:pStyle w:val="BStablelist"/>
              <w:numPr>
                <w:ilvl w:val="0"/>
                <w:numId w:val="0"/>
              </w:numPr>
              <w:pBdr>
                <w:top w:val="nil"/>
                <w:left w:val="nil"/>
                <w:bottom w:val="nil"/>
                <w:right w:val="nil"/>
                <w:between w:val="nil"/>
                <w:bar w:val="nil"/>
              </w:pBdr>
              <w:ind w:left="360" w:hanging="360"/>
              <w:rPr>
                <w:b/>
                <w:bdr w:val="nil"/>
              </w:rPr>
            </w:pPr>
            <w:r>
              <w:rPr>
                <w:b/>
                <w:bdr w:val="nil"/>
              </w:rPr>
              <w:t>Quality, Complaints and Regulation</w:t>
            </w:r>
          </w:p>
        </w:tc>
      </w:tr>
      <w:tr w:rsidR="00C07D35" w14:paraId="4C8DD562" w14:textId="5C7B7E15" w:rsidTr="00A4668D">
        <w:trPr>
          <w:trHeight w:val="298"/>
        </w:trPr>
        <w:tc>
          <w:tcPr>
            <w:tcW w:w="3122" w:type="pct"/>
            <w:tcBorders>
              <w:top w:val="nil"/>
              <w:left w:val="nil"/>
              <w:bottom w:val="nil"/>
              <w:right w:val="nil"/>
            </w:tcBorders>
            <w:hideMark/>
          </w:tcPr>
          <w:p w14:paraId="748006D9" w14:textId="4B934DB8" w:rsidR="00A4668D" w:rsidRDefault="00A4668D" w:rsidP="009A24FA">
            <w:pPr>
              <w:pStyle w:val="BStablelist"/>
              <w:numPr>
                <w:ilvl w:val="0"/>
                <w:numId w:val="28"/>
              </w:numPr>
              <w:pBdr>
                <w:top w:val="nil"/>
                <w:left w:val="nil"/>
                <w:bottom w:val="nil"/>
                <w:right w:val="nil"/>
                <w:between w:val="nil"/>
                <w:bar w:val="nil"/>
              </w:pBdr>
              <w:rPr>
                <w:bdr w:val="nil"/>
              </w:rPr>
            </w:pPr>
            <w:r>
              <w:rPr>
                <w:bdr w:val="nil"/>
              </w:rPr>
              <w:t xml:space="preserve">Regulatory and process reform initiatives </w:t>
            </w:r>
          </w:p>
        </w:tc>
        <w:tc>
          <w:tcPr>
            <w:tcW w:w="599" w:type="pct"/>
            <w:tcBorders>
              <w:top w:val="nil"/>
              <w:left w:val="nil"/>
              <w:bottom w:val="nil"/>
              <w:right w:val="nil"/>
            </w:tcBorders>
            <w:vAlign w:val="center"/>
            <w:hideMark/>
          </w:tcPr>
          <w:p w14:paraId="6E939EA7" w14:textId="5AED2537" w:rsidR="00A4668D" w:rsidRDefault="00A4668D" w:rsidP="00A4668D">
            <w:pPr>
              <w:pStyle w:val="BStablefigures1"/>
              <w:pBdr>
                <w:top w:val="nil"/>
                <w:left w:val="nil"/>
                <w:bottom w:val="nil"/>
                <w:right w:val="nil"/>
                <w:between w:val="nil"/>
                <w:bar w:val="nil"/>
              </w:pBdr>
              <w:rPr>
                <w:b w:val="0"/>
                <w:bdr w:val="nil"/>
              </w:rPr>
            </w:pPr>
            <w:r>
              <w:rPr>
                <w:b w:val="0"/>
                <w:bCs/>
                <w:bdr w:val="nil"/>
              </w:rPr>
              <w:t>4</w:t>
            </w:r>
          </w:p>
        </w:tc>
        <w:tc>
          <w:tcPr>
            <w:tcW w:w="700" w:type="pct"/>
            <w:tcBorders>
              <w:top w:val="nil"/>
              <w:left w:val="nil"/>
              <w:bottom w:val="nil"/>
              <w:right w:val="nil"/>
            </w:tcBorders>
            <w:vAlign w:val="center"/>
          </w:tcPr>
          <w:p w14:paraId="303A5532" w14:textId="45246409" w:rsidR="00A4668D" w:rsidRDefault="00A4668D" w:rsidP="00A4668D">
            <w:pPr>
              <w:pStyle w:val="BStablefigures1"/>
              <w:pBdr>
                <w:top w:val="nil"/>
                <w:left w:val="nil"/>
                <w:bottom w:val="nil"/>
                <w:right w:val="nil"/>
                <w:between w:val="nil"/>
                <w:bar w:val="nil"/>
              </w:pBdr>
              <w:rPr>
                <w:b w:val="0"/>
                <w:bdr w:val="nil"/>
              </w:rPr>
            </w:pPr>
            <w:r>
              <w:rPr>
                <w:b w:val="0"/>
                <w:bdr w:val="nil"/>
              </w:rPr>
              <w:t>4</w:t>
            </w:r>
          </w:p>
        </w:tc>
        <w:tc>
          <w:tcPr>
            <w:tcW w:w="579" w:type="pct"/>
            <w:tcBorders>
              <w:top w:val="nil"/>
              <w:left w:val="nil"/>
              <w:bottom w:val="nil"/>
              <w:right w:val="nil"/>
            </w:tcBorders>
            <w:vAlign w:val="center"/>
          </w:tcPr>
          <w:p w14:paraId="48E321A0" w14:textId="58AF923F" w:rsidR="00A4668D" w:rsidRDefault="00A4668D" w:rsidP="00A4668D">
            <w:pPr>
              <w:pStyle w:val="BStablefigures1"/>
              <w:pBdr>
                <w:top w:val="nil"/>
                <w:left w:val="nil"/>
                <w:bottom w:val="nil"/>
                <w:right w:val="nil"/>
                <w:between w:val="nil"/>
                <w:bar w:val="nil"/>
              </w:pBdr>
              <w:rPr>
                <w:b w:val="0"/>
                <w:bdr w:val="nil"/>
              </w:rPr>
            </w:pPr>
            <w:r>
              <w:rPr>
                <w:b w:val="0"/>
                <w:bdr w:val="nil"/>
              </w:rPr>
              <w:t>3</w:t>
            </w:r>
          </w:p>
        </w:tc>
      </w:tr>
      <w:tr w:rsidR="00C07D35" w14:paraId="508F3927" w14:textId="1E7333D9" w:rsidTr="00A4668D">
        <w:trPr>
          <w:trHeight w:val="274"/>
        </w:trPr>
        <w:tc>
          <w:tcPr>
            <w:tcW w:w="3122" w:type="pct"/>
            <w:tcBorders>
              <w:top w:val="nil"/>
              <w:left w:val="nil"/>
              <w:bottom w:val="nil"/>
              <w:right w:val="nil"/>
            </w:tcBorders>
            <w:hideMark/>
          </w:tcPr>
          <w:p w14:paraId="783FFDC5" w14:textId="1A0C0033" w:rsidR="00A4668D" w:rsidRDefault="00A4668D" w:rsidP="009A24FA">
            <w:pPr>
              <w:pStyle w:val="BStablelist"/>
              <w:numPr>
                <w:ilvl w:val="0"/>
                <w:numId w:val="28"/>
              </w:numPr>
              <w:pBdr>
                <w:top w:val="nil"/>
                <w:left w:val="nil"/>
                <w:bottom w:val="nil"/>
                <w:right w:val="nil"/>
                <w:between w:val="nil"/>
                <w:bar w:val="nil"/>
              </w:pBdr>
              <w:rPr>
                <w:bdr w:val="nil"/>
              </w:rPr>
            </w:pPr>
            <w:r>
              <w:rPr>
                <w:bdr w:val="nil"/>
              </w:rPr>
              <w:t>Number of regulated service providers</w:t>
            </w:r>
          </w:p>
        </w:tc>
        <w:tc>
          <w:tcPr>
            <w:tcW w:w="599" w:type="pct"/>
            <w:tcBorders>
              <w:top w:val="nil"/>
              <w:left w:val="nil"/>
              <w:bottom w:val="nil"/>
              <w:right w:val="nil"/>
            </w:tcBorders>
            <w:vAlign w:val="center"/>
            <w:hideMark/>
          </w:tcPr>
          <w:p w14:paraId="49F7615B" w14:textId="31D30800" w:rsidR="00A4668D" w:rsidRDefault="00A4668D" w:rsidP="00A4668D">
            <w:pPr>
              <w:pStyle w:val="BStablefigures1"/>
              <w:pBdr>
                <w:top w:val="nil"/>
                <w:left w:val="nil"/>
                <w:bottom w:val="nil"/>
                <w:right w:val="nil"/>
                <w:between w:val="nil"/>
                <w:bar w:val="nil"/>
              </w:pBdr>
              <w:rPr>
                <w:b w:val="0"/>
                <w:bdr w:val="nil"/>
              </w:rPr>
            </w:pPr>
            <w:r>
              <w:rPr>
                <w:b w:val="0"/>
                <w:bCs/>
                <w:bdr w:val="nil"/>
              </w:rPr>
              <w:t>1,516</w:t>
            </w:r>
          </w:p>
        </w:tc>
        <w:tc>
          <w:tcPr>
            <w:tcW w:w="700" w:type="pct"/>
            <w:tcBorders>
              <w:top w:val="nil"/>
              <w:left w:val="nil"/>
              <w:bottom w:val="nil"/>
              <w:right w:val="nil"/>
            </w:tcBorders>
            <w:vAlign w:val="center"/>
          </w:tcPr>
          <w:p w14:paraId="325EC464" w14:textId="453C390F" w:rsidR="00A4668D" w:rsidRDefault="00A4668D" w:rsidP="00A4668D">
            <w:pPr>
              <w:pStyle w:val="BStablefigures1"/>
              <w:pBdr>
                <w:top w:val="nil"/>
                <w:left w:val="nil"/>
                <w:bottom w:val="nil"/>
                <w:right w:val="nil"/>
                <w:between w:val="nil"/>
                <w:bar w:val="nil"/>
              </w:pBdr>
              <w:rPr>
                <w:b w:val="0"/>
                <w:bdr w:val="nil"/>
              </w:rPr>
            </w:pPr>
            <w:r>
              <w:rPr>
                <w:b w:val="0"/>
                <w:bdr w:val="nil"/>
              </w:rPr>
              <w:t>1,513</w:t>
            </w:r>
          </w:p>
        </w:tc>
        <w:tc>
          <w:tcPr>
            <w:tcW w:w="579" w:type="pct"/>
            <w:tcBorders>
              <w:top w:val="nil"/>
              <w:left w:val="nil"/>
              <w:bottom w:val="nil"/>
              <w:right w:val="nil"/>
            </w:tcBorders>
            <w:vAlign w:val="center"/>
          </w:tcPr>
          <w:p w14:paraId="78A0EC1E" w14:textId="5E5E0A58" w:rsidR="00A4668D" w:rsidRDefault="00A4668D" w:rsidP="00A4668D">
            <w:pPr>
              <w:pStyle w:val="BStablefigures1"/>
              <w:pBdr>
                <w:top w:val="nil"/>
                <w:left w:val="nil"/>
                <w:bottom w:val="nil"/>
                <w:right w:val="nil"/>
                <w:between w:val="nil"/>
                <w:bar w:val="nil"/>
              </w:pBdr>
              <w:rPr>
                <w:b w:val="0"/>
                <w:bdr w:val="nil"/>
              </w:rPr>
            </w:pPr>
            <w:r>
              <w:rPr>
                <w:b w:val="0"/>
                <w:bdr w:val="nil"/>
              </w:rPr>
              <w:t>658</w:t>
            </w:r>
          </w:p>
        </w:tc>
      </w:tr>
      <w:tr w:rsidR="00C07D35" w14:paraId="1346CFE1" w14:textId="37459974" w:rsidTr="00A4668D">
        <w:trPr>
          <w:trHeight w:val="575"/>
        </w:trPr>
        <w:tc>
          <w:tcPr>
            <w:tcW w:w="3122" w:type="pct"/>
            <w:tcBorders>
              <w:top w:val="nil"/>
              <w:left w:val="nil"/>
              <w:bottom w:val="single" w:sz="4" w:space="0" w:color="auto"/>
              <w:right w:val="nil"/>
            </w:tcBorders>
            <w:hideMark/>
          </w:tcPr>
          <w:p w14:paraId="2190698F" w14:textId="01F1FB57" w:rsidR="00A4668D" w:rsidRDefault="00A4668D" w:rsidP="009A24FA">
            <w:pPr>
              <w:pStyle w:val="BStablelist"/>
              <w:numPr>
                <w:ilvl w:val="0"/>
                <w:numId w:val="28"/>
              </w:numPr>
              <w:pBdr>
                <w:top w:val="nil"/>
                <w:left w:val="nil"/>
                <w:bottom w:val="nil"/>
                <w:right w:val="nil"/>
                <w:between w:val="nil"/>
                <w:bar w:val="nil"/>
              </w:pBdr>
              <w:rPr>
                <w:bdr w:val="nil"/>
              </w:rPr>
            </w:pPr>
            <w:r>
              <w:rPr>
                <w:bdr w:val="nil"/>
              </w:rPr>
              <w:t>Number of tenancies managed by registered community housing providers</w:t>
            </w:r>
          </w:p>
        </w:tc>
        <w:tc>
          <w:tcPr>
            <w:tcW w:w="599" w:type="pct"/>
            <w:tcBorders>
              <w:top w:val="nil"/>
              <w:left w:val="nil"/>
              <w:bottom w:val="single" w:sz="4" w:space="0" w:color="auto"/>
              <w:right w:val="nil"/>
            </w:tcBorders>
            <w:vAlign w:val="center"/>
            <w:hideMark/>
          </w:tcPr>
          <w:p w14:paraId="3C2E4500" w14:textId="32E07870" w:rsidR="00A4668D" w:rsidRDefault="00A4668D" w:rsidP="00A4668D">
            <w:pPr>
              <w:pStyle w:val="BStablefigures1"/>
              <w:pBdr>
                <w:top w:val="nil"/>
                <w:left w:val="nil"/>
                <w:bottom w:val="nil"/>
                <w:right w:val="nil"/>
                <w:between w:val="nil"/>
                <w:bar w:val="nil"/>
              </w:pBdr>
              <w:rPr>
                <w:b w:val="0"/>
                <w:bdr w:val="nil"/>
              </w:rPr>
            </w:pPr>
            <w:r>
              <w:rPr>
                <w:b w:val="0"/>
                <w:bCs/>
                <w:bdr w:val="nil"/>
              </w:rPr>
              <w:t>1,904</w:t>
            </w:r>
          </w:p>
        </w:tc>
        <w:tc>
          <w:tcPr>
            <w:tcW w:w="700" w:type="pct"/>
            <w:tcBorders>
              <w:top w:val="nil"/>
              <w:left w:val="nil"/>
              <w:bottom w:val="single" w:sz="4" w:space="0" w:color="auto"/>
              <w:right w:val="nil"/>
            </w:tcBorders>
            <w:vAlign w:val="center"/>
          </w:tcPr>
          <w:p w14:paraId="5619F7BA" w14:textId="44E5EE64" w:rsidR="00A4668D" w:rsidRDefault="00A4668D" w:rsidP="00A4668D">
            <w:pPr>
              <w:pStyle w:val="BStablefigures1"/>
              <w:pBdr>
                <w:top w:val="nil"/>
                <w:left w:val="nil"/>
                <w:bottom w:val="nil"/>
                <w:right w:val="nil"/>
                <w:between w:val="nil"/>
                <w:bar w:val="nil"/>
              </w:pBdr>
              <w:rPr>
                <w:b w:val="0"/>
                <w:bdr w:val="nil"/>
              </w:rPr>
            </w:pPr>
            <w:r>
              <w:rPr>
                <w:b w:val="0"/>
                <w:bdr w:val="nil"/>
              </w:rPr>
              <w:t>2,127</w:t>
            </w:r>
          </w:p>
        </w:tc>
        <w:tc>
          <w:tcPr>
            <w:tcW w:w="579" w:type="pct"/>
            <w:tcBorders>
              <w:top w:val="nil"/>
              <w:left w:val="nil"/>
              <w:bottom w:val="single" w:sz="4" w:space="0" w:color="auto"/>
              <w:right w:val="nil"/>
            </w:tcBorders>
            <w:vAlign w:val="center"/>
          </w:tcPr>
          <w:p w14:paraId="3D417589" w14:textId="375FE457" w:rsidR="00A4668D" w:rsidRDefault="00A4668D" w:rsidP="00A4668D">
            <w:pPr>
              <w:pStyle w:val="BStablefigures1"/>
              <w:pBdr>
                <w:top w:val="nil"/>
                <w:left w:val="nil"/>
                <w:bottom w:val="nil"/>
                <w:right w:val="nil"/>
                <w:between w:val="nil"/>
                <w:bar w:val="nil"/>
              </w:pBdr>
              <w:rPr>
                <w:b w:val="0"/>
                <w:bdr w:val="nil"/>
              </w:rPr>
            </w:pPr>
            <w:r>
              <w:rPr>
                <w:b w:val="0"/>
                <w:bdr w:val="nil"/>
              </w:rPr>
              <w:t>2,050</w:t>
            </w:r>
          </w:p>
        </w:tc>
      </w:tr>
    </w:tbl>
    <w:p w14:paraId="243BC9A1" w14:textId="00ECBF0B" w:rsidR="00A4668D" w:rsidRPr="007158D0" w:rsidRDefault="00A4668D" w:rsidP="00A4668D">
      <w:pPr>
        <w:pStyle w:val="BSnote2"/>
        <w:pBdr>
          <w:top w:val="nil"/>
          <w:left w:val="nil"/>
          <w:bottom w:val="nil"/>
          <w:right w:val="nil"/>
          <w:between w:val="nil"/>
          <w:bar w:val="nil"/>
        </w:pBdr>
        <w:rPr>
          <w:bdr w:val="nil"/>
        </w:rPr>
      </w:pPr>
      <w:r w:rsidRPr="007158D0">
        <w:rPr>
          <w:bdr w:val="nil"/>
        </w:rPr>
        <w:t>Notes:</w:t>
      </w:r>
    </w:p>
    <w:p w14:paraId="3F6FD1BD" w14:textId="66BA34DF" w:rsidR="00A4668D" w:rsidRDefault="00A4668D" w:rsidP="009A24FA">
      <w:pPr>
        <w:pStyle w:val="BSnoteslist2"/>
        <w:numPr>
          <w:ilvl w:val="0"/>
          <w:numId w:val="29"/>
        </w:numPr>
        <w:pBdr>
          <w:top w:val="nil"/>
          <w:left w:val="nil"/>
          <w:bottom w:val="nil"/>
          <w:right w:val="nil"/>
          <w:between w:val="nil"/>
          <w:bar w:val="nil"/>
        </w:pBdr>
        <w:rPr>
          <w:rFonts w:cs="Times New Roman"/>
          <w:szCs w:val="18"/>
          <w:bdr w:val="nil"/>
        </w:rPr>
      </w:pPr>
      <w:r>
        <w:rPr>
          <w:rFonts w:cs="Times New Roman"/>
          <w:bdr w:val="nil"/>
        </w:rPr>
        <w:t>The four reform initiatives in 2020-21 are: ‘Continuation of the establishment of the Senior Practitioner for the Reduction and Elimination of Restrictive Practices’, ‘National approach to NDIS Worker Screening’, ‘Strengthening Practice Committee' and 'Review of the Complaints Handling and Management Policy'.</w:t>
      </w:r>
    </w:p>
    <w:p w14:paraId="4872F03C" w14:textId="2C2A2FA0" w:rsidR="00A4668D" w:rsidRDefault="00A4668D" w:rsidP="00A4668D">
      <w:pPr>
        <w:pStyle w:val="BSnoteslist2"/>
        <w:numPr>
          <w:ilvl w:val="0"/>
          <w:numId w:val="0"/>
        </w:numPr>
        <w:pBdr>
          <w:top w:val="nil"/>
          <w:left w:val="nil"/>
          <w:bottom w:val="nil"/>
          <w:right w:val="nil"/>
          <w:between w:val="nil"/>
          <w:bar w:val="nil"/>
        </w:pBdr>
        <w:ind w:left="360"/>
        <w:rPr>
          <w:rFonts w:cs="Times New Roman"/>
          <w:szCs w:val="18"/>
          <w:bdr w:val="nil"/>
        </w:rPr>
      </w:pPr>
      <w:r>
        <w:rPr>
          <w:rFonts w:cs="Times New Roman"/>
          <w:szCs w:val="18"/>
          <w:bdr w:val="nil"/>
        </w:rPr>
        <w:t>The three reform initiatives in 2021-22 are: ‘Continuation of the establishment of the Senior Practitioner for the Reduction and Elimination of Restrictive Practices’, ‘Strengthening Practice Committee' and 'Review of the Complaints Handling and Management Policy'.</w:t>
      </w:r>
    </w:p>
    <w:p w14:paraId="7C771904" w14:textId="4F61BABC" w:rsidR="00A4668D" w:rsidRDefault="00A4668D" w:rsidP="009A24FA">
      <w:pPr>
        <w:pStyle w:val="BSnoteslist2"/>
        <w:numPr>
          <w:ilvl w:val="0"/>
          <w:numId w:val="29"/>
        </w:numPr>
        <w:pBdr>
          <w:top w:val="nil"/>
          <w:left w:val="nil"/>
          <w:bottom w:val="nil"/>
          <w:right w:val="nil"/>
          <w:between w:val="nil"/>
          <w:bar w:val="nil"/>
        </w:pBdr>
        <w:rPr>
          <w:rFonts w:cs="Times New Roman"/>
          <w:szCs w:val="18"/>
          <w:bdr w:val="nil"/>
        </w:rPr>
      </w:pPr>
      <w:r>
        <w:rPr>
          <w:rFonts w:cs="Times New Roman"/>
          <w:szCs w:val="18"/>
          <w:bdr w:val="nil"/>
        </w:rPr>
        <w:t>This indicator measures the number of regulated services providers.</w:t>
      </w:r>
      <w:r w:rsidR="00DB6218">
        <w:rPr>
          <w:rFonts w:cs="Times New Roman"/>
          <w:szCs w:val="18"/>
          <w:bdr w:val="nil"/>
        </w:rPr>
        <w:t xml:space="preserve"> The reduction in 2021-22 target is mainly due to reducing the count of disability service providers following a refinement to only include the prevalence of regulated providers currently billing for service provision in the ACT.</w:t>
      </w:r>
    </w:p>
    <w:p w14:paraId="7D37295E" w14:textId="279FABD1" w:rsidR="00A4668D" w:rsidRPr="00DB6218" w:rsidRDefault="00A4668D" w:rsidP="009A24FA">
      <w:pPr>
        <w:pStyle w:val="BSnoteslist2"/>
        <w:numPr>
          <w:ilvl w:val="0"/>
          <w:numId w:val="29"/>
        </w:numPr>
        <w:pBdr>
          <w:top w:val="nil"/>
          <w:left w:val="nil"/>
          <w:bottom w:val="nil"/>
          <w:right w:val="nil"/>
          <w:between w:val="nil"/>
          <w:bar w:val="nil"/>
        </w:pBdr>
        <w:rPr>
          <w:rFonts w:cs="Times New Roman"/>
          <w:szCs w:val="18"/>
          <w:bdr w:val="nil"/>
        </w:rPr>
      </w:pPr>
      <w:r>
        <w:rPr>
          <w:rFonts w:cs="Times New Roman"/>
          <w:szCs w:val="18"/>
          <w:bdr w:val="nil"/>
        </w:rPr>
        <w:t>This indicator measures the quantum of tenancies managed by the community housing providers registered under the National Regulatory System for Community Housing.</w:t>
      </w:r>
    </w:p>
    <w:p w14:paraId="3290F8E4" w14:textId="61D1EC90" w:rsidR="00A4668D" w:rsidRDefault="00A4668D" w:rsidP="00A4668D">
      <w:pPr>
        <w:pStyle w:val="Heading41"/>
        <w:pBdr>
          <w:top w:val="nil"/>
          <w:left w:val="nil"/>
          <w:bottom w:val="nil"/>
          <w:right w:val="nil"/>
          <w:between w:val="nil"/>
          <w:bar w:val="nil"/>
        </w:pBdr>
        <w:rPr>
          <w:bdr w:val="nil"/>
        </w:rPr>
      </w:pPr>
      <w:r>
        <w:rPr>
          <w:bdr w:val="nil"/>
        </w:rPr>
        <w:t>Output 1.5: Safer Families</w:t>
      </w:r>
    </w:p>
    <w:p w14:paraId="7EA922BC" w14:textId="5A9D6E69"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16</w:t>
      </w:r>
      <w:r>
        <w:rPr>
          <w:noProof/>
          <w:bdr w:val="nil"/>
        </w:rPr>
        <w:fldChar w:fldCharType="end"/>
      </w:r>
      <w:r>
        <w:rPr>
          <w:bdr w:val="nil"/>
        </w:rPr>
        <w:t>: Accountability Indicators Output 1.5</w:t>
      </w:r>
    </w:p>
    <w:tbl>
      <w:tblPr>
        <w:tblW w:w="9100" w:type="dxa"/>
        <w:tblBorders>
          <w:top w:val="single" w:sz="12" w:space="0" w:color="000000"/>
          <w:bottom w:val="single" w:sz="12" w:space="0" w:color="000000"/>
        </w:tblBorders>
        <w:tblLook w:val="04A0" w:firstRow="1" w:lastRow="0" w:firstColumn="1" w:lastColumn="0" w:noHBand="0" w:noVBand="1"/>
      </w:tblPr>
      <w:tblGrid>
        <w:gridCol w:w="5815"/>
        <w:gridCol w:w="1101"/>
        <w:gridCol w:w="1154"/>
        <w:gridCol w:w="1030"/>
      </w:tblGrid>
      <w:tr w:rsidR="00C07D35" w14:paraId="238289BF" w14:textId="19A3FC35" w:rsidTr="00A4668D">
        <w:trPr>
          <w:tblHeader/>
        </w:trPr>
        <w:tc>
          <w:tcPr>
            <w:tcW w:w="3195" w:type="pct"/>
            <w:tcBorders>
              <w:top w:val="single" w:sz="12" w:space="0" w:color="000000"/>
              <w:left w:val="nil"/>
              <w:bottom w:val="single" w:sz="4" w:space="0" w:color="auto"/>
              <w:right w:val="nil"/>
            </w:tcBorders>
          </w:tcPr>
          <w:p w14:paraId="39A67351" w14:textId="77777777" w:rsidR="00A4668D" w:rsidRDefault="00A4668D" w:rsidP="00A4668D">
            <w:pPr>
              <w:pStyle w:val="Heading6"/>
              <w:pBdr>
                <w:top w:val="nil"/>
                <w:left w:val="nil"/>
                <w:bottom w:val="nil"/>
                <w:right w:val="nil"/>
                <w:between w:val="nil"/>
                <w:bar w:val="nil"/>
              </w:pBdr>
              <w:jc w:val="left"/>
              <w:rPr>
                <w:bdr w:val="nil"/>
              </w:rPr>
            </w:pPr>
          </w:p>
        </w:tc>
        <w:tc>
          <w:tcPr>
            <w:tcW w:w="605" w:type="pct"/>
            <w:tcBorders>
              <w:top w:val="single" w:sz="12" w:space="0" w:color="000000"/>
              <w:left w:val="nil"/>
              <w:bottom w:val="single" w:sz="4" w:space="0" w:color="auto"/>
              <w:right w:val="nil"/>
            </w:tcBorders>
            <w:hideMark/>
          </w:tcPr>
          <w:p w14:paraId="083518F8"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1DF9A33D" w14:textId="3EE58A98"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w:t>
            </w:r>
          </w:p>
        </w:tc>
        <w:tc>
          <w:tcPr>
            <w:tcW w:w="634" w:type="pct"/>
            <w:tcBorders>
              <w:top w:val="single" w:sz="12" w:space="0" w:color="000000"/>
              <w:left w:val="nil"/>
              <w:bottom w:val="single" w:sz="4" w:space="0" w:color="auto"/>
              <w:right w:val="nil"/>
            </w:tcBorders>
            <w:hideMark/>
          </w:tcPr>
          <w:p w14:paraId="1279FE88"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23DA8EF1" w14:textId="07DBFDD3"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566" w:type="pct"/>
            <w:tcBorders>
              <w:top w:val="single" w:sz="12" w:space="0" w:color="000000"/>
              <w:left w:val="nil"/>
              <w:bottom w:val="single" w:sz="4" w:space="0" w:color="auto"/>
              <w:right w:val="nil"/>
            </w:tcBorders>
            <w:hideMark/>
          </w:tcPr>
          <w:p w14:paraId="5544DE5A" w14:textId="410EB52D"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2E84461D" w14:textId="0702B8A6"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w:t>
            </w:r>
          </w:p>
        </w:tc>
      </w:tr>
      <w:tr w:rsidR="00C07D35" w14:paraId="185A6D45" w14:textId="3A59F5C2" w:rsidTr="00A4668D">
        <w:trPr>
          <w:trHeight w:val="342"/>
        </w:trPr>
        <w:tc>
          <w:tcPr>
            <w:tcW w:w="5000" w:type="pct"/>
            <w:gridSpan w:val="4"/>
            <w:tcBorders>
              <w:top w:val="single" w:sz="4" w:space="0" w:color="auto"/>
              <w:left w:val="nil"/>
              <w:bottom w:val="nil"/>
              <w:right w:val="nil"/>
            </w:tcBorders>
            <w:hideMark/>
          </w:tcPr>
          <w:p w14:paraId="61EB3B9A" w14:textId="77777777" w:rsidR="00A4668D" w:rsidRDefault="00A4668D">
            <w:pPr>
              <w:pStyle w:val="BStablelist"/>
              <w:numPr>
                <w:ilvl w:val="0"/>
                <w:numId w:val="0"/>
              </w:numPr>
              <w:pBdr>
                <w:top w:val="nil"/>
                <w:left w:val="nil"/>
                <w:bottom w:val="nil"/>
                <w:right w:val="nil"/>
                <w:between w:val="nil"/>
                <w:bar w:val="nil"/>
              </w:pBdr>
              <w:ind w:left="360" w:hanging="360"/>
              <w:rPr>
                <w:b/>
                <w:bdr w:val="nil"/>
              </w:rPr>
            </w:pPr>
            <w:r>
              <w:rPr>
                <w:b/>
                <w:bdr w:val="nil"/>
              </w:rPr>
              <w:t>Safer Families</w:t>
            </w:r>
          </w:p>
        </w:tc>
      </w:tr>
      <w:tr w:rsidR="00C07D35" w14:paraId="16A6F682" w14:textId="38CF833C" w:rsidTr="00A4668D">
        <w:trPr>
          <w:trHeight w:val="569"/>
        </w:trPr>
        <w:tc>
          <w:tcPr>
            <w:tcW w:w="3195" w:type="pct"/>
            <w:tcBorders>
              <w:top w:val="nil"/>
              <w:left w:val="nil"/>
              <w:bottom w:val="single" w:sz="4" w:space="0" w:color="auto"/>
              <w:right w:val="nil"/>
            </w:tcBorders>
            <w:hideMark/>
          </w:tcPr>
          <w:p w14:paraId="601EC03D" w14:textId="47FF3118" w:rsidR="00A4668D" w:rsidRDefault="00A4668D" w:rsidP="009A24FA">
            <w:pPr>
              <w:pStyle w:val="BStablelist"/>
              <w:numPr>
                <w:ilvl w:val="0"/>
                <w:numId w:val="30"/>
              </w:numPr>
              <w:pBdr>
                <w:top w:val="nil"/>
                <w:left w:val="nil"/>
                <w:bottom w:val="nil"/>
                <w:right w:val="nil"/>
                <w:between w:val="nil"/>
                <w:bar w:val="nil"/>
              </w:pBdr>
              <w:rPr>
                <w:bdr w:val="nil"/>
              </w:rPr>
            </w:pPr>
            <w:r>
              <w:rPr>
                <w:bdr w:val="nil"/>
              </w:rPr>
              <w:t xml:space="preserve">Family Violence Statement presented to the </w:t>
            </w:r>
            <w:r>
              <w:rPr>
                <w:bdr w:val="nil"/>
              </w:rPr>
              <w:br/>
              <w:t>ACT Legislative Assembly</w:t>
            </w:r>
          </w:p>
        </w:tc>
        <w:tc>
          <w:tcPr>
            <w:tcW w:w="605" w:type="pct"/>
            <w:tcBorders>
              <w:top w:val="nil"/>
              <w:left w:val="nil"/>
              <w:bottom w:val="single" w:sz="4" w:space="0" w:color="auto"/>
              <w:right w:val="nil"/>
            </w:tcBorders>
            <w:vAlign w:val="center"/>
            <w:hideMark/>
          </w:tcPr>
          <w:p w14:paraId="16C1CBA4" w14:textId="733E4613" w:rsidR="00A4668D" w:rsidRDefault="00A4668D" w:rsidP="00A4668D">
            <w:pPr>
              <w:pStyle w:val="BStablefigures1"/>
              <w:pBdr>
                <w:top w:val="nil"/>
                <w:left w:val="nil"/>
                <w:bottom w:val="nil"/>
                <w:right w:val="nil"/>
                <w:between w:val="nil"/>
                <w:bar w:val="nil"/>
              </w:pBdr>
              <w:rPr>
                <w:b w:val="0"/>
                <w:bdr w:val="nil"/>
              </w:rPr>
            </w:pPr>
            <w:r>
              <w:rPr>
                <w:b w:val="0"/>
                <w:bCs/>
                <w:bdr w:val="nil"/>
              </w:rPr>
              <w:t>2</w:t>
            </w:r>
          </w:p>
        </w:tc>
        <w:tc>
          <w:tcPr>
            <w:tcW w:w="634" w:type="pct"/>
            <w:tcBorders>
              <w:top w:val="nil"/>
              <w:left w:val="nil"/>
              <w:bottom w:val="single" w:sz="4" w:space="0" w:color="auto"/>
              <w:right w:val="nil"/>
            </w:tcBorders>
            <w:vAlign w:val="center"/>
          </w:tcPr>
          <w:p w14:paraId="23AE0023" w14:textId="43F75802" w:rsidR="00A4668D" w:rsidRDefault="00A4668D" w:rsidP="00A4668D">
            <w:pPr>
              <w:pStyle w:val="BStablefigures1"/>
              <w:pBdr>
                <w:top w:val="nil"/>
                <w:left w:val="nil"/>
                <w:bottom w:val="nil"/>
                <w:right w:val="nil"/>
                <w:between w:val="nil"/>
                <w:bar w:val="nil"/>
              </w:pBdr>
              <w:rPr>
                <w:b w:val="0"/>
                <w:bdr w:val="nil"/>
              </w:rPr>
            </w:pPr>
            <w:r>
              <w:rPr>
                <w:b w:val="0"/>
                <w:bdr w:val="nil"/>
              </w:rPr>
              <w:t>2</w:t>
            </w:r>
          </w:p>
        </w:tc>
        <w:tc>
          <w:tcPr>
            <w:tcW w:w="566" w:type="pct"/>
            <w:tcBorders>
              <w:top w:val="nil"/>
              <w:left w:val="nil"/>
              <w:bottom w:val="single" w:sz="4" w:space="0" w:color="auto"/>
              <w:right w:val="nil"/>
            </w:tcBorders>
            <w:vAlign w:val="center"/>
            <w:hideMark/>
          </w:tcPr>
          <w:p w14:paraId="654802F9" w14:textId="776E01A4" w:rsidR="00A4668D" w:rsidRDefault="00A4668D" w:rsidP="00A4668D">
            <w:pPr>
              <w:pStyle w:val="BStablefigures1"/>
              <w:pBdr>
                <w:top w:val="nil"/>
                <w:left w:val="nil"/>
                <w:bottom w:val="nil"/>
                <w:right w:val="nil"/>
                <w:between w:val="nil"/>
                <w:bar w:val="nil"/>
              </w:pBdr>
              <w:rPr>
                <w:b w:val="0"/>
                <w:bdr w:val="nil"/>
              </w:rPr>
            </w:pPr>
            <w:r>
              <w:rPr>
                <w:b w:val="0"/>
                <w:bCs/>
                <w:bdr w:val="nil"/>
              </w:rPr>
              <w:t>1</w:t>
            </w:r>
          </w:p>
        </w:tc>
      </w:tr>
    </w:tbl>
    <w:p w14:paraId="74FE23FB" w14:textId="26D4D36C" w:rsidR="00A4668D" w:rsidRPr="007158D0" w:rsidRDefault="00A4668D" w:rsidP="00A4668D">
      <w:pPr>
        <w:pStyle w:val="BSnote2"/>
        <w:pBdr>
          <w:top w:val="nil"/>
          <w:left w:val="nil"/>
          <w:bottom w:val="nil"/>
          <w:right w:val="nil"/>
          <w:between w:val="nil"/>
          <w:bar w:val="nil"/>
        </w:pBdr>
        <w:rPr>
          <w:bdr w:val="nil"/>
        </w:rPr>
      </w:pPr>
      <w:r w:rsidRPr="007158D0">
        <w:rPr>
          <w:bdr w:val="nil"/>
        </w:rPr>
        <w:t>Note:</w:t>
      </w:r>
    </w:p>
    <w:p w14:paraId="1E4B89DB" w14:textId="58337626" w:rsidR="00A4668D" w:rsidRPr="00DB6218" w:rsidRDefault="00A4668D" w:rsidP="009A24FA">
      <w:pPr>
        <w:pStyle w:val="BSnoteslist2"/>
        <w:numPr>
          <w:ilvl w:val="0"/>
          <w:numId w:val="31"/>
        </w:numPr>
        <w:pBdr>
          <w:top w:val="nil"/>
          <w:left w:val="nil"/>
          <w:bottom w:val="nil"/>
          <w:right w:val="nil"/>
          <w:between w:val="nil"/>
          <w:bar w:val="nil"/>
        </w:pBdr>
        <w:rPr>
          <w:rFonts w:cs="Times New Roman"/>
          <w:szCs w:val="18"/>
          <w:bdr w:val="nil"/>
        </w:rPr>
      </w:pPr>
      <w:r>
        <w:rPr>
          <w:rFonts w:cs="Times New Roman"/>
          <w:szCs w:val="18"/>
          <w:bdr w:val="nil"/>
        </w:rPr>
        <w:t>This indicator measures the Government’s progress and achievements in addressing family and domestic violence.</w:t>
      </w:r>
      <w:r w:rsidRPr="00DB6218">
        <w:rPr>
          <w:bdr w:val="nil"/>
        </w:rPr>
        <w:br w:type="page"/>
      </w:r>
    </w:p>
    <w:p w14:paraId="52F46BFA" w14:textId="5241F127" w:rsidR="00A4668D" w:rsidRDefault="00A4668D" w:rsidP="00A4668D">
      <w:pPr>
        <w:pStyle w:val="Heading32"/>
        <w:pBdr>
          <w:top w:val="nil"/>
          <w:left w:val="nil"/>
          <w:bottom w:val="nil"/>
          <w:right w:val="nil"/>
          <w:between w:val="nil"/>
          <w:bar w:val="nil"/>
        </w:pBdr>
        <w:rPr>
          <w:bdr w:val="nil"/>
        </w:rPr>
      </w:pPr>
      <w:bookmarkStart w:id="35" w:name="_Toc514926338"/>
      <w:r>
        <w:rPr>
          <w:bdr w:val="nil"/>
        </w:rPr>
        <w:lastRenderedPageBreak/>
        <w:t>Output Class 2: Children, Youth and Families</w:t>
      </w:r>
      <w:bookmarkEnd w:id="35"/>
    </w:p>
    <w:p w14:paraId="05DF325C" w14:textId="4B2A0CB1" w:rsidR="00A4668D" w:rsidRDefault="00A4668D" w:rsidP="00A4668D">
      <w:pPr>
        <w:pStyle w:val="Heading41"/>
        <w:pBdr>
          <w:top w:val="nil"/>
          <w:left w:val="nil"/>
          <w:bottom w:val="nil"/>
          <w:right w:val="nil"/>
          <w:between w:val="nil"/>
          <w:bar w:val="nil"/>
        </w:pBdr>
        <w:rPr>
          <w:bdr w:val="nil"/>
        </w:rPr>
      </w:pPr>
      <w:r>
        <w:rPr>
          <w:bdr w:val="nil"/>
        </w:rPr>
        <w:t>Output 2.1: Child and Family Centres</w:t>
      </w:r>
    </w:p>
    <w:p w14:paraId="5E9BB369" w14:textId="5E45EA28"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17</w:t>
      </w:r>
      <w:r>
        <w:rPr>
          <w:noProof/>
          <w:bdr w:val="nil"/>
        </w:rPr>
        <w:fldChar w:fldCharType="end"/>
      </w:r>
      <w:r>
        <w:rPr>
          <w:noProof/>
          <w:bdr w:val="nil"/>
        </w:rPr>
        <w:t>:</w:t>
      </w:r>
      <w:r>
        <w:rPr>
          <w:bdr w:val="nil"/>
        </w:rPr>
        <w:t xml:space="preserve"> Accountability Indicators</w:t>
      </w:r>
      <w:r>
        <w:rPr>
          <w:noProof/>
          <w:bdr w:val="nil"/>
        </w:rPr>
        <w:t xml:space="preserve"> Output 2.1</w:t>
      </w:r>
    </w:p>
    <w:tbl>
      <w:tblPr>
        <w:tblW w:w="9100" w:type="dxa"/>
        <w:tblBorders>
          <w:top w:val="single" w:sz="12" w:space="0" w:color="000000"/>
          <w:bottom w:val="single" w:sz="12" w:space="0" w:color="000000"/>
        </w:tblBorders>
        <w:tblLook w:val="04A0" w:firstRow="1" w:lastRow="0" w:firstColumn="1" w:lastColumn="0" w:noHBand="0" w:noVBand="1"/>
      </w:tblPr>
      <w:tblGrid>
        <w:gridCol w:w="5493"/>
        <w:gridCol w:w="1250"/>
        <w:gridCol w:w="1216"/>
        <w:gridCol w:w="1141"/>
      </w:tblGrid>
      <w:tr w:rsidR="00C07D35" w14:paraId="0DF18AAF" w14:textId="0D3D6198" w:rsidTr="00A4668D">
        <w:trPr>
          <w:tblHeader/>
        </w:trPr>
        <w:tc>
          <w:tcPr>
            <w:tcW w:w="3018" w:type="pct"/>
            <w:tcBorders>
              <w:top w:val="single" w:sz="12" w:space="0" w:color="000000"/>
              <w:left w:val="nil"/>
              <w:bottom w:val="single" w:sz="4" w:space="0" w:color="auto"/>
              <w:right w:val="nil"/>
            </w:tcBorders>
          </w:tcPr>
          <w:p w14:paraId="163EA1A2" w14:textId="77777777" w:rsidR="00A4668D" w:rsidRDefault="00A4668D" w:rsidP="00A4668D">
            <w:pPr>
              <w:pStyle w:val="BStabletext1"/>
              <w:pBdr>
                <w:top w:val="nil"/>
                <w:left w:val="nil"/>
                <w:bottom w:val="nil"/>
                <w:right w:val="nil"/>
                <w:between w:val="nil"/>
                <w:bar w:val="nil"/>
              </w:pBdr>
              <w:rPr>
                <w:bdr w:val="nil"/>
              </w:rPr>
            </w:pPr>
          </w:p>
        </w:tc>
        <w:tc>
          <w:tcPr>
            <w:tcW w:w="687" w:type="pct"/>
            <w:tcBorders>
              <w:top w:val="single" w:sz="12" w:space="0" w:color="000000"/>
              <w:left w:val="nil"/>
              <w:bottom w:val="single" w:sz="4" w:space="0" w:color="auto"/>
              <w:right w:val="nil"/>
            </w:tcBorders>
            <w:hideMark/>
          </w:tcPr>
          <w:p w14:paraId="3684892E"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47F57FF4" w14:textId="158F8D25"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Targets</w:t>
            </w:r>
          </w:p>
        </w:tc>
        <w:tc>
          <w:tcPr>
            <w:tcW w:w="668" w:type="pct"/>
            <w:tcBorders>
              <w:top w:val="single" w:sz="12" w:space="0" w:color="000000"/>
              <w:left w:val="nil"/>
              <w:bottom w:val="single" w:sz="4" w:space="0" w:color="auto"/>
              <w:right w:val="nil"/>
            </w:tcBorders>
            <w:hideMark/>
          </w:tcPr>
          <w:p w14:paraId="4209E196"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5312E52E" w14:textId="6FDCCCBD"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627" w:type="pct"/>
            <w:tcBorders>
              <w:top w:val="single" w:sz="12" w:space="0" w:color="000000"/>
              <w:left w:val="nil"/>
              <w:bottom w:val="single" w:sz="4" w:space="0" w:color="auto"/>
              <w:right w:val="nil"/>
            </w:tcBorders>
            <w:hideMark/>
          </w:tcPr>
          <w:p w14:paraId="21CBBE91" w14:textId="60D556FE"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68BBF6A2" w14:textId="04C2F194"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Targets</w:t>
            </w:r>
          </w:p>
        </w:tc>
      </w:tr>
      <w:tr w:rsidR="00C07D35" w14:paraId="7A0AE159" w14:textId="51B56529" w:rsidTr="00A4668D">
        <w:trPr>
          <w:trHeight w:val="331"/>
        </w:trPr>
        <w:tc>
          <w:tcPr>
            <w:tcW w:w="5000" w:type="pct"/>
            <w:gridSpan w:val="4"/>
            <w:tcBorders>
              <w:top w:val="single" w:sz="4" w:space="0" w:color="auto"/>
              <w:left w:val="nil"/>
              <w:bottom w:val="nil"/>
              <w:right w:val="nil"/>
            </w:tcBorders>
            <w:hideMark/>
          </w:tcPr>
          <w:p w14:paraId="06620949" w14:textId="77777777" w:rsidR="00A4668D" w:rsidRDefault="00A4668D">
            <w:pPr>
              <w:pStyle w:val="BStabletext1"/>
              <w:pBdr>
                <w:top w:val="nil"/>
                <w:left w:val="nil"/>
                <w:bottom w:val="nil"/>
                <w:right w:val="nil"/>
                <w:between w:val="nil"/>
                <w:bar w:val="nil"/>
              </w:pBdr>
              <w:rPr>
                <w:rStyle w:val="Strong0"/>
                <w:b/>
                <w:bCs/>
                <w:bdr w:val="nil"/>
              </w:rPr>
            </w:pPr>
            <w:r>
              <w:rPr>
                <w:rStyle w:val="Strong0"/>
                <w:b/>
                <w:bdr w:val="nil"/>
              </w:rPr>
              <w:t xml:space="preserve">Child and Family Centres </w:t>
            </w:r>
          </w:p>
        </w:tc>
      </w:tr>
      <w:tr w:rsidR="00C07D35" w14:paraId="202444B3" w14:textId="3213C1B6" w:rsidTr="00A4668D">
        <w:trPr>
          <w:trHeight w:val="288"/>
        </w:trPr>
        <w:tc>
          <w:tcPr>
            <w:tcW w:w="3018" w:type="pct"/>
            <w:tcBorders>
              <w:top w:val="nil"/>
              <w:left w:val="nil"/>
              <w:bottom w:val="nil"/>
              <w:right w:val="nil"/>
            </w:tcBorders>
            <w:hideMark/>
          </w:tcPr>
          <w:p w14:paraId="0E741D81" w14:textId="49487927" w:rsidR="00A4668D" w:rsidRDefault="00A4668D" w:rsidP="009A24FA">
            <w:pPr>
              <w:pStyle w:val="BStabletext1"/>
              <w:numPr>
                <w:ilvl w:val="0"/>
                <w:numId w:val="32"/>
              </w:numPr>
              <w:pBdr>
                <w:top w:val="nil"/>
                <w:left w:val="nil"/>
                <w:bottom w:val="nil"/>
                <w:right w:val="nil"/>
                <w:between w:val="nil"/>
                <w:bar w:val="nil"/>
              </w:pBdr>
              <w:rPr>
                <w:b w:val="0"/>
                <w:bdr w:val="nil"/>
              </w:rPr>
            </w:pPr>
            <w:r>
              <w:rPr>
                <w:b w:val="0"/>
                <w:bdr w:val="nil"/>
              </w:rPr>
              <w:t xml:space="preserve">Number of Community Development/Education Programs </w:t>
            </w:r>
          </w:p>
        </w:tc>
        <w:tc>
          <w:tcPr>
            <w:tcW w:w="687" w:type="pct"/>
            <w:tcBorders>
              <w:top w:val="nil"/>
              <w:left w:val="nil"/>
              <w:bottom w:val="nil"/>
              <w:right w:val="nil"/>
            </w:tcBorders>
            <w:vAlign w:val="center"/>
            <w:hideMark/>
          </w:tcPr>
          <w:p w14:paraId="179C8F3E" w14:textId="55F5066D" w:rsidR="00A4668D" w:rsidRDefault="00A4668D" w:rsidP="00A4668D">
            <w:pPr>
              <w:pStyle w:val="BStablefigures1"/>
              <w:pBdr>
                <w:top w:val="nil"/>
                <w:left w:val="nil"/>
                <w:bottom w:val="nil"/>
                <w:right w:val="nil"/>
                <w:between w:val="nil"/>
                <w:bar w:val="nil"/>
              </w:pBdr>
              <w:rPr>
                <w:b w:val="0"/>
                <w:bdr w:val="nil"/>
              </w:rPr>
            </w:pPr>
            <w:r>
              <w:rPr>
                <w:b w:val="0"/>
                <w:bCs/>
                <w:bdr w:val="nil"/>
              </w:rPr>
              <w:t>225</w:t>
            </w:r>
          </w:p>
        </w:tc>
        <w:tc>
          <w:tcPr>
            <w:tcW w:w="668" w:type="pct"/>
            <w:tcBorders>
              <w:top w:val="nil"/>
              <w:left w:val="nil"/>
              <w:bottom w:val="nil"/>
              <w:right w:val="nil"/>
            </w:tcBorders>
            <w:vAlign w:val="center"/>
          </w:tcPr>
          <w:p w14:paraId="6C300BE5" w14:textId="320DD07B" w:rsidR="00A4668D" w:rsidRDefault="00A4668D" w:rsidP="00A4668D">
            <w:pPr>
              <w:pStyle w:val="BStablefigures1"/>
              <w:pBdr>
                <w:top w:val="nil"/>
                <w:left w:val="nil"/>
                <w:bottom w:val="nil"/>
                <w:right w:val="nil"/>
                <w:between w:val="nil"/>
                <w:bar w:val="nil"/>
              </w:pBdr>
              <w:rPr>
                <w:b w:val="0"/>
                <w:bdr w:val="nil"/>
              </w:rPr>
            </w:pPr>
            <w:r>
              <w:rPr>
                <w:b w:val="0"/>
                <w:bdr w:val="nil"/>
              </w:rPr>
              <w:t>343</w:t>
            </w:r>
          </w:p>
        </w:tc>
        <w:tc>
          <w:tcPr>
            <w:tcW w:w="627" w:type="pct"/>
            <w:tcBorders>
              <w:top w:val="nil"/>
              <w:left w:val="nil"/>
              <w:bottom w:val="nil"/>
              <w:right w:val="nil"/>
            </w:tcBorders>
            <w:vAlign w:val="center"/>
          </w:tcPr>
          <w:p w14:paraId="0A45503F" w14:textId="12A70E8B" w:rsidR="00A4668D" w:rsidRDefault="00A4668D" w:rsidP="00A4668D">
            <w:pPr>
              <w:pStyle w:val="BStablefigures1"/>
              <w:pBdr>
                <w:top w:val="nil"/>
                <w:left w:val="nil"/>
                <w:bottom w:val="nil"/>
                <w:right w:val="nil"/>
                <w:between w:val="nil"/>
                <w:bar w:val="nil"/>
              </w:pBdr>
              <w:rPr>
                <w:b w:val="0"/>
                <w:bdr w:val="nil"/>
              </w:rPr>
            </w:pPr>
            <w:r>
              <w:rPr>
                <w:b w:val="0"/>
                <w:bCs/>
                <w:bdr w:val="nil"/>
              </w:rPr>
              <w:t>225</w:t>
            </w:r>
          </w:p>
        </w:tc>
      </w:tr>
      <w:tr w:rsidR="00C07D35" w14:paraId="109FB4B6" w14:textId="4F6A8233" w:rsidTr="00A4668D">
        <w:trPr>
          <w:trHeight w:val="283"/>
        </w:trPr>
        <w:tc>
          <w:tcPr>
            <w:tcW w:w="3018" w:type="pct"/>
            <w:tcBorders>
              <w:top w:val="nil"/>
              <w:left w:val="nil"/>
              <w:bottom w:val="nil"/>
              <w:right w:val="nil"/>
            </w:tcBorders>
            <w:hideMark/>
          </w:tcPr>
          <w:p w14:paraId="2A6C4944" w14:textId="7C5CB5D7" w:rsidR="00A4668D" w:rsidRDefault="00A4668D" w:rsidP="009A24FA">
            <w:pPr>
              <w:pStyle w:val="BStabletext1"/>
              <w:numPr>
                <w:ilvl w:val="0"/>
                <w:numId w:val="32"/>
              </w:numPr>
              <w:pBdr>
                <w:top w:val="nil"/>
                <w:left w:val="nil"/>
                <w:bottom w:val="nil"/>
                <w:right w:val="nil"/>
                <w:between w:val="nil"/>
                <w:bar w:val="nil"/>
              </w:pBdr>
              <w:rPr>
                <w:b w:val="0"/>
                <w:bdr w:val="nil"/>
              </w:rPr>
            </w:pPr>
            <w:r>
              <w:rPr>
                <w:b w:val="0"/>
                <w:bdr w:val="nil"/>
              </w:rPr>
              <w:t xml:space="preserve">Number of Parenting Assistance Sessions </w:t>
            </w:r>
          </w:p>
        </w:tc>
        <w:tc>
          <w:tcPr>
            <w:tcW w:w="687" w:type="pct"/>
            <w:tcBorders>
              <w:top w:val="nil"/>
              <w:left w:val="nil"/>
              <w:bottom w:val="nil"/>
              <w:right w:val="nil"/>
            </w:tcBorders>
            <w:vAlign w:val="center"/>
            <w:hideMark/>
          </w:tcPr>
          <w:p w14:paraId="17437F10" w14:textId="63FDA1E6" w:rsidR="00A4668D" w:rsidRDefault="00A4668D" w:rsidP="00A4668D">
            <w:pPr>
              <w:pStyle w:val="BStablefigures1"/>
              <w:pBdr>
                <w:top w:val="nil"/>
                <w:left w:val="nil"/>
                <w:bottom w:val="nil"/>
                <w:right w:val="nil"/>
                <w:between w:val="nil"/>
                <w:bar w:val="nil"/>
              </w:pBdr>
              <w:rPr>
                <w:b w:val="0"/>
                <w:bdr w:val="nil"/>
              </w:rPr>
            </w:pPr>
            <w:r>
              <w:rPr>
                <w:b w:val="0"/>
                <w:bCs/>
                <w:bdr w:val="nil"/>
              </w:rPr>
              <w:t>1,125</w:t>
            </w:r>
          </w:p>
        </w:tc>
        <w:tc>
          <w:tcPr>
            <w:tcW w:w="668" w:type="pct"/>
            <w:tcBorders>
              <w:top w:val="nil"/>
              <w:left w:val="nil"/>
              <w:bottom w:val="nil"/>
              <w:right w:val="nil"/>
            </w:tcBorders>
            <w:vAlign w:val="center"/>
          </w:tcPr>
          <w:p w14:paraId="136E359F" w14:textId="3FD4D081" w:rsidR="00A4668D" w:rsidRDefault="00A4668D" w:rsidP="00A4668D">
            <w:pPr>
              <w:pStyle w:val="BStablefigures1"/>
              <w:pBdr>
                <w:top w:val="nil"/>
                <w:left w:val="nil"/>
                <w:bottom w:val="nil"/>
                <w:right w:val="nil"/>
                <w:between w:val="nil"/>
                <w:bar w:val="nil"/>
              </w:pBdr>
              <w:rPr>
                <w:b w:val="0"/>
                <w:bdr w:val="nil"/>
              </w:rPr>
            </w:pPr>
            <w:r>
              <w:rPr>
                <w:b w:val="0"/>
                <w:bdr w:val="nil"/>
              </w:rPr>
              <w:t>968</w:t>
            </w:r>
          </w:p>
        </w:tc>
        <w:tc>
          <w:tcPr>
            <w:tcW w:w="627" w:type="pct"/>
            <w:tcBorders>
              <w:top w:val="nil"/>
              <w:left w:val="nil"/>
              <w:bottom w:val="nil"/>
              <w:right w:val="nil"/>
            </w:tcBorders>
            <w:vAlign w:val="center"/>
          </w:tcPr>
          <w:p w14:paraId="060BE012" w14:textId="07D7A3B1" w:rsidR="00A4668D" w:rsidRDefault="00A4668D" w:rsidP="00A4668D">
            <w:pPr>
              <w:pStyle w:val="BStablefigures1"/>
              <w:pBdr>
                <w:top w:val="nil"/>
                <w:left w:val="nil"/>
                <w:bottom w:val="nil"/>
                <w:right w:val="nil"/>
                <w:between w:val="nil"/>
                <w:bar w:val="nil"/>
              </w:pBdr>
              <w:rPr>
                <w:b w:val="0"/>
                <w:bdr w:val="nil"/>
              </w:rPr>
            </w:pPr>
            <w:r>
              <w:rPr>
                <w:b w:val="0"/>
                <w:bCs/>
                <w:bdr w:val="nil"/>
              </w:rPr>
              <w:t>1,125</w:t>
            </w:r>
          </w:p>
        </w:tc>
      </w:tr>
      <w:tr w:rsidR="00C07D35" w14:paraId="5D22D752" w14:textId="75B58D02" w:rsidTr="00A4668D">
        <w:trPr>
          <w:trHeight w:val="283"/>
        </w:trPr>
        <w:tc>
          <w:tcPr>
            <w:tcW w:w="3018" w:type="pct"/>
            <w:tcBorders>
              <w:top w:val="nil"/>
              <w:left w:val="nil"/>
              <w:bottom w:val="single" w:sz="4" w:space="0" w:color="auto"/>
              <w:right w:val="nil"/>
            </w:tcBorders>
            <w:hideMark/>
          </w:tcPr>
          <w:p w14:paraId="59E456FF" w14:textId="0BB8EFCC" w:rsidR="00A4668D" w:rsidRDefault="00A4668D" w:rsidP="009A24FA">
            <w:pPr>
              <w:pStyle w:val="BStabletext1"/>
              <w:numPr>
                <w:ilvl w:val="0"/>
                <w:numId w:val="32"/>
              </w:numPr>
              <w:pBdr>
                <w:top w:val="nil"/>
                <w:left w:val="nil"/>
                <w:bottom w:val="nil"/>
                <w:right w:val="nil"/>
                <w:between w:val="nil"/>
                <w:bar w:val="nil"/>
              </w:pBdr>
              <w:rPr>
                <w:b w:val="0"/>
                <w:bdr w:val="nil"/>
              </w:rPr>
            </w:pPr>
            <w:r>
              <w:rPr>
                <w:b w:val="0"/>
                <w:bdr w:val="nil"/>
              </w:rPr>
              <w:t xml:space="preserve">Client satisfaction with services </w:t>
            </w:r>
          </w:p>
        </w:tc>
        <w:tc>
          <w:tcPr>
            <w:tcW w:w="687" w:type="pct"/>
            <w:tcBorders>
              <w:top w:val="nil"/>
              <w:left w:val="nil"/>
              <w:bottom w:val="single" w:sz="4" w:space="0" w:color="auto"/>
              <w:right w:val="nil"/>
            </w:tcBorders>
            <w:vAlign w:val="center"/>
            <w:hideMark/>
          </w:tcPr>
          <w:p w14:paraId="27EA6D46" w14:textId="32D0A685" w:rsidR="00A4668D" w:rsidRDefault="00A4668D" w:rsidP="00A4668D">
            <w:pPr>
              <w:pStyle w:val="BStablefigures1"/>
              <w:pBdr>
                <w:top w:val="nil"/>
                <w:left w:val="nil"/>
                <w:bottom w:val="nil"/>
                <w:right w:val="nil"/>
                <w:between w:val="nil"/>
                <w:bar w:val="nil"/>
              </w:pBdr>
              <w:rPr>
                <w:b w:val="0"/>
                <w:bdr w:val="nil"/>
              </w:rPr>
            </w:pPr>
            <w:r>
              <w:rPr>
                <w:b w:val="0"/>
                <w:bCs/>
                <w:bdr w:val="nil"/>
              </w:rPr>
              <w:t>90%</w:t>
            </w:r>
          </w:p>
        </w:tc>
        <w:tc>
          <w:tcPr>
            <w:tcW w:w="668" w:type="pct"/>
            <w:tcBorders>
              <w:top w:val="nil"/>
              <w:left w:val="nil"/>
              <w:bottom w:val="single" w:sz="4" w:space="0" w:color="auto"/>
              <w:right w:val="nil"/>
            </w:tcBorders>
            <w:vAlign w:val="center"/>
          </w:tcPr>
          <w:p w14:paraId="676EDAD6" w14:textId="7F9FA541" w:rsidR="00A4668D" w:rsidRDefault="00A4668D" w:rsidP="00A4668D">
            <w:pPr>
              <w:pStyle w:val="BStablefigures1"/>
              <w:pBdr>
                <w:top w:val="nil"/>
                <w:left w:val="nil"/>
                <w:bottom w:val="nil"/>
                <w:right w:val="nil"/>
                <w:between w:val="nil"/>
                <w:bar w:val="nil"/>
              </w:pBdr>
              <w:rPr>
                <w:b w:val="0"/>
                <w:bdr w:val="nil"/>
              </w:rPr>
            </w:pPr>
            <w:r>
              <w:rPr>
                <w:b w:val="0"/>
                <w:bdr w:val="nil"/>
              </w:rPr>
              <w:t>97%</w:t>
            </w:r>
          </w:p>
        </w:tc>
        <w:tc>
          <w:tcPr>
            <w:tcW w:w="627" w:type="pct"/>
            <w:tcBorders>
              <w:top w:val="nil"/>
              <w:left w:val="nil"/>
              <w:bottom w:val="single" w:sz="4" w:space="0" w:color="auto"/>
              <w:right w:val="nil"/>
            </w:tcBorders>
            <w:vAlign w:val="center"/>
          </w:tcPr>
          <w:p w14:paraId="22CE3DBA" w14:textId="0187BEBE" w:rsidR="00A4668D" w:rsidRDefault="00A4668D" w:rsidP="00A4668D">
            <w:pPr>
              <w:pStyle w:val="BStablefigures1"/>
              <w:pBdr>
                <w:top w:val="nil"/>
                <w:left w:val="nil"/>
                <w:bottom w:val="nil"/>
                <w:right w:val="nil"/>
                <w:between w:val="nil"/>
                <w:bar w:val="nil"/>
              </w:pBdr>
              <w:rPr>
                <w:b w:val="0"/>
                <w:bdr w:val="nil"/>
              </w:rPr>
            </w:pPr>
            <w:r>
              <w:rPr>
                <w:b w:val="0"/>
                <w:bCs/>
                <w:bdr w:val="nil"/>
              </w:rPr>
              <w:t>90%</w:t>
            </w:r>
          </w:p>
        </w:tc>
      </w:tr>
    </w:tbl>
    <w:p w14:paraId="2F624BC5" w14:textId="6606C109" w:rsidR="00A4668D" w:rsidRPr="007158D0" w:rsidRDefault="00A4668D" w:rsidP="00A4668D">
      <w:pPr>
        <w:pStyle w:val="BSnote2"/>
        <w:pBdr>
          <w:top w:val="nil"/>
          <w:left w:val="nil"/>
          <w:bottom w:val="nil"/>
          <w:right w:val="nil"/>
          <w:between w:val="nil"/>
          <w:bar w:val="nil"/>
        </w:pBdr>
        <w:rPr>
          <w:bdr w:val="nil"/>
        </w:rPr>
      </w:pPr>
      <w:r w:rsidRPr="007158D0">
        <w:rPr>
          <w:bdr w:val="nil"/>
        </w:rPr>
        <w:t>Notes:</w:t>
      </w:r>
    </w:p>
    <w:p w14:paraId="06890D63" w14:textId="77777777" w:rsidR="00A4668D" w:rsidRDefault="00A4668D" w:rsidP="009A24FA">
      <w:pPr>
        <w:pStyle w:val="BSnoteslist2"/>
        <w:numPr>
          <w:ilvl w:val="0"/>
          <w:numId w:val="33"/>
        </w:numPr>
        <w:pBdr>
          <w:top w:val="nil"/>
          <w:left w:val="nil"/>
          <w:bottom w:val="nil"/>
          <w:right w:val="nil"/>
          <w:between w:val="nil"/>
          <w:bar w:val="nil"/>
        </w:pBdr>
        <w:rPr>
          <w:rFonts w:cs="Times New Roman"/>
          <w:szCs w:val="18"/>
          <w:bdr w:val="nil"/>
        </w:rPr>
      </w:pPr>
      <w:r>
        <w:rPr>
          <w:rFonts w:cs="Times New Roman"/>
          <w:szCs w:val="18"/>
          <w:bdr w:val="nil"/>
        </w:rPr>
        <w:t>The number of group sessions run by Child and Family Centres addressing community development and education issues.</w:t>
      </w:r>
    </w:p>
    <w:p w14:paraId="52D34F41" w14:textId="77777777" w:rsidR="00A4668D" w:rsidRDefault="00A4668D" w:rsidP="009A24FA">
      <w:pPr>
        <w:pStyle w:val="BSnoteslist2"/>
        <w:numPr>
          <w:ilvl w:val="0"/>
          <w:numId w:val="33"/>
        </w:numPr>
        <w:pBdr>
          <w:top w:val="nil"/>
          <w:left w:val="nil"/>
          <w:bottom w:val="nil"/>
          <w:right w:val="nil"/>
          <w:between w:val="nil"/>
          <w:bar w:val="nil"/>
        </w:pBdr>
        <w:rPr>
          <w:rFonts w:cs="Times New Roman"/>
          <w:szCs w:val="18"/>
          <w:bdr w:val="nil"/>
        </w:rPr>
      </w:pPr>
      <w:r>
        <w:rPr>
          <w:rFonts w:cs="Times New Roman"/>
          <w:szCs w:val="18"/>
          <w:bdr w:val="nil"/>
        </w:rPr>
        <w:t>The combined Parent Group Sessions and Parents as Teachers home visits to achieve a count of all sessions run by Child and Family Centres, which assist with a wide variety of parenting issues being experienced by families.</w:t>
      </w:r>
    </w:p>
    <w:p w14:paraId="69018261" w14:textId="4A98E00D" w:rsidR="00A4668D" w:rsidRPr="00F85EB1" w:rsidRDefault="00A4668D" w:rsidP="009A24FA">
      <w:pPr>
        <w:pStyle w:val="BSnoteslist2"/>
        <w:numPr>
          <w:ilvl w:val="0"/>
          <w:numId w:val="33"/>
        </w:numPr>
        <w:pBdr>
          <w:top w:val="nil"/>
          <w:left w:val="nil"/>
          <w:bottom w:val="nil"/>
          <w:right w:val="nil"/>
          <w:between w:val="nil"/>
          <w:bar w:val="nil"/>
        </w:pBdr>
        <w:rPr>
          <w:rFonts w:cs="Times New Roman"/>
          <w:szCs w:val="18"/>
          <w:bdr w:val="nil"/>
        </w:rPr>
      </w:pPr>
      <w:r>
        <w:rPr>
          <w:rFonts w:cs="Times New Roman"/>
          <w:szCs w:val="18"/>
          <w:bdr w:val="nil"/>
        </w:rPr>
        <w:t>A ‘self-report’ telephone survey of clients who access the service; received at least one provision of service and had a case opened on Children and Young Peoples Systems (CHYPS).</w:t>
      </w:r>
      <w:r w:rsidRPr="00475544">
        <w:rPr>
          <w:rFonts w:cs="Times New Roman"/>
          <w:bdr w:val="nil"/>
        </w:rPr>
        <w:t xml:space="preserve"> </w:t>
      </w:r>
    </w:p>
    <w:p w14:paraId="092A51A5" w14:textId="41523781" w:rsidR="00A4668D" w:rsidRDefault="00A4668D" w:rsidP="00A4668D">
      <w:pPr>
        <w:pStyle w:val="Heading41"/>
        <w:pBdr>
          <w:top w:val="nil"/>
          <w:left w:val="nil"/>
          <w:bottom w:val="nil"/>
          <w:right w:val="nil"/>
          <w:between w:val="nil"/>
          <w:bar w:val="nil"/>
        </w:pBdr>
        <w:rPr>
          <w:bdr w:val="nil"/>
        </w:rPr>
      </w:pPr>
      <w:r>
        <w:rPr>
          <w:bdr w:val="nil"/>
        </w:rPr>
        <w:t>Output 2.2: Child Development Service</w:t>
      </w:r>
    </w:p>
    <w:p w14:paraId="378AE2CF" w14:textId="1F2F353B"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18</w:t>
      </w:r>
      <w:r>
        <w:rPr>
          <w:noProof/>
          <w:bdr w:val="nil"/>
        </w:rPr>
        <w:fldChar w:fldCharType="end"/>
      </w:r>
      <w:r>
        <w:rPr>
          <w:noProof/>
          <w:bdr w:val="nil"/>
        </w:rPr>
        <w:t>:</w:t>
      </w:r>
      <w:r>
        <w:rPr>
          <w:bdr w:val="nil"/>
        </w:rPr>
        <w:t xml:space="preserve"> Accountability Indicators</w:t>
      </w:r>
      <w:r>
        <w:rPr>
          <w:noProof/>
          <w:bdr w:val="nil"/>
        </w:rPr>
        <w:t xml:space="preserve"> Output 2.2</w:t>
      </w:r>
    </w:p>
    <w:tbl>
      <w:tblPr>
        <w:tblW w:w="9100" w:type="dxa"/>
        <w:tblBorders>
          <w:top w:val="single" w:sz="12" w:space="0" w:color="000000"/>
          <w:bottom w:val="single" w:sz="12" w:space="0" w:color="000000"/>
        </w:tblBorders>
        <w:tblLook w:val="04A0" w:firstRow="1" w:lastRow="0" w:firstColumn="1" w:lastColumn="0" w:noHBand="0" w:noVBand="1"/>
      </w:tblPr>
      <w:tblGrid>
        <w:gridCol w:w="5815"/>
        <w:gridCol w:w="1101"/>
        <w:gridCol w:w="1154"/>
        <w:gridCol w:w="1030"/>
      </w:tblGrid>
      <w:tr w:rsidR="00C07D35" w14:paraId="2BED84EA" w14:textId="77777777" w:rsidTr="00A4668D">
        <w:trPr>
          <w:tblHeader/>
        </w:trPr>
        <w:tc>
          <w:tcPr>
            <w:tcW w:w="3195" w:type="pct"/>
            <w:tcBorders>
              <w:top w:val="single" w:sz="12" w:space="0" w:color="000000"/>
              <w:left w:val="nil"/>
              <w:bottom w:val="single" w:sz="4" w:space="0" w:color="auto"/>
              <w:right w:val="nil"/>
            </w:tcBorders>
          </w:tcPr>
          <w:p w14:paraId="35E3C318" w14:textId="77777777" w:rsidR="00A4668D" w:rsidRDefault="00A4668D" w:rsidP="00A4668D">
            <w:pPr>
              <w:pStyle w:val="Heading6"/>
              <w:pBdr>
                <w:top w:val="nil"/>
                <w:left w:val="nil"/>
                <w:bottom w:val="nil"/>
                <w:right w:val="nil"/>
                <w:between w:val="nil"/>
                <w:bar w:val="nil"/>
              </w:pBdr>
              <w:jc w:val="left"/>
              <w:rPr>
                <w:bdr w:val="nil"/>
              </w:rPr>
            </w:pPr>
          </w:p>
        </w:tc>
        <w:tc>
          <w:tcPr>
            <w:tcW w:w="605" w:type="pct"/>
            <w:tcBorders>
              <w:top w:val="single" w:sz="12" w:space="0" w:color="000000"/>
              <w:left w:val="nil"/>
              <w:bottom w:val="single" w:sz="4" w:space="0" w:color="auto"/>
              <w:right w:val="nil"/>
            </w:tcBorders>
            <w:hideMark/>
          </w:tcPr>
          <w:p w14:paraId="7DC04C07"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5531A05A" w14:textId="0E725A1A"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w:t>
            </w:r>
          </w:p>
        </w:tc>
        <w:tc>
          <w:tcPr>
            <w:tcW w:w="634" w:type="pct"/>
            <w:tcBorders>
              <w:top w:val="single" w:sz="12" w:space="0" w:color="000000"/>
              <w:left w:val="nil"/>
              <w:bottom w:val="single" w:sz="4" w:space="0" w:color="auto"/>
              <w:right w:val="nil"/>
            </w:tcBorders>
            <w:hideMark/>
          </w:tcPr>
          <w:p w14:paraId="6BE1879E"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461C99F4" w14:textId="427B0D28"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566" w:type="pct"/>
            <w:tcBorders>
              <w:top w:val="single" w:sz="12" w:space="0" w:color="000000"/>
              <w:left w:val="nil"/>
              <w:bottom w:val="single" w:sz="4" w:space="0" w:color="auto"/>
              <w:right w:val="nil"/>
            </w:tcBorders>
            <w:hideMark/>
          </w:tcPr>
          <w:p w14:paraId="524B12A9" w14:textId="140092D8"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2517C240" w14:textId="53F747D9"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w:t>
            </w:r>
          </w:p>
        </w:tc>
      </w:tr>
      <w:tr w:rsidR="00C07D35" w14:paraId="786112CC" w14:textId="77777777" w:rsidTr="00A4668D">
        <w:trPr>
          <w:trHeight w:val="368"/>
        </w:trPr>
        <w:tc>
          <w:tcPr>
            <w:tcW w:w="5000" w:type="pct"/>
            <w:gridSpan w:val="4"/>
            <w:tcBorders>
              <w:top w:val="single" w:sz="4" w:space="0" w:color="auto"/>
              <w:left w:val="nil"/>
              <w:bottom w:val="nil"/>
              <w:right w:val="nil"/>
            </w:tcBorders>
            <w:hideMark/>
          </w:tcPr>
          <w:p w14:paraId="5210BD94" w14:textId="2FE7FEB8" w:rsidR="00A4668D" w:rsidRDefault="00A4668D" w:rsidP="00A4668D">
            <w:pPr>
              <w:pStyle w:val="BStablelist"/>
              <w:numPr>
                <w:ilvl w:val="0"/>
                <w:numId w:val="0"/>
              </w:numPr>
              <w:pBdr>
                <w:top w:val="nil"/>
                <w:left w:val="nil"/>
                <w:bottom w:val="nil"/>
                <w:right w:val="nil"/>
                <w:between w:val="nil"/>
                <w:bar w:val="nil"/>
              </w:pBdr>
              <w:ind w:left="360" w:hanging="360"/>
              <w:rPr>
                <w:b/>
                <w:bdr w:val="nil"/>
              </w:rPr>
            </w:pPr>
            <w:r>
              <w:rPr>
                <w:b/>
                <w:bdr w:val="nil"/>
              </w:rPr>
              <w:t>Child Development Service</w:t>
            </w:r>
          </w:p>
        </w:tc>
      </w:tr>
      <w:tr w:rsidR="00C07D35" w14:paraId="460074A9" w14:textId="77777777" w:rsidTr="00A4668D">
        <w:trPr>
          <w:trHeight w:val="568"/>
        </w:trPr>
        <w:tc>
          <w:tcPr>
            <w:tcW w:w="3195" w:type="pct"/>
            <w:tcBorders>
              <w:top w:val="nil"/>
              <w:left w:val="nil"/>
              <w:bottom w:val="single" w:sz="4" w:space="0" w:color="auto"/>
              <w:right w:val="nil"/>
            </w:tcBorders>
            <w:hideMark/>
          </w:tcPr>
          <w:p w14:paraId="3F1B03CF" w14:textId="50D40DCB" w:rsidR="00A4668D" w:rsidRDefault="00A4668D" w:rsidP="009A24FA">
            <w:pPr>
              <w:pStyle w:val="BStablelist"/>
              <w:numPr>
                <w:ilvl w:val="0"/>
                <w:numId w:val="34"/>
              </w:numPr>
              <w:pBdr>
                <w:top w:val="nil"/>
                <w:left w:val="nil"/>
                <w:bottom w:val="nil"/>
                <w:right w:val="nil"/>
                <w:between w:val="nil"/>
                <w:bar w:val="nil"/>
              </w:pBdr>
              <w:rPr>
                <w:bdr w:val="nil"/>
              </w:rPr>
            </w:pPr>
            <w:r>
              <w:rPr>
                <w:bdr w:val="nil"/>
              </w:rPr>
              <w:t xml:space="preserve">Hours of service provided to the clients of the </w:t>
            </w:r>
            <w:r>
              <w:rPr>
                <w:bdr w:val="nil"/>
              </w:rPr>
              <w:br/>
              <w:t xml:space="preserve">Child Development Service </w:t>
            </w:r>
          </w:p>
        </w:tc>
        <w:tc>
          <w:tcPr>
            <w:tcW w:w="605" w:type="pct"/>
            <w:tcBorders>
              <w:top w:val="nil"/>
              <w:left w:val="nil"/>
              <w:bottom w:val="single" w:sz="4" w:space="0" w:color="auto"/>
              <w:right w:val="nil"/>
            </w:tcBorders>
            <w:vAlign w:val="center"/>
            <w:hideMark/>
          </w:tcPr>
          <w:p w14:paraId="0A6E0507" w14:textId="6DA5858D" w:rsidR="00A4668D" w:rsidRDefault="00A4668D" w:rsidP="00A4668D">
            <w:pPr>
              <w:pStyle w:val="BStablefigures1"/>
              <w:pBdr>
                <w:top w:val="nil"/>
                <w:left w:val="nil"/>
                <w:bottom w:val="nil"/>
                <w:right w:val="nil"/>
                <w:between w:val="nil"/>
                <w:bar w:val="nil"/>
              </w:pBdr>
              <w:rPr>
                <w:b w:val="0"/>
                <w:bdr w:val="nil"/>
              </w:rPr>
            </w:pPr>
            <w:r>
              <w:rPr>
                <w:b w:val="0"/>
                <w:bCs/>
                <w:bdr w:val="nil"/>
              </w:rPr>
              <w:t>21,125</w:t>
            </w:r>
          </w:p>
        </w:tc>
        <w:tc>
          <w:tcPr>
            <w:tcW w:w="634" w:type="pct"/>
            <w:tcBorders>
              <w:top w:val="nil"/>
              <w:left w:val="nil"/>
              <w:bottom w:val="single" w:sz="4" w:space="0" w:color="auto"/>
              <w:right w:val="nil"/>
            </w:tcBorders>
            <w:vAlign w:val="center"/>
            <w:hideMark/>
          </w:tcPr>
          <w:p w14:paraId="39C39571" w14:textId="279E5EF3" w:rsidR="00A4668D" w:rsidRDefault="00A4668D" w:rsidP="00A4668D">
            <w:pPr>
              <w:pStyle w:val="BStablefigures1"/>
              <w:pBdr>
                <w:top w:val="nil"/>
                <w:left w:val="nil"/>
                <w:bottom w:val="nil"/>
                <w:right w:val="nil"/>
                <w:between w:val="nil"/>
                <w:bar w:val="nil"/>
              </w:pBdr>
              <w:rPr>
                <w:b w:val="0"/>
                <w:bdr w:val="nil"/>
              </w:rPr>
            </w:pPr>
            <w:r>
              <w:rPr>
                <w:b w:val="0"/>
                <w:bdr w:val="nil"/>
              </w:rPr>
              <w:t>19,741</w:t>
            </w:r>
          </w:p>
        </w:tc>
        <w:tc>
          <w:tcPr>
            <w:tcW w:w="566" w:type="pct"/>
            <w:tcBorders>
              <w:top w:val="nil"/>
              <w:left w:val="nil"/>
              <w:bottom w:val="single" w:sz="4" w:space="0" w:color="auto"/>
              <w:right w:val="nil"/>
            </w:tcBorders>
            <w:vAlign w:val="center"/>
            <w:hideMark/>
          </w:tcPr>
          <w:p w14:paraId="1F48D6DC" w14:textId="4B0B14A6" w:rsidR="00A4668D" w:rsidRDefault="00A4668D" w:rsidP="00A4668D">
            <w:pPr>
              <w:pStyle w:val="BStablefigures1"/>
              <w:pBdr>
                <w:top w:val="nil"/>
                <w:left w:val="nil"/>
                <w:bottom w:val="nil"/>
                <w:right w:val="nil"/>
                <w:between w:val="nil"/>
                <w:bar w:val="nil"/>
              </w:pBdr>
              <w:rPr>
                <w:b w:val="0"/>
                <w:bdr w:val="nil"/>
              </w:rPr>
            </w:pPr>
            <w:r>
              <w:rPr>
                <w:b w:val="0"/>
                <w:bdr w:val="nil"/>
              </w:rPr>
              <w:t>21,125</w:t>
            </w:r>
          </w:p>
        </w:tc>
      </w:tr>
    </w:tbl>
    <w:p w14:paraId="136AB579" w14:textId="17EFA3A2" w:rsidR="00A4668D" w:rsidRPr="007158D0" w:rsidRDefault="00A4668D" w:rsidP="00A4668D">
      <w:pPr>
        <w:pStyle w:val="BSnote2"/>
        <w:pBdr>
          <w:top w:val="nil"/>
          <w:left w:val="nil"/>
          <w:bottom w:val="nil"/>
          <w:right w:val="nil"/>
          <w:between w:val="nil"/>
          <w:bar w:val="nil"/>
        </w:pBdr>
        <w:rPr>
          <w:bdr w:val="nil"/>
        </w:rPr>
      </w:pPr>
      <w:r w:rsidRPr="007158D0">
        <w:rPr>
          <w:bdr w:val="nil"/>
        </w:rPr>
        <w:t>Note:</w:t>
      </w:r>
    </w:p>
    <w:p w14:paraId="7316CFC2" w14:textId="0DBC0E4E" w:rsidR="00A4668D" w:rsidRPr="00DB6218" w:rsidRDefault="00A4668D" w:rsidP="009A24FA">
      <w:pPr>
        <w:pStyle w:val="BSnoteslist2"/>
        <w:numPr>
          <w:ilvl w:val="0"/>
          <w:numId w:val="35"/>
        </w:numPr>
        <w:pBdr>
          <w:top w:val="nil"/>
          <w:left w:val="nil"/>
          <w:bottom w:val="nil"/>
          <w:right w:val="nil"/>
          <w:between w:val="nil"/>
          <w:bar w:val="nil"/>
        </w:pBdr>
        <w:rPr>
          <w:rFonts w:cs="Times New Roman"/>
          <w:szCs w:val="18"/>
          <w:bdr w:val="nil"/>
        </w:rPr>
      </w:pPr>
      <w:r w:rsidRPr="00F85EB1">
        <w:rPr>
          <w:rFonts w:cs="Times New Roman"/>
          <w:szCs w:val="18"/>
          <w:bdr w:val="nil"/>
        </w:rPr>
        <w:t xml:space="preserve">The total hours of services provided to clients of the Child Development Service. </w:t>
      </w:r>
      <w:r w:rsidRPr="00DB6218">
        <w:rPr>
          <w:bdr w:val="nil"/>
        </w:rPr>
        <w:br w:type="page"/>
      </w:r>
    </w:p>
    <w:p w14:paraId="4D2D4DB2" w14:textId="062E852B" w:rsidR="00A4668D" w:rsidRDefault="00A4668D" w:rsidP="00A4668D">
      <w:pPr>
        <w:pStyle w:val="Heading41"/>
        <w:pBdr>
          <w:top w:val="nil"/>
          <w:left w:val="nil"/>
          <w:bottom w:val="nil"/>
          <w:right w:val="nil"/>
          <w:between w:val="nil"/>
          <w:bar w:val="nil"/>
        </w:pBdr>
        <w:rPr>
          <w:bdr w:val="nil"/>
        </w:rPr>
      </w:pPr>
      <w:r>
        <w:rPr>
          <w:bdr w:val="nil"/>
        </w:rPr>
        <w:lastRenderedPageBreak/>
        <w:t>Output 2.3: Child and Youth Protection Services</w:t>
      </w:r>
      <w:r>
        <w:rPr>
          <w:bdr w:val="nil"/>
          <w:lang w:eastAsia="en-AU"/>
        </w:rPr>
        <w:t xml:space="preserve"> </w:t>
      </w:r>
    </w:p>
    <w:p w14:paraId="5E0A8831" w14:textId="7134F281" w:rsidR="00A4668D" w:rsidRDefault="00A4668D" w:rsidP="00A4668D">
      <w:pPr>
        <w:pStyle w:val="Caption"/>
        <w:pBdr>
          <w:top w:val="nil"/>
          <w:left w:val="nil"/>
          <w:bottom w:val="nil"/>
          <w:right w:val="nil"/>
          <w:between w:val="nil"/>
          <w:bar w:val="nil"/>
        </w:pBdr>
        <w:rPr>
          <w:bdr w:val="nil"/>
        </w:rPr>
      </w:pPr>
      <w:r>
        <w:rPr>
          <w:bdr w:val="nil"/>
        </w:rPr>
        <w:t xml:space="preserve">Table </w:t>
      </w:r>
      <w:r>
        <w:rPr>
          <w:noProof/>
          <w:bdr w:val="nil"/>
        </w:rPr>
        <w:fldChar w:fldCharType="begin"/>
      </w:r>
      <w:r>
        <w:rPr>
          <w:noProof/>
          <w:bdr w:val="nil"/>
        </w:rPr>
        <w:instrText xml:space="preserve"> SEQ Table \* ARABIC </w:instrText>
      </w:r>
      <w:r>
        <w:rPr>
          <w:noProof/>
          <w:bdr w:val="nil"/>
        </w:rPr>
        <w:fldChar w:fldCharType="separate"/>
      </w:r>
      <w:r w:rsidR="001E4FEE">
        <w:rPr>
          <w:noProof/>
          <w:bdr w:val="nil"/>
        </w:rPr>
        <w:t>19</w:t>
      </w:r>
      <w:r>
        <w:rPr>
          <w:noProof/>
          <w:bdr w:val="nil"/>
        </w:rPr>
        <w:fldChar w:fldCharType="end"/>
      </w:r>
      <w:r>
        <w:rPr>
          <w:noProof/>
          <w:bdr w:val="nil"/>
        </w:rPr>
        <w:t>:</w:t>
      </w:r>
      <w:r>
        <w:rPr>
          <w:bdr w:val="nil"/>
        </w:rPr>
        <w:t xml:space="preserve"> Accountability Indicators</w:t>
      </w:r>
      <w:r>
        <w:rPr>
          <w:noProof/>
          <w:bdr w:val="nil"/>
        </w:rPr>
        <w:t xml:space="preserve"> Output 2.3</w:t>
      </w:r>
    </w:p>
    <w:tbl>
      <w:tblPr>
        <w:tblW w:w="9100" w:type="dxa"/>
        <w:tblBorders>
          <w:top w:val="single" w:sz="12" w:space="0" w:color="000000"/>
          <w:bottom w:val="single" w:sz="12" w:space="0" w:color="000000"/>
        </w:tblBorders>
        <w:tblLayout w:type="fixed"/>
        <w:tblLook w:val="04A0" w:firstRow="1" w:lastRow="0" w:firstColumn="1" w:lastColumn="0" w:noHBand="0" w:noVBand="1"/>
      </w:tblPr>
      <w:tblGrid>
        <w:gridCol w:w="5869"/>
        <w:gridCol w:w="1243"/>
        <w:gridCol w:w="1076"/>
        <w:gridCol w:w="912"/>
      </w:tblGrid>
      <w:tr w:rsidR="00C07D35" w14:paraId="299BE989" w14:textId="0A72FE4D" w:rsidTr="00A4668D">
        <w:trPr>
          <w:tblHeader/>
        </w:trPr>
        <w:tc>
          <w:tcPr>
            <w:tcW w:w="3225" w:type="pct"/>
            <w:tcBorders>
              <w:top w:val="single" w:sz="12" w:space="0" w:color="000000"/>
              <w:left w:val="nil"/>
              <w:bottom w:val="single" w:sz="4" w:space="0" w:color="auto"/>
              <w:right w:val="nil"/>
            </w:tcBorders>
          </w:tcPr>
          <w:p w14:paraId="5517BA88" w14:textId="77777777" w:rsidR="00A4668D" w:rsidRDefault="00A4668D" w:rsidP="00A4668D">
            <w:pPr>
              <w:pStyle w:val="Heading6"/>
              <w:pBdr>
                <w:top w:val="nil"/>
                <w:left w:val="nil"/>
                <w:bottom w:val="nil"/>
                <w:right w:val="nil"/>
                <w:between w:val="nil"/>
                <w:bar w:val="nil"/>
              </w:pBdr>
              <w:jc w:val="left"/>
              <w:rPr>
                <w:bdr w:val="nil"/>
              </w:rPr>
            </w:pPr>
            <w:bookmarkStart w:id="36" w:name="_Hlk8634066"/>
          </w:p>
        </w:tc>
        <w:tc>
          <w:tcPr>
            <w:tcW w:w="683" w:type="pct"/>
            <w:tcBorders>
              <w:top w:val="single" w:sz="12" w:space="0" w:color="000000"/>
              <w:left w:val="nil"/>
              <w:bottom w:val="single" w:sz="4" w:space="0" w:color="auto"/>
              <w:right w:val="nil"/>
            </w:tcBorders>
            <w:hideMark/>
          </w:tcPr>
          <w:p w14:paraId="1F0E700A"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01E5D8A5" w14:textId="07ECFAF1" w:rsidR="00A4668D" w:rsidRDefault="00A4668D" w:rsidP="00A4668D">
            <w:pPr>
              <w:pStyle w:val="BStableheading11"/>
              <w:framePr w:wrap="auto" w:vAnchor="margin" w:yAlign="inline"/>
              <w:pBdr>
                <w:top w:val="nil"/>
                <w:left w:val="nil"/>
                <w:bottom w:val="nil"/>
                <w:right w:val="nil"/>
                <w:between w:val="nil"/>
                <w:bar w:val="nil"/>
              </w:pBdr>
              <w:rPr>
                <w:bdr w:val="nil"/>
              </w:rPr>
            </w:pPr>
            <w:r w:rsidRPr="007158D0">
              <w:rPr>
                <w:bdr w:val="nil"/>
              </w:rPr>
              <w:t>Targets</w:t>
            </w:r>
          </w:p>
        </w:tc>
        <w:tc>
          <w:tcPr>
            <w:tcW w:w="591" w:type="pct"/>
            <w:tcBorders>
              <w:top w:val="single" w:sz="12" w:space="0" w:color="000000"/>
              <w:left w:val="nil"/>
              <w:bottom w:val="single" w:sz="4" w:space="0" w:color="auto"/>
              <w:right w:val="nil"/>
            </w:tcBorders>
            <w:hideMark/>
          </w:tcPr>
          <w:p w14:paraId="6BDA1316" w14:textId="77777777"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2020-21</w:t>
            </w:r>
          </w:p>
          <w:p w14:paraId="5BBB0C94" w14:textId="2B97F2E7"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Interim Outcome</w:t>
            </w:r>
          </w:p>
        </w:tc>
        <w:tc>
          <w:tcPr>
            <w:tcW w:w="501" w:type="pct"/>
            <w:tcBorders>
              <w:top w:val="single" w:sz="12" w:space="0" w:color="000000"/>
              <w:left w:val="nil"/>
              <w:bottom w:val="single" w:sz="4" w:space="0" w:color="auto"/>
              <w:right w:val="nil"/>
            </w:tcBorders>
            <w:hideMark/>
          </w:tcPr>
          <w:p w14:paraId="1287A1EB" w14:textId="2825A1D6" w:rsidR="00A4668D" w:rsidRPr="007158D0" w:rsidRDefault="00A4668D" w:rsidP="00A4668D">
            <w:pPr>
              <w:pStyle w:val="BStableheading1"/>
              <w:framePr w:wrap="auto" w:vAnchor="margin" w:yAlign="inline"/>
              <w:pBdr>
                <w:top w:val="nil"/>
                <w:left w:val="nil"/>
                <w:bottom w:val="nil"/>
                <w:right w:val="nil"/>
                <w:between w:val="nil"/>
                <w:bar w:val="nil"/>
              </w:pBdr>
              <w:rPr>
                <w:bdr w:val="nil"/>
              </w:rPr>
            </w:pPr>
            <w:r w:rsidRPr="007158D0">
              <w:rPr>
                <w:bdr w:val="nil"/>
              </w:rPr>
              <w:t>202</w:t>
            </w:r>
            <w:r>
              <w:rPr>
                <w:bdr w:val="nil"/>
              </w:rPr>
              <w:t>1</w:t>
            </w:r>
            <w:r w:rsidRPr="007158D0">
              <w:rPr>
                <w:bdr w:val="nil"/>
              </w:rPr>
              <w:t>-2</w:t>
            </w:r>
            <w:r>
              <w:rPr>
                <w:bdr w:val="nil"/>
              </w:rPr>
              <w:t>2</w:t>
            </w:r>
          </w:p>
          <w:p w14:paraId="3E32455E" w14:textId="7F3C33D1" w:rsidR="00A4668D" w:rsidRDefault="00A4668D" w:rsidP="00A4668D">
            <w:pPr>
              <w:pStyle w:val="BStableheading11"/>
              <w:framePr w:wrap="auto" w:vAnchor="margin" w:yAlign="inline"/>
              <w:pBdr>
                <w:top w:val="nil"/>
                <w:left w:val="nil"/>
                <w:bottom w:val="nil"/>
                <w:right w:val="nil"/>
                <w:between w:val="nil"/>
                <w:bar w:val="nil"/>
              </w:pBdr>
              <w:rPr>
                <w:bdr w:val="nil"/>
              </w:rPr>
            </w:pPr>
            <w:r>
              <w:rPr>
                <w:bdr w:val="nil"/>
              </w:rPr>
              <w:t>Targets</w:t>
            </w:r>
          </w:p>
        </w:tc>
      </w:tr>
      <w:tr w:rsidR="00C07D35" w14:paraId="07B7A4BF" w14:textId="261A77DA" w:rsidTr="00A4668D">
        <w:tc>
          <w:tcPr>
            <w:tcW w:w="5000" w:type="pct"/>
            <w:gridSpan w:val="4"/>
            <w:tcBorders>
              <w:top w:val="single" w:sz="4" w:space="0" w:color="auto"/>
              <w:left w:val="nil"/>
              <w:bottom w:val="nil"/>
              <w:right w:val="nil"/>
            </w:tcBorders>
            <w:hideMark/>
          </w:tcPr>
          <w:p w14:paraId="5D5B040F" w14:textId="77777777" w:rsidR="00A4668D" w:rsidRDefault="00A4668D">
            <w:pPr>
              <w:pStyle w:val="BStabletextbold0"/>
              <w:pBdr>
                <w:top w:val="nil"/>
                <w:left w:val="nil"/>
                <w:bottom w:val="nil"/>
                <w:right w:val="nil"/>
                <w:between w:val="nil"/>
                <w:bar w:val="nil"/>
              </w:pBdr>
              <w:rPr>
                <w:rStyle w:val="Strong0"/>
                <w:rFonts w:cs="Times New Roman"/>
                <w:bdr w:val="nil"/>
              </w:rPr>
            </w:pPr>
            <w:r>
              <w:rPr>
                <w:bdr w:val="nil"/>
              </w:rPr>
              <w:t>Child and Youth Protection Services</w:t>
            </w:r>
          </w:p>
        </w:tc>
      </w:tr>
      <w:bookmarkEnd w:id="36"/>
      <w:tr w:rsidR="00C07D35" w14:paraId="255FE83B" w14:textId="74CDA66E" w:rsidTr="00A4668D">
        <w:trPr>
          <w:trHeight w:val="392"/>
        </w:trPr>
        <w:tc>
          <w:tcPr>
            <w:tcW w:w="3225" w:type="pct"/>
            <w:tcBorders>
              <w:top w:val="nil"/>
              <w:left w:val="nil"/>
              <w:bottom w:val="nil"/>
              <w:right w:val="nil"/>
            </w:tcBorders>
            <w:vAlign w:val="center"/>
            <w:hideMark/>
          </w:tcPr>
          <w:p w14:paraId="2B37D914" w14:textId="027D8A9A" w:rsidR="00A4668D" w:rsidRDefault="00A4668D" w:rsidP="009A24FA">
            <w:pPr>
              <w:pStyle w:val="BStablelist"/>
              <w:numPr>
                <w:ilvl w:val="0"/>
                <w:numId w:val="36"/>
              </w:numPr>
              <w:pBdr>
                <w:top w:val="nil"/>
                <w:left w:val="nil"/>
                <w:bottom w:val="nil"/>
                <w:right w:val="nil"/>
                <w:between w:val="nil"/>
                <w:bar w:val="nil"/>
              </w:pBdr>
              <w:rPr>
                <w:color w:val="000000"/>
                <w:bdr w:val="nil"/>
              </w:rPr>
            </w:pPr>
            <w:r>
              <w:rPr>
                <w:bdr w:val="nil"/>
              </w:rPr>
              <w:t xml:space="preserve">Number of custody days used annually </w:t>
            </w:r>
          </w:p>
        </w:tc>
        <w:tc>
          <w:tcPr>
            <w:tcW w:w="683" w:type="pct"/>
            <w:tcBorders>
              <w:top w:val="nil"/>
              <w:left w:val="nil"/>
              <w:bottom w:val="nil"/>
              <w:right w:val="nil"/>
            </w:tcBorders>
            <w:vAlign w:val="center"/>
            <w:hideMark/>
          </w:tcPr>
          <w:p w14:paraId="188F95C1" w14:textId="48166BC9" w:rsidR="00A4668D" w:rsidRDefault="00A4668D" w:rsidP="00A4668D">
            <w:pPr>
              <w:pStyle w:val="BStablefigures1"/>
              <w:pBdr>
                <w:top w:val="nil"/>
                <w:left w:val="nil"/>
                <w:bottom w:val="nil"/>
                <w:right w:val="nil"/>
                <w:between w:val="nil"/>
                <w:bar w:val="nil"/>
              </w:pBdr>
              <w:rPr>
                <w:b w:val="0"/>
                <w:bdr w:val="nil"/>
              </w:rPr>
            </w:pPr>
            <w:r>
              <w:rPr>
                <w:b w:val="0"/>
                <w:bCs/>
                <w:bdr w:val="nil"/>
              </w:rPr>
              <w:t>5,000</w:t>
            </w:r>
          </w:p>
        </w:tc>
        <w:tc>
          <w:tcPr>
            <w:tcW w:w="591" w:type="pct"/>
            <w:tcBorders>
              <w:top w:val="nil"/>
              <w:left w:val="nil"/>
              <w:bottom w:val="nil"/>
              <w:right w:val="nil"/>
            </w:tcBorders>
            <w:vAlign w:val="center"/>
          </w:tcPr>
          <w:p w14:paraId="5770DD83" w14:textId="25704FFA" w:rsidR="00A4668D" w:rsidRDefault="00A4668D" w:rsidP="00A4668D">
            <w:pPr>
              <w:pStyle w:val="BStablefigures1"/>
              <w:pBdr>
                <w:top w:val="nil"/>
                <w:left w:val="nil"/>
                <w:bottom w:val="nil"/>
                <w:right w:val="nil"/>
                <w:between w:val="nil"/>
                <w:bar w:val="nil"/>
              </w:pBdr>
              <w:rPr>
                <w:b w:val="0"/>
                <w:bdr w:val="nil"/>
              </w:rPr>
            </w:pPr>
            <w:r>
              <w:rPr>
                <w:b w:val="0"/>
                <w:bdr w:val="nil"/>
              </w:rPr>
              <w:t>3,348</w:t>
            </w:r>
          </w:p>
        </w:tc>
        <w:tc>
          <w:tcPr>
            <w:tcW w:w="501" w:type="pct"/>
            <w:tcBorders>
              <w:top w:val="nil"/>
              <w:left w:val="nil"/>
              <w:bottom w:val="nil"/>
              <w:right w:val="nil"/>
            </w:tcBorders>
            <w:vAlign w:val="center"/>
          </w:tcPr>
          <w:p w14:paraId="1FEEC09C" w14:textId="4BA648F8" w:rsidR="00A4668D" w:rsidRDefault="00A4668D" w:rsidP="00A4668D">
            <w:pPr>
              <w:pStyle w:val="BStablefigures1"/>
              <w:pBdr>
                <w:top w:val="nil"/>
                <w:left w:val="nil"/>
                <w:bottom w:val="nil"/>
                <w:right w:val="nil"/>
                <w:between w:val="nil"/>
                <w:bar w:val="nil"/>
              </w:pBdr>
              <w:rPr>
                <w:b w:val="0"/>
                <w:bdr w:val="nil"/>
              </w:rPr>
            </w:pPr>
            <w:r>
              <w:rPr>
                <w:b w:val="0"/>
                <w:bdr w:val="nil"/>
              </w:rPr>
              <w:t>5,000</w:t>
            </w:r>
          </w:p>
        </w:tc>
      </w:tr>
      <w:tr w:rsidR="00C07D35" w14:paraId="6807B900" w14:textId="34C6E694" w:rsidTr="00A4668D">
        <w:trPr>
          <w:trHeight w:val="299"/>
        </w:trPr>
        <w:tc>
          <w:tcPr>
            <w:tcW w:w="3225" w:type="pct"/>
            <w:tcBorders>
              <w:top w:val="nil"/>
              <w:left w:val="nil"/>
              <w:bottom w:val="nil"/>
              <w:right w:val="nil"/>
            </w:tcBorders>
            <w:vAlign w:val="center"/>
            <w:hideMark/>
          </w:tcPr>
          <w:p w14:paraId="6B5CE4D1" w14:textId="0024EA94" w:rsidR="00A4668D" w:rsidRDefault="00A4668D" w:rsidP="009A24FA">
            <w:pPr>
              <w:pStyle w:val="BStablelist"/>
              <w:numPr>
                <w:ilvl w:val="0"/>
                <w:numId w:val="36"/>
              </w:numPr>
              <w:pBdr>
                <w:top w:val="nil"/>
                <w:left w:val="nil"/>
                <w:bottom w:val="nil"/>
                <w:right w:val="nil"/>
                <w:between w:val="nil"/>
                <w:bar w:val="nil"/>
              </w:pBdr>
              <w:rPr>
                <w:bdr w:val="nil"/>
              </w:rPr>
            </w:pPr>
            <w:r>
              <w:rPr>
                <w:bdr w:val="nil"/>
              </w:rPr>
              <w:t>Youth Justice Case Plans completed</w:t>
            </w:r>
          </w:p>
        </w:tc>
        <w:tc>
          <w:tcPr>
            <w:tcW w:w="683" w:type="pct"/>
            <w:tcBorders>
              <w:top w:val="nil"/>
              <w:left w:val="nil"/>
              <w:bottom w:val="nil"/>
              <w:right w:val="nil"/>
            </w:tcBorders>
            <w:vAlign w:val="center"/>
            <w:hideMark/>
          </w:tcPr>
          <w:p w14:paraId="65C30768" w14:textId="2E7823A5" w:rsidR="00A4668D" w:rsidRDefault="00A4668D" w:rsidP="00A4668D">
            <w:pPr>
              <w:pStyle w:val="BStablefigures1"/>
              <w:pBdr>
                <w:top w:val="nil"/>
                <w:left w:val="nil"/>
                <w:bottom w:val="nil"/>
                <w:right w:val="nil"/>
                <w:between w:val="nil"/>
                <w:bar w:val="nil"/>
              </w:pBdr>
              <w:rPr>
                <w:b w:val="0"/>
                <w:bdr w:val="nil"/>
              </w:rPr>
            </w:pPr>
            <w:r>
              <w:rPr>
                <w:b w:val="0"/>
                <w:bCs/>
                <w:bdr w:val="nil"/>
              </w:rPr>
              <w:t>90%</w:t>
            </w:r>
          </w:p>
        </w:tc>
        <w:tc>
          <w:tcPr>
            <w:tcW w:w="591" w:type="pct"/>
            <w:tcBorders>
              <w:top w:val="nil"/>
              <w:left w:val="nil"/>
              <w:bottom w:val="nil"/>
              <w:right w:val="nil"/>
            </w:tcBorders>
            <w:vAlign w:val="center"/>
          </w:tcPr>
          <w:p w14:paraId="060006C3" w14:textId="304BFF9A" w:rsidR="00A4668D" w:rsidRDefault="00A4668D" w:rsidP="00A4668D">
            <w:pPr>
              <w:pStyle w:val="BStablefigures1"/>
              <w:pBdr>
                <w:top w:val="nil"/>
                <w:left w:val="nil"/>
                <w:bottom w:val="nil"/>
                <w:right w:val="nil"/>
                <w:between w:val="nil"/>
                <w:bar w:val="nil"/>
              </w:pBdr>
              <w:rPr>
                <w:b w:val="0"/>
                <w:bdr w:val="nil"/>
              </w:rPr>
            </w:pPr>
            <w:r>
              <w:rPr>
                <w:b w:val="0"/>
                <w:bdr w:val="nil"/>
              </w:rPr>
              <w:t>89%</w:t>
            </w:r>
          </w:p>
        </w:tc>
        <w:tc>
          <w:tcPr>
            <w:tcW w:w="501" w:type="pct"/>
            <w:tcBorders>
              <w:top w:val="nil"/>
              <w:left w:val="nil"/>
              <w:bottom w:val="nil"/>
              <w:right w:val="nil"/>
            </w:tcBorders>
            <w:vAlign w:val="center"/>
          </w:tcPr>
          <w:p w14:paraId="4A10227C" w14:textId="51922B9E" w:rsidR="00A4668D" w:rsidRDefault="00A4668D" w:rsidP="00A4668D">
            <w:pPr>
              <w:pStyle w:val="BStablefigures1"/>
              <w:pBdr>
                <w:top w:val="nil"/>
                <w:left w:val="nil"/>
                <w:bottom w:val="nil"/>
                <w:right w:val="nil"/>
                <w:between w:val="nil"/>
                <w:bar w:val="nil"/>
              </w:pBdr>
              <w:rPr>
                <w:b w:val="0"/>
                <w:bdr w:val="nil"/>
              </w:rPr>
            </w:pPr>
            <w:r>
              <w:rPr>
                <w:b w:val="0"/>
                <w:bCs/>
                <w:bdr w:val="nil"/>
              </w:rPr>
              <w:t>90%</w:t>
            </w:r>
          </w:p>
        </w:tc>
      </w:tr>
      <w:tr w:rsidR="00C07D35" w14:paraId="1CB23B12" w14:textId="0C1C8A45" w:rsidTr="00A4668D">
        <w:trPr>
          <w:trHeight w:val="558"/>
        </w:trPr>
        <w:tc>
          <w:tcPr>
            <w:tcW w:w="3225" w:type="pct"/>
            <w:tcBorders>
              <w:top w:val="nil"/>
              <w:left w:val="nil"/>
              <w:bottom w:val="nil"/>
              <w:right w:val="nil"/>
            </w:tcBorders>
            <w:vAlign w:val="center"/>
            <w:hideMark/>
          </w:tcPr>
          <w:p w14:paraId="0B51198F" w14:textId="253AD544" w:rsidR="00A4668D" w:rsidRDefault="00A4668D" w:rsidP="009A24FA">
            <w:pPr>
              <w:pStyle w:val="BStablelist"/>
              <w:numPr>
                <w:ilvl w:val="0"/>
                <w:numId w:val="36"/>
              </w:numPr>
              <w:pBdr>
                <w:top w:val="nil"/>
                <w:left w:val="nil"/>
                <w:bottom w:val="nil"/>
                <w:right w:val="nil"/>
                <w:between w:val="nil"/>
                <w:bar w:val="nil"/>
              </w:pBdr>
              <w:rPr>
                <w:color w:val="000000"/>
                <w:bdr w:val="nil"/>
              </w:rPr>
            </w:pPr>
            <w:r>
              <w:rPr>
                <w:bdr w:val="nil"/>
              </w:rPr>
              <w:t xml:space="preserve">Child Protection Reports and Child Concern Reports about children and young people </w:t>
            </w:r>
          </w:p>
        </w:tc>
        <w:tc>
          <w:tcPr>
            <w:tcW w:w="683" w:type="pct"/>
            <w:tcBorders>
              <w:top w:val="nil"/>
              <w:left w:val="nil"/>
              <w:bottom w:val="nil"/>
              <w:right w:val="nil"/>
            </w:tcBorders>
            <w:vAlign w:val="center"/>
            <w:hideMark/>
          </w:tcPr>
          <w:p w14:paraId="414E2D49" w14:textId="5B6D1D04" w:rsidR="00A4668D" w:rsidRDefault="00A4668D" w:rsidP="00A4668D">
            <w:pPr>
              <w:pStyle w:val="BStablefigures1"/>
              <w:pBdr>
                <w:top w:val="nil"/>
                <w:left w:val="nil"/>
                <w:bottom w:val="nil"/>
                <w:right w:val="nil"/>
                <w:between w:val="nil"/>
                <w:bar w:val="nil"/>
              </w:pBdr>
              <w:rPr>
                <w:b w:val="0"/>
                <w:bdr w:val="nil"/>
              </w:rPr>
            </w:pPr>
            <w:r>
              <w:rPr>
                <w:b w:val="0"/>
                <w:bCs/>
                <w:bdr w:val="nil"/>
              </w:rPr>
              <w:t>18,000</w:t>
            </w:r>
          </w:p>
        </w:tc>
        <w:tc>
          <w:tcPr>
            <w:tcW w:w="591" w:type="pct"/>
            <w:tcBorders>
              <w:top w:val="nil"/>
              <w:left w:val="nil"/>
              <w:bottom w:val="nil"/>
              <w:right w:val="nil"/>
            </w:tcBorders>
            <w:vAlign w:val="center"/>
          </w:tcPr>
          <w:p w14:paraId="6F2C150B" w14:textId="3E83475A" w:rsidR="00A4668D" w:rsidRDefault="00A4668D" w:rsidP="00A4668D">
            <w:pPr>
              <w:pStyle w:val="BStablefigures1"/>
              <w:pBdr>
                <w:top w:val="nil"/>
                <w:left w:val="nil"/>
                <w:bottom w:val="nil"/>
                <w:right w:val="nil"/>
                <w:between w:val="nil"/>
                <w:bar w:val="nil"/>
              </w:pBdr>
              <w:rPr>
                <w:b w:val="0"/>
                <w:bdr w:val="nil"/>
              </w:rPr>
            </w:pPr>
            <w:r>
              <w:rPr>
                <w:b w:val="0"/>
                <w:bdr w:val="nil"/>
              </w:rPr>
              <w:t>21,697</w:t>
            </w:r>
          </w:p>
        </w:tc>
        <w:tc>
          <w:tcPr>
            <w:tcW w:w="501" w:type="pct"/>
            <w:tcBorders>
              <w:top w:val="nil"/>
              <w:left w:val="nil"/>
              <w:bottom w:val="nil"/>
              <w:right w:val="nil"/>
            </w:tcBorders>
            <w:vAlign w:val="center"/>
          </w:tcPr>
          <w:p w14:paraId="09304ACC" w14:textId="1BD39607" w:rsidR="00A4668D" w:rsidRDefault="00A4668D" w:rsidP="00A4668D">
            <w:pPr>
              <w:pStyle w:val="BStablefigures1"/>
              <w:pBdr>
                <w:top w:val="nil"/>
                <w:left w:val="nil"/>
                <w:bottom w:val="nil"/>
                <w:right w:val="nil"/>
                <w:between w:val="nil"/>
                <w:bar w:val="nil"/>
              </w:pBdr>
              <w:rPr>
                <w:b w:val="0"/>
                <w:bdr w:val="nil"/>
              </w:rPr>
            </w:pPr>
            <w:r>
              <w:rPr>
                <w:b w:val="0"/>
                <w:bCs/>
                <w:bdr w:val="nil"/>
              </w:rPr>
              <w:t>18,000</w:t>
            </w:r>
          </w:p>
        </w:tc>
      </w:tr>
      <w:tr w:rsidR="00C07D35" w14:paraId="37732070" w14:textId="66BCD3E2" w:rsidTr="00A4668D">
        <w:trPr>
          <w:trHeight w:val="270"/>
        </w:trPr>
        <w:tc>
          <w:tcPr>
            <w:tcW w:w="3225" w:type="pct"/>
            <w:tcBorders>
              <w:top w:val="nil"/>
              <w:left w:val="nil"/>
              <w:bottom w:val="nil"/>
              <w:right w:val="nil"/>
            </w:tcBorders>
            <w:vAlign w:val="center"/>
            <w:hideMark/>
          </w:tcPr>
          <w:p w14:paraId="7C90D589" w14:textId="0ECAE440"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Child Protection Reports requiring appraisal </w:t>
            </w:r>
          </w:p>
        </w:tc>
        <w:tc>
          <w:tcPr>
            <w:tcW w:w="683" w:type="pct"/>
            <w:tcBorders>
              <w:top w:val="nil"/>
              <w:left w:val="nil"/>
              <w:bottom w:val="nil"/>
              <w:right w:val="nil"/>
            </w:tcBorders>
            <w:vAlign w:val="center"/>
            <w:hideMark/>
          </w:tcPr>
          <w:p w14:paraId="5B5CEB38" w14:textId="0F1F0780" w:rsidR="00A4668D" w:rsidRDefault="00A4668D" w:rsidP="00A4668D">
            <w:pPr>
              <w:pStyle w:val="BStablefigures1"/>
              <w:pBdr>
                <w:top w:val="nil"/>
                <w:left w:val="nil"/>
                <w:bottom w:val="nil"/>
                <w:right w:val="nil"/>
                <w:between w:val="nil"/>
                <w:bar w:val="nil"/>
              </w:pBdr>
              <w:rPr>
                <w:b w:val="0"/>
                <w:bdr w:val="nil"/>
              </w:rPr>
            </w:pPr>
            <w:r>
              <w:rPr>
                <w:b w:val="0"/>
                <w:bCs/>
                <w:bdr w:val="nil"/>
              </w:rPr>
              <w:t>2,500</w:t>
            </w:r>
          </w:p>
        </w:tc>
        <w:tc>
          <w:tcPr>
            <w:tcW w:w="591" w:type="pct"/>
            <w:tcBorders>
              <w:top w:val="nil"/>
              <w:left w:val="nil"/>
              <w:bottom w:val="nil"/>
              <w:right w:val="nil"/>
            </w:tcBorders>
            <w:vAlign w:val="center"/>
          </w:tcPr>
          <w:p w14:paraId="16B8A654" w14:textId="78470F5B" w:rsidR="00A4668D" w:rsidRDefault="00A4668D" w:rsidP="00A4668D">
            <w:pPr>
              <w:pStyle w:val="BStablefigures1"/>
              <w:pBdr>
                <w:top w:val="nil"/>
                <w:left w:val="nil"/>
                <w:bottom w:val="nil"/>
                <w:right w:val="nil"/>
                <w:between w:val="nil"/>
                <w:bar w:val="nil"/>
              </w:pBdr>
              <w:rPr>
                <w:b w:val="0"/>
                <w:bdr w:val="nil"/>
              </w:rPr>
            </w:pPr>
            <w:r>
              <w:rPr>
                <w:b w:val="0"/>
                <w:bdr w:val="nil"/>
              </w:rPr>
              <w:t>2,453</w:t>
            </w:r>
          </w:p>
        </w:tc>
        <w:tc>
          <w:tcPr>
            <w:tcW w:w="501" w:type="pct"/>
            <w:tcBorders>
              <w:top w:val="nil"/>
              <w:left w:val="nil"/>
              <w:bottom w:val="nil"/>
              <w:right w:val="nil"/>
            </w:tcBorders>
            <w:vAlign w:val="center"/>
          </w:tcPr>
          <w:p w14:paraId="44D195F8" w14:textId="16ECF7CE" w:rsidR="00A4668D" w:rsidRDefault="00A4668D" w:rsidP="00A4668D">
            <w:pPr>
              <w:pStyle w:val="BStablefigures1"/>
              <w:pBdr>
                <w:top w:val="nil"/>
                <w:left w:val="nil"/>
                <w:bottom w:val="nil"/>
                <w:right w:val="nil"/>
                <w:between w:val="nil"/>
                <w:bar w:val="nil"/>
              </w:pBdr>
              <w:rPr>
                <w:b w:val="0"/>
                <w:bdr w:val="nil"/>
              </w:rPr>
            </w:pPr>
            <w:r>
              <w:rPr>
                <w:b w:val="0"/>
                <w:bdr w:val="nil"/>
              </w:rPr>
              <w:t>2,500</w:t>
            </w:r>
          </w:p>
        </w:tc>
      </w:tr>
      <w:tr w:rsidR="00C07D35" w14:paraId="138EFBE2" w14:textId="6D69C689" w:rsidTr="00A4668D">
        <w:trPr>
          <w:trHeight w:val="584"/>
        </w:trPr>
        <w:tc>
          <w:tcPr>
            <w:tcW w:w="3225" w:type="pct"/>
            <w:tcBorders>
              <w:top w:val="nil"/>
              <w:left w:val="nil"/>
              <w:bottom w:val="nil"/>
              <w:right w:val="nil"/>
            </w:tcBorders>
            <w:vAlign w:val="center"/>
            <w:hideMark/>
          </w:tcPr>
          <w:p w14:paraId="56B03E41" w14:textId="5D1468B2"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Number of child protection reports received and proceeding to appraisal that were substantiated </w:t>
            </w:r>
          </w:p>
        </w:tc>
        <w:tc>
          <w:tcPr>
            <w:tcW w:w="683" w:type="pct"/>
            <w:tcBorders>
              <w:top w:val="nil"/>
              <w:left w:val="nil"/>
              <w:bottom w:val="nil"/>
              <w:right w:val="nil"/>
            </w:tcBorders>
            <w:vAlign w:val="center"/>
            <w:hideMark/>
          </w:tcPr>
          <w:p w14:paraId="42512E16" w14:textId="543ABDC6" w:rsidR="00A4668D" w:rsidRDefault="00A4668D" w:rsidP="00A4668D">
            <w:pPr>
              <w:pStyle w:val="BStablefigures1"/>
              <w:pBdr>
                <w:top w:val="nil"/>
                <w:left w:val="nil"/>
                <w:bottom w:val="nil"/>
                <w:right w:val="nil"/>
                <w:between w:val="nil"/>
                <w:bar w:val="nil"/>
              </w:pBdr>
              <w:rPr>
                <w:b w:val="0"/>
                <w:bdr w:val="nil"/>
              </w:rPr>
            </w:pPr>
            <w:r>
              <w:rPr>
                <w:b w:val="0"/>
                <w:bCs/>
                <w:bdr w:val="nil"/>
              </w:rPr>
              <w:t>500</w:t>
            </w:r>
          </w:p>
        </w:tc>
        <w:tc>
          <w:tcPr>
            <w:tcW w:w="591" w:type="pct"/>
            <w:tcBorders>
              <w:top w:val="nil"/>
              <w:left w:val="nil"/>
              <w:bottom w:val="nil"/>
              <w:right w:val="nil"/>
            </w:tcBorders>
            <w:vAlign w:val="center"/>
          </w:tcPr>
          <w:p w14:paraId="3F61E01A" w14:textId="6D9BD462" w:rsidR="00A4668D" w:rsidRDefault="00A4668D" w:rsidP="00A4668D">
            <w:pPr>
              <w:pStyle w:val="BStablefigures1"/>
              <w:pBdr>
                <w:top w:val="nil"/>
                <w:left w:val="nil"/>
                <w:bottom w:val="nil"/>
                <w:right w:val="nil"/>
                <w:between w:val="nil"/>
                <w:bar w:val="nil"/>
              </w:pBdr>
              <w:rPr>
                <w:b w:val="0"/>
                <w:bdr w:val="nil"/>
              </w:rPr>
            </w:pPr>
            <w:r>
              <w:rPr>
                <w:b w:val="0"/>
                <w:bdr w:val="nil"/>
              </w:rPr>
              <w:t>409</w:t>
            </w:r>
          </w:p>
        </w:tc>
        <w:tc>
          <w:tcPr>
            <w:tcW w:w="501" w:type="pct"/>
            <w:tcBorders>
              <w:top w:val="nil"/>
              <w:left w:val="nil"/>
              <w:bottom w:val="nil"/>
              <w:right w:val="nil"/>
            </w:tcBorders>
            <w:vAlign w:val="center"/>
          </w:tcPr>
          <w:p w14:paraId="28DF24AE" w14:textId="0C5E4FEA" w:rsidR="00A4668D" w:rsidRDefault="00A4668D" w:rsidP="00A4668D">
            <w:pPr>
              <w:pStyle w:val="BStablefigures1"/>
              <w:pBdr>
                <w:top w:val="nil"/>
                <w:left w:val="nil"/>
                <w:bottom w:val="nil"/>
                <w:right w:val="nil"/>
                <w:between w:val="nil"/>
                <w:bar w:val="nil"/>
              </w:pBdr>
              <w:rPr>
                <w:b w:val="0"/>
                <w:bdr w:val="nil"/>
              </w:rPr>
            </w:pPr>
            <w:r>
              <w:rPr>
                <w:b w:val="0"/>
                <w:bdr w:val="nil"/>
              </w:rPr>
              <w:t>500</w:t>
            </w:r>
          </w:p>
        </w:tc>
      </w:tr>
      <w:tr w:rsidR="00C07D35" w14:paraId="7DCB717E" w14:textId="251B5774" w:rsidTr="00A4668D">
        <w:trPr>
          <w:trHeight w:val="564"/>
        </w:trPr>
        <w:tc>
          <w:tcPr>
            <w:tcW w:w="3225" w:type="pct"/>
            <w:tcBorders>
              <w:top w:val="nil"/>
              <w:left w:val="nil"/>
              <w:bottom w:val="nil"/>
              <w:right w:val="nil"/>
            </w:tcBorders>
            <w:vAlign w:val="center"/>
            <w:hideMark/>
          </w:tcPr>
          <w:p w14:paraId="6F61CA51" w14:textId="73016115"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Number of children and young people receiving a service during the year </w:t>
            </w:r>
          </w:p>
        </w:tc>
        <w:tc>
          <w:tcPr>
            <w:tcW w:w="683" w:type="pct"/>
            <w:tcBorders>
              <w:top w:val="nil"/>
              <w:left w:val="nil"/>
              <w:bottom w:val="nil"/>
              <w:right w:val="nil"/>
            </w:tcBorders>
            <w:vAlign w:val="center"/>
            <w:hideMark/>
          </w:tcPr>
          <w:p w14:paraId="159B6EA1" w14:textId="61E8D1F7" w:rsidR="00A4668D" w:rsidRDefault="00A4668D" w:rsidP="00A4668D">
            <w:pPr>
              <w:pStyle w:val="BStablefigures1"/>
              <w:pBdr>
                <w:top w:val="nil"/>
                <w:left w:val="nil"/>
                <w:bottom w:val="nil"/>
                <w:right w:val="nil"/>
                <w:between w:val="nil"/>
                <w:bar w:val="nil"/>
              </w:pBdr>
              <w:rPr>
                <w:b w:val="0"/>
                <w:bdr w:val="nil"/>
              </w:rPr>
            </w:pPr>
            <w:r>
              <w:rPr>
                <w:b w:val="0"/>
                <w:bCs/>
                <w:bdr w:val="nil"/>
              </w:rPr>
              <w:t>2,800</w:t>
            </w:r>
          </w:p>
        </w:tc>
        <w:tc>
          <w:tcPr>
            <w:tcW w:w="591" w:type="pct"/>
            <w:tcBorders>
              <w:top w:val="nil"/>
              <w:left w:val="nil"/>
              <w:bottom w:val="nil"/>
              <w:right w:val="nil"/>
            </w:tcBorders>
            <w:vAlign w:val="center"/>
          </w:tcPr>
          <w:p w14:paraId="06EFCADE" w14:textId="26D60DE4" w:rsidR="00A4668D" w:rsidRDefault="00A4668D" w:rsidP="00A4668D">
            <w:pPr>
              <w:pStyle w:val="BStablefigures1"/>
              <w:pBdr>
                <w:top w:val="nil"/>
                <w:left w:val="nil"/>
                <w:bottom w:val="nil"/>
                <w:right w:val="nil"/>
                <w:between w:val="nil"/>
                <w:bar w:val="nil"/>
              </w:pBdr>
              <w:rPr>
                <w:b w:val="0"/>
                <w:bdr w:val="nil"/>
              </w:rPr>
            </w:pPr>
            <w:r>
              <w:rPr>
                <w:b w:val="0"/>
                <w:bdr w:val="nil"/>
              </w:rPr>
              <w:t>3,146</w:t>
            </w:r>
          </w:p>
        </w:tc>
        <w:tc>
          <w:tcPr>
            <w:tcW w:w="501" w:type="pct"/>
            <w:tcBorders>
              <w:top w:val="nil"/>
              <w:left w:val="nil"/>
              <w:bottom w:val="nil"/>
              <w:right w:val="nil"/>
            </w:tcBorders>
            <w:vAlign w:val="center"/>
          </w:tcPr>
          <w:p w14:paraId="384658DA" w14:textId="383AF690" w:rsidR="00A4668D" w:rsidRDefault="00A4668D" w:rsidP="00A4668D">
            <w:pPr>
              <w:pStyle w:val="BStablefigures1"/>
              <w:pBdr>
                <w:top w:val="nil"/>
                <w:left w:val="nil"/>
                <w:bottom w:val="nil"/>
                <w:right w:val="nil"/>
                <w:between w:val="nil"/>
                <w:bar w:val="nil"/>
              </w:pBdr>
              <w:rPr>
                <w:b w:val="0"/>
                <w:bdr w:val="nil"/>
              </w:rPr>
            </w:pPr>
            <w:r>
              <w:rPr>
                <w:b w:val="0"/>
                <w:bCs/>
                <w:bdr w:val="nil"/>
              </w:rPr>
              <w:t>2,800</w:t>
            </w:r>
          </w:p>
        </w:tc>
      </w:tr>
      <w:tr w:rsidR="00C07D35" w14:paraId="7BE5BED3" w14:textId="2A26E970" w:rsidTr="00A4668D">
        <w:trPr>
          <w:trHeight w:val="558"/>
        </w:trPr>
        <w:tc>
          <w:tcPr>
            <w:tcW w:w="3225" w:type="pct"/>
            <w:tcBorders>
              <w:top w:val="nil"/>
              <w:left w:val="nil"/>
              <w:bottom w:val="nil"/>
              <w:right w:val="nil"/>
            </w:tcBorders>
            <w:vAlign w:val="center"/>
            <w:hideMark/>
          </w:tcPr>
          <w:p w14:paraId="00CDE7DD" w14:textId="16F65C77"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Number of Aboriginal and Torres Strait Islander children and young people receiving support during the year </w:t>
            </w:r>
          </w:p>
        </w:tc>
        <w:tc>
          <w:tcPr>
            <w:tcW w:w="683" w:type="pct"/>
            <w:tcBorders>
              <w:top w:val="nil"/>
              <w:left w:val="nil"/>
              <w:bottom w:val="nil"/>
              <w:right w:val="nil"/>
            </w:tcBorders>
            <w:vAlign w:val="center"/>
            <w:hideMark/>
          </w:tcPr>
          <w:p w14:paraId="7644AAC6" w14:textId="7AF031CF" w:rsidR="00A4668D" w:rsidRDefault="00A4668D" w:rsidP="00A4668D">
            <w:pPr>
              <w:pStyle w:val="BStablefigures1"/>
              <w:pBdr>
                <w:top w:val="nil"/>
                <w:left w:val="nil"/>
                <w:bottom w:val="nil"/>
                <w:right w:val="nil"/>
                <w:between w:val="nil"/>
                <w:bar w:val="nil"/>
              </w:pBdr>
              <w:rPr>
                <w:b w:val="0"/>
                <w:bdr w:val="nil"/>
              </w:rPr>
            </w:pPr>
            <w:r>
              <w:rPr>
                <w:b w:val="0"/>
                <w:bCs/>
                <w:bdr w:val="nil"/>
              </w:rPr>
              <w:t>630</w:t>
            </w:r>
          </w:p>
        </w:tc>
        <w:tc>
          <w:tcPr>
            <w:tcW w:w="591" w:type="pct"/>
            <w:tcBorders>
              <w:top w:val="nil"/>
              <w:left w:val="nil"/>
              <w:bottom w:val="nil"/>
              <w:right w:val="nil"/>
            </w:tcBorders>
            <w:vAlign w:val="center"/>
          </w:tcPr>
          <w:p w14:paraId="4358758D" w14:textId="68932A77" w:rsidR="00A4668D" w:rsidRDefault="00A4668D" w:rsidP="00A4668D">
            <w:pPr>
              <w:pStyle w:val="BStablefigures1"/>
              <w:pBdr>
                <w:top w:val="nil"/>
                <w:left w:val="nil"/>
                <w:bottom w:val="nil"/>
                <w:right w:val="nil"/>
                <w:between w:val="nil"/>
                <w:bar w:val="nil"/>
              </w:pBdr>
              <w:rPr>
                <w:b w:val="0"/>
                <w:bdr w:val="nil"/>
              </w:rPr>
            </w:pPr>
            <w:r>
              <w:rPr>
                <w:b w:val="0"/>
                <w:bdr w:val="nil"/>
              </w:rPr>
              <w:t>758</w:t>
            </w:r>
          </w:p>
        </w:tc>
        <w:tc>
          <w:tcPr>
            <w:tcW w:w="501" w:type="pct"/>
            <w:tcBorders>
              <w:top w:val="nil"/>
              <w:left w:val="nil"/>
              <w:bottom w:val="nil"/>
              <w:right w:val="nil"/>
            </w:tcBorders>
            <w:vAlign w:val="center"/>
          </w:tcPr>
          <w:p w14:paraId="33A27EC3" w14:textId="7D014729" w:rsidR="00A4668D" w:rsidRDefault="00A4668D" w:rsidP="00A4668D">
            <w:pPr>
              <w:pStyle w:val="BStablefigures1"/>
              <w:pBdr>
                <w:top w:val="nil"/>
                <w:left w:val="nil"/>
                <w:bottom w:val="nil"/>
                <w:right w:val="nil"/>
                <w:between w:val="nil"/>
                <w:bar w:val="nil"/>
              </w:pBdr>
              <w:rPr>
                <w:b w:val="0"/>
                <w:bdr w:val="nil"/>
              </w:rPr>
            </w:pPr>
            <w:r>
              <w:rPr>
                <w:b w:val="0"/>
                <w:bdr w:val="nil"/>
              </w:rPr>
              <w:t>630</w:t>
            </w:r>
          </w:p>
        </w:tc>
      </w:tr>
      <w:tr w:rsidR="00C07D35" w14:paraId="42057B92" w14:textId="02F349B2" w:rsidTr="00A4668D">
        <w:trPr>
          <w:trHeight w:val="454"/>
        </w:trPr>
        <w:tc>
          <w:tcPr>
            <w:tcW w:w="3225" w:type="pct"/>
            <w:tcBorders>
              <w:top w:val="nil"/>
              <w:left w:val="nil"/>
              <w:bottom w:val="nil"/>
              <w:right w:val="nil"/>
            </w:tcBorders>
            <w:vAlign w:val="center"/>
            <w:hideMark/>
          </w:tcPr>
          <w:p w14:paraId="37D6A980" w14:textId="46DCF8A1"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Total number of children and young people for whom the Director-General has parental responsibility </w:t>
            </w:r>
          </w:p>
        </w:tc>
        <w:tc>
          <w:tcPr>
            <w:tcW w:w="683" w:type="pct"/>
            <w:tcBorders>
              <w:top w:val="nil"/>
              <w:left w:val="nil"/>
              <w:bottom w:val="nil"/>
              <w:right w:val="nil"/>
            </w:tcBorders>
            <w:vAlign w:val="center"/>
            <w:hideMark/>
          </w:tcPr>
          <w:p w14:paraId="41316F4A" w14:textId="0B8EA966" w:rsidR="00A4668D" w:rsidRDefault="00A4668D" w:rsidP="00A4668D">
            <w:pPr>
              <w:pStyle w:val="BStablefigures1"/>
              <w:pBdr>
                <w:top w:val="nil"/>
                <w:left w:val="nil"/>
                <w:bottom w:val="nil"/>
                <w:right w:val="nil"/>
                <w:between w:val="nil"/>
                <w:bar w:val="nil"/>
              </w:pBdr>
              <w:rPr>
                <w:b w:val="0"/>
                <w:bdr w:val="nil"/>
              </w:rPr>
            </w:pPr>
            <w:r>
              <w:rPr>
                <w:b w:val="0"/>
                <w:bCs/>
                <w:bdr w:val="nil"/>
              </w:rPr>
              <w:t>820</w:t>
            </w:r>
          </w:p>
        </w:tc>
        <w:tc>
          <w:tcPr>
            <w:tcW w:w="591" w:type="pct"/>
            <w:tcBorders>
              <w:top w:val="nil"/>
              <w:left w:val="nil"/>
              <w:bottom w:val="nil"/>
              <w:right w:val="nil"/>
            </w:tcBorders>
            <w:vAlign w:val="center"/>
          </w:tcPr>
          <w:p w14:paraId="208730EB" w14:textId="4C081134" w:rsidR="00A4668D" w:rsidRDefault="00A4668D" w:rsidP="00A4668D">
            <w:pPr>
              <w:pStyle w:val="BStablefigures1"/>
              <w:pBdr>
                <w:top w:val="nil"/>
                <w:left w:val="nil"/>
                <w:bottom w:val="nil"/>
                <w:right w:val="nil"/>
                <w:between w:val="nil"/>
                <w:bar w:val="nil"/>
              </w:pBdr>
              <w:rPr>
                <w:b w:val="0"/>
                <w:bdr w:val="nil"/>
              </w:rPr>
            </w:pPr>
            <w:r>
              <w:rPr>
                <w:b w:val="0"/>
                <w:bdr w:val="nil"/>
              </w:rPr>
              <w:t>785</w:t>
            </w:r>
          </w:p>
        </w:tc>
        <w:tc>
          <w:tcPr>
            <w:tcW w:w="501" w:type="pct"/>
            <w:tcBorders>
              <w:top w:val="nil"/>
              <w:left w:val="nil"/>
              <w:bottom w:val="nil"/>
              <w:right w:val="nil"/>
            </w:tcBorders>
            <w:vAlign w:val="center"/>
          </w:tcPr>
          <w:p w14:paraId="7D6C6256" w14:textId="45D312BF" w:rsidR="00A4668D" w:rsidRDefault="00A4668D" w:rsidP="00A4668D">
            <w:pPr>
              <w:pStyle w:val="BStablefigures1"/>
              <w:pBdr>
                <w:top w:val="nil"/>
                <w:left w:val="nil"/>
                <w:bottom w:val="nil"/>
                <w:right w:val="nil"/>
                <w:between w:val="nil"/>
                <w:bar w:val="nil"/>
              </w:pBdr>
              <w:rPr>
                <w:b w:val="0"/>
                <w:bdr w:val="nil"/>
              </w:rPr>
            </w:pPr>
            <w:r>
              <w:rPr>
                <w:b w:val="0"/>
                <w:bdr w:val="nil"/>
              </w:rPr>
              <w:t>805</w:t>
            </w:r>
          </w:p>
        </w:tc>
      </w:tr>
      <w:tr w:rsidR="00C07D35" w14:paraId="3551F59F" w14:textId="35138D0E" w:rsidTr="00A4668D">
        <w:trPr>
          <w:trHeight w:val="375"/>
        </w:trPr>
        <w:tc>
          <w:tcPr>
            <w:tcW w:w="3225" w:type="pct"/>
            <w:tcBorders>
              <w:top w:val="nil"/>
              <w:left w:val="nil"/>
              <w:bottom w:val="nil"/>
              <w:right w:val="nil"/>
            </w:tcBorders>
            <w:vAlign w:val="center"/>
            <w:hideMark/>
          </w:tcPr>
          <w:p w14:paraId="67627378" w14:textId="24B81C72" w:rsidR="00A4668D" w:rsidRDefault="00A4668D" w:rsidP="009A24FA">
            <w:pPr>
              <w:pStyle w:val="BStablelist"/>
              <w:numPr>
                <w:ilvl w:val="0"/>
                <w:numId w:val="36"/>
              </w:numPr>
              <w:pBdr>
                <w:top w:val="nil"/>
                <w:left w:val="nil"/>
                <w:bottom w:val="nil"/>
                <w:right w:val="nil"/>
                <w:between w:val="nil"/>
                <w:bar w:val="nil"/>
              </w:pBdr>
              <w:rPr>
                <w:bdr w:val="nil"/>
              </w:rPr>
            </w:pPr>
            <w:r>
              <w:rPr>
                <w:bdr w:val="nil"/>
              </w:rPr>
              <w:t>Total out-of-home care days used annually</w:t>
            </w:r>
          </w:p>
        </w:tc>
        <w:tc>
          <w:tcPr>
            <w:tcW w:w="683" w:type="pct"/>
            <w:tcBorders>
              <w:top w:val="nil"/>
              <w:left w:val="nil"/>
              <w:bottom w:val="nil"/>
              <w:right w:val="nil"/>
            </w:tcBorders>
            <w:vAlign w:val="center"/>
            <w:hideMark/>
          </w:tcPr>
          <w:p w14:paraId="46F49DDB" w14:textId="46280B4B" w:rsidR="00A4668D" w:rsidRDefault="00A4668D" w:rsidP="00A4668D">
            <w:pPr>
              <w:pStyle w:val="BStablefigures1"/>
              <w:pBdr>
                <w:top w:val="nil"/>
                <w:left w:val="nil"/>
                <w:bottom w:val="nil"/>
                <w:right w:val="nil"/>
                <w:between w:val="nil"/>
                <w:bar w:val="nil"/>
              </w:pBdr>
              <w:rPr>
                <w:b w:val="0"/>
                <w:bdr w:val="nil"/>
              </w:rPr>
            </w:pPr>
            <w:r>
              <w:rPr>
                <w:b w:val="0"/>
                <w:bCs/>
                <w:bdr w:val="nil"/>
              </w:rPr>
              <w:t>300,000</w:t>
            </w:r>
          </w:p>
        </w:tc>
        <w:tc>
          <w:tcPr>
            <w:tcW w:w="591" w:type="pct"/>
            <w:tcBorders>
              <w:top w:val="nil"/>
              <w:left w:val="nil"/>
              <w:bottom w:val="nil"/>
              <w:right w:val="nil"/>
            </w:tcBorders>
            <w:vAlign w:val="center"/>
          </w:tcPr>
          <w:p w14:paraId="3158BD8A" w14:textId="7F23EA48" w:rsidR="00A4668D" w:rsidRDefault="00A4668D" w:rsidP="00A4668D">
            <w:pPr>
              <w:pStyle w:val="BStablefigures1"/>
              <w:pBdr>
                <w:top w:val="nil"/>
                <w:left w:val="nil"/>
                <w:bottom w:val="nil"/>
                <w:right w:val="nil"/>
                <w:between w:val="nil"/>
                <w:bar w:val="nil"/>
              </w:pBdr>
              <w:rPr>
                <w:b w:val="0"/>
                <w:bdr w:val="nil"/>
              </w:rPr>
            </w:pPr>
            <w:r>
              <w:rPr>
                <w:b w:val="0"/>
                <w:bdr w:val="nil"/>
              </w:rPr>
              <w:t>301,514</w:t>
            </w:r>
          </w:p>
        </w:tc>
        <w:tc>
          <w:tcPr>
            <w:tcW w:w="501" w:type="pct"/>
            <w:tcBorders>
              <w:top w:val="nil"/>
              <w:left w:val="nil"/>
              <w:bottom w:val="nil"/>
              <w:right w:val="nil"/>
            </w:tcBorders>
            <w:vAlign w:val="center"/>
          </w:tcPr>
          <w:p w14:paraId="346C2EF3" w14:textId="256C8CDC" w:rsidR="00A4668D" w:rsidRDefault="00A4668D" w:rsidP="00A4668D">
            <w:pPr>
              <w:pStyle w:val="BStablefigures1"/>
              <w:pBdr>
                <w:top w:val="nil"/>
                <w:left w:val="nil"/>
                <w:bottom w:val="nil"/>
                <w:right w:val="nil"/>
                <w:between w:val="nil"/>
                <w:bar w:val="nil"/>
              </w:pBdr>
              <w:rPr>
                <w:b w:val="0"/>
                <w:bdr w:val="nil"/>
              </w:rPr>
            </w:pPr>
            <w:r>
              <w:rPr>
                <w:b w:val="0"/>
                <w:bdr w:val="nil"/>
              </w:rPr>
              <w:t>300,000</w:t>
            </w:r>
          </w:p>
        </w:tc>
      </w:tr>
      <w:tr w:rsidR="00C07D35" w14:paraId="145ADC65" w14:textId="75F17549" w:rsidTr="00A4668D">
        <w:trPr>
          <w:trHeight w:val="454"/>
        </w:trPr>
        <w:tc>
          <w:tcPr>
            <w:tcW w:w="3225" w:type="pct"/>
            <w:tcBorders>
              <w:top w:val="nil"/>
              <w:left w:val="nil"/>
              <w:bottom w:val="nil"/>
              <w:right w:val="nil"/>
            </w:tcBorders>
            <w:vAlign w:val="center"/>
            <w:hideMark/>
          </w:tcPr>
          <w:p w14:paraId="2448AA55" w14:textId="26D6842C"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Number of out-of-home care days used by Aboriginal and Torres Strait Islander children and young people </w:t>
            </w:r>
          </w:p>
        </w:tc>
        <w:tc>
          <w:tcPr>
            <w:tcW w:w="683" w:type="pct"/>
            <w:tcBorders>
              <w:top w:val="nil"/>
              <w:left w:val="nil"/>
              <w:bottom w:val="nil"/>
              <w:right w:val="nil"/>
            </w:tcBorders>
            <w:vAlign w:val="center"/>
            <w:hideMark/>
          </w:tcPr>
          <w:p w14:paraId="12BB42FE" w14:textId="0E99411D" w:rsidR="00A4668D" w:rsidRDefault="00A4668D" w:rsidP="00A4668D">
            <w:pPr>
              <w:pStyle w:val="BStablefigures1"/>
              <w:pBdr>
                <w:top w:val="nil"/>
                <w:left w:val="nil"/>
                <w:bottom w:val="nil"/>
                <w:right w:val="nil"/>
                <w:between w:val="nil"/>
                <w:bar w:val="nil"/>
              </w:pBdr>
              <w:rPr>
                <w:b w:val="0"/>
                <w:bdr w:val="nil"/>
              </w:rPr>
            </w:pPr>
            <w:r>
              <w:rPr>
                <w:b w:val="0"/>
                <w:bCs/>
                <w:bdr w:val="nil"/>
              </w:rPr>
              <w:t>89,000</w:t>
            </w:r>
          </w:p>
        </w:tc>
        <w:tc>
          <w:tcPr>
            <w:tcW w:w="591" w:type="pct"/>
            <w:tcBorders>
              <w:top w:val="nil"/>
              <w:left w:val="nil"/>
              <w:bottom w:val="nil"/>
              <w:right w:val="nil"/>
            </w:tcBorders>
            <w:vAlign w:val="center"/>
          </w:tcPr>
          <w:p w14:paraId="3505C205" w14:textId="2FB23102" w:rsidR="00A4668D" w:rsidRDefault="00A4668D" w:rsidP="00A4668D">
            <w:pPr>
              <w:pStyle w:val="BStablefigures1"/>
              <w:pBdr>
                <w:top w:val="nil"/>
                <w:left w:val="nil"/>
                <w:bottom w:val="nil"/>
                <w:right w:val="nil"/>
                <w:between w:val="nil"/>
                <w:bar w:val="nil"/>
              </w:pBdr>
              <w:rPr>
                <w:b w:val="0"/>
                <w:bdr w:val="nil"/>
              </w:rPr>
            </w:pPr>
            <w:r>
              <w:rPr>
                <w:b w:val="0"/>
                <w:bdr w:val="nil"/>
              </w:rPr>
              <w:t>88,190</w:t>
            </w:r>
          </w:p>
        </w:tc>
        <w:tc>
          <w:tcPr>
            <w:tcW w:w="501" w:type="pct"/>
            <w:tcBorders>
              <w:top w:val="nil"/>
              <w:left w:val="nil"/>
              <w:bottom w:val="nil"/>
              <w:right w:val="nil"/>
            </w:tcBorders>
            <w:vAlign w:val="center"/>
          </w:tcPr>
          <w:p w14:paraId="38F1190D" w14:textId="01A17827" w:rsidR="00A4668D" w:rsidRDefault="00A4668D" w:rsidP="00A4668D">
            <w:pPr>
              <w:pStyle w:val="BStablefigures1"/>
              <w:pBdr>
                <w:top w:val="nil"/>
                <w:left w:val="nil"/>
                <w:bottom w:val="nil"/>
                <w:right w:val="nil"/>
                <w:between w:val="nil"/>
                <w:bar w:val="nil"/>
              </w:pBdr>
              <w:rPr>
                <w:b w:val="0"/>
                <w:bdr w:val="nil"/>
              </w:rPr>
            </w:pPr>
            <w:r>
              <w:rPr>
                <w:b w:val="0"/>
                <w:bdr w:val="nil"/>
              </w:rPr>
              <w:t>89,000</w:t>
            </w:r>
          </w:p>
        </w:tc>
      </w:tr>
      <w:tr w:rsidR="00C07D35" w14:paraId="4F747EC6" w14:textId="2617FE7F" w:rsidTr="00A4668D">
        <w:trPr>
          <w:trHeight w:val="358"/>
        </w:trPr>
        <w:tc>
          <w:tcPr>
            <w:tcW w:w="3225" w:type="pct"/>
            <w:tcBorders>
              <w:top w:val="nil"/>
              <w:left w:val="nil"/>
              <w:bottom w:val="nil"/>
              <w:right w:val="nil"/>
            </w:tcBorders>
            <w:vAlign w:val="center"/>
            <w:hideMark/>
          </w:tcPr>
          <w:p w14:paraId="7CC5CBE8" w14:textId="04460233"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Average investment per out-of-home care day </w:t>
            </w:r>
          </w:p>
        </w:tc>
        <w:tc>
          <w:tcPr>
            <w:tcW w:w="683" w:type="pct"/>
            <w:tcBorders>
              <w:top w:val="nil"/>
              <w:left w:val="nil"/>
              <w:bottom w:val="nil"/>
              <w:right w:val="nil"/>
            </w:tcBorders>
            <w:vAlign w:val="center"/>
            <w:hideMark/>
          </w:tcPr>
          <w:p w14:paraId="4B2C6C7B" w14:textId="3CD41D44" w:rsidR="00A4668D" w:rsidRDefault="00A4668D" w:rsidP="00A4668D">
            <w:pPr>
              <w:pStyle w:val="BStablefigures1"/>
              <w:pBdr>
                <w:top w:val="nil"/>
                <w:left w:val="nil"/>
                <w:bottom w:val="nil"/>
                <w:right w:val="nil"/>
                <w:between w:val="nil"/>
                <w:bar w:val="nil"/>
              </w:pBdr>
              <w:rPr>
                <w:b w:val="0"/>
                <w:bdr w:val="nil"/>
              </w:rPr>
            </w:pPr>
            <w:r>
              <w:rPr>
                <w:b w:val="0"/>
                <w:bCs/>
                <w:bdr w:val="nil"/>
              </w:rPr>
              <w:t>$173</w:t>
            </w:r>
          </w:p>
        </w:tc>
        <w:tc>
          <w:tcPr>
            <w:tcW w:w="591" w:type="pct"/>
            <w:tcBorders>
              <w:top w:val="nil"/>
              <w:left w:val="nil"/>
              <w:bottom w:val="nil"/>
              <w:right w:val="nil"/>
            </w:tcBorders>
            <w:vAlign w:val="center"/>
          </w:tcPr>
          <w:p w14:paraId="024A856D" w14:textId="1E768083" w:rsidR="00A4668D" w:rsidRDefault="00A4668D" w:rsidP="00A4668D">
            <w:pPr>
              <w:pStyle w:val="BStablefigures1"/>
              <w:pBdr>
                <w:top w:val="nil"/>
                <w:left w:val="nil"/>
                <w:bottom w:val="nil"/>
                <w:right w:val="nil"/>
                <w:between w:val="nil"/>
                <w:bar w:val="nil"/>
              </w:pBdr>
              <w:rPr>
                <w:b w:val="0"/>
                <w:bdr w:val="nil"/>
              </w:rPr>
            </w:pPr>
            <w:r>
              <w:rPr>
                <w:b w:val="0"/>
                <w:bdr w:val="nil"/>
              </w:rPr>
              <w:t>$183</w:t>
            </w:r>
          </w:p>
        </w:tc>
        <w:tc>
          <w:tcPr>
            <w:tcW w:w="501" w:type="pct"/>
            <w:tcBorders>
              <w:top w:val="nil"/>
              <w:left w:val="nil"/>
              <w:bottom w:val="nil"/>
              <w:right w:val="nil"/>
            </w:tcBorders>
            <w:vAlign w:val="center"/>
          </w:tcPr>
          <w:p w14:paraId="7FED58CC" w14:textId="068F920D" w:rsidR="00A4668D" w:rsidRDefault="00A4668D" w:rsidP="00A4668D">
            <w:pPr>
              <w:pStyle w:val="BStablefigures1"/>
              <w:pBdr>
                <w:top w:val="nil"/>
                <w:left w:val="nil"/>
                <w:bottom w:val="nil"/>
                <w:right w:val="nil"/>
                <w:between w:val="nil"/>
                <w:bar w:val="nil"/>
              </w:pBdr>
              <w:rPr>
                <w:b w:val="0"/>
                <w:bdr w:val="nil"/>
              </w:rPr>
            </w:pPr>
            <w:r>
              <w:rPr>
                <w:b w:val="0"/>
                <w:bCs/>
                <w:bdr w:val="nil"/>
              </w:rPr>
              <w:t>$178</w:t>
            </w:r>
          </w:p>
        </w:tc>
      </w:tr>
      <w:tr w:rsidR="00C07D35" w14:paraId="3990C7C2" w14:textId="4DD509AE" w:rsidTr="00A4668D">
        <w:trPr>
          <w:trHeight w:val="421"/>
        </w:trPr>
        <w:tc>
          <w:tcPr>
            <w:tcW w:w="3225" w:type="pct"/>
            <w:tcBorders>
              <w:top w:val="nil"/>
              <w:left w:val="nil"/>
              <w:bottom w:val="single" w:sz="4" w:space="0" w:color="auto"/>
              <w:right w:val="nil"/>
            </w:tcBorders>
            <w:vAlign w:val="center"/>
            <w:hideMark/>
          </w:tcPr>
          <w:p w14:paraId="43305BA7" w14:textId="04031B54" w:rsidR="00A4668D" w:rsidRDefault="00A4668D" w:rsidP="009A24FA">
            <w:pPr>
              <w:pStyle w:val="BStablelist"/>
              <w:numPr>
                <w:ilvl w:val="0"/>
                <w:numId w:val="36"/>
              </w:numPr>
              <w:pBdr>
                <w:top w:val="nil"/>
                <w:left w:val="nil"/>
                <w:bottom w:val="nil"/>
                <w:right w:val="nil"/>
                <w:between w:val="nil"/>
                <w:bar w:val="nil"/>
              </w:pBdr>
              <w:rPr>
                <w:bdr w:val="nil"/>
              </w:rPr>
            </w:pPr>
            <w:r>
              <w:rPr>
                <w:bdr w:val="nil"/>
              </w:rPr>
              <w:t xml:space="preserve">Number of permanency placements </w:t>
            </w:r>
          </w:p>
        </w:tc>
        <w:tc>
          <w:tcPr>
            <w:tcW w:w="683" w:type="pct"/>
            <w:tcBorders>
              <w:top w:val="nil"/>
              <w:left w:val="nil"/>
              <w:bottom w:val="single" w:sz="4" w:space="0" w:color="auto"/>
              <w:right w:val="nil"/>
            </w:tcBorders>
            <w:vAlign w:val="center"/>
            <w:hideMark/>
          </w:tcPr>
          <w:p w14:paraId="3138FAD3" w14:textId="063C14A6" w:rsidR="00A4668D" w:rsidRDefault="00A4668D" w:rsidP="00A4668D">
            <w:pPr>
              <w:pStyle w:val="BStablefigures1"/>
              <w:pBdr>
                <w:top w:val="nil"/>
                <w:left w:val="nil"/>
                <w:bottom w:val="nil"/>
                <w:right w:val="nil"/>
                <w:between w:val="nil"/>
                <w:bar w:val="nil"/>
              </w:pBdr>
              <w:rPr>
                <w:b w:val="0"/>
                <w:bdr w:val="nil"/>
              </w:rPr>
            </w:pPr>
            <w:r>
              <w:rPr>
                <w:b w:val="0"/>
                <w:bCs/>
                <w:bdr w:val="nil"/>
              </w:rPr>
              <w:t>25</w:t>
            </w:r>
          </w:p>
        </w:tc>
        <w:tc>
          <w:tcPr>
            <w:tcW w:w="591" w:type="pct"/>
            <w:tcBorders>
              <w:top w:val="nil"/>
              <w:left w:val="nil"/>
              <w:bottom w:val="single" w:sz="4" w:space="0" w:color="auto"/>
              <w:right w:val="nil"/>
            </w:tcBorders>
            <w:vAlign w:val="center"/>
          </w:tcPr>
          <w:p w14:paraId="71FB2C5E" w14:textId="2D609789" w:rsidR="00A4668D" w:rsidRDefault="00A4668D" w:rsidP="00A4668D">
            <w:pPr>
              <w:pStyle w:val="BStablefigures1"/>
              <w:pBdr>
                <w:top w:val="nil"/>
                <w:left w:val="nil"/>
                <w:bottom w:val="nil"/>
                <w:right w:val="nil"/>
                <w:between w:val="nil"/>
                <w:bar w:val="nil"/>
              </w:pBdr>
              <w:rPr>
                <w:b w:val="0"/>
                <w:bdr w:val="nil"/>
              </w:rPr>
            </w:pPr>
            <w:r>
              <w:rPr>
                <w:b w:val="0"/>
                <w:bdr w:val="nil"/>
              </w:rPr>
              <w:t>24</w:t>
            </w:r>
          </w:p>
        </w:tc>
        <w:tc>
          <w:tcPr>
            <w:tcW w:w="501" w:type="pct"/>
            <w:tcBorders>
              <w:top w:val="nil"/>
              <w:left w:val="nil"/>
              <w:bottom w:val="single" w:sz="4" w:space="0" w:color="auto"/>
              <w:right w:val="nil"/>
            </w:tcBorders>
            <w:vAlign w:val="center"/>
          </w:tcPr>
          <w:p w14:paraId="4BE2096F" w14:textId="4728489D" w:rsidR="00A4668D" w:rsidRDefault="00A4668D" w:rsidP="00A4668D">
            <w:pPr>
              <w:pStyle w:val="BStablefigures1"/>
              <w:pBdr>
                <w:top w:val="nil"/>
                <w:left w:val="nil"/>
                <w:bottom w:val="nil"/>
                <w:right w:val="nil"/>
                <w:between w:val="nil"/>
                <w:bar w:val="nil"/>
              </w:pBdr>
              <w:rPr>
                <w:b w:val="0"/>
                <w:bdr w:val="nil"/>
              </w:rPr>
            </w:pPr>
            <w:r>
              <w:rPr>
                <w:b w:val="0"/>
                <w:bdr w:val="nil"/>
              </w:rPr>
              <w:t>25</w:t>
            </w:r>
          </w:p>
        </w:tc>
      </w:tr>
    </w:tbl>
    <w:p w14:paraId="024C2E8E" w14:textId="13FF634D" w:rsidR="00A4668D" w:rsidRDefault="00A4668D" w:rsidP="00A4668D">
      <w:pPr>
        <w:pStyle w:val="BSnote20"/>
        <w:pBdr>
          <w:top w:val="nil"/>
          <w:left w:val="nil"/>
          <w:bottom w:val="nil"/>
          <w:right w:val="nil"/>
          <w:between w:val="nil"/>
          <w:bar w:val="nil"/>
        </w:pBdr>
        <w:rPr>
          <w:bdr w:val="nil"/>
        </w:rPr>
      </w:pPr>
      <w:r>
        <w:rPr>
          <w:bdr w:val="nil"/>
        </w:rPr>
        <w:t>Notes:</w:t>
      </w:r>
    </w:p>
    <w:p w14:paraId="7509A37D"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days served in custody by the young person.</w:t>
      </w:r>
    </w:p>
    <w:p w14:paraId="0DD1F709"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proportion of case plans prepared or reviewed within six weeks of the start of a supervised sentenced order.</w:t>
      </w:r>
    </w:p>
    <w:p w14:paraId="4AFEDB3A"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contacts by persons who believe or suspect that a child or young person is or has been abused or neglected counted for each individual child or young person.</w:t>
      </w:r>
    </w:p>
    <w:p w14:paraId="2E2D1A6F"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 xml:space="preserve">A report is considered to require an appraisal if, </w:t>
      </w:r>
      <w:proofErr w:type="gramStart"/>
      <w:r>
        <w:rPr>
          <w:rFonts w:cs="Calibri"/>
          <w:bdr w:val="nil"/>
        </w:rPr>
        <w:t>on the basis of</w:t>
      </w:r>
      <w:proofErr w:type="gramEnd"/>
      <w:r>
        <w:rPr>
          <w:rFonts w:cs="Calibri"/>
          <w:bdr w:val="nil"/>
        </w:rPr>
        <w:t xml:space="preserve"> the information received and known history of the child or young person, there appears to be reasonable risk of abuse or neglect, or that the child or young person is likely to be in need of care.</w:t>
      </w:r>
    </w:p>
    <w:p w14:paraId="135BF06A"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 xml:space="preserve">An appraisal of a child or young person and their situation is recorded as ‘substantiated’ if in the professional opinion of the case manager there is reasonable cause to believe that the child has been suffering, is suffering or is likely to suffer physical or sexual abuse, </w:t>
      </w:r>
      <w:proofErr w:type="gramStart"/>
      <w:r>
        <w:rPr>
          <w:rFonts w:cs="Calibri"/>
          <w:bdr w:val="nil"/>
        </w:rPr>
        <w:t>neglect</w:t>
      </w:r>
      <w:proofErr w:type="gramEnd"/>
      <w:r>
        <w:rPr>
          <w:rFonts w:cs="Calibri"/>
          <w:bdr w:val="nil"/>
        </w:rPr>
        <w:t xml:space="preserve"> or other significant harm.</w:t>
      </w:r>
    </w:p>
    <w:p w14:paraId="4922CF0D"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individual children and young people receiving appraisal, support and/or ongoing casework from Child and Youth Protection Services during the year.</w:t>
      </w:r>
    </w:p>
    <w:p w14:paraId="576DF692"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Aboriginal and Torres Strait Islander individual children and young people receiving appraisal, support and/or ongoing casework from Child and Youth Protection Services during the year.</w:t>
      </w:r>
    </w:p>
    <w:p w14:paraId="30991881"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 xml:space="preserve">The number of children on a given day who are subject to a child protection court order conferring part or sole parental responsibility to the Chief Executive or a Voluntary Care Agreement under section 397 of the </w:t>
      </w:r>
      <w:r>
        <w:rPr>
          <w:rFonts w:cs="Calibri"/>
          <w:bdr w:val="nil"/>
        </w:rPr>
        <w:br/>
      </w:r>
      <w:r>
        <w:rPr>
          <w:rFonts w:cs="Calibri"/>
          <w:i/>
          <w:bdr w:val="nil"/>
        </w:rPr>
        <w:t>Children and Young People Act 2008</w:t>
      </w:r>
      <w:r>
        <w:rPr>
          <w:rFonts w:cs="Calibri"/>
          <w:bdr w:val="nil"/>
        </w:rPr>
        <w:t>.</w:t>
      </w:r>
    </w:p>
    <w:p w14:paraId="7C4DE20E"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days for which the Child and Youth Protection Services made a payment for overnight care of children in out of home care.</w:t>
      </w:r>
    </w:p>
    <w:p w14:paraId="52E62114"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days for which the Child and Youth Protection Services made a payment for overnight care of Aboriginal and Torres Strait Islander children in out of home care.</w:t>
      </w:r>
    </w:p>
    <w:p w14:paraId="618FEEFB" w14:textId="77777777"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average cost per out-of-home care day for the Child and Youth Protection Services in ACT.</w:t>
      </w:r>
    </w:p>
    <w:p w14:paraId="7B26F1D2" w14:textId="69CFF08B" w:rsidR="00A4668D" w:rsidRDefault="00A4668D" w:rsidP="009A24FA">
      <w:pPr>
        <w:pStyle w:val="BSnoteslist0"/>
        <w:numPr>
          <w:ilvl w:val="0"/>
          <w:numId w:val="37"/>
        </w:numPr>
        <w:pBdr>
          <w:top w:val="nil"/>
          <w:left w:val="nil"/>
          <w:bottom w:val="nil"/>
          <w:right w:val="nil"/>
          <w:between w:val="nil"/>
          <w:bar w:val="nil"/>
        </w:pBdr>
        <w:rPr>
          <w:bdr w:val="nil"/>
        </w:rPr>
      </w:pPr>
      <w:r>
        <w:rPr>
          <w:rFonts w:cs="Calibri"/>
          <w:bdr w:val="nil"/>
        </w:rPr>
        <w:t>The number of permanency orders made throughout the year including inter-country adoptions, local adoptions, stepfamily or ‘known’ adoptions &amp; Enduring Parental Responsibility orders.</w:t>
      </w:r>
    </w:p>
    <w:p w14:paraId="3B817AC3" w14:textId="77777777" w:rsidR="00A4668D" w:rsidRDefault="00A4668D" w:rsidP="00A4668D">
      <w:pPr>
        <w:pStyle w:val="Heading2"/>
        <w:pageBreakBefore/>
        <w:pBdr>
          <w:top w:val="nil"/>
          <w:left w:val="nil"/>
          <w:bottom w:val="nil"/>
          <w:right w:val="nil"/>
          <w:between w:val="nil"/>
          <w:bar w:val="nil"/>
        </w:pBdr>
        <w:rPr>
          <w:bdr w:val="nil"/>
        </w:rPr>
      </w:pPr>
      <w:bookmarkStart w:id="37" w:name="_Toc452467801"/>
      <w:bookmarkStart w:id="38" w:name="_Toc84071137"/>
      <w:r>
        <w:rPr>
          <w:bdr w:val="nil"/>
        </w:rPr>
        <w:lastRenderedPageBreak/>
        <w:t>Changes to Appropriation</w:t>
      </w:r>
      <w:bookmarkEnd w:id="37"/>
      <w:bookmarkEnd w:id="38"/>
    </w:p>
    <w:p w14:paraId="0AD3DB8C" w14:textId="62DEB0DC" w:rsidR="00C07D35" w:rsidRDefault="00A4668D" w:rsidP="008F551C">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20</w:t>
      </w:r>
      <w:r>
        <w:rPr>
          <w:noProof/>
          <w:bdr w:val="nil"/>
        </w:rPr>
        <w:fldChar w:fldCharType="end"/>
      </w:r>
      <w:r w:rsidRPr="00F0682D">
        <w:rPr>
          <w:bdr w:val="nil"/>
        </w:rPr>
        <w:t>: Changes to appropriation –</w:t>
      </w:r>
      <w:r w:rsidRPr="00F0682D">
        <w:rPr>
          <w:szCs w:val="20"/>
          <w:bdr w:val="nil"/>
        </w:rPr>
        <w:t xml:space="preserve"> </w:t>
      </w:r>
      <w:r w:rsidRPr="00F0682D">
        <w:rPr>
          <w:bdr w:val="nil"/>
        </w:rPr>
        <w:t>Controlled Recurrent Payments</w:t>
      </w:r>
    </w:p>
    <w:tbl>
      <w:tblPr>
        <w:tblStyle w:val="CDMRange1"/>
        <w:tblW w:w="9225" w:type="dxa"/>
        <w:tblLayout w:type="fixed"/>
        <w:tblLook w:val="0620" w:firstRow="1" w:lastRow="0" w:firstColumn="0" w:lastColumn="0" w:noHBand="1" w:noVBand="1"/>
      </w:tblPr>
      <w:tblGrid>
        <w:gridCol w:w="4665"/>
        <w:gridCol w:w="960"/>
        <w:gridCol w:w="900"/>
        <w:gridCol w:w="900"/>
        <w:gridCol w:w="900"/>
        <w:gridCol w:w="900"/>
      </w:tblGrid>
      <w:tr w:rsidR="00795C9B" w14:paraId="371C6C57" w14:textId="77777777" w:rsidTr="006D3501">
        <w:trPr>
          <w:trHeight w:val="984"/>
          <w:tblHeader/>
        </w:trPr>
        <w:tc>
          <w:tcPr>
            <w:tcW w:w="466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617E426B" w14:textId="77777777" w:rsidR="00795C9B" w:rsidRDefault="00795C9B" w:rsidP="006D3501">
            <w:pPr>
              <w:pStyle w:val="Normal0"/>
              <w:rPr>
                <w:rFonts w:ascii="Calibri" w:eastAsia="Calibri" w:hAnsi="Calibri" w:cs="Calibri"/>
                <w:color w:val="000000"/>
                <w:sz w:val="18"/>
              </w:rPr>
            </w:pP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C6ED0B"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4180A799"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AA61EF"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2021-22 Budget</w:t>
            </w:r>
          </w:p>
          <w:p w14:paraId="467C075C" w14:textId="77777777" w:rsidR="00795C9B" w:rsidRDefault="00795C9B" w:rsidP="006D3501">
            <w:pPr>
              <w:pStyle w:val="Normal0"/>
              <w:jc w:val="right"/>
              <w:rPr>
                <w:rFonts w:ascii="Calibri" w:eastAsia="Calibri" w:hAnsi="Calibri" w:cs="Calibri"/>
                <w:b/>
                <w:color w:val="000000"/>
                <w:sz w:val="18"/>
              </w:rPr>
            </w:pPr>
          </w:p>
          <w:p w14:paraId="1F331FE1"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75AAAD9"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3C58EB79" w14:textId="77777777" w:rsidR="00795C9B" w:rsidRDefault="00795C9B" w:rsidP="006D3501">
            <w:pPr>
              <w:pStyle w:val="Normal0"/>
              <w:jc w:val="right"/>
              <w:rPr>
                <w:rFonts w:ascii="Calibri" w:eastAsia="Calibri" w:hAnsi="Calibri" w:cs="Calibri"/>
                <w:b/>
                <w:color w:val="000000"/>
                <w:sz w:val="18"/>
              </w:rPr>
            </w:pPr>
          </w:p>
          <w:p w14:paraId="3A4E53FA"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9F8818C"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7D8ECEFE" w14:textId="77777777" w:rsidR="00795C9B" w:rsidRDefault="00795C9B" w:rsidP="006D3501">
            <w:pPr>
              <w:pStyle w:val="Normal0"/>
              <w:jc w:val="right"/>
              <w:rPr>
                <w:rFonts w:ascii="Calibri" w:eastAsia="Calibri" w:hAnsi="Calibri" w:cs="Calibri"/>
                <w:b/>
                <w:color w:val="000000"/>
                <w:sz w:val="18"/>
              </w:rPr>
            </w:pPr>
          </w:p>
          <w:p w14:paraId="6AA7DF21"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527F4BE"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2024-25 Estimate</w:t>
            </w:r>
          </w:p>
          <w:p w14:paraId="28E4EB40" w14:textId="77777777" w:rsidR="00795C9B" w:rsidRDefault="00795C9B" w:rsidP="006D3501">
            <w:pPr>
              <w:pStyle w:val="Normal0"/>
              <w:jc w:val="right"/>
              <w:rPr>
                <w:rFonts w:ascii="Calibri" w:eastAsia="Calibri" w:hAnsi="Calibri" w:cs="Calibri"/>
                <w:b/>
                <w:color w:val="000000"/>
                <w:sz w:val="18"/>
              </w:rPr>
            </w:pPr>
          </w:p>
          <w:p w14:paraId="7121C200"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795C9B" w14:paraId="4ED1C93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587526A3" w14:textId="77777777" w:rsidR="00795C9B" w:rsidRDefault="00795C9B" w:rsidP="006D3501">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1581DAC"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C771CE3"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09BFC4C"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B2A9C31"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CB6E090" w14:textId="77777777" w:rsidR="00795C9B" w:rsidRDefault="00795C9B" w:rsidP="006D3501">
            <w:pPr>
              <w:pStyle w:val="Normal0"/>
              <w:rPr>
                <w:rFonts w:ascii="Calibri" w:eastAsia="Calibri" w:hAnsi="Calibri" w:cs="Calibri"/>
                <w:color w:val="000000"/>
                <w:sz w:val="18"/>
              </w:rPr>
            </w:pPr>
          </w:p>
        </w:tc>
      </w:tr>
      <w:tr w:rsidR="00795C9B" w14:paraId="08398AA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6120C860" w14:textId="77777777" w:rsidR="00795C9B" w:rsidRDefault="00795C9B" w:rsidP="006D3501">
            <w:pPr>
              <w:pStyle w:val="Normal0"/>
              <w:rPr>
                <w:rFonts w:ascii="Calibri" w:eastAsia="Calibri" w:hAnsi="Calibri" w:cs="Calibri"/>
                <w:b/>
                <w:color w:val="000000"/>
                <w:sz w:val="18"/>
              </w:rPr>
            </w:pPr>
            <w:r>
              <w:rPr>
                <w:rFonts w:ascii="Calibri" w:eastAsia="Calibri" w:hAnsi="Calibri" w:cs="Calibri"/>
                <w:b/>
                <w:color w:val="000000"/>
                <w:sz w:val="18"/>
              </w:rPr>
              <w:t>2020-21 Budget</w:t>
            </w:r>
          </w:p>
        </w:tc>
        <w:tc>
          <w:tcPr>
            <w:tcW w:w="960" w:type="dxa"/>
            <w:tcBorders>
              <w:top w:val="nil"/>
              <w:left w:val="nil"/>
              <w:bottom w:val="nil"/>
              <w:right w:val="nil"/>
              <w:tl2br w:val="nil"/>
              <w:tr2bl w:val="nil"/>
            </w:tcBorders>
            <w:shd w:val="clear" w:color="auto" w:fill="auto"/>
            <w:noWrap/>
            <w:tcMar>
              <w:left w:w="101" w:type="dxa"/>
              <w:right w:w="101" w:type="dxa"/>
            </w:tcMar>
            <w:vAlign w:val="bottom"/>
          </w:tcPr>
          <w:p w14:paraId="41B3E7B6"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212,740</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2DCD0CFB"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201,976</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2E77C72F"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188,890</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44213349"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191,411</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48B94FDC"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190,937</w:t>
            </w:r>
          </w:p>
        </w:tc>
      </w:tr>
      <w:tr w:rsidR="00795C9B" w14:paraId="0CF69B5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228A144C" w14:textId="77777777" w:rsidR="00795C9B" w:rsidRDefault="00795C9B" w:rsidP="006D3501">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6396E58"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44AEB6E"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9369D0C"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F33B724"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E05BB7E" w14:textId="77777777" w:rsidR="00795C9B" w:rsidRDefault="00795C9B" w:rsidP="006D3501">
            <w:pPr>
              <w:pStyle w:val="Normal0"/>
              <w:rPr>
                <w:rFonts w:ascii="Calibri" w:eastAsia="Calibri" w:hAnsi="Calibri" w:cs="Calibri"/>
                <w:color w:val="000000"/>
                <w:sz w:val="18"/>
              </w:rPr>
            </w:pPr>
          </w:p>
        </w:tc>
      </w:tr>
      <w:tr w:rsidR="00795C9B" w14:paraId="3275AA5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6BB1B516"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Commonwealth Grant - Coronavirus Domestic and Family Violence Responses</w:t>
            </w:r>
          </w:p>
        </w:tc>
        <w:tc>
          <w:tcPr>
            <w:tcW w:w="960" w:type="dxa"/>
            <w:tcBorders>
              <w:top w:val="nil"/>
              <w:left w:val="nil"/>
              <w:bottom w:val="nil"/>
              <w:right w:val="nil"/>
              <w:tl2br w:val="nil"/>
              <w:tr2bl w:val="nil"/>
            </w:tcBorders>
            <w:shd w:val="clear" w:color="auto" w:fill="auto"/>
            <w:noWrap/>
            <w:tcMar>
              <w:left w:w="101" w:type="dxa"/>
              <w:right w:w="101" w:type="dxa"/>
            </w:tcMar>
          </w:tcPr>
          <w:p w14:paraId="1B7D097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-425</w:t>
            </w:r>
          </w:p>
        </w:tc>
        <w:tc>
          <w:tcPr>
            <w:tcW w:w="900" w:type="dxa"/>
            <w:tcBorders>
              <w:top w:val="nil"/>
              <w:left w:val="nil"/>
              <w:bottom w:val="nil"/>
              <w:right w:val="nil"/>
              <w:tl2br w:val="nil"/>
              <w:tr2bl w:val="nil"/>
            </w:tcBorders>
            <w:shd w:val="clear" w:color="auto" w:fill="auto"/>
            <w:noWrap/>
            <w:tcMar>
              <w:left w:w="101" w:type="dxa"/>
              <w:right w:w="101" w:type="dxa"/>
            </w:tcMar>
          </w:tcPr>
          <w:p w14:paraId="26E04F6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425</w:t>
            </w:r>
          </w:p>
        </w:tc>
        <w:tc>
          <w:tcPr>
            <w:tcW w:w="900" w:type="dxa"/>
            <w:tcBorders>
              <w:top w:val="nil"/>
              <w:left w:val="nil"/>
              <w:bottom w:val="nil"/>
              <w:right w:val="nil"/>
              <w:tl2br w:val="nil"/>
              <w:tr2bl w:val="nil"/>
            </w:tcBorders>
            <w:shd w:val="clear" w:color="auto" w:fill="auto"/>
            <w:noWrap/>
            <w:tcMar>
              <w:left w:w="101" w:type="dxa"/>
              <w:right w:w="101" w:type="dxa"/>
            </w:tcMar>
          </w:tcPr>
          <w:p w14:paraId="0652047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3824D5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8DD724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4B00A09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6714AD4F" w14:textId="77777777" w:rsidR="00795C9B" w:rsidRDefault="00795C9B" w:rsidP="006D3501">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F49AA82"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81F0BE6"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A186C1F"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5F89483"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6648B9" w14:textId="77777777" w:rsidR="00795C9B" w:rsidRDefault="00795C9B" w:rsidP="006D3501">
            <w:pPr>
              <w:pStyle w:val="Normal0"/>
              <w:rPr>
                <w:rFonts w:ascii="Calibri" w:eastAsia="Calibri" w:hAnsi="Calibri" w:cs="Calibri"/>
                <w:color w:val="000000"/>
                <w:sz w:val="18"/>
              </w:rPr>
            </w:pPr>
          </w:p>
        </w:tc>
      </w:tr>
      <w:tr w:rsidR="00795C9B" w14:paraId="2F6717B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vAlign w:val="bottom"/>
          </w:tcPr>
          <w:p w14:paraId="721DDAAE" w14:textId="77777777" w:rsidR="00795C9B" w:rsidRDefault="00795C9B" w:rsidP="006D3501">
            <w:pPr>
              <w:pStyle w:val="Normal0"/>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7E5B41E3"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DFBAB43"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AE5DE51"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F8E8D03"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AC47FCA" w14:textId="77777777" w:rsidR="00795C9B" w:rsidRDefault="00795C9B" w:rsidP="006D3501">
            <w:pPr>
              <w:pStyle w:val="Normal0"/>
              <w:rPr>
                <w:rFonts w:ascii="Calibri" w:eastAsia="Calibri" w:hAnsi="Calibri" w:cs="Calibri"/>
                <w:color w:val="FFFFFF"/>
                <w:sz w:val="18"/>
              </w:rPr>
            </w:pPr>
          </w:p>
        </w:tc>
      </w:tr>
      <w:tr w:rsidR="00795C9B" w14:paraId="18A3138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1067FB5"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Child Development Service - facility upgrades and planning</w:t>
            </w:r>
          </w:p>
        </w:tc>
        <w:tc>
          <w:tcPr>
            <w:tcW w:w="960" w:type="dxa"/>
            <w:tcBorders>
              <w:top w:val="nil"/>
              <w:left w:val="nil"/>
              <w:bottom w:val="nil"/>
              <w:right w:val="nil"/>
              <w:tl2br w:val="nil"/>
              <w:tr2bl w:val="nil"/>
            </w:tcBorders>
            <w:shd w:val="clear" w:color="auto" w:fill="auto"/>
            <w:noWrap/>
            <w:tcMar>
              <w:left w:w="101" w:type="dxa"/>
              <w:right w:w="101" w:type="dxa"/>
            </w:tcMar>
          </w:tcPr>
          <w:p w14:paraId="115E18A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1E36BB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589</w:t>
            </w:r>
          </w:p>
        </w:tc>
        <w:tc>
          <w:tcPr>
            <w:tcW w:w="900" w:type="dxa"/>
            <w:tcBorders>
              <w:top w:val="nil"/>
              <w:left w:val="nil"/>
              <w:bottom w:val="nil"/>
              <w:right w:val="nil"/>
              <w:tl2br w:val="nil"/>
              <w:tr2bl w:val="nil"/>
            </w:tcBorders>
            <w:shd w:val="clear" w:color="auto" w:fill="auto"/>
            <w:noWrap/>
            <w:tcMar>
              <w:left w:w="101" w:type="dxa"/>
              <w:right w:w="101" w:type="dxa"/>
            </w:tcMar>
          </w:tcPr>
          <w:p w14:paraId="6CA94C0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281</w:t>
            </w:r>
          </w:p>
        </w:tc>
        <w:tc>
          <w:tcPr>
            <w:tcW w:w="900" w:type="dxa"/>
            <w:tcBorders>
              <w:top w:val="nil"/>
              <w:left w:val="nil"/>
              <w:bottom w:val="nil"/>
              <w:right w:val="nil"/>
              <w:tl2br w:val="nil"/>
              <w:tr2bl w:val="nil"/>
            </w:tcBorders>
            <w:shd w:val="clear" w:color="auto" w:fill="auto"/>
            <w:noWrap/>
            <w:tcMar>
              <w:left w:w="101" w:type="dxa"/>
              <w:right w:w="101" w:type="dxa"/>
            </w:tcMar>
          </w:tcPr>
          <w:p w14:paraId="35D5EFD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B5E384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0FB1DCB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331F4F2"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Continuing implementation of the Wellbeing Framework</w:t>
            </w:r>
          </w:p>
        </w:tc>
        <w:tc>
          <w:tcPr>
            <w:tcW w:w="960" w:type="dxa"/>
            <w:tcBorders>
              <w:top w:val="nil"/>
              <w:left w:val="nil"/>
              <w:bottom w:val="nil"/>
              <w:right w:val="nil"/>
              <w:tl2br w:val="nil"/>
              <w:tr2bl w:val="nil"/>
            </w:tcBorders>
            <w:shd w:val="clear" w:color="auto" w:fill="auto"/>
            <w:noWrap/>
            <w:tcMar>
              <w:left w:w="101" w:type="dxa"/>
              <w:right w:w="101" w:type="dxa"/>
            </w:tcMar>
          </w:tcPr>
          <w:p w14:paraId="6E8EB0E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32517E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99</w:t>
            </w:r>
          </w:p>
        </w:tc>
        <w:tc>
          <w:tcPr>
            <w:tcW w:w="900" w:type="dxa"/>
            <w:tcBorders>
              <w:top w:val="nil"/>
              <w:left w:val="nil"/>
              <w:bottom w:val="nil"/>
              <w:right w:val="nil"/>
              <w:tl2br w:val="nil"/>
              <w:tr2bl w:val="nil"/>
            </w:tcBorders>
            <w:shd w:val="clear" w:color="auto" w:fill="auto"/>
            <w:noWrap/>
            <w:tcMar>
              <w:left w:w="101" w:type="dxa"/>
              <w:right w:w="101" w:type="dxa"/>
            </w:tcMar>
          </w:tcPr>
          <w:p w14:paraId="7112191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133</w:t>
            </w:r>
          </w:p>
        </w:tc>
        <w:tc>
          <w:tcPr>
            <w:tcW w:w="900" w:type="dxa"/>
            <w:tcBorders>
              <w:top w:val="nil"/>
              <w:left w:val="nil"/>
              <w:bottom w:val="nil"/>
              <w:right w:val="nil"/>
              <w:tl2br w:val="nil"/>
              <w:tr2bl w:val="nil"/>
            </w:tcBorders>
            <w:shd w:val="clear" w:color="auto" w:fill="auto"/>
            <w:noWrap/>
            <w:tcMar>
              <w:left w:w="101" w:type="dxa"/>
              <w:right w:w="101" w:type="dxa"/>
            </w:tcMar>
          </w:tcPr>
          <w:p w14:paraId="5E592EB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E61241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35CB077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56C72CE"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COVID-19 community support package</w:t>
            </w:r>
          </w:p>
        </w:tc>
        <w:tc>
          <w:tcPr>
            <w:tcW w:w="960" w:type="dxa"/>
            <w:tcBorders>
              <w:top w:val="nil"/>
              <w:left w:val="nil"/>
              <w:bottom w:val="nil"/>
              <w:right w:val="nil"/>
              <w:tl2br w:val="nil"/>
              <w:tr2bl w:val="nil"/>
            </w:tcBorders>
            <w:shd w:val="clear" w:color="auto" w:fill="auto"/>
            <w:noWrap/>
            <w:tcMar>
              <w:left w:w="101" w:type="dxa"/>
              <w:right w:w="101" w:type="dxa"/>
            </w:tcMar>
          </w:tcPr>
          <w:p w14:paraId="1C7D100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4DC58B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1,100</w:t>
            </w:r>
          </w:p>
        </w:tc>
        <w:tc>
          <w:tcPr>
            <w:tcW w:w="900" w:type="dxa"/>
            <w:tcBorders>
              <w:top w:val="nil"/>
              <w:left w:val="nil"/>
              <w:bottom w:val="nil"/>
              <w:right w:val="nil"/>
              <w:tl2br w:val="nil"/>
              <w:tr2bl w:val="nil"/>
            </w:tcBorders>
            <w:shd w:val="clear" w:color="auto" w:fill="auto"/>
            <w:noWrap/>
            <w:tcMar>
              <w:left w:w="101" w:type="dxa"/>
              <w:right w:w="101" w:type="dxa"/>
            </w:tcMar>
          </w:tcPr>
          <w:p w14:paraId="144480E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3130E7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D1FBE0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33C8C70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8EA14AE"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COVID-19 response continuation - More support to improve food security</w:t>
            </w:r>
          </w:p>
        </w:tc>
        <w:tc>
          <w:tcPr>
            <w:tcW w:w="960" w:type="dxa"/>
            <w:tcBorders>
              <w:top w:val="nil"/>
              <w:left w:val="nil"/>
              <w:bottom w:val="nil"/>
              <w:right w:val="nil"/>
              <w:tl2br w:val="nil"/>
              <w:tr2bl w:val="nil"/>
            </w:tcBorders>
            <w:shd w:val="clear" w:color="auto" w:fill="auto"/>
            <w:noWrap/>
            <w:tcMar>
              <w:left w:w="101" w:type="dxa"/>
              <w:right w:w="101" w:type="dxa"/>
            </w:tcMar>
          </w:tcPr>
          <w:p w14:paraId="572836B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CC9079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240</w:t>
            </w:r>
          </w:p>
        </w:tc>
        <w:tc>
          <w:tcPr>
            <w:tcW w:w="900" w:type="dxa"/>
            <w:tcBorders>
              <w:top w:val="nil"/>
              <w:left w:val="nil"/>
              <w:bottom w:val="nil"/>
              <w:right w:val="nil"/>
              <w:tl2br w:val="nil"/>
              <w:tr2bl w:val="nil"/>
            </w:tcBorders>
            <w:shd w:val="clear" w:color="auto" w:fill="auto"/>
            <w:noWrap/>
            <w:tcMar>
              <w:left w:w="101" w:type="dxa"/>
              <w:right w:w="101" w:type="dxa"/>
            </w:tcMar>
          </w:tcPr>
          <w:p w14:paraId="073418C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78</w:t>
            </w:r>
          </w:p>
        </w:tc>
        <w:tc>
          <w:tcPr>
            <w:tcW w:w="900" w:type="dxa"/>
            <w:tcBorders>
              <w:top w:val="nil"/>
              <w:left w:val="nil"/>
              <w:bottom w:val="nil"/>
              <w:right w:val="nil"/>
              <w:tl2br w:val="nil"/>
              <w:tr2bl w:val="nil"/>
            </w:tcBorders>
            <w:shd w:val="clear" w:color="auto" w:fill="auto"/>
            <w:noWrap/>
            <w:tcMar>
              <w:left w:w="101" w:type="dxa"/>
              <w:right w:w="101" w:type="dxa"/>
            </w:tcMar>
          </w:tcPr>
          <w:p w14:paraId="74A7284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78</w:t>
            </w:r>
          </w:p>
        </w:tc>
        <w:tc>
          <w:tcPr>
            <w:tcW w:w="900" w:type="dxa"/>
            <w:tcBorders>
              <w:top w:val="nil"/>
              <w:left w:val="nil"/>
              <w:bottom w:val="nil"/>
              <w:right w:val="nil"/>
              <w:tl2br w:val="nil"/>
              <w:tr2bl w:val="nil"/>
            </w:tcBorders>
            <w:shd w:val="clear" w:color="auto" w:fill="auto"/>
            <w:noWrap/>
            <w:tcMar>
              <w:left w:w="101" w:type="dxa"/>
              <w:right w:w="101" w:type="dxa"/>
            </w:tcMar>
          </w:tcPr>
          <w:p w14:paraId="4BC0855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79</w:t>
            </w:r>
          </w:p>
        </w:tc>
      </w:tr>
      <w:tr w:rsidR="00795C9B" w14:paraId="6050E65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38874E20"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Deliver a purpose-built facility with the </w:t>
            </w:r>
            <w:proofErr w:type="spellStart"/>
            <w:r>
              <w:rPr>
                <w:rFonts w:ascii="Calibri" w:eastAsia="Calibri" w:hAnsi="Calibri" w:cs="Calibri"/>
                <w:color w:val="000000"/>
                <w:sz w:val="18"/>
              </w:rPr>
              <w:t>Gugan</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Gulwan</w:t>
            </w:r>
            <w:proofErr w:type="spellEnd"/>
            <w:r>
              <w:rPr>
                <w:rFonts w:ascii="Calibri" w:eastAsia="Calibri" w:hAnsi="Calibri" w:cs="Calibri"/>
                <w:color w:val="000000"/>
                <w:sz w:val="18"/>
              </w:rPr>
              <w:t xml:space="preserve"> Youth Aboriginal Corporation</w:t>
            </w:r>
          </w:p>
        </w:tc>
        <w:tc>
          <w:tcPr>
            <w:tcW w:w="960" w:type="dxa"/>
            <w:tcBorders>
              <w:top w:val="nil"/>
              <w:left w:val="nil"/>
              <w:bottom w:val="nil"/>
              <w:right w:val="nil"/>
              <w:tl2br w:val="nil"/>
              <w:tr2bl w:val="nil"/>
            </w:tcBorders>
            <w:shd w:val="clear" w:color="auto" w:fill="auto"/>
            <w:noWrap/>
            <w:tcMar>
              <w:left w:w="101" w:type="dxa"/>
              <w:right w:w="101" w:type="dxa"/>
            </w:tcMar>
          </w:tcPr>
          <w:p w14:paraId="39CCF68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71A1E7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35</w:t>
            </w:r>
          </w:p>
        </w:tc>
        <w:tc>
          <w:tcPr>
            <w:tcW w:w="900" w:type="dxa"/>
            <w:tcBorders>
              <w:top w:val="nil"/>
              <w:left w:val="nil"/>
              <w:bottom w:val="nil"/>
              <w:right w:val="nil"/>
              <w:tl2br w:val="nil"/>
              <w:tr2bl w:val="nil"/>
            </w:tcBorders>
            <w:shd w:val="clear" w:color="auto" w:fill="auto"/>
            <w:noWrap/>
            <w:tcMar>
              <w:left w:w="101" w:type="dxa"/>
              <w:right w:w="101" w:type="dxa"/>
            </w:tcMar>
          </w:tcPr>
          <w:p w14:paraId="100E8B8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286</w:t>
            </w:r>
          </w:p>
        </w:tc>
        <w:tc>
          <w:tcPr>
            <w:tcW w:w="900" w:type="dxa"/>
            <w:tcBorders>
              <w:top w:val="nil"/>
              <w:left w:val="nil"/>
              <w:bottom w:val="nil"/>
              <w:right w:val="nil"/>
              <w:tl2br w:val="nil"/>
              <w:tr2bl w:val="nil"/>
            </w:tcBorders>
            <w:shd w:val="clear" w:color="auto" w:fill="auto"/>
            <w:noWrap/>
            <w:tcMar>
              <w:left w:w="101" w:type="dxa"/>
              <w:right w:w="101" w:type="dxa"/>
            </w:tcMar>
          </w:tcPr>
          <w:p w14:paraId="190B6F8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256</w:t>
            </w:r>
          </w:p>
        </w:tc>
        <w:tc>
          <w:tcPr>
            <w:tcW w:w="900" w:type="dxa"/>
            <w:tcBorders>
              <w:top w:val="nil"/>
              <w:left w:val="nil"/>
              <w:bottom w:val="nil"/>
              <w:right w:val="nil"/>
              <w:tl2br w:val="nil"/>
              <w:tr2bl w:val="nil"/>
            </w:tcBorders>
            <w:shd w:val="clear" w:color="auto" w:fill="auto"/>
            <w:noWrap/>
            <w:tcMar>
              <w:left w:w="101" w:type="dxa"/>
              <w:right w:w="101" w:type="dxa"/>
            </w:tcMar>
          </w:tcPr>
          <w:p w14:paraId="66C2F57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6F5F577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AA1BCAD"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Healing and Reconciliation Fund</w:t>
            </w:r>
          </w:p>
        </w:tc>
        <w:tc>
          <w:tcPr>
            <w:tcW w:w="960" w:type="dxa"/>
            <w:tcBorders>
              <w:top w:val="nil"/>
              <w:left w:val="nil"/>
              <w:bottom w:val="nil"/>
              <w:right w:val="nil"/>
              <w:tl2br w:val="nil"/>
              <w:tr2bl w:val="nil"/>
            </w:tcBorders>
            <w:shd w:val="clear" w:color="auto" w:fill="auto"/>
            <w:noWrap/>
            <w:tcMar>
              <w:left w:w="101" w:type="dxa"/>
              <w:right w:w="101" w:type="dxa"/>
            </w:tcMar>
          </w:tcPr>
          <w:p w14:paraId="49CFF23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98D139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463</w:t>
            </w:r>
          </w:p>
        </w:tc>
        <w:tc>
          <w:tcPr>
            <w:tcW w:w="900" w:type="dxa"/>
            <w:tcBorders>
              <w:top w:val="nil"/>
              <w:left w:val="nil"/>
              <w:bottom w:val="nil"/>
              <w:right w:val="nil"/>
              <w:tl2br w:val="nil"/>
              <w:tr2bl w:val="nil"/>
            </w:tcBorders>
            <w:shd w:val="clear" w:color="auto" w:fill="auto"/>
            <w:noWrap/>
            <w:tcMar>
              <w:left w:w="101" w:type="dxa"/>
              <w:right w:w="101" w:type="dxa"/>
            </w:tcMar>
          </w:tcPr>
          <w:p w14:paraId="44360E6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80</w:t>
            </w:r>
          </w:p>
        </w:tc>
        <w:tc>
          <w:tcPr>
            <w:tcW w:w="900" w:type="dxa"/>
            <w:tcBorders>
              <w:top w:val="nil"/>
              <w:left w:val="nil"/>
              <w:bottom w:val="nil"/>
              <w:right w:val="nil"/>
              <w:tl2br w:val="nil"/>
              <w:tr2bl w:val="nil"/>
            </w:tcBorders>
            <w:shd w:val="clear" w:color="auto" w:fill="auto"/>
            <w:noWrap/>
            <w:tcMar>
              <w:left w:w="101" w:type="dxa"/>
              <w:right w:w="101" w:type="dxa"/>
            </w:tcMar>
          </w:tcPr>
          <w:p w14:paraId="68D3713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2AC199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3748BA0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37AAD88E"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Implementing legislative agenda - Delivering the </w:t>
            </w:r>
            <w:r w:rsidRPr="00074FAC">
              <w:rPr>
                <w:rFonts w:ascii="Calibri" w:eastAsia="Calibri" w:hAnsi="Calibri" w:cs="Calibri"/>
                <w:i/>
                <w:iCs/>
                <w:color w:val="000000"/>
                <w:sz w:val="18"/>
              </w:rPr>
              <w:t>Multicultural Recognition Act</w:t>
            </w:r>
          </w:p>
        </w:tc>
        <w:tc>
          <w:tcPr>
            <w:tcW w:w="960" w:type="dxa"/>
            <w:tcBorders>
              <w:top w:val="nil"/>
              <w:left w:val="nil"/>
              <w:bottom w:val="nil"/>
              <w:right w:val="nil"/>
              <w:tl2br w:val="nil"/>
              <w:tr2bl w:val="nil"/>
            </w:tcBorders>
            <w:shd w:val="clear" w:color="auto" w:fill="auto"/>
            <w:noWrap/>
            <w:tcMar>
              <w:left w:w="101" w:type="dxa"/>
              <w:right w:w="101" w:type="dxa"/>
            </w:tcMar>
          </w:tcPr>
          <w:p w14:paraId="30428A2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3BA56A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218</w:t>
            </w:r>
          </w:p>
        </w:tc>
        <w:tc>
          <w:tcPr>
            <w:tcW w:w="900" w:type="dxa"/>
            <w:tcBorders>
              <w:top w:val="nil"/>
              <w:left w:val="nil"/>
              <w:bottom w:val="nil"/>
              <w:right w:val="nil"/>
              <w:tl2br w:val="nil"/>
              <w:tr2bl w:val="nil"/>
            </w:tcBorders>
            <w:shd w:val="clear" w:color="auto" w:fill="auto"/>
            <w:noWrap/>
            <w:tcMar>
              <w:left w:w="101" w:type="dxa"/>
              <w:right w:w="101" w:type="dxa"/>
            </w:tcMar>
          </w:tcPr>
          <w:p w14:paraId="1E9B1AC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267</w:t>
            </w:r>
          </w:p>
        </w:tc>
        <w:tc>
          <w:tcPr>
            <w:tcW w:w="900" w:type="dxa"/>
            <w:tcBorders>
              <w:top w:val="nil"/>
              <w:left w:val="nil"/>
              <w:bottom w:val="nil"/>
              <w:right w:val="nil"/>
              <w:tl2br w:val="nil"/>
              <w:tr2bl w:val="nil"/>
            </w:tcBorders>
            <w:shd w:val="clear" w:color="auto" w:fill="auto"/>
            <w:noWrap/>
            <w:tcMar>
              <w:left w:w="101" w:type="dxa"/>
              <w:right w:w="101" w:type="dxa"/>
            </w:tcMar>
          </w:tcPr>
          <w:p w14:paraId="3F5E795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662CC6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0B60D1D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7C147461" w14:textId="77777777" w:rsidR="00795C9B" w:rsidRPr="00795C9B" w:rsidRDefault="00795C9B" w:rsidP="006D3501">
            <w:pPr>
              <w:pStyle w:val="Normal0"/>
              <w:rPr>
                <w:rFonts w:ascii="Calibri" w:eastAsia="Calibri" w:hAnsi="Calibri" w:cs="Calibri"/>
                <w:color w:val="000000"/>
                <w:sz w:val="18"/>
              </w:rPr>
            </w:pPr>
            <w:r w:rsidRPr="00795C9B">
              <w:rPr>
                <w:rFonts w:ascii="Calibri" w:eastAsia="Calibri" w:hAnsi="Calibri" w:cs="Calibri"/>
                <w:color w:val="000000"/>
                <w:sz w:val="18"/>
              </w:rPr>
              <w:t xml:space="preserve">Implementing legislative agenda - Modernising the </w:t>
            </w:r>
            <w:r w:rsidRPr="00795C9B">
              <w:rPr>
                <w:rFonts w:ascii="Calibri" w:eastAsia="Calibri" w:hAnsi="Calibri" w:cs="Calibri"/>
                <w:color w:val="000000"/>
                <w:sz w:val="18"/>
              </w:rPr>
              <w:br/>
            </w:r>
            <w:r w:rsidRPr="00795C9B">
              <w:rPr>
                <w:rFonts w:ascii="Calibri" w:eastAsia="Calibri" w:hAnsi="Calibri" w:cs="Calibri"/>
                <w:i/>
                <w:iCs/>
                <w:color w:val="000000"/>
                <w:sz w:val="18"/>
              </w:rPr>
              <w:t>Children and Young People Act 2008</w:t>
            </w:r>
          </w:p>
        </w:tc>
        <w:tc>
          <w:tcPr>
            <w:tcW w:w="960" w:type="dxa"/>
            <w:tcBorders>
              <w:top w:val="nil"/>
              <w:left w:val="nil"/>
              <w:bottom w:val="nil"/>
              <w:right w:val="nil"/>
              <w:tl2br w:val="nil"/>
              <w:tr2bl w:val="nil"/>
            </w:tcBorders>
            <w:shd w:val="clear" w:color="auto" w:fill="auto"/>
            <w:noWrap/>
            <w:tcMar>
              <w:left w:w="101" w:type="dxa"/>
              <w:right w:w="101" w:type="dxa"/>
            </w:tcMar>
          </w:tcPr>
          <w:p w14:paraId="37C19A09" w14:textId="77777777" w:rsidR="00795C9B" w:rsidRPr="00795C9B" w:rsidRDefault="00795C9B" w:rsidP="006D3501">
            <w:pPr>
              <w:pStyle w:val="Normal0"/>
              <w:jc w:val="right"/>
              <w:rPr>
                <w:rFonts w:ascii="Calibri" w:eastAsia="Calibri" w:hAnsi="Calibri" w:cs="Calibri"/>
                <w:color w:val="000000"/>
                <w:sz w:val="18"/>
              </w:rPr>
            </w:pPr>
            <w:r w:rsidRPr="00795C9B">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93F1B39" w14:textId="77777777" w:rsidR="00795C9B" w:rsidRPr="00795C9B" w:rsidRDefault="00795C9B" w:rsidP="006D3501">
            <w:pPr>
              <w:pStyle w:val="Normal0"/>
              <w:jc w:val="right"/>
              <w:rPr>
                <w:rFonts w:ascii="Calibri" w:eastAsia="Calibri" w:hAnsi="Calibri" w:cs="Calibri"/>
                <w:color w:val="000000"/>
                <w:sz w:val="18"/>
              </w:rPr>
            </w:pPr>
            <w:r w:rsidRPr="00795C9B">
              <w:rPr>
                <w:rFonts w:ascii="Calibri" w:eastAsia="Calibri" w:hAnsi="Calibri" w:cs="Calibri"/>
                <w:color w:val="000000"/>
                <w:sz w:val="18"/>
              </w:rPr>
              <w:t>597</w:t>
            </w:r>
          </w:p>
        </w:tc>
        <w:tc>
          <w:tcPr>
            <w:tcW w:w="900" w:type="dxa"/>
            <w:tcBorders>
              <w:top w:val="nil"/>
              <w:left w:val="nil"/>
              <w:bottom w:val="nil"/>
              <w:right w:val="nil"/>
              <w:tl2br w:val="nil"/>
              <w:tr2bl w:val="nil"/>
            </w:tcBorders>
            <w:shd w:val="clear" w:color="auto" w:fill="auto"/>
            <w:noWrap/>
            <w:tcMar>
              <w:left w:w="101" w:type="dxa"/>
              <w:right w:w="101" w:type="dxa"/>
            </w:tcMar>
          </w:tcPr>
          <w:p w14:paraId="250405EB" w14:textId="77777777" w:rsidR="00795C9B" w:rsidRPr="00795C9B" w:rsidRDefault="00795C9B" w:rsidP="006D3501">
            <w:pPr>
              <w:pStyle w:val="Normal0"/>
              <w:jc w:val="right"/>
              <w:rPr>
                <w:rFonts w:ascii="Calibri" w:eastAsia="Calibri" w:hAnsi="Calibri" w:cs="Calibri"/>
                <w:color w:val="000000"/>
                <w:sz w:val="18"/>
              </w:rPr>
            </w:pPr>
            <w:r w:rsidRPr="00795C9B">
              <w:rPr>
                <w:rFonts w:ascii="Calibri" w:eastAsia="Calibri" w:hAnsi="Calibri" w:cs="Calibri"/>
                <w:color w:val="000000"/>
                <w:sz w:val="18"/>
              </w:rPr>
              <w:t>783</w:t>
            </w:r>
          </w:p>
        </w:tc>
        <w:tc>
          <w:tcPr>
            <w:tcW w:w="900" w:type="dxa"/>
            <w:tcBorders>
              <w:top w:val="nil"/>
              <w:left w:val="nil"/>
              <w:bottom w:val="nil"/>
              <w:right w:val="nil"/>
              <w:tl2br w:val="nil"/>
              <w:tr2bl w:val="nil"/>
            </w:tcBorders>
            <w:shd w:val="clear" w:color="auto" w:fill="auto"/>
            <w:noWrap/>
            <w:tcMar>
              <w:left w:w="101" w:type="dxa"/>
              <w:right w:w="101" w:type="dxa"/>
            </w:tcMar>
          </w:tcPr>
          <w:p w14:paraId="2663C24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595</w:t>
            </w:r>
          </w:p>
        </w:tc>
        <w:tc>
          <w:tcPr>
            <w:tcW w:w="900" w:type="dxa"/>
            <w:tcBorders>
              <w:top w:val="nil"/>
              <w:left w:val="nil"/>
              <w:bottom w:val="nil"/>
              <w:right w:val="nil"/>
              <w:tl2br w:val="nil"/>
              <w:tr2bl w:val="nil"/>
            </w:tcBorders>
            <w:shd w:val="clear" w:color="auto" w:fill="auto"/>
            <w:noWrap/>
            <w:tcMar>
              <w:left w:w="101" w:type="dxa"/>
              <w:right w:w="101" w:type="dxa"/>
            </w:tcMar>
          </w:tcPr>
          <w:p w14:paraId="5C217A6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7643968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1C5F6047"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Implementing legislative agenda - Reforming the minimum age of criminal responsibility</w:t>
            </w:r>
          </w:p>
        </w:tc>
        <w:tc>
          <w:tcPr>
            <w:tcW w:w="960" w:type="dxa"/>
            <w:tcBorders>
              <w:top w:val="nil"/>
              <w:left w:val="nil"/>
              <w:bottom w:val="nil"/>
              <w:right w:val="nil"/>
              <w:tl2br w:val="nil"/>
              <w:tr2bl w:val="nil"/>
            </w:tcBorders>
            <w:shd w:val="clear" w:color="auto" w:fill="auto"/>
            <w:noWrap/>
            <w:tcMar>
              <w:left w:w="101" w:type="dxa"/>
              <w:right w:w="101" w:type="dxa"/>
            </w:tcMar>
          </w:tcPr>
          <w:p w14:paraId="11FD539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E7CB2D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119</w:t>
            </w:r>
          </w:p>
        </w:tc>
        <w:tc>
          <w:tcPr>
            <w:tcW w:w="900" w:type="dxa"/>
            <w:tcBorders>
              <w:top w:val="nil"/>
              <w:left w:val="nil"/>
              <w:bottom w:val="nil"/>
              <w:right w:val="nil"/>
              <w:tl2br w:val="nil"/>
              <w:tr2bl w:val="nil"/>
            </w:tcBorders>
            <w:shd w:val="clear" w:color="auto" w:fill="auto"/>
            <w:noWrap/>
            <w:tcMar>
              <w:left w:w="101" w:type="dxa"/>
              <w:right w:w="101" w:type="dxa"/>
            </w:tcMar>
          </w:tcPr>
          <w:p w14:paraId="50E63DB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160</w:t>
            </w:r>
          </w:p>
        </w:tc>
        <w:tc>
          <w:tcPr>
            <w:tcW w:w="900" w:type="dxa"/>
            <w:tcBorders>
              <w:top w:val="nil"/>
              <w:left w:val="nil"/>
              <w:bottom w:val="nil"/>
              <w:right w:val="nil"/>
              <w:tl2br w:val="nil"/>
              <w:tr2bl w:val="nil"/>
            </w:tcBorders>
            <w:shd w:val="clear" w:color="auto" w:fill="auto"/>
            <w:noWrap/>
            <w:tcMar>
              <w:left w:w="101" w:type="dxa"/>
              <w:right w:w="101" w:type="dxa"/>
            </w:tcMar>
          </w:tcPr>
          <w:p w14:paraId="2BDAA49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DE9328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269F92F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9F2385F"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Improving safety at </w:t>
            </w:r>
            <w:proofErr w:type="spellStart"/>
            <w:r>
              <w:rPr>
                <w:rFonts w:ascii="Calibri" w:eastAsia="Calibri" w:hAnsi="Calibri" w:cs="Calibri"/>
                <w:color w:val="000000"/>
                <w:sz w:val="18"/>
              </w:rPr>
              <w:t>Bimberi</w:t>
            </w:r>
            <w:proofErr w:type="spellEnd"/>
            <w:r>
              <w:rPr>
                <w:rFonts w:ascii="Calibri" w:eastAsia="Calibri" w:hAnsi="Calibri" w:cs="Calibri"/>
                <w:color w:val="000000"/>
                <w:sz w:val="18"/>
              </w:rPr>
              <w:t xml:space="preserve"> Youth Justice Centre</w:t>
            </w:r>
          </w:p>
        </w:tc>
        <w:tc>
          <w:tcPr>
            <w:tcW w:w="960" w:type="dxa"/>
            <w:tcBorders>
              <w:top w:val="nil"/>
              <w:left w:val="nil"/>
              <w:bottom w:val="nil"/>
              <w:right w:val="nil"/>
              <w:tl2br w:val="nil"/>
              <w:tr2bl w:val="nil"/>
            </w:tcBorders>
            <w:shd w:val="clear" w:color="auto" w:fill="auto"/>
            <w:noWrap/>
            <w:tcMar>
              <w:left w:w="101" w:type="dxa"/>
              <w:right w:w="101" w:type="dxa"/>
            </w:tcMar>
          </w:tcPr>
          <w:p w14:paraId="7C69561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017EE4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225</w:t>
            </w:r>
          </w:p>
        </w:tc>
        <w:tc>
          <w:tcPr>
            <w:tcW w:w="900" w:type="dxa"/>
            <w:tcBorders>
              <w:top w:val="nil"/>
              <w:left w:val="nil"/>
              <w:bottom w:val="nil"/>
              <w:right w:val="nil"/>
              <w:tl2br w:val="nil"/>
              <w:tr2bl w:val="nil"/>
            </w:tcBorders>
            <w:shd w:val="clear" w:color="auto" w:fill="auto"/>
            <w:noWrap/>
            <w:tcMar>
              <w:left w:w="101" w:type="dxa"/>
              <w:right w:w="101" w:type="dxa"/>
            </w:tcMar>
          </w:tcPr>
          <w:p w14:paraId="611C9F1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228</w:t>
            </w:r>
          </w:p>
        </w:tc>
        <w:tc>
          <w:tcPr>
            <w:tcW w:w="900" w:type="dxa"/>
            <w:tcBorders>
              <w:top w:val="nil"/>
              <w:left w:val="nil"/>
              <w:bottom w:val="nil"/>
              <w:right w:val="nil"/>
              <w:tl2br w:val="nil"/>
              <w:tr2bl w:val="nil"/>
            </w:tcBorders>
            <w:shd w:val="clear" w:color="auto" w:fill="auto"/>
            <w:noWrap/>
            <w:tcMar>
              <w:left w:w="101" w:type="dxa"/>
              <w:right w:w="101" w:type="dxa"/>
            </w:tcMar>
          </w:tcPr>
          <w:p w14:paraId="2210F17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231</w:t>
            </w:r>
          </w:p>
        </w:tc>
        <w:tc>
          <w:tcPr>
            <w:tcW w:w="900" w:type="dxa"/>
            <w:tcBorders>
              <w:top w:val="nil"/>
              <w:left w:val="nil"/>
              <w:bottom w:val="nil"/>
              <w:right w:val="nil"/>
              <w:tl2br w:val="nil"/>
              <w:tr2bl w:val="nil"/>
            </w:tcBorders>
            <w:shd w:val="clear" w:color="auto" w:fill="auto"/>
            <w:noWrap/>
            <w:tcMar>
              <w:left w:w="101" w:type="dxa"/>
              <w:right w:w="101" w:type="dxa"/>
            </w:tcMar>
          </w:tcPr>
          <w:p w14:paraId="7F0CBC4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234</w:t>
            </w:r>
          </w:p>
        </w:tc>
      </w:tr>
      <w:tr w:rsidR="00795C9B" w14:paraId="07A65BF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2D4BC01"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Integrated Service Response Program</w:t>
            </w:r>
          </w:p>
        </w:tc>
        <w:tc>
          <w:tcPr>
            <w:tcW w:w="960" w:type="dxa"/>
            <w:tcBorders>
              <w:top w:val="nil"/>
              <w:left w:val="nil"/>
              <w:bottom w:val="nil"/>
              <w:right w:val="nil"/>
              <w:tl2br w:val="nil"/>
              <w:tr2bl w:val="nil"/>
            </w:tcBorders>
            <w:shd w:val="clear" w:color="auto" w:fill="auto"/>
            <w:noWrap/>
            <w:tcMar>
              <w:left w:w="101" w:type="dxa"/>
              <w:right w:w="101" w:type="dxa"/>
            </w:tcMar>
          </w:tcPr>
          <w:p w14:paraId="463D62C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C0271A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1,048</w:t>
            </w:r>
          </w:p>
        </w:tc>
        <w:tc>
          <w:tcPr>
            <w:tcW w:w="900" w:type="dxa"/>
            <w:tcBorders>
              <w:top w:val="nil"/>
              <w:left w:val="nil"/>
              <w:bottom w:val="nil"/>
              <w:right w:val="nil"/>
              <w:tl2br w:val="nil"/>
              <w:tr2bl w:val="nil"/>
            </w:tcBorders>
            <w:shd w:val="clear" w:color="auto" w:fill="auto"/>
            <w:noWrap/>
            <w:tcMar>
              <w:left w:w="101" w:type="dxa"/>
              <w:right w:w="101" w:type="dxa"/>
            </w:tcMar>
          </w:tcPr>
          <w:p w14:paraId="44CE46C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936</w:t>
            </w:r>
          </w:p>
        </w:tc>
        <w:tc>
          <w:tcPr>
            <w:tcW w:w="900" w:type="dxa"/>
            <w:tcBorders>
              <w:top w:val="nil"/>
              <w:left w:val="nil"/>
              <w:bottom w:val="nil"/>
              <w:right w:val="nil"/>
              <w:tl2br w:val="nil"/>
              <w:tr2bl w:val="nil"/>
            </w:tcBorders>
            <w:shd w:val="clear" w:color="auto" w:fill="auto"/>
            <w:noWrap/>
            <w:tcMar>
              <w:left w:w="101" w:type="dxa"/>
              <w:right w:w="101" w:type="dxa"/>
            </w:tcMar>
          </w:tcPr>
          <w:p w14:paraId="387EA5A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943</w:t>
            </w:r>
          </w:p>
        </w:tc>
        <w:tc>
          <w:tcPr>
            <w:tcW w:w="900" w:type="dxa"/>
            <w:tcBorders>
              <w:top w:val="nil"/>
              <w:left w:val="nil"/>
              <w:bottom w:val="nil"/>
              <w:right w:val="nil"/>
              <w:tl2br w:val="nil"/>
              <w:tr2bl w:val="nil"/>
            </w:tcBorders>
            <w:shd w:val="clear" w:color="auto" w:fill="auto"/>
            <w:noWrap/>
            <w:tcMar>
              <w:left w:w="101" w:type="dxa"/>
              <w:right w:w="101" w:type="dxa"/>
            </w:tcMar>
          </w:tcPr>
          <w:p w14:paraId="6DA5AB3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948</w:t>
            </w:r>
          </w:p>
        </w:tc>
      </w:tr>
      <w:tr w:rsidR="00795C9B" w14:paraId="39F144A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1423A7E5"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JACS - Delivery of Government Priorities – Commonwealth Redress Scheme</w:t>
            </w:r>
          </w:p>
        </w:tc>
        <w:tc>
          <w:tcPr>
            <w:tcW w:w="960" w:type="dxa"/>
            <w:tcBorders>
              <w:top w:val="nil"/>
              <w:left w:val="nil"/>
              <w:bottom w:val="nil"/>
              <w:right w:val="nil"/>
              <w:tl2br w:val="nil"/>
              <w:tr2bl w:val="nil"/>
            </w:tcBorders>
            <w:shd w:val="clear" w:color="auto" w:fill="auto"/>
            <w:noWrap/>
            <w:tcMar>
              <w:left w:w="101" w:type="dxa"/>
              <w:right w:w="101" w:type="dxa"/>
            </w:tcMar>
          </w:tcPr>
          <w:p w14:paraId="36ECAB6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0782C2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470</w:t>
            </w:r>
          </w:p>
        </w:tc>
        <w:tc>
          <w:tcPr>
            <w:tcW w:w="900" w:type="dxa"/>
            <w:tcBorders>
              <w:top w:val="nil"/>
              <w:left w:val="nil"/>
              <w:bottom w:val="nil"/>
              <w:right w:val="nil"/>
              <w:tl2br w:val="nil"/>
              <w:tr2bl w:val="nil"/>
            </w:tcBorders>
            <w:shd w:val="clear" w:color="auto" w:fill="auto"/>
            <w:noWrap/>
            <w:tcMar>
              <w:left w:w="101" w:type="dxa"/>
              <w:right w:w="101" w:type="dxa"/>
            </w:tcMar>
          </w:tcPr>
          <w:p w14:paraId="0D43255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476</w:t>
            </w:r>
          </w:p>
        </w:tc>
        <w:tc>
          <w:tcPr>
            <w:tcW w:w="900" w:type="dxa"/>
            <w:tcBorders>
              <w:top w:val="nil"/>
              <w:left w:val="nil"/>
              <w:bottom w:val="nil"/>
              <w:right w:val="nil"/>
              <w:tl2br w:val="nil"/>
              <w:tr2bl w:val="nil"/>
            </w:tcBorders>
            <w:shd w:val="clear" w:color="auto" w:fill="auto"/>
            <w:noWrap/>
            <w:tcMar>
              <w:left w:w="101" w:type="dxa"/>
              <w:right w:w="101" w:type="dxa"/>
            </w:tcMar>
          </w:tcPr>
          <w:p w14:paraId="63FD666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483</w:t>
            </w:r>
          </w:p>
        </w:tc>
        <w:tc>
          <w:tcPr>
            <w:tcW w:w="900" w:type="dxa"/>
            <w:tcBorders>
              <w:top w:val="nil"/>
              <w:left w:val="nil"/>
              <w:bottom w:val="nil"/>
              <w:right w:val="nil"/>
              <w:tl2br w:val="nil"/>
              <w:tr2bl w:val="nil"/>
            </w:tcBorders>
            <w:shd w:val="clear" w:color="auto" w:fill="auto"/>
            <w:noWrap/>
            <w:tcMar>
              <w:left w:w="101" w:type="dxa"/>
              <w:right w:w="101" w:type="dxa"/>
            </w:tcMar>
          </w:tcPr>
          <w:p w14:paraId="0B4D924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489</w:t>
            </w:r>
          </w:p>
        </w:tc>
      </w:tr>
      <w:tr w:rsidR="00795C9B" w14:paraId="4C8121A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7E35723"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Maintaining accountability and transparency of government</w:t>
            </w:r>
          </w:p>
        </w:tc>
        <w:tc>
          <w:tcPr>
            <w:tcW w:w="960" w:type="dxa"/>
            <w:tcBorders>
              <w:top w:val="nil"/>
              <w:left w:val="nil"/>
              <w:bottom w:val="nil"/>
              <w:right w:val="nil"/>
              <w:tl2br w:val="nil"/>
              <w:tr2bl w:val="nil"/>
            </w:tcBorders>
            <w:shd w:val="clear" w:color="auto" w:fill="auto"/>
            <w:noWrap/>
            <w:tcMar>
              <w:left w:w="101" w:type="dxa"/>
              <w:right w:w="101" w:type="dxa"/>
            </w:tcMar>
          </w:tcPr>
          <w:p w14:paraId="6792DAD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7E15C9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830</w:t>
            </w:r>
          </w:p>
        </w:tc>
        <w:tc>
          <w:tcPr>
            <w:tcW w:w="900" w:type="dxa"/>
            <w:tcBorders>
              <w:top w:val="nil"/>
              <w:left w:val="nil"/>
              <w:bottom w:val="nil"/>
              <w:right w:val="nil"/>
              <w:tl2br w:val="nil"/>
              <w:tr2bl w:val="nil"/>
            </w:tcBorders>
            <w:shd w:val="clear" w:color="auto" w:fill="auto"/>
            <w:noWrap/>
            <w:tcMar>
              <w:left w:w="101" w:type="dxa"/>
              <w:right w:w="101" w:type="dxa"/>
            </w:tcMar>
          </w:tcPr>
          <w:p w14:paraId="6BA8FBF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840</w:t>
            </w:r>
          </w:p>
        </w:tc>
        <w:tc>
          <w:tcPr>
            <w:tcW w:w="900" w:type="dxa"/>
            <w:tcBorders>
              <w:top w:val="nil"/>
              <w:left w:val="nil"/>
              <w:bottom w:val="nil"/>
              <w:right w:val="nil"/>
              <w:tl2br w:val="nil"/>
              <w:tr2bl w:val="nil"/>
            </w:tcBorders>
            <w:shd w:val="clear" w:color="auto" w:fill="auto"/>
            <w:noWrap/>
            <w:tcMar>
              <w:left w:w="101" w:type="dxa"/>
              <w:right w:w="101" w:type="dxa"/>
            </w:tcMar>
          </w:tcPr>
          <w:p w14:paraId="4CD6418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-232</w:t>
            </w:r>
          </w:p>
        </w:tc>
        <w:tc>
          <w:tcPr>
            <w:tcW w:w="900" w:type="dxa"/>
            <w:tcBorders>
              <w:top w:val="nil"/>
              <w:left w:val="nil"/>
              <w:bottom w:val="nil"/>
              <w:right w:val="nil"/>
              <w:tl2br w:val="nil"/>
              <w:tr2bl w:val="nil"/>
            </w:tcBorders>
            <w:shd w:val="clear" w:color="auto" w:fill="auto"/>
            <w:noWrap/>
            <w:tcMar>
              <w:left w:w="101" w:type="dxa"/>
              <w:right w:w="101" w:type="dxa"/>
            </w:tcMar>
          </w:tcPr>
          <w:p w14:paraId="529C2D4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-237</w:t>
            </w:r>
          </w:p>
        </w:tc>
      </w:tr>
      <w:tr w:rsidR="00795C9B" w14:paraId="5BF27D6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0F5EED9"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Maintaining systems, supporting practice - Record Information System</w:t>
            </w:r>
          </w:p>
        </w:tc>
        <w:tc>
          <w:tcPr>
            <w:tcW w:w="960" w:type="dxa"/>
            <w:tcBorders>
              <w:top w:val="nil"/>
              <w:left w:val="nil"/>
              <w:bottom w:val="nil"/>
              <w:right w:val="nil"/>
              <w:tl2br w:val="nil"/>
              <w:tr2bl w:val="nil"/>
            </w:tcBorders>
            <w:shd w:val="clear" w:color="auto" w:fill="auto"/>
            <w:noWrap/>
            <w:tcMar>
              <w:left w:w="101" w:type="dxa"/>
              <w:right w:w="101" w:type="dxa"/>
            </w:tcMar>
          </w:tcPr>
          <w:p w14:paraId="45D8BE1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702631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1,557</w:t>
            </w:r>
          </w:p>
        </w:tc>
        <w:tc>
          <w:tcPr>
            <w:tcW w:w="900" w:type="dxa"/>
            <w:tcBorders>
              <w:top w:val="nil"/>
              <w:left w:val="nil"/>
              <w:bottom w:val="nil"/>
              <w:right w:val="nil"/>
              <w:tl2br w:val="nil"/>
              <w:tr2bl w:val="nil"/>
            </w:tcBorders>
            <w:shd w:val="clear" w:color="auto" w:fill="auto"/>
            <w:noWrap/>
            <w:tcMar>
              <w:left w:w="101" w:type="dxa"/>
              <w:right w:w="101" w:type="dxa"/>
            </w:tcMar>
          </w:tcPr>
          <w:p w14:paraId="21A002D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1,619</w:t>
            </w:r>
          </w:p>
        </w:tc>
        <w:tc>
          <w:tcPr>
            <w:tcW w:w="900" w:type="dxa"/>
            <w:tcBorders>
              <w:top w:val="nil"/>
              <w:left w:val="nil"/>
              <w:bottom w:val="nil"/>
              <w:right w:val="nil"/>
              <w:tl2br w:val="nil"/>
              <w:tr2bl w:val="nil"/>
            </w:tcBorders>
            <w:shd w:val="clear" w:color="auto" w:fill="auto"/>
            <w:noWrap/>
            <w:tcMar>
              <w:left w:w="101" w:type="dxa"/>
              <w:right w:w="101" w:type="dxa"/>
            </w:tcMar>
          </w:tcPr>
          <w:p w14:paraId="129975E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1,643</w:t>
            </w:r>
          </w:p>
        </w:tc>
        <w:tc>
          <w:tcPr>
            <w:tcW w:w="900" w:type="dxa"/>
            <w:tcBorders>
              <w:top w:val="nil"/>
              <w:left w:val="nil"/>
              <w:bottom w:val="nil"/>
              <w:right w:val="nil"/>
              <w:tl2br w:val="nil"/>
              <w:tr2bl w:val="nil"/>
            </w:tcBorders>
            <w:shd w:val="clear" w:color="auto" w:fill="auto"/>
            <w:noWrap/>
            <w:tcMar>
              <w:left w:w="101" w:type="dxa"/>
              <w:right w:w="101" w:type="dxa"/>
            </w:tcMar>
          </w:tcPr>
          <w:p w14:paraId="244DE90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1,669</w:t>
            </w:r>
          </w:p>
        </w:tc>
      </w:tr>
      <w:tr w:rsidR="00795C9B" w14:paraId="41375E0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0C19E8E"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More support for the Children and Young People Equipment Loan Service</w:t>
            </w:r>
          </w:p>
        </w:tc>
        <w:tc>
          <w:tcPr>
            <w:tcW w:w="960" w:type="dxa"/>
            <w:tcBorders>
              <w:top w:val="nil"/>
              <w:left w:val="nil"/>
              <w:bottom w:val="nil"/>
              <w:right w:val="nil"/>
              <w:tl2br w:val="nil"/>
              <w:tr2bl w:val="nil"/>
            </w:tcBorders>
            <w:shd w:val="clear" w:color="auto" w:fill="auto"/>
            <w:noWrap/>
            <w:tcMar>
              <w:left w:w="101" w:type="dxa"/>
              <w:right w:w="101" w:type="dxa"/>
            </w:tcMar>
          </w:tcPr>
          <w:p w14:paraId="1EEC61A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D6B737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555</w:t>
            </w:r>
          </w:p>
        </w:tc>
        <w:tc>
          <w:tcPr>
            <w:tcW w:w="900" w:type="dxa"/>
            <w:tcBorders>
              <w:top w:val="nil"/>
              <w:left w:val="nil"/>
              <w:bottom w:val="nil"/>
              <w:right w:val="nil"/>
              <w:tl2br w:val="nil"/>
              <w:tr2bl w:val="nil"/>
            </w:tcBorders>
            <w:shd w:val="clear" w:color="auto" w:fill="auto"/>
            <w:noWrap/>
            <w:tcMar>
              <w:left w:w="101" w:type="dxa"/>
              <w:right w:w="101" w:type="dxa"/>
            </w:tcMar>
          </w:tcPr>
          <w:p w14:paraId="4E38ED1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8EB5EC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8A085B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6895055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41F1F91"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National Multicultural Festival – 25th Anniversary</w:t>
            </w:r>
          </w:p>
        </w:tc>
        <w:tc>
          <w:tcPr>
            <w:tcW w:w="960" w:type="dxa"/>
            <w:tcBorders>
              <w:top w:val="nil"/>
              <w:left w:val="nil"/>
              <w:bottom w:val="nil"/>
              <w:right w:val="nil"/>
              <w:tl2br w:val="nil"/>
              <w:tr2bl w:val="nil"/>
            </w:tcBorders>
            <w:shd w:val="clear" w:color="auto" w:fill="auto"/>
            <w:noWrap/>
            <w:tcMar>
              <w:left w:w="101" w:type="dxa"/>
              <w:right w:w="101" w:type="dxa"/>
            </w:tcMar>
          </w:tcPr>
          <w:p w14:paraId="390ABC2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BE183D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400</w:t>
            </w:r>
          </w:p>
        </w:tc>
        <w:tc>
          <w:tcPr>
            <w:tcW w:w="900" w:type="dxa"/>
            <w:tcBorders>
              <w:top w:val="nil"/>
              <w:left w:val="nil"/>
              <w:bottom w:val="nil"/>
              <w:right w:val="nil"/>
              <w:tl2br w:val="nil"/>
              <w:tr2bl w:val="nil"/>
            </w:tcBorders>
            <w:shd w:val="clear" w:color="auto" w:fill="auto"/>
            <w:noWrap/>
            <w:tcMar>
              <w:left w:w="101" w:type="dxa"/>
              <w:right w:w="101" w:type="dxa"/>
            </w:tcMar>
          </w:tcPr>
          <w:p w14:paraId="458B3D6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9C0372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E114BC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0525605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7FB5BC3"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Refugee, Asylum Seeker and </w:t>
            </w:r>
            <w:proofErr w:type="spellStart"/>
            <w:r>
              <w:rPr>
                <w:rFonts w:ascii="Calibri" w:eastAsia="Calibri" w:hAnsi="Calibri" w:cs="Calibri"/>
                <w:color w:val="000000"/>
                <w:sz w:val="18"/>
              </w:rPr>
              <w:t>Humnanitarian</w:t>
            </w:r>
            <w:proofErr w:type="spellEnd"/>
            <w:r>
              <w:rPr>
                <w:rFonts w:ascii="Calibri" w:eastAsia="Calibri" w:hAnsi="Calibri" w:cs="Calibri"/>
                <w:color w:val="000000"/>
                <w:sz w:val="18"/>
              </w:rPr>
              <w:t xml:space="preserve"> (RASH) program</w:t>
            </w:r>
          </w:p>
        </w:tc>
        <w:tc>
          <w:tcPr>
            <w:tcW w:w="960" w:type="dxa"/>
            <w:tcBorders>
              <w:top w:val="nil"/>
              <w:left w:val="nil"/>
              <w:bottom w:val="nil"/>
              <w:right w:val="nil"/>
              <w:tl2br w:val="nil"/>
              <w:tr2bl w:val="nil"/>
            </w:tcBorders>
            <w:shd w:val="clear" w:color="auto" w:fill="auto"/>
            <w:noWrap/>
            <w:tcMar>
              <w:left w:w="101" w:type="dxa"/>
              <w:right w:w="101" w:type="dxa"/>
            </w:tcMar>
          </w:tcPr>
          <w:p w14:paraId="40FC0A4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0240A3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120</w:t>
            </w:r>
          </w:p>
        </w:tc>
        <w:tc>
          <w:tcPr>
            <w:tcW w:w="900" w:type="dxa"/>
            <w:tcBorders>
              <w:top w:val="nil"/>
              <w:left w:val="nil"/>
              <w:bottom w:val="nil"/>
              <w:right w:val="nil"/>
              <w:tl2br w:val="nil"/>
              <w:tr2bl w:val="nil"/>
            </w:tcBorders>
            <w:shd w:val="clear" w:color="auto" w:fill="auto"/>
            <w:noWrap/>
            <w:tcMar>
              <w:left w:w="101" w:type="dxa"/>
              <w:right w:w="101" w:type="dxa"/>
            </w:tcMar>
          </w:tcPr>
          <w:p w14:paraId="21A9669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AD214B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87254A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2D81450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5EE61EC"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 and connected youth</w:t>
            </w:r>
          </w:p>
        </w:tc>
        <w:tc>
          <w:tcPr>
            <w:tcW w:w="960" w:type="dxa"/>
            <w:tcBorders>
              <w:top w:val="nil"/>
              <w:left w:val="nil"/>
              <w:bottom w:val="nil"/>
              <w:right w:val="nil"/>
              <w:tl2br w:val="nil"/>
              <w:tr2bl w:val="nil"/>
            </w:tcBorders>
            <w:shd w:val="clear" w:color="auto" w:fill="auto"/>
            <w:noWrap/>
            <w:tcMar>
              <w:left w:w="101" w:type="dxa"/>
              <w:right w:w="101" w:type="dxa"/>
            </w:tcMar>
          </w:tcPr>
          <w:p w14:paraId="252F4C9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299022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1,557</w:t>
            </w:r>
          </w:p>
        </w:tc>
        <w:tc>
          <w:tcPr>
            <w:tcW w:w="900" w:type="dxa"/>
            <w:tcBorders>
              <w:top w:val="nil"/>
              <w:left w:val="nil"/>
              <w:bottom w:val="nil"/>
              <w:right w:val="nil"/>
              <w:tl2br w:val="nil"/>
              <w:tr2bl w:val="nil"/>
            </w:tcBorders>
            <w:shd w:val="clear" w:color="auto" w:fill="auto"/>
            <w:noWrap/>
            <w:tcMar>
              <w:left w:w="101" w:type="dxa"/>
              <w:right w:w="101" w:type="dxa"/>
            </w:tcMar>
          </w:tcPr>
          <w:p w14:paraId="62F3B9A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1,796</w:t>
            </w:r>
          </w:p>
        </w:tc>
        <w:tc>
          <w:tcPr>
            <w:tcW w:w="900" w:type="dxa"/>
            <w:tcBorders>
              <w:top w:val="nil"/>
              <w:left w:val="nil"/>
              <w:bottom w:val="nil"/>
              <w:right w:val="nil"/>
              <w:tl2br w:val="nil"/>
              <w:tr2bl w:val="nil"/>
            </w:tcBorders>
            <w:shd w:val="clear" w:color="auto" w:fill="auto"/>
            <w:noWrap/>
            <w:tcMar>
              <w:left w:w="101" w:type="dxa"/>
              <w:right w:w="101" w:type="dxa"/>
            </w:tcMar>
          </w:tcPr>
          <w:p w14:paraId="3B270E3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1,830</w:t>
            </w:r>
          </w:p>
        </w:tc>
        <w:tc>
          <w:tcPr>
            <w:tcW w:w="900" w:type="dxa"/>
            <w:tcBorders>
              <w:top w:val="nil"/>
              <w:left w:val="nil"/>
              <w:bottom w:val="nil"/>
              <w:right w:val="nil"/>
              <w:tl2br w:val="nil"/>
              <w:tr2bl w:val="nil"/>
            </w:tcBorders>
            <w:shd w:val="clear" w:color="auto" w:fill="auto"/>
            <w:noWrap/>
            <w:tcMar>
              <w:left w:w="101" w:type="dxa"/>
              <w:right w:w="101" w:type="dxa"/>
            </w:tcMar>
          </w:tcPr>
          <w:p w14:paraId="645860A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1,866</w:t>
            </w:r>
          </w:p>
        </w:tc>
      </w:tr>
      <w:tr w:rsidR="00795C9B" w14:paraId="133A030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343081F"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Safer Families Levy - Critical domestic and family violence support in health and community settings </w:t>
            </w:r>
            <w:r w:rsidRPr="00795C9B">
              <w:rPr>
                <w:rFonts w:ascii="Calibri" w:eastAsia="Calibri" w:hAnsi="Calibri" w:cs="Calibri"/>
                <w:color w:val="000000"/>
                <w:sz w:val="18"/>
                <w:vertAlign w:val="superscript"/>
              </w:rPr>
              <w:t>1</w:t>
            </w:r>
          </w:p>
        </w:tc>
        <w:tc>
          <w:tcPr>
            <w:tcW w:w="960" w:type="dxa"/>
            <w:tcBorders>
              <w:top w:val="nil"/>
              <w:left w:val="nil"/>
              <w:bottom w:val="nil"/>
              <w:right w:val="nil"/>
              <w:tl2br w:val="nil"/>
              <w:tr2bl w:val="nil"/>
            </w:tcBorders>
            <w:shd w:val="clear" w:color="auto" w:fill="auto"/>
            <w:noWrap/>
            <w:tcMar>
              <w:left w:w="101" w:type="dxa"/>
              <w:right w:w="101" w:type="dxa"/>
            </w:tcMar>
          </w:tcPr>
          <w:p w14:paraId="4D9B658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D92C4D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980</w:t>
            </w:r>
          </w:p>
        </w:tc>
        <w:tc>
          <w:tcPr>
            <w:tcW w:w="900" w:type="dxa"/>
            <w:tcBorders>
              <w:top w:val="nil"/>
              <w:left w:val="nil"/>
              <w:bottom w:val="nil"/>
              <w:right w:val="nil"/>
              <w:tl2br w:val="nil"/>
              <w:tr2bl w:val="nil"/>
            </w:tcBorders>
            <w:shd w:val="clear" w:color="auto" w:fill="auto"/>
            <w:noWrap/>
            <w:tcMar>
              <w:left w:w="101" w:type="dxa"/>
              <w:right w:w="101" w:type="dxa"/>
            </w:tcMar>
          </w:tcPr>
          <w:p w14:paraId="6296029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1,016</w:t>
            </w:r>
          </w:p>
        </w:tc>
        <w:tc>
          <w:tcPr>
            <w:tcW w:w="900" w:type="dxa"/>
            <w:tcBorders>
              <w:top w:val="nil"/>
              <w:left w:val="nil"/>
              <w:bottom w:val="nil"/>
              <w:right w:val="nil"/>
              <w:tl2br w:val="nil"/>
              <w:tr2bl w:val="nil"/>
            </w:tcBorders>
            <w:shd w:val="clear" w:color="auto" w:fill="auto"/>
            <w:noWrap/>
            <w:tcMar>
              <w:left w:w="101" w:type="dxa"/>
              <w:right w:w="101" w:type="dxa"/>
            </w:tcMar>
          </w:tcPr>
          <w:p w14:paraId="2FEDFAD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1,022</w:t>
            </w:r>
          </w:p>
        </w:tc>
        <w:tc>
          <w:tcPr>
            <w:tcW w:w="900" w:type="dxa"/>
            <w:tcBorders>
              <w:top w:val="nil"/>
              <w:left w:val="nil"/>
              <w:bottom w:val="nil"/>
              <w:right w:val="nil"/>
              <w:tl2br w:val="nil"/>
              <w:tr2bl w:val="nil"/>
            </w:tcBorders>
            <w:shd w:val="clear" w:color="auto" w:fill="auto"/>
            <w:noWrap/>
            <w:tcMar>
              <w:left w:w="101" w:type="dxa"/>
              <w:right w:w="101" w:type="dxa"/>
            </w:tcMar>
          </w:tcPr>
          <w:p w14:paraId="57BD462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1,046</w:t>
            </w:r>
          </w:p>
        </w:tc>
      </w:tr>
      <w:tr w:rsidR="00795C9B" w14:paraId="4D09209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3393768B"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Levy - Family Violence Safety Action Pilot - continuation</w:t>
            </w:r>
          </w:p>
        </w:tc>
        <w:tc>
          <w:tcPr>
            <w:tcW w:w="960" w:type="dxa"/>
            <w:tcBorders>
              <w:top w:val="nil"/>
              <w:left w:val="nil"/>
              <w:bottom w:val="nil"/>
              <w:right w:val="nil"/>
              <w:tl2br w:val="nil"/>
              <w:tr2bl w:val="nil"/>
            </w:tcBorders>
            <w:shd w:val="clear" w:color="auto" w:fill="auto"/>
            <w:noWrap/>
            <w:tcMar>
              <w:left w:w="101" w:type="dxa"/>
              <w:right w:w="101" w:type="dxa"/>
            </w:tcMar>
          </w:tcPr>
          <w:p w14:paraId="3B37792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A2FB20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249</w:t>
            </w:r>
          </w:p>
        </w:tc>
        <w:tc>
          <w:tcPr>
            <w:tcW w:w="900" w:type="dxa"/>
            <w:tcBorders>
              <w:top w:val="nil"/>
              <w:left w:val="nil"/>
              <w:bottom w:val="nil"/>
              <w:right w:val="nil"/>
              <w:tl2br w:val="nil"/>
              <w:tr2bl w:val="nil"/>
            </w:tcBorders>
            <w:shd w:val="clear" w:color="auto" w:fill="auto"/>
            <w:noWrap/>
            <w:tcMar>
              <w:left w:w="101" w:type="dxa"/>
              <w:right w:w="101" w:type="dxa"/>
            </w:tcMar>
          </w:tcPr>
          <w:p w14:paraId="72CD566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A77F55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70D1C7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595C9D5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72337540"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Levy - Frontline domestic violence and rape crisis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3B260DE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DEF9E3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759</w:t>
            </w:r>
          </w:p>
        </w:tc>
        <w:tc>
          <w:tcPr>
            <w:tcW w:w="900" w:type="dxa"/>
            <w:tcBorders>
              <w:top w:val="nil"/>
              <w:left w:val="nil"/>
              <w:bottom w:val="nil"/>
              <w:right w:val="nil"/>
              <w:tl2br w:val="nil"/>
              <w:tr2bl w:val="nil"/>
            </w:tcBorders>
            <w:shd w:val="clear" w:color="auto" w:fill="auto"/>
            <w:noWrap/>
            <w:tcMar>
              <w:left w:w="101" w:type="dxa"/>
              <w:right w:w="101" w:type="dxa"/>
            </w:tcMar>
          </w:tcPr>
          <w:p w14:paraId="2C94D11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458</w:t>
            </w:r>
          </w:p>
        </w:tc>
        <w:tc>
          <w:tcPr>
            <w:tcW w:w="900" w:type="dxa"/>
            <w:tcBorders>
              <w:top w:val="nil"/>
              <w:left w:val="nil"/>
              <w:bottom w:val="nil"/>
              <w:right w:val="nil"/>
              <w:tl2br w:val="nil"/>
              <w:tr2bl w:val="nil"/>
            </w:tcBorders>
            <w:shd w:val="clear" w:color="auto" w:fill="auto"/>
            <w:noWrap/>
            <w:tcMar>
              <w:left w:w="101" w:type="dxa"/>
              <w:right w:w="101" w:type="dxa"/>
            </w:tcMar>
          </w:tcPr>
          <w:p w14:paraId="6426FD0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465</w:t>
            </w:r>
          </w:p>
        </w:tc>
        <w:tc>
          <w:tcPr>
            <w:tcW w:w="900" w:type="dxa"/>
            <w:tcBorders>
              <w:top w:val="nil"/>
              <w:left w:val="nil"/>
              <w:bottom w:val="nil"/>
              <w:right w:val="nil"/>
              <w:tl2br w:val="nil"/>
              <w:tr2bl w:val="nil"/>
            </w:tcBorders>
            <w:shd w:val="clear" w:color="auto" w:fill="auto"/>
            <w:noWrap/>
            <w:tcMar>
              <w:left w:w="101" w:type="dxa"/>
              <w:right w:w="101" w:type="dxa"/>
            </w:tcMar>
          </w:tcPr>
          <w:p w14:paraId="46C6F2C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476</w:t>
            </w:r>
          </w:p>
        </w:tc>
      </w:tr>
      <w:tr w:rsidR="00795C9B" w14:paraId="58043EB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510C5B9B"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Safer Families Levy - Private rental assistance for people experiencing domestic violence </w:t>
            </w:r>
            <w:r w:rsidRPr="00795C9B">
              <w:rPr>
                <w:rFonts w:ascii="Calibri" w:eastAsia="Calibri" w:hAnsi="Calibri" w:cs="Calibri"/>
                <w:color w:val="000000"/>
                <w:sz w:val="18"/>
                <w:vertAlign w:val="superscript"/>
              </w:rPr>
              <w:t>1, 2</w:t>
            </w:r>
          </w:p>
        </w:tc>
        <w:tc>
          <w:tcPr>
            <w:tcW w:w="960" w:type="dxa"/>
            <w:tcBorders>
              <w:top w:val="nil"/>
              <w:left w:val="nil"/>
              <w:bottom w:val="nil"/>
              <w:right w:val="nil"/>
              <w:tl2br w:val="nil"/>
              <w:tr2bl w:val="nil"/>
            </w:tcBorders>
            <w:shd w:val="clear" w:color="auto" w:fill="auto"/>
            <w:noWrap/>
            <w:tcMar>
              <w:left w:w="101" w:type="dxa"/>
              <w:right w:w="101" w:type="dxa"/>
            </w:tcMar>
          </w:tcPr>
          <w:p w14:paraId="62233D1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CEACDB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158</w:t>
            </w:r>
          </w:p>
        </w:tc>
        <w:tc>
          <w:tcPr>
            <w:tcW w:w="900" w:type="dxa"/>
            <w:tcBorders>
              <w:top w:val="nil"/>
              <w:left w:val="nil"/>
              <w:bottom w:val="nil"/>
              <w:right w:val="nil"/>
              <w:tl2br w:val="nil"/>
              <w:tr2bl w:val="nil"/>
            </w:tcBorders>
            <w:shd w:val="clear" w:color="auto" w:fill="auto"/>
            <w:noWrap/>
            <w:tcMar>
              <w:left w:w="101" w:type="dxa"/>
              <w:right w:w="101" w:type="dxa"/>
            </w:tcMar>
          </w:tcPr>
          <w:p w14:paraId="56E351E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160</w:t>
            </w:r>
          </w:p>
        </w:tc>
        <w:tc>
          <w:tcPr>
            <w:tcW w:w="900" w:type="dxa"/>
            <w:tcBorders>
              <w:top w:val="nil"/>
              <w:left w:val="nil"/>
              <w:bottom w:val="nil"/>
              <w:right w:val="nil"/>
              <w:tl2br w:val="nil"/>
              <w:tr2bl w:val="nil"/>
            </w:tcBorders>
            <w:shd w:val="clear" w:color="auto" w:fill="auto"/>
            <w:noWrap/>
            <w:tcMar>
              <w:left w:w="101" w:type="dxa"/>
              <w:right w:w="101" w:type="dxa"/>
            </w:tcMar>
          </w:tcPr>
          <w:p w14:paraId="69C9019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F4E404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1A1E75F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665" w:type="dxa"/>
            <w:tcBorders>
              <w:top w:val="nil"/>
              <w:left w:val="nil"/>
              <w:bottom w:val="nil"/>
              <w:right w:val="nil"/>
              <w:tl2br w:val="nil"/>
              <w:tr2bl w:val="nil"/>
            </w:tcBorders>
            <w:shd w:val="clear" w:color="auto" w:fill="auto"/>
            <w:tcMar>
              <w:left w:w="101" w:type="dxa"/>
              <w:right w:w="101" w:type="dxa"/>
            </w:tcMar>
          </w:tcPr>
          <w:p w14:paraId="35E65C9A"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Levy - Safer Families Collaboration Program</w:t>
            </w:r>
          </w:p>
        </w:tc>
        <w:tc>
          <w:tcPr>
            <w:tcW w:w="960" w:type="dxa"/>
            <w:tcBorders>
              <w:top w:val="nil"/>
              <w:left w:val="nil"/>
              <w:bottom w:val="nil"/>
              <w:right w:val="nil"/>
              <w:tl2br w:val="nil"/>
              <w:tr2bl w:val="nil"/>
            </w:tcBorders>
            <w:shd w:val="clear" w:color="auto" w:fill="auto"/>
            <w:noWrap/>
            <w:tcMar>
              <w:left w:w="101" w:type="dxa"/>
              <w:right w:w="101" w:type="dxa"/>
            </w:tcMar>
          </w:tcPr>
          <w:p w14:paraId="617B584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3F6C84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335</w:t>
            </w:r>
          </w:p>
        </w:tc>
        <w:tc>
          <w:tcPr>
            <w:tcW w:w="900" w:type="dxa"/>
            <w:tcBorders>
              <w:top w:val="nil"/>
              <w:left w:val="nil"/>
              <w:bottom w:val="nil"/>
              <w:right w:val="nil"/>
              <w:tl2br w:val="nil"/>
              <w:tr2bl w:val="nil"/>
            </w:tcBorders>
            <w:shd w:val="clear" w:color="auto" w:fill="auto"/>
            <w:noWrap/>
            <w:tcMar>
              <w:left w:w="101" w:type="dxa"/>
              <w:right w:w="101" w:type="dxa"/>
            </w:tcMar>
          </w:tcPr>
          <w:p w14:paraId="3D6E2AE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340</w:t>
            </w:r>
          </w:p>
        </w:tc>
        <w:tc>
          <w:tcPr>
            <w:tcW w:w="900" w:type="dxa"/>
            <w:tcBorders>
              <w:top w:val="nil"/>
              <w:left w:val="nil"/>
              <w:bottom w:val="nil"/>
              <w:right w:val="nil"/>
              <w:tl2br w:val="nil"/>
              <w:tr2bl w:val="nil"/>
            </w:tcBorders>
            <w:shd w:val="clear" w:color="auto" w:fill="auto"/>
            <w:noWrap/>
            <w:tcMar>
              <w:left w:w="101" w:type="dxa"/>
              <w:right w:w="101" w:type="dxa"/>
            </w:tcMar>
          </w:tcPr>
          <w:p w14:paraId="466FC07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837A76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5750AA7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DA019CA" w14:textId="1141B959"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Levy - Strengthening domestic and family violence responses for the Aboriginal and Torres Strait Islander community</w:t>
            </w:r>
            <w:r w:rsidR="004647C7">
              <w:rPr>
                <w:rFonts w:ascii="Calibri" w:eastAsia="Calibri" w:hAnsi="Calibri" w:cs="Calibri"/>
                <w:color w:val="000000"/>
                <w:sz w:val="18"/>
              </w:rPr>
              <w:t xml:space="preserve"> </w:t>
            </w:r>
            <w:r w:rsidR="004647C7" w:rsidRPr="004647C7">
              <w:rPr>
                <w:rFonts w:ascii="Calibri" w:eastAsia="Calibri" w:hAnsi="Calibri" w:cs="Calibri"/>
                <w:color w:val="000000"/>
                <w:sz w:val="18"/>
                <w:vertAlign w:val="superscript"/>
              </w:rPr>
              <w:t>1</w:t>
            </w:r>
          </w:p>
        </w:tc>
        <w:tc>
          <w:tcPr>
            <w:tcW w:w="960" w:type="dxa"/>
            <w:tcBorders>
              <w:top w:val="nil"/>
              <w:left w:val="nil"/>
              <w:bottom w:val="nil"/>
              <w:right w:val="nil"/>
              <w:tl2br w:val="nil"/>
              <w:tr2bl w:val="nil"/>
            </w:tcBorders>
            <w:shd w:val="clear" w:color="auto" w:fill="auto"/>
            <w:noWrap/>
            <w:tcMar>
              <w:left w:w="101" w:type="dxa"/>
              <w:right w:w="101" w:type="dxa"/>
            </w:tcMar>
          </w:tcPr>
          <w:p w14:paraId="220A0F6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6FEDFE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229</w:t>
            </w:r>
          </w:p>
        </w:tc>
        <w:tc>
          <w:tcPr>
            <w:tcW w:w="900" w:type="dxa"/>
            <w:tcBorders>
              <w:top w:val="nil"/>
              <w:left w:val="nil"/>
              <w:bottom w:val="nil"/>
              <w:right w:val="nil"/>
              <w:tl2br w:val="nil"/>
              <w:tr2bl w:val="nil"/>
            </w:tcBorders>
            <w:shd w:val="clear" w:color="auto" w:fill="auto"/>
            <w:noWrap/>
            <w:tcMar>
              <w:left w:w="101" w:type="dxa"/>
              <w:right w:w="101" w:type="dxa"/>
            </w:tcMar>
          </w:tcPr>
          <w:p w14:paraId="2ADF8A5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233</w:t>
            </w:r>
          </w:p>
        </w:tc>
        <w:tc>
          <w:tcPr>
            <w:tcW w:w="900" w:type="dxa"/>
            <w:tcBorders>
              <w:top w:val="nil"/>
              <w:left w:val="nil"/>
              <w:bottom w:val="nil"/>
              <w:right w:val="nil"/>
              <w:tl2br w:val="nil"/>
              <w:tr2bl w:val="nil"/>
            </w:tcBorders>
            <w:shd w:val="clear" w:color="auto" w:fill="auto"/>
            <w:noWrap/>
            <w:tcMar>
              <w:left w:w="101" w:type="dxa"/>
              <w:right w:w="101" w:type="dxa"/>
            </w:tcMar>
          </w:tcPr>
          <w:p w14:paraId="5CC9F54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163</w:t>
            </w:r>
          </w:p>
        </w:tc>
        <w:tc>
          <w:tcPr>
            <w:tcW w:w="900" w:type="dxa"/>
            <w:tcBorders>
              <w:top w:val="nil"/>
              <w:left w:val="nil"/>
              <w:bottom w:val="nil"/>
              <w:right w:val="nil"/>
              <w:tl2br w:val="nil"/>
              <w:tr2bl w:val="nil"/>
            </w:tcBorders>
            <w:shd w:val="clear" w:color="auto" w:fill="auto"/>
            <w:noWrap/>
            <w:tcMar>
              <w:left w:w="101" w:type="dxa"/>
              <w:right w:w="101" w:type="dxa"/>
            </w:tcMar>
          </w:tcPr>
          <w:p w14:paraId="4AD48DC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165</w:t>
            </w:r>
          </w:p>
        </w:tc>
      </w:tr>
      <w:tr w:rsidR="00795C9B" w14:paraId="7D7CAEA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665" w:type="dxa"/>
            <w:tcBorders>
              <w:top w:val="nil"/>
              <w:left w:val="nil"/>
              <w:bottom w:val="nil"/>
              <w:right w:val="nil"/>
              <w:tl2br w:val="nil"/>
              <w:tr2bl w:val="nil"/>
            </w:tcBorders>
            <w:shd w:val="clear" w:color="auto" w:fill="auto"/>
            <w:tcMar>
              <w:left w:w="101" w:type="dxa"/>
              <w:right w:w="101" w:type="dxa"/>
            </w:tcMar>
          </w:tcPr>
          <w:p w14:paraId="4CA98661" w14:textId="013A8D4A"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Levy - Strengthening sexual assault prevention and response</w:t>
            </w:r>
            <w:r w:rsidR="00A3539B">
              <w:rPr>
                <w:rFonts w:ascii="Calibri" w:eastAsia="Calibri" w:hAnsi="Calibri" w:cs="Calibri"/>
                <w:color w:val="000000"/>
                <w:sz w:val="18"/>
              </w:rPr>
              <w:t xml:space="preserve"> </w:t>
            </w:r>
            <w:r w:rsidR="00A3539B" w:rsidRPr="00795C9B">
              <w:rPr>
                <w:rFonts w:ascii="Calibri" w:eastAsia="Calibri" w:hAnsi="Calibri" w:cs="Calibri"/>
                <w:color w:val="000000"/>
                <w:sz w:val="18"/>
                <w:vertAlign w:val="superscript"/>
              </w:rPr>
              <w:t>1</w:t>
            </w:r>
          </w:p>
        </w:tc>
        <w:tc>
          <w:tcPr>
            <w:tcW w:w="960" w:type="dxa"/>
            <w:tcBorders>
              <w:top w:val="nil"/>
              <w:left w:val="nil"/>
              <w:bottom w:val="nil"/>
              <w:right w:val="nil"/>
              <w:tl2br w:val="nil"/>
              <w:tr2bl w:val="nil"/>
            </w:tcBorders>
            <w:shd w:val="clear" w:color="auto" w:fill="auto"/>
            <w:noWrap/>
            <w:tcMar>
              <w:left w:w="101" w:type="dxa"/>
              <w:right w:w="101" w:type="dxa"/>
            </w:tcMar>
          </w:tcPr>
          <w:p w14:paraId="1E95129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7F67B5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413</w:t>
            </w:r>
          </w:p>
        </w:tc>
        <w:tc>
          <w:tcPr>
            <w:tcW w:w="900" w:type="dxa"/>
            <w:tcBorders>
              <w:top w:val="nil"/>
              <w:left w:val="nil"/>
              <w:bottom w:val="nil"/>
              <w:right w:val="nil"/>
              <w:tl2br w:val="nil"/>
              <w:tr2bl w:val="nil"/>
            </w:tcBorders>
            <w:shd w:val="clear" w:color="auto" w:fill="auto"/>
            <w:noWrap/>
            <w:tcMar>
              <w:left w:w="101" w:type="dxa"/>
              <w:right w:w="101" w:type="dxa"/>
            </w:tcMar>
          </w:tcPr>
          <w:p w14:paraId="25E6FF6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358</w:t>
            </w:r>
          </w:p>
        </w:tc>
        <w:tc>
          <w:tcPr>
            <w:tcW w:w="900" w:type="dxa"/>
            <w:tcBorders>
              <w:top w:val="nil"/>
              <w:left w:val="nil"/>
              <w:bottom w:val="nil"/>
              <w:right w:val="nil"/>
              <w:tl2br w:val="nil"/>
              <w:tr2bl w:val="nil"/>
            </w:tcBorders>
            <w:shd w:val="clear" w:color="auto" w:fill="auto"/>
            <w:noWrap/>
            <w:tcMar>
              <w:left w:w="101" w:type="dxa"/>
              <w:right w:w="101" w:type="dxa"/>
            </w:tcMar>
          </w:tcPr>
          <w:p w14:paraId="29E0750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362</w:t>
            </w:r>
          </w:p>
        </w:tc>
        <w:tc>
          <w:tcPr>
            <w:tcW w:w="900" w:type="dxa"/>
            <w:tcBorders>
              <w:top w:val="nil"/>
              <w:left w:val="nil"/>
              <w:bottom w:val="nil"/>
              <w:right w:val="nil"/>
              <w:tl2br w:val="nil"/>
              <w:tr2bl w:val="nil"/>
            </w:tcBorders>
            <w:shd w:val="clear" w:color="auto" w:fill="auto"/>
            <w:noWrap/>
            <w:tcMar>
              <w:left w:w="101" w:type="dxa"/>
              <w:right w:w="101" w:type="dxa"/>
            </w:tcMar>
          </w:tcPr>
          <w:p w14:paraId="22F71F6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367</w:t>
            </w:r>
          </w:p>
        </w:tc>
      </w:tr>
      <w:tr w:rsidR="00795C9B" w14:paraId="24F15B6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4665" w:type="dxa"/>
            <w:tcBorders>
              <w:top w:val="nil"/>
              <w:left w:val="nil"/>
              <w:bottom w:val="nil"/>
              <w:right w:val="nil"/>
              <w:tl2br w:val="nil"/>
              <w:tr2bl w:val="nil"/>
            </w:tcBorders>
            <w:shd w:val="clear" w:color="auto" w:fill="auto"/>
            <w:tcMar>
              <w:left w:w="101" w:type="dxa"/>
              <w:right w:w="101" w:type="dxa"/>
            </w:tcMar>
          </w:tcPr>
          <w:p w14:paraId="3344F64A"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Levy - Women’s safety grants</w:t>
            </w:r>
          </w:p>
        </w:tc>
        <w:tc>
          <w:tcPr>
            <w:tcW w:w="960" w:type="dxa"/>
            <w:tcBorders>
              <w:top w:val="nil"/>
              <w:left w:val="nil"/>
              <w:bottom w:val="nil"/>
              <w:right w:val="nil"/>
              <w:tl2br w:val="nil"/>
              <w:tr2bl w:val="nil"/>
            </w:tcBorders>
            <w:shd w:val="clear" w:color="auto" w:fill="auto"/>
            <w:noWrap/>
            <w:tcMar>
              <w:left w:w="101" w:type="dxa"/>
              <w:right w:w="101" w:type="dxa"/>
            </w:tcMar>
          </w:tcPr>
          <w:p w14:paraId="77A9429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36C35D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100</w:t>
            </w:r>
          </w:p>
        </w:tc>
        <w:tc>
          <w:tcPr>
            <w:tcW w:w="900" w:type="dxa"/>
            <w:tcBorders>
              <w:top w:val="nil"/>
              <w:left w:val="nil"/>
              <w:bottom w:val="nil"/>
              <w:right w:val="nil"/>
              <w:tl2br w:val="nil"/>
              <w:tr2bl w:val="nil"/>
            </w:tcBorders>
            <w:shd w:val="clear" w:color="auto" w:fill="auto"/>
            <w:noWrap/>
            <w:tcMar>
              <w:left w:w="101" w:type="dxa"/>
              <w:right w:w="101" w:type="dxa"/>
            </w:tcMar>
          </w:tcPr>
          <w:p w14:paraId="5959EED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100</w:t>
            </w:r>
          </w:p>
        </w:tc>
        <w:tc>
          <w:tcPr>
            <w:tcW w:w="900" w:type="dxa"/>
            <w:tcBorders>
              <w:top w:val="nil"/>
              <w:left w:val="nil"/>
              <w:bottom w:val="nil"/>
              <w:right w:val="nil"/>
              <w:tl2br w:val="nil"/>
              <w:tr2bl w:val="nil"/>
            </w:tcBorders>
            <w:shd w:val="clear" w:color="auto" w:fill="auto"/>
            <w:noWrap/>
            <w:tcMar>
              <w:left w:w="101" w:type="dxa"/>
              <w:right w:w="101" w:type="dxa"/>
            </w:tcMar>
          </w:tcPr>
          <w:p w14:paraId="6A2C8C5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100</w:t>
            </w:r>
          </w:p>
        </w:tc>
        <w:tc>
          <w:tcPr>
            <w:tcW w:w="900" w:type="dxa"/>
            <w:tcBorders>
              <w:top w:val="nil"/>
              <w:left w:val="nil"/>
              <w:bottom w:val="nil"/>
              <w:right w:val="nil"/>
              <w:tl2br w:val="nil"/>
              <w:tr2bl w:val="nil"/>
            </w:tcBorders>
            <w:shd w:val="clear" w:color="auto" w:fill="auto"/>
            <w:noWrap/>
            <w:tcMar>
              <w:left w:w="101" w:type="dxa"/>
              <w:right w:w="101" w:type="dxa"/>
            </w:tcMar>
          </w:tcPr>
          <w:p w14:paraId="4A11B8F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100</w:t>
            </w:r>
          </w:p>
        </w:tc>
      </w:tr>
      <w:tr w:rsidR="00795C9B" w14:paraId="692285E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A4D6F4A"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Strengthening disability advocacy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67B34C0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478F38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400</w:t>
            </w:r>
          </w:p>
        </w:tc>
        <w:tc>
          <w:tcPr>
            <w:tcW w:w="900" w:type="dxa"/>
            <w:tcBorders>
              <w:top w:val="nil"/>
              <w:left w:val="nil"/>
              <w:bottom w:val="nil"/>
              <w:right w:val="nil"/>
              <w:tl2br w:val="nil"/>
              <w:tr2bl w:val="nil"/>
            </w:tcBorders>
            <w:shd w:val="clear" w:color="auto" w:fill="auto"/>
            <w:noWrap/>
            <w:tcMar>
              <w:left w:w="101" w:type="dxa"/>
              <w:right w:w="101" w:type="dxa"/>
            </w:tcMar>
          </w:tcPr>
          <w:p w14:paraId="0F2337F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408</w:t>
            </w:r>
          </w:p>
        </w:tc>
        <w:tc>
          <w:tcPr>
            <w:tcW w:w="900" w:type="dxa"/>
            <w:tcBorders>
              <w:top w:val="nil"/>
              <w:left w:val="nil"/>
              <w:bottom w:val="nil"/>
              <w:right w:val="nil"/>
              <w:tl2br w:val="nil"/>
              <w:tr2bl w:val="nil"/>
            </w:tcBorders>
            <w:shd w:val="clear" w:color="auto" w:fill="auto"/>
            <w:noWrap/>
            <w:tcMar>
              <w:left w:w="101" w:type="dxa"/>
              <w:right w:w="101" w:type="dxa"/>
            </w:tcMar>
          </w:tcPr>
          <w:p w14:paraId="5527DCB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416</w:t>
            </w:r>
          </w:p>
        </w:tc>
        <w:tc>
          <w:tcPr>
            <w:tcW w:w="900" w:type="dxa"/>
            <w:tcBorders>
              <w:top w:val="nil"/>
              <w:left w:val="nil"/>
              <w:bottom w:val="nil"/>
              <w:right w:val="nil"/>
              <w:tl2br w:val="nil"/>
              <w:tr2bl w:val="nil"/>
            </w:tcBorders>
            <w:shd w:val="clear" w:color="auto" w:fill="auto"/>
            <w:noWrap/>
            <w:tcMar>
              <w:left w:w="101" w:type="dxa"/>
              <w:right w:w="101" w:type="dxa"/>
            </w:tcMar>
          </w:tcPr>
          <w:p w14:paraId="754B69B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424</w:t>
            </w:r>
          </w:p>
        </w:tc>
      </w:tr>
      <w:tr w:rsidR="00795C9B" w14:paraId="608CB6B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C774687"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Supplementation for the Community Sector Wage Increase</w:t>
            </w:r>
          </w:p>
        </w:tc>
        <w:tc>
          <w:tcPr>
            <w:tcW w:w="960" w:type="dxa"/>
            <w:tcBorders>
              <w:top w:val="nil"/>
              <w:left w:val="nil"/>
              <w:bottom w:val="nil"/>
              <w:right w:val="nil"/>
              <w:tl2br w:val="nil"/>
              <w:tr2bl w:val="nil"/>
            </w:tcBorders>
            <w:shd w:val="clear" w:color="auto" w:fill="auto"/>
            <w:noWrap/>
            <w:tcMar>
              <w:left w:w="101" w:type="dxa"/>
              <w:right w:w="101" w:type="dxa"/>
            </w:tcMar>
          </w:tcPr>
          <w:p w14:paraId="36D9ACE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7CB813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447</w:t>
            </w:r>
          </w:p>
        </w:tc>
        <w:tc>
          <w:tcPr>
            <w:tcW w:w="900" w:type="dxa"/>
            <w:tcBorders>
              <w:top w:val="nil"/>
              <w:left w:val="nil"/>
              <w:bottom w:val="nil"/>
              <w:right w:val="nil"/>
              <w:tl2br w:val="nil"/>
              <w:tr2bl w:val="nil"/>
            </w:tcBorders>
            <w:shd w:val="clear" w:color="auto" w:fill="auto"/>
            <w:noWrap/>
            <w:tcMar>
              <w:left w:w="101" w:type="dxa"/>
              <w:right w:w="101" w:type="dxa"/>
            </w:tcMar>
          </w:tcPr>
          <w:p w14:paraId="352936F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452</w:t>
            </w:r>
          </w:p>
        </w:tc>
        <w:tc>
          <w:tcPr>
            <w:tcW w:w="900" w:type="dxa"/>
            <w:tcBorders>
              <w:top w:val="nil"/>
              <w:left w:val="nil"/>
              <w:bottom w:val="nil"/>
              <w:right w:val="nil"/>
              <w:tl2br w:val="nil"/>
              <w:tr2bl w:val="nil"/>
            </w:tcBorders>
            <w:shd w:val="clear" w:color="auto" w:fill="auto"/>
            <w:noWrap/>
            <w:tcMar>
              <w:left w:w="101" w:type="dxa"/>
              <w:right w:w="101" w:type="dxa"/>
            </w:tcMar>
          </w:tcPr>
          <w:p w14:paraId="092F1BC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456</w:t>
            </w:r>
          </w:p>
        </w:tc>
        <w:tc>
          <w:tcPr>
            <w:tcW w:w="900" w:type="dxa"/>
            <w:tcBorders>
              <w:top w:val="nil"/>
              <w:left w:val="nil"/>
              <w:bottom w:val="nil"/>
              <w:right w:val="nil"/>
              <w:tl2br w:val="nil"/>
              <w:tr2bl w:val="nil"/>
            </w:tcBorders>
            <w:shd w:val="clear" w:color="auto" w:fill="auto"/>
            <w:noWrap/>
            <w:tcMar>
              <w:left w:w="101" w:type="dxa"/>
              <w:right w:w="101" w:type="dxa"/>
            </w:tcMar>
          </w:tcPr>
          <w:p w14:paraId="6F490D3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505</w:t>
            </w:r>
          </w:p>
        </w:tc>
      </w:tr>
      <w:tr w:rsidR="00795C9B" w14:paraId="36B3CB8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14B870B"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lastRenderedPageBreak/>
              <w:t>Therapeutic Care Court</w:t>
            </w:r>
          </w:p>
        </w:tc>
        <w:tc>
          <w:tcPr>
            <w:tcW w:w="960" w:type="dxa"/>
            <w:tcBorders>
              <w:top w:val="nil"/>
              <w:left w:val="nil"/>
              <w:bottom w:val="nil"/>
              <w:right w:val="nil"/>
              <w:tl2br w:val="nil"/>
              <w:tr2bl w:val="nil"/>
            </w:tcBorders>
            <w:shd w:val="clear" w:color="auto" w:fill="auto"/>
            <w:noWrap/>
            <w:tcMar>
              <w:left w:w="101" w:type="dxa"/>
              <w:right w:w="101" w:type="dxa"/>
            </w:tcMar>
          </w:tcPr>
          <w:p w14:paraId="198879A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3B0C30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169</w:t>
            </w:r>
          </w:p>
        </w:tc>
        <w:tc>
          <w:tcPr>
            <w:tcW w:w="900" w:type="dxa"/>
            <w:tcBorders>
              <w:top w:val="nil"/>
              <w:left w:val="nil"/>
              <w:bottom w:val="nil"/>
              <w:right w:val="nil"/>
              <w:tl2br w:val="nil"/>
              <w:tr2bl w:val="nil"/>
            </w:tcBorders>
            <w:shd w:val="clear" w:color="auto" w:fill="auto"/>
            <w:noWrap/>
            <w:tcMar>
              <w:left w:w="101" w:type="dxa"/>
              <w:right w:w="101" w:type="dxa"/>
            </w:tcMar>
          </w:tcPr>
          <w:p w14:paraId="4F36D3E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173</w:t>
            </w:r>
          </w:p>
        </w:tc>
        <w:tc>
          <w:tcPr>
            <w:tcW w:w="900" w:type="dxa"/>
            <w:tcBorders>
              <w:top w:val="nil"/>
              <w:left w:val="nil"/>
              <w:bottom w:val="nil"/>
              <w:right w:val="nil"/>
              <w:tl2br w:val="nil"/>
              <w:tr2bl w:val="nil"/>
            </w:tcBorders>
            <w:shd w:val="clear" w:color="auto" w:fill="auto"/>
            <w:noWrap/>
            <w:tcMar>
              <w:left w:w="101" w:type="dxa"/>
              <w:right w:w="101" w:type="dxa"/>
            </w:tcMar>
          </w:tcPr>
          <w:p w14:paraId="056D635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08919E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676AA4E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A9493C6"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Women's workforce participation - Supporting gender equality</w:t>
            </w:r>
          </w:p>
        </w:tc>
        <w:tc>
          <w:tcPr>
            <w:tcW w:w="960" w:type="dxa"/>
            <w:tcBorders>
              <w:top w:val="nil"/>
              <w:left w:val="nil"/>
              <w:bottom w:val="nil"/>
              <w:right w:val="nil"/>
              <w:tl2br w:val="nil"/>
              <w:tr2bl w:val="nil"/>
            </w:tcBorders>
            <w:shd w:val="clear" w:color="auto" w:fill="auto"/>
            <w:noWrap/>
            <w:tcMar>
              <w:left w:w="101" w:type="dxa"/>
              <w:right w:w="101" w:type="dxa"/>
            </w:tcMar>
          </w:tcPr>
          <w:p w14:paraId="20F5EB9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55B154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140</w:t>
            </w:r>
          </w:p>
        </w:tc>
        <w:tc>
          <w:tcPr>
            <w:tcW w:w="900" w:type="dxa"/>
            <w:tcBorders>
              <w:top w:val="nil"/>
              <w:left w:val="nil"/>
              <w:bottom w:val="nil"/>
              <w:right w:val="nil"/>
              <w:tl2br w:val="nil"/>
              <w:tr2bl w:val="nil"/>
            </w:tcBorders>
            <w:shd w:val="clear" w:color="auto" w:fill="auto"/>
            <w:noWrap/>
            <w:tcMar>
              <w:left w:w="101" w:type="dxa"/>
              <w:right w:w="101" w:type="dxa"/>
            </w:tcMar>
          </w:tcPr>
          <w:p w14:paraId="624D464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140</w:t>
            </w:r>
          </w:p>
        </w:tc>
        <w:tc>
          <w:tcPr>
            <w:tcW w:w="900" w:type="dxa"/>
            <w:tcBorders>
              <w:top w:val="nil"/>
              <w:left w:val="nil"/>
              <w:bottom w:val="nil"/>
              <w:right w:val="nil"/>
              <w:tl2br w:val="nil"/>
              <w:tr2bl w:val="nil"/>
            </w:tcBorders>
            <w:shd w:val="clear" w:color="auto" w:fill="auto"/>
            <w:noWrap/>
            <w:tcMar>
              <w:left w:w="101" w:type="dxa"/>
              <w:right w:w="101" w:type="dxa"/>
            </w:tcMar>
          </w:tcPr>
          <w:p w14:paraId="498EC03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140</w:t>
            </w:r>
          </w:p>
        </w:tc>
        <w:tc>
          <w:tcPr>
            <w:tcW w:w="900" w:type="dxa"/>
            <w:tcBorders>
              <w:top w:val="nil"/>
              <w:left w:val="nil"/>
              <w:bottom w:val="nil"/>
              <w:right w:val="nil"/>
              <w:tl2br w:val="nil"/>
              <w:tr2bl w:val="nil"/>
            </w:tcBorders>
            <w:shd w:val="clear" w:color="auto" w:fill="auto"/>
            <w:noWrap/>
            <w:tcMar>
              <w:left w:w="101" w:type="dxa"/>
              <w:right w:w="101" w:type="dxa"/>
            </w:tcMar>
          </w:tcPr>
          <w:p w14:paraId="047068A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2DB875B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1443504"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2021-22 COVID-19 Response - CSD Savings</w:t>
            </w:r>
          </w:p>
        </w:tc>
        <w:tc>
          <w:tcPr>
            <w:tcW w:w="960" w:type="dxa"/>
            <w:tcBorders>
              <w:top w:val="nil"/>
              <w:left w:val="nil"/>
              <w:bottom w:val="nil"/>
              <w:right w:val="nil"/>
              <w:tl2br w:val="nil"/>
              <w:tr2bl w:val="nil"/>
            </w:tcBorders>
            <w:shd w:val="clear" w:color="auto" w:fill="auto"/>
            <w:noWrap/>
            <w:tcMar>
              <w:left w:w="101" w:type="dxa"/>
              <w:right w:w="101" w:type="dxa"/>
            </w:tcMar>
          </w:tcPr>
          <w:p w14:paraId="30B295C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E29878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-373</w:t>
            </w:r>
          </w:p>
        </w:tc>
        <w:tc>
          <w:tcPr>
            <w:tcW w:w="900" w:type="dxa"/>
            <w:tcBorders>
              <w:top w:val="nil"/>
              <w:left w:val="nil"/>
              <w:bottom w:val="nil"/>
              <w:right w:val="nil"/>
              <w:tl2br w:val="nil"/>
              <w:tr2bl w:val="nil"/>
            </w:tcBorders>
            <w:shd w:val="clear" w:color="auto" w:fill="auto"/>
            <w:noWrap/>
            <w:tcMar>
              <w:left w:w="101" w:type="dxa"/>
              <w:right w:w="101" w:type="dxa"/>
            </w:tcMar>
          </w:tcPr>
          <w:p w14:paraId="2A422CC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7BC12A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524540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2C2424D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18880FBF" w14:textId="77777777" w:rsidR="00795C9B" w:rsidRDefault="00795C9B" w:rsidP="006D3501">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6D0E34F"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6AD2E23"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CCF9F6D"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423E09C"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F6C6323" w14:textId="77777777" w:rsidR="00795C9B" w:rsidRDefault="00795C9B" w:rsidP="006D3501">
            <w:pPr>
              <w:pStyle w:val="Normal0"/>
              <w:rPr>
                <w:rFonts w:ascii="Calibri" w:eastAsia="Calibri" w:hAnsi="Calibri" w:cs="Calibri"/>
                <w:color w:val="000000"/>
                <w:sz w:val="18"/>
              </w:rPr>
            </w:pPr>
          </w:p>
        </w:tc>
      </w:tr>
      <w:tr w:rsidR="00795C9B" w14:paraId="460D354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vAlign w:val="bottom"/>
          </w:tcPr>
          <w:p w14:paraId="01A5E79C" w14:textId="77777777" w:rsidR="00795C9B" w:rsidRDefault="00795C9B" w:rsidP="006D3501">
            <w:pPr>
              <w:pStyle w:val="Normal0"/>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54B2F22F"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001DCD9"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2826C18"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079808E" w14:textId="77777777" w:rsidR="00795C9B" w:rsidRDefault="00795C9B" w:rsidP="006D3501">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0458507" w14:textId="77777777" w:rsidR="00795C9B" w:rsidRDefault="00795C9B" w:rsidP="006D3501">
            <w:pPr>
              <w:pStyle w:val="Normal0"/>
              <w:rPr>
                <w:rFonts w:ascii="Calibri" w:eastAsia="Calibri" w:hAnsi="Calibri" w:cs="Calibri"/>
                <w:color w:val="FFFFFF"/>
                <w:sz w:val="18"/>
              </w:rPr>
            </w:pPr>
          </w:p>
        </w:tc>
      </w:tr>
      <w:tr w:rsidR="00795C9B" w14:paraId="5A660C9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3C1FFE6"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A Step Up for Our Kids - Beyond 2020</w:t>
            </w:r>
          </w:p>
        </w:tc>
        <w:tc>
          <w:tcPr>
            <w:tcW w:w="960" w:type="dxa"/>
            <w:tcBorders>
              <w:top w:val="nil"/>
              <w:left w:val="nil"/>
              <w:bottom w:val="nil"/>
              <w:right w:val="nil"/>
              <w:tl2br w:val="nil"/>
              <w:tr2bl w:val="nil"/>
            </w:tcBorders>
            <w:shd w:val="clear" w:color="auto" w:fill="auto"/>
            <w:noWrap/>
            <w:tcMar>
              <w:left w:w="101" w:type="dxa"/>
              <w:right w:w="101" w:type="dxa"/>
            </w:tcMar>
          </w:tcPr>
          <w:p w14:paraId="4482CDE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-180</w:t>
            </w:r>
          </w:p>
        </w:tc>
        <w:tc>
          <w:tcPr>
            <w:tcW w:w="900" w:type="dxa"/>
            <w:tcBorders>
              <w:top w:val="nil"/>
              <w:left w:val="nil"/>
              <w:bottom w:val="nil"/>
              <w:right w:val="nil"/>
              <w:tl2br w:val="nil"/>
              <w:tr2bl w:val="nil"/>
            </w:tcBorders>
            <w:shd w:val="clear" w:color="auto" w:fill="auto"/>
            <w:noWrap/>
            <w:tcMar>
              <w:left w:w="101" w:type="dxa"/>
              <w:right w:w="101" w:type="dxa"/>
            </w:tcMar>
          </w:tcPr>
          <w:p w14:paraId="69211AD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180</w:t>
            </w:r>
          </w:p>
        </w:tc>
        <w:tc>
          <w:tcPr>
            <w:tcW w:w="900" w:type="dxa"/>
            <w:tcBorders>
              <w:top w:val="nil"/>
              <w:left w:val="nil"/>
              <w:bottom w:val="nil"/>
              <w:right w:val="nil"/>
              <w:tl2br w:val="nil"/>
              <w:tr2bl w:val="nil"/>
            </w:tcBorders>
            <w:shd w:val="clear" w:color="auto" w:fill="auto"/>
            <w:noWrap/>
            <w:tcMar>
              <w:left w:w="101" w:type="dxa"/>
              <w:right w:w="101" w:type="dxa"/>
            </w:tcMar>
          </w:tcPr>
          <w:p w14:paraId="360F656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7B0E15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7C20C7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1F19449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17FE26B8"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Building capacity in Child and Youth Protection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0C20323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-144</w:t>
            </w:r>
          </w:p>
        </w:tc>
        <w:tc>
          <w:tcPr>
            <w:tcW w:w="900" w:type="dxa"/>
            <w:tcBorders>
              <w:top w:val="nil"/>
              <w:left w:val="nil"/>
              <w:bottom w:val="nil"/>
              <w:right w:val="nil"/>
              <w:tl2br w:val="nil"/>
              <w:tr2bl w:val="nil"/>
            </w:tcBorders>
            <w:shd w:val="clear" w:color="auto" w:fill="auto"/>
            <w:noWrap/>
            <w:tcMar>
              <w:left w:w="101" w:type="dxa"/>
              <w:right w:w="101" w:type="dxa"/>
            </w:tcMar>
          </w:tcPr>
          <w:p w14:paraId="4A334BD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144</w:t>
            </w:r>
          </w:p>
        </w:tc>
        <w:tc>
          <w:tcPr>
            <w:tcW w:w="900" w:type="dxa"/>
            <w:tcBorders>
              <w:top w:val="nil"/>
              <w:left w:val="nil"/>
              <w:bottom w:val="nil"/>
              <w:right w:val="nil"/>
              <w:tl2br w:val="nil"/>
              <w:tr2bl w:val="nil"/>
            </w:tcBorders>
            <w:shd w:val="clear" w:color="auto" w:fill="auto"/>
            <w:noWrap/>
            <w:tcMar>
              <w:left w:w="101" w:type="dxa"/>
              <w:right w:w="101" w:type="dxa"/>
            </w:tcMar>
          </w:tcPr>
          <w:p w14:paraId="2CF215A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E34B21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6A18FE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5EA6DD3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76921E2"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Child and Youth Record Information System completion</w:t>
            </w:r>
          </w:p>
        </w:tc>
        <w:tc>
          <w:tcPr>
            <w:tcW w:w="960" w:type="dxa"/>
            <w:tcBorders>
              <w:top w:val="nil"/>
              <w:left w:val="nil"/>
              <w:bottom w:val="nil"/>
              <w:right w:val="nil"/>
              <w:tl2br w:val="nil"/>
              <w:tr2bl w:val="nil"/>
            </w:tcBorders>
            <w:shd w:val="clear" w:color="auto" w:fill="auto"/>
            <w:noWrap/>
            <w:tcMar>
              <w:left w:w="101" w:type="dxa"/>
              <w:right w:w="101" w:type="dxa"/>
            </w:tcMar>
          </w:tcPr>
          <w:p w14:paraId="0745AA7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-152</w:t>
            </w:r>
          </w:p>
        </w:tc>
        <w:tc>
          <w:tcPr>
            <w:tcW w:w="900" w:type="dxa"/>
            <w:tcBorders>
              <w:top w:val="nil"/>
              <w:left w:val="nil"/>
              <w:bottom w:val="nil"/>
              <w:right w:val="nil"/>
              <w:tl2br w:val="nil"/>
              <w:tr2bl w:val="nil"/>
            </w:tcBorders>
            <w:shd w:val="clear" w:color="auto" w:fill="auto"/>
            <w:noWrap/>
            <w:tcMar>
              <w:left w:w="101" w:type="dxa"/>
              <w:right w:w="101" w:type="dxa"/>
            </w:tcMar>
          </w:tcPr>
          <w:p w14:paraId="16A8E55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152</w:t>
            </w:r>
          </w:p>
        </w:tc>
        <w:tc>
          <w:tcPr>
            <w:tcW w:w="900" w:type="dxa"/>
            <w:tcBorders>
              <w:top w:val="nil"/>
              <w:left w:val="nil"/>
              <w:bottom w:val="nil"/>
              <w:right w:val="nil"/>
              <w:tl2br w:val="nil"/>
              <w:tr2bl w:val="nil"/>
            </w:tcBorders>
            <w:shd w:val="clear" w:color="auto" w:fill="auto"/>
            <w:noWrap/>
            <w:tcMar>
              <w:left w:w="101" w:type="dxa"/>
              <w:right w:w="101" w:type="dxa"/>
            </w:tcMar>
          </w:tcPr>
          <w:p w14:paraId="6872A26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0CD2FE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AB436C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05F4087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42816E28"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COVID-19 Stimulus measure - Community Support Package</w:t>
            </w:r>
          </w:p>
        </w:tc>
        <w:tc>
          <w:tcPr>
            <w:tcW w:w="960" w:type="dxa"/>
            <w:tcBorders>
              <w:top w:val="nil"/>
              <w:left w:val="nil"/>
              <w:bottom w:val="nil"/>
              <w:right w:val="nil"/>
              <w:tl2br w:val="nil"/>
              <w:tr2bl w:val="nil"/>
            </w:tcBorders>
            <w:shd w:val="clear" w:color="auto" w:fill="auto"/>
            <w:noWrap/>
            <w:tcMar>
              <w:left w:w="101" w:type="dxa"/>
              <w:right w:w="101" w:type="dxa"/>
            </w:tcMar>
          </w:tcPr>
          <w:p w14:paraId="7A6BD2F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-520</w:t>
            </w:r>
          </w:p>
        </w:tc>
        <w:tc>
          <w:tcPr>
            <w:tcW w:w="900" w:type="dxa"/>
            <w:tcBorders>
              <w:top w:val="nil"/>
              <w:left w:val="nil"/>
              <w:bottom w:val="nil"/>
              <w:right w:val="nil"/>
              <w:tl2br w:val="nil"/>
              <w:tr2bl w:val="nil"/>
            </w:tcBorders>
            <w:shd w:val="clear" w:color="auto" w:fill="auto"/>
            <w:noWrap/>
            <w:tcMar>
              <w:left w:w="101" w:type="dxa"/>
              <w:right w:w="101" w:type="dxa"/>
            </w:tcMar>
          </w:tcPr>
          <w:p w14:paraId="15883C4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45</w:t>
            </w:r>
          </w:p>
        </w:tc>
        <w:tc>
          <w:tcPr>
            <w:tcW w:w="900" w:type="dxa"/>
            <w:tcBorders>
              <w:top w:val="nil"/>
              <w:left w:val="nil"/>
              <w:bottom w:val="nil"/>
              <w:right w:val="nil"/>
              <w:tl2br w:val="nil"/>
              <w:tr2bl w:val="nil"/>
            </w:tcBorders>
            <w:shd w:val="clear" w:color="auto" w:fill="auto"/>
            <w:noWrap/>
            <w:tcMar>
              <w:left w:w="101" w:type="dxa"/>
              <w:right w:w="101" w:type="dxa"/>
            </w:tcMar>
          </w:tcPr>
          <w:p w14:paraId="267DF3D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90177B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859BEA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6A9FB4C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4665" w:type="dxa"/>
            <w:tcBorders>
              <w:top w:val="nil"/>
              <w:left w:val="nil"/>
              <w:bottom w:val="nil"/>
              <w:right w:val="nil"/>
              <w:tl2br w:val="nil"/>
              <w:tr2bl w:val="nil"/>
            </w:tcBorders>
            <w:shd w:val="clear" w:color="auto" w:fill="auto"/>
            <w:tcMar>
              <w:left w:w="101" w:type="dxa"/>
              <w:right w:w="101" w:type="dxa"/>
            </w:tcMar>
          </w:tcPr>
          <w:p w14:paraId="7DF5004F"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Revised Funding Profile - Deliver a purpose-built facility with the </w:t>
            </w:r>
            <w:proofErr w:type="spellStart"/>
            <w:r>
              <w:rPr>
                <w:rFonts w:ascii="Calibri" w:eastAsia="Calibri" w:hAnsi="Calibri" w:cs="Calibri"/>
                <w:color w:val="000000"/>
                <w:sz w:val="18"/>
              </w:rPr>
              <w:t>Gugan</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Gulwan</w:t>
            </w:r>
            <w:proofErr w:type="spellEnd"/>
            <w:r>
              <w:rPr>
                <w:rFonts w:ascii="Calibri" w:eastAsia="Calibri" w:hAnsi="Calibri" w:cs="Calibri"/>
                <w:color w:val="000000"/>
                <w:sz w:val="18"/>
              </w:rPr>
              <w:t xml:space="preserve"> Youth Aboriginal Corporation to better deliver essential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3B19E36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-72</w:t>
            </w:r>
          </w:p>
        </w:tc>
        <w:tc>
          <w:tcPr>
            <w:tcW w:w="900" w:type="dxa"/>
            <w:tcBorders>
              <w:top w:val="nil"/>
              <w:left w:val="nil"/>
              <w:bottom w:val="nil"/>
              <w:right w:val="nil"/>
              <w:tl2br w:val="nil"/>
              <w:tr2bl w:val="nil"/>
            </w:tcBorders>
            <w:shd w:val="clear" w:color="auto" w:fill="auto"/>
            <w:noWrap/>
            <w:tcMar>
              <w:left w:w="101" w:type="dxa"/>
              <w:right w:w="101" w:type="dxa"/>
            </w:tcMar>
          </w:tcPr>
          <w:p w14:paraId="6B36382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72</w:t>
            </w:r>
          </w:p>
        </w:tc>
        <w:tc>
          <w:tcPr>
            <w:tcW w:w="900" w:type="dxa"/>
            <w:tcBorders>
              <w:top w:val="nil"/>
              <w:left w:val="nil"/>
              <w:bottom w:val="nil"/>
              <w:right w:val="nil"/>
              <w:tl2br w:val="nil"/>
              <w:tr2bl w:val="nil"/>
            </w:tcBorders>
            <w:shd w:val="clear" w:color="auto" w:fill="auto"/>
            <w:noWrap/>
            <w:tcMar>
              <w:left w:w="101" w:type="dxa"/>
              <w:right w:w="101" w:type="dxa"/>
            </w:tcMar>
          </w:tcPr>
          <w:p w14:paraId="1A14A6B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54D0BE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7CE910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49E8377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665" w:type="dxa"/>
            <w:tcBorders>
              <w:top w:val="nil"/>
              <w:left w:val="nil"/>
              <w:bottom w:val="nil"/>
              <w:right w:val="nil"/>
              <w:tl2br w:val="nil"/>
              <w:tr2bl w:val="nil"/>
            </w:tcBorders>
            <w:shd w:val="clear" w:color="auto" w:fill="auto"/>
            <w:tcMar>
              <w:left w:w="101" w:type="dxa"/>
              <w:right w:w="101" w:type="dxa"/>
            </w:tcMar>
          </w:tcPr>
          <w:p w14:paraId="0BE634D2"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Delivering family-centred responses for Aboriginal and Torres Strait Islander families impacted by family violence</w:t>
            </w:r>
          </w:p>
        </w:tc>
        <w:tc>
          <w:tcPr>
            <w:tcW w:w="960" w:type="dxa"/>
            <w:tcBorders>
              <w:top w:val="nil"/>
              <w:left w:val="nil"/>
              <w:bottom w:val="nil"/>
              <w:right w:val="nil"/>
              <w:tl2br w:val="nil"/>
              <w:tr2bl w:val="nil"/>
            </w:tcBorders>
            <w:shd w:val="clear" w:color="auto" w:fill="auto"/>
            <w:noWrap/>
            <w:tcMar>
              <w:left w:w="101" w:type="dxa"/>
              <w:right w:w="101" w:type="dxa"/>
            </w:tcMar>
          </w:tcPr>
          <w:p w14:paraId="1985149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-48</w:t>
            </w:r>
          </w:p>
        </w:tc>
        <w:tc>
          <w:tcPr>
            <w:tcW w:w="900" w:type="dxa"/>
            <w:tcBorders>
              <w:top w:val="nil"/>
              <w:left w:val="nil"/>
              <w:bottom w:val="nil"/>
              <w:right w:val="nil"/>
              <w:tl2br w:val="nil"/>
              <w:tr2bl w:val="nil"/>
            </w:tcBorders>
            <w:shd w:val="clear" w:color="auto" w:fill="auto"/>
            <w:noWrap/>
            <w:tcMar>
              <w:left w:w="101" w:type="dxa"/>
              <w:right w:w="101" w:type="dxa"/>
            </w:tcMar>
          </w:tcPr>
          <w:p w14:paraId="21729B9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48</w:t>
            </w:r>
          </w:p>
        </w:tc>
        <w:tc>
          <w:tcPr>
            <w:tcW w:w="900" w:type="dxa"/>
            <w:tcBorders>
              <w:top w:val="nil"/>
              <w:left w:val="nil"/>
              <w:bottom w:val="nil"/>
              <w:right w:val="nil"/>
              <w:tl2br w:val="nil"/>
              <w:tr2bl w:val="nil"/>
            </w:tcBorders>
            <w:shd w:val="clear" w:color="auto" w:fill="auto"/>
            <w:noWrap/>
            <w:tcMar>
              <w:left w:w="101" w:type="dxa"/>
              <w:right w:w="101" w:type="dxa"/>
            </w:tcMar>
          </w:tcPr>
          <w:p w14:paraId="44C81AC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BB7B76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203E15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65BF2B7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CA4DC45"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Disability Justice Strategy</w:t>
            </w:r>
          </w:p>
        </w:tc>
        <w:tc>
          <w:tcPr>
            <w:tcW w:w="960" w:type="dxa"/>
            <w:tcBorders>
              <w:top w:val="nil"/>
              <w:left w:val="nil"/>
              <w:bottom w:val="nil"/>
              <w:right w:val="nil"/>
              <w:tl2br w:val="nil"/>
              <w:tr2bl w:val="nil"/>
            </w:tcBorders>
            <w:shd w:val="clear" w:color="auto" w:fill="auto"/>
            <w:noWrap/>
            <w:tcMar>
              <w:left w:w="101" w:type="dxa"/>
              <w:right w:w="101" w:type="dxa"/>
            </w:tcMar>
          </w:tcPr>
          <w:p w14:paraId="0BA32F9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-222</w:t>
            </w:r>
          </w:p>
        </w:tc>
        <w:tc>
          <w:tcPr>
            <w:tcW w:w="900" w:type="dxa"/>
            <w:tcBorders>
              <w:top w:val="nil"/>
              <w:left w:val="nil"/>
              <w:bottom w:val="nil"/>
              <w:right w:val="nil"/>
              <w:tl2br w:val="nil"/>
              <w:tr2bl w:val="nil"/>
            </w:tcBorders>
            <w:shd w:val="clear" w:color="auto" w:fill="auto"/>
            <w:noWrap/>
            <w:tcMar>
              <w:left w:w="101" w:type="dxa"/>
              <w:right w:w="101" w:type="dxa"/>
            </w:tcMar>
          </w:tcPr>
          <w:p w14:paraId="0E6481C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222</w:t>
            </w:r>
          </w:p>
        </w:tc>
        <w:tc>
          <w:tcPr>
            <w:tcW w:w="900" w:type="dxa"/>
            <w:tcBorders>
              <w:top w:val="nil"/>
              <w:left w:val="nil"/>
              <w:bottom w:val="nil"/>
              <w:right w:val="nil"/>
              <w:tl2br w:val="nil"/>
              <w:tr2bl w:val="nil"/>
            </w:tcBorders>
            <w:shd w:val="clear" w:color="auto" w:fill="auto"/>
            <w:noWrap/>
            <w:tcMar>
              <w:left w:w="101" w:type="dxa"/>
              <w:right w:w="101" w:type="dxa"/>
            </w:tcMar>
          </w:tcPr>
          <w:p w14:paraId="40D285C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7640E9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491BAF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063054E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71F4415C"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More support for the Out of Home Care system</w:t>
            </w:r>
          </w:p>
        </w:tc>
        <w:tc>
          <w:tcPr>
            <w:tcW w:w="960" w:type="dxa"/>
            <w:tcBorders>
              <w:top w:val="nil"/>
              <w:left w:val="nil"/>
              <w:bottom w:val="nil"/>
              <w:right w:val="nil"/>
              <w:tl2br w:val="nil"/>
              <w:tr2bl w:val="nil"/>
            </w:tcBorders>
            <w:shd w:val="clear" w:color="auto" w:fill="auto"/>
            <w:noWrap/>
            <w:tcMar>
              <w:left w:w="101" w:type="dxa"/>
              <w:right w:w="101" w:type="dxa"/>
            </w:tcMar>
          </w:tcPr>
          <w:p w14:paraId="427C564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-625</w:t>
            </w:r>
          </w:p>
        </w:tc>
        <w:tc>
          <w:tcPr>
            <w:tcW w:w="900" w:type="dxa"/>
            <w:tcBorders>
              <w:top w:val="nil"/>
              <w:left w:val="nil"/>
              <w:bottom w:val="nil"/>
              <w:right w:val="nil"/>
              <w:tl2br w:val="nil"/>
              <w:tr2bl w:val="nil"/>
            </w:tcBorders>
            <w:shd w:val="clear" w:color="auto" w:fill="auto"/>
            <w:noWrap/>
            <w:tcMar>
              <w:left w:w="101" w:type="dxa"/>
              <w:right w:w="101" w:type="dxa"/>
            </w:tcMar>
          </w:tcPr>
          <w:p w14:paraId="3707361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625</w:t>
            </w:r>
          </w:p>
        </w:tc>
        <w:tc>
          <w:tcPr>
            <w:tcW w:w="900" w:type="dxa"/>
            <w:tcBorders>
              <w:top w:val="nil"/>
              <w:left w:val="nil"/>
              <w:bottom w:val="nil"/>
              <w:right w:val="nil"/>
              <w:tl2br w:val="nil"/>
              <w:tr2bl w:val="nil"/>
            </w:tcBorders>
            <w:shd w:val="clear" w:color="auto" w:fill="auto"/>
            <w:noWrap/>
            <w:tcMar>
              <w:left w:w="101" w:type="dxa"/>
              <w:right w:w="101" w:type="dxa"/>
            </w:tcMar>
          </w:tcPr>
          <w:p w14:paraId="2AB1F43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7F25A6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783611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4399205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0735AF2F"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National Agreement on Closing the Gap</w:t>
            </w:r>
          </w:p>
        </w:tc>
        <w:tc>
          <w:tcPr>
            <w:tcW w:w="960" w:type="dxa"/>
            <w:tcBorders>
              <w:top w:val="nil"/>
              <w:left w:val="nil"/>
              <w:bottom w:val="nil"/>
              <w:right w:val="nil"/>
              <w:tl2br w:val="nil"/>
              <w:tr2bl w:val="nil"/>
            </w:tcBorders>
            <w:shd w:val="clear" w:color="auto" w:fill="auto"/>
            <w:noWrap/>
            <w:tcMar>
              <w:left w:w="101" w:type="dxa"/>
              <w:right w:w="101" w:type="dxa"/>
            </w:tcMar>
          </w:tcPr>
          <w:p w14:paraId="318E575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-195</w:t>
            </w:r>
          </w:p>
        </w:tc>
        <w:tc>
          <w:tcPr>
            <w:tcW w:w="900" w:type="dxa"/>
            <w:tcBorders>
              <w:top w:val="nil"/>
              <w:left w:val="nil"/>
              <w:bottom w:val="nil"/>
              <w:right w:val="nil"/>
              <w:tl2br w:val="nil"/>
              <w:tr2bl w:val="nil"/>
            </w:tcBorders>
            <w:shd w:val="clear" w:color="auto" w:fill="auto"/>
            <w:noWrap/>
            <w:tcMar>
              <w:left w:w="101" w:type="dxa"/>
              <w:right w:w="101" w:type="dxa"/>
            </w:tcMar>
          </w:tcPr>
          <w:p w14:paraId="3CB8B5F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195</w:t>
            </w:r>
          </w:p>
        </w:tc>
        <w:tc>
          <w:tcPr>
            <w:tcW w:w="900" w:type="dxa"/>
            <w:tcBorders>
              <w:top w:val="nil"/>
              <w:left w:val="nil"/>
              <w:bottom w:val="nil"/>
              <w:right w:val="nil"/>
              <w:tl2br w:val="nil"/>
              <w:tr2bl w:val="nil"/>
            </w:tcBorders>
            <w:shd w:val="clear" w:color="auto" w:fill="auto"/>
            <w:noWrap/>
            <w:tcMar>
              <w:left w:w="101" w:type="dxa"/>
              <w:right w:w="101" w:type="dxa"/>
            </w:tcMar>
          </w:tcPr>
          <w:p w14:paraId="1528872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ED61AF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6D5653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7C3CD4B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47A5AE8"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National Multicultural Festival</w:t>
            </w:r>
          </w:p>
        </w:tc>
        <w:tc>
          <w:tcPr>
            <w:tcW w:w="960" w:type="dxa"/>
            <w:tcBorders>
              <w:top w:val="nil"/>
              <w:left w:val="nil"/>
              <w:bottom w:val="nil"/>
              <w:right w:val="nil"/>
              <w:tl2br w:val="nil"/>
              <w:tr2bl w:val="nil"/>
            </w:tcBorders>
            <w:shd w:val="clear" w:color="auto" w:fill="auto"/>
            <w:noWrap/>
            <w:tcMar>
              <w:left w:w="101" w:type="dxa"/>
              <w:right w:w="101" w:type="dxa"/>
            </w:tcMar>
          </w:tcPr>
          <w:p w14:paraId="44FE640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-700</w:t>
            </w:r>
          </w:p>
        </w:tc>
        <w:tc>
          <w:tcPr>
            <w:tcW w:w="900" w:type="dxa"/>
            <w:tcBorders>
              <w:top w:val="nil"/>
              <w:left w:val="nil"/>
              <w:bottom w:val="nil"/>
              <w:right w:val="nil"/>
              <w:tl2br w:val="nil"/>
              <w:tr2bl w:val="nil"/>
            </w:tcBorders>
            <w:shd w:val="clear" w:color="auto" w:fill="auto"/>
            <w:noWrap/>
            <w:tcMar>
              <w:left w:w="101" w:type="dxa"/>
              <w:right w:w="101" w:type="dxa"/>
            </w:tcMar>
          </w:tcPr>
          <w:p w14:paraId="6E51248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700</w:t>
            </w:r>
          </w:p>
        </w:tc>
        <w:tc>
          <w:tcPr>
            <w:tcW w:w="900" w:type="dxa"/>
            <w:tcBorders>
              <w:top w:val="nil"/>
              <w:left w:val="nil"/>
              <w:bottom w:val="nil"/>
              <w:right w:val="nil"/>
              <w:tl2br w:val="nil"/>
              <w:tr2bl w:val="nil"/>
            </w:tcBorders>
            <w:shd w:val="clear" w:color="auto" w:fill="auto"/>
            <w:noWrap/>
            <w:tcMar>
              <w:left w:w="101" w:type="dxa"/>
              <w:right w:w="101" w:type="dxa"/>
            </w:tcMar>
          </w:tcPr>
          <w:p w14:paraId="39F35F2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8955A3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4B2D90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46711A7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44B90490"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Technology Upgrade Fund for the Community Sector</w:t>
            </w:r>
          </w:p>
        </w:tc>
        <w:tc>
          <w:tcPr>
            <w:tcW w:w="960" w:type="dxa"/>
            <w:tcBorders>
              <w:top w:val="nil"/>
              <w:left w:val="nil"/>
              <w:bottom w:val="nil"/>
              <w:right w:val="nil"/>
              <w:tl2br w:val="nil"/>
              <w:tr2bl w:val="nil"/>
            </w:tcBorders>
            <w:shd w:val="clear" w:color="auto" w:fill="auto"/>
            <w:noWrap/>
            <w:tcMar>
              <w:left w:w="101" w:type="dxa"/>
              <w:right w:w="101" w:type="dxa"/>
            </w:tcMar>
          </w:tcPr>
          <w:p w14:paraId="08F0D5D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-350</w:t>
            </w:r>
          </w:p>
        </w:tc>
        <w:tc>
          <w:tcPr>
            <w:tcW w:w="900" w:type="dxa"/>
            <w:tcBorders>
              <w:top w:val="nil"/>
              <w:left w:val="nil"/>
              <w:bottom w:val="nil"/>
              <w:right w:val="nil"/>
              <w:tl2br w:val="nil"/>
              <w:tr2bl w:val="nil"/>
            </w:tcBorders>
            <w:shd w:val="clear" w:color="auto" w:fill="auto"/>
            <w:noWrap/>
            <w:tcMar>
              <w:left w:w="101" w:type="dxa"/>
              <w:right w:w="101" w:type="dxa"/>
            </w:tcMar>
          </w:tcPr>
          <w:p w14:paraId="1A49590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350</w:t>
            </w:r>
          </w:p>
        </w:tc>
        <w:tc>
          <w:tcPr>
            <w:tcW w:w="900" w:type="dxa"/>
            <w:tcBorders>
              <w:top w:val="nil"/>
              <w:left w:val="nil"/>
              <w:bottom w:val="nil"/>
              <w:right w:val="nil"/>
              <w:tl2br w:val="nil"/>
              <w:tr2bl w:val="nil"/>
            </w:tcBorders>
            <w:shd w:val="clear" w:color="auto" w:fill="auto"/>
            <w:noWrap/>
            <w:tcMar>
              <w:left w:w="101" w:type="dxa"/>
              <w:right w:w="101" w:type="dxa"/>
            </w:tcMar>
          </w:tcPr>
          <w:p w14:paraId="0AEA126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0D1BD1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950A90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038283A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665" w:type="dxa"/>
            <w:tcBorders>
              <w:top w:val="nil"/>
              <w:left w:val="nil"/>
              <w:bottom w:val="nil"/>
              <w:right w:val="nil"/>
              <w:tl2br w:val="nil"/>
              <w:tr2bl w:val="nil"/>
            </w:tcBorders>
            <w:shd w:val="clear" w:color="auto" w:fill="auto"/>
            <w:tcMar>
              <w:left w:w="101" w:type="dxa"/>
              <w:right w:w="101" w:type="dxa"/>
            </w:tcMar>
          </w:tcPr>
          <w:p w14:paraId="7C10B4B8"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Funding Profile - We Don’t Shoot Our Wounded: Improving responses to family violence in Aboriginal and Torres Strait Islander families</w:t>
            </w:r>
          </w:p>
        </w:tc>
        <w:tc>
          <w:tcPr>
            <w:tcW w:w="960" w:type="dxa"/>
            <w:tcBorders>
              <w:top w:val="nil"/>
              <w:left w:val="nil"/>
              <w:bottom w:val="nil"/>
              <w:right w:val="nil"/>
              <w:tl2br w:val="nil"/>
              <w:tr2bl w:val="nil"/>
            </w:tcBorders>
            <w:shd w:val="clear" w:color="auto" w:fill="auto"/>
            <w:noWrap/>
            <w:tcMar>
              <w:left w:w="101" w:type="dxa"/>
              <w:right w:w="101" w:type="dxa"/>
            </w:tcMar>
          </w:tcPr>
          <w:p w14:paraId="27F1FC3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900" w:type="dxa"/>
            <w:tcBorders>
              <w:top w:val="nil"/>
              <w:left w:val="nil"/>
              <w:bottom w:val="nil"/>
              <w:right w:val="nil"/>
              <w:tl2br w:val="nil"/>
              <w:tr2bl w:val="nil"/>
            </w:tcBorders>
            <w:shd w:val="clear" w:color="auto" w:fill="auto"/>
            <w:noWrap/>
            <w:tcMar>
              <w:left w:w="101" w:type="dxa"/>
              <w:right w:w="101" w:type="dxa"/>
            </w:tcMar>
          </w:tcPr>
          <w:p w14:paraId="0965B01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900" w:type="dxa"/>
            <w:tcBorders>
              <w:top w:val="nil"/>
              <w:left w:val="nil"/>
              <w:bottom w:val="nil"/>
              <w:right w:val="nil"/>
              <w:tl2br w:val="nil"/>
              <w:tr2bl w:val="nil"/>
            </w:tcBorders>
            <w:shd w:val="clear" w:color="auto" w:fill="auto"/>
            <w:noWrap/>
            <w:tcMar>
              <w:left w:w="101" w:type="dxa"/>
              <w:right w:w="101" w:type="dxa"/>
            </w:tcMar>
          </w:tcPr>
          <w:p w14:paraId="1D21EBC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95E0CD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81EDFF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1E0C0EB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101B313"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 xml:space="preserve">Return of Funding - Therapeutic Care Court for the ACT </w:t>
            </w:r>
            <w:proofErr w:type="spellStart"/>
            <w:r>
              <w:rPr>
                <w:rFonts w:ascii="Calibri" w:eastAsia="Calibri" w:hAnsi="Calibri" w:cs="Calibri"/>
                <w:color w:val="000000"/>
                <w:sz w:val="18"/>
              </w:rPr>
              <w:t>Childrens</w:t>
            </w:r>
            <w:proofErr w:type="spellEnd"/>
            <w:r>
              <w:rPr>
                <w:rFonts w:ascii="Calibri" w:eastAsia="Calibri" w:hAnsi="Calibri" w:cs="Calibri"/>
                <w:color w:val="000000"/>
                <w:sz w:val="18"/>
              </w:rPr>
              <w:t xml:space="preserve"> Court</w:t>
            </w:r>
          </w:p>
        </w:tc>
        <w:tc>
          <w:tcPr>
            <w:tcW w:w="960" w:type="dxa"/>
            <w:tcBorders>
              <w:top w:val="nil"/>
              <w:left w:val="nil"/>
              <w:bottom w:val="nil"/>
              <w:right w:val="nil"/>
              <w:tl2br w:val="nil"/>
              <w:tr2bl w:val="nil"/>
            </w:tcBorders>
            <w:shd w:val="clear" w:color="auto" w:fill="auto"/>
            <w:noWrap/>
            <w:tcMar>
              <w:left w:w="101" w:type="dxa"/>
              <w:right w:w="101" w:type="dxa"/>
            </w:tcMar>
          </w:tcPr>
          <w:p w14:paraId="793FC11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-531</w:t>
            </w:r>
          </w:p>
        </w:tc>
        <w:tc>
          <w:tcPr>
            <w:tcW w:w="900" w:type="dxa"/>
            <w:tcBorders>
              <w:top w:val="nil"/>
              <w:left w:val="nil"/>
              <w:bottom w:val="nil"/>
              <w:right w:val="nil"/>
              <w:tl2br w:val="nil"/>
              <w:tr2bl w:val="nil"/>
            </w:tcBorders>
            <w:shd w:val="clear" w:color="auto" w:fill="auto"/>
            <w:noWrap/>
            <w:tcMar>
              <w:left w:w="101" w:type="dxa"/>
              <w:right w:w="101" w:type="dxa"/>
            </w:tcMar>
          </w:tcPr>
          <w:p w14:paraId="1DDF3306"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6B5325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059002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168D6F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3D4F856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F9E1AF0"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Undrawn Funds</w:t>
            </w:r>
          </w:p>
        </w:tc>
        <w:tc>
          <w:tcPr>
            <w:tcW w:w="960" w:type="dxa"/>
            <w:tcBorders>
              <w:top w:val="nil"/>
              <w:left w:val="nil"/>
              <w:bottom w:val="nil"/>
              <w:right w:val="nil"/>
              <w:tl2br w:val="nil"/>
              <w:tr2bl w:val="nil"/>
            </w:tcBorders>
            <w:shd w:val="clear" w:color="auto" w:fill="auto"/>
            <w:noWrap/>
            <w:tcMar>
              <w:left w:w="101" w:type="dxa"/>
              <w:right w:w="101" w:type="dxa"/>
            </w:tcMar>
          </w:tcPr>
          <w:p w14:paraId="7F7C3E7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-1,179</w:t>
            </w:r>
          </w:p>
        </w:tc>
        <w:tc>
          <w:tcPr>
            <w:tcW w:w="900" w:type="dxa"/>
            <w:tcBorders>
              <w:top w:val="nil"/>
              <w:left w:val="nil"/>
              <w:bottom w:val="nil"/>
              <w:right w:val="nil"/>
              <w:tl2br w:val="nil"/>
              <w:tr2bl w:val="nil"/>
            </w:tcBorders>
            <w:shd w:val="clear" w:color="auto" w:fill="auto"/>
            <w:noWrap/>
            <w:tcMar>
              <w:left w:w="101" w:type="dxa"/>
              <w:right w:w="101" w:type="dxa"/>
            </w:tcMar>
          </w:tcPr>
          <w:p w14:paraId="5C74DD1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A531D1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190C63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A11F0C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15A9A37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EBD51E1"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2021-22 Workers Compensation Savings</w:t>
            </w:r>
          </w:p>
        </w:tc>
        <w:tc>
          <w:tcPr>
            <w:tcW w:w="960" w:type="dxa"/>
            <w:tcBorders>
              <w:top w:val="nil"/>
              <w:left w:val="nil"/>
              <w:bottom w:val="nil"/>
              <w:right w:val="nil"/>
              <w:tl2br w:val="nil"/>
              <w:tr2bl w:val="nil"/>
            </w:tcBorders>
            <w:shd w:val="clear" w:color="auto" w:fill="auto"/>
            <w:noWrap/>
            <w:tcMar>
              <w:left w:w="101" w:type="dxa"/>
              <w:right w:w="101" w:type="dxa"/>
            </w:tcMar>
          </w:tcPr>
          <w:p w14:paraId="2FFAE49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71FD25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-1,068</w:t>
            </w:r>
          </w:p>
        </w:tc>
        <w:tc>
          <w:tcPr>
            <w:tcW w:w="900" w:type="dxa"/>
            <w:tcBorders>
              <w:top w:val="nil"/>
              <w:left w:val="nil"/>
              <w:bottom w:val="nil"/>
              <w:right w:val="nil"/>
              <w:tl2br w:val="nil"/>
              <w:tr2bl w:val="nil"/>
            </w:tcBorders>
            <w:shd w:val="clear" w:color="auto" w:fill="auto"/>
            <w:noWrap/>
            <w:tcMar>
              <w:left w:w="101" w:type="dxa"/>
              <w:right w:w="101" w:type="dxa"/>
            </w:tcMar>
          </w:tcPr>
          <w:p w14:paraId="2AD42B0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8831E2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927C47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795C9B" w14:paraId="1F1BFE6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27F1AF1B"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 Extending the Room4Change program to help prevent family violence</w:t>
            </w:r>
          </w:p>
        </w:tc>
        <w:tc>
          <w:tcPr>
            <w:tcW w:w="960" w:type="dxa"/>
            <w:tcBorders>
              <w:top w:val="nil"/>
              <w:left w:val="nil"/>
              <w:bottom w:val="nil"/>
              <w:right w:val="nil"/>
              <w:tl2br w:val="nil"/>
              <w:tr2bl w:val="nil"/>
            </w:tcBorders>
            <w:shd w:val="clear" w:color="auto" w:fill="auto"/>
            <w:noWrap/>
            <w:tcMar>
              <w:left w:w="101" w:type="dxa"/>
              <w:right w:w="101" w:type="dxa"/>
            </w:tcMar>
          </w:tcPr>
          <w:p w14:paraId="7DD7573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93A43A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B4259F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B828C6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-1,277</w:t>
            </w:r>
          </w:p>
        </w:tc>
        <w:tc>
          <w:tcPr>
            <w:tcW w:w="900" w:type="dxa"/>
            <w:tcBorders>
              <w:top w:val="nil"/>
              <w:left w:val="nil"/>
              <w:bottom w:val="nil"/>
              <w:right w:val="nil"/>
              <w:tl2br w:val="nil"/>
              <w:tr2bl w:val="nil"/>
            </w:tcBorders>
            <w:shd w:val="clear" w:color="auto" w:fill="auto"/>
            <w:noWrap/>
            <w:tcMar>
              <w:left w:w="101" w:type="dxa"/>
              <w:right w:w="101" w:type="dxa"/>
            </w:tcMar>
          </w:tcPr>
          <w:p w14:paraId="7A5161A5"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-1,305</w:t>
            </w:r>
          </w:p>
        </w:tc>
      </w:tr>
      <w:tr w:rsidR="00795C9B" w14:paraId="78F063F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0FFBEB92"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Safer Families – Training ACT Government frontline workers to respond to family violence</w:t>
            </w:r>
          </w:p>
        </w:tc>
        <w:tc>
          <w:tcPr>
            <w:tcW w:w="960" w:type="dxa"/>
            <w:tcBorders>
              <w:top w:val="nil"/>
              <w:left w:val="nil"/>
              <w:bottom w:val="nil"/>
              <w:right w:val="nil"/>
              <w:tl2br w:val="nil"/>
              <w:tr2bl w:val="nil"/>
            </w:tcBorders>
            <w:shd w:val="clear" w:color="auto" w:fill="auto"/>
            <w:noWrap/>
            <w:tcMar>
              <w:left w:w="101" w:type="dxa"/>
              <w:right w:w="101" w:type="dxa"/>
            </w:tcMar>
          </w:tcPr>
          <w:p w14:paraId="4E890952"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A375AFD"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8AA91B3"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2A4483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-160</w:t>
            </w:r>
          </w:p>
        </w:tc>
        <w:tc>
          <w:tcPr>
            <w:tcW w:w="900" w:type="dxa"/>
            <w:tcBorders>
              <w:top w:val="nil"/>
              <w:left w:val="nil"/>
              <w:bottom w:val="nil"/>
              <w:right w:val="nil"/>
              <w:tl2br w:val="nil"/>
              <w:tr2bl w:val="nil"/>
            </w:tcBorders>
            <w:shd w:val="clear" w:color="auto" w:fill="auto"/>
            <w:noWrap/>
            <w:tcMar>
              <w:left w:w="101" w:type="dxa"/>
              <w:right w:w="101" w:type="dxa"/>
            </w:tcMar>
          </w:tcPr>
          <w:p w14:paraId="737209D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-161</w:t>
            </w:r>
          </w:p>
        </w:tc>
      </w:tr>
      <w:tr w:rsidR="00795C9B" w14:paraId="00B581F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39389416"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Transfer - Supporting smarter working in the new ACT Government office projects</w:t>
            </w:r>
          </w:p>
        </w:tc>
        <w:tc>
          <w:tcPr>
            <w:tcW w:w="960" w:type="dxa"/>
            <w:tcBorders>
              <w:top w:val="nil"/>
              <w:left w:val="nil"/>
              <w:bottom w:val="nil"/>
              <w:right w:val="nil"/>
              <w:tl2br w:val="nil"/>
              <w:tr2bl w:val="nil"/>
            </w:tcBorders>
            <w:shd w:val="clear" w:color="auto" w:fill="auto"/>
            <w:noWrap/>
            <w:tcMar>
              <w:left w:w="101" w:type="dxa"/>
              <w:right w:w="101" w:type="dxa"/>
            </w:tcMar>
          </w:tcPr>
          <w:p w14:paraId="4A95EC3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4945DE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161</w:t>
            </w:r>
          </w:p>
        </w:tc>
        <w:tc>
          <w:tcPr>
            <w:tcW w:w="900" w:type="dxa"/>
            <w:tcBorders>
              <w:top w:val="nil"/>
              <w:left w:val="nil"/>
              <w:bottom w:val="nil"/>
              <w:right w:val="nil"/>
              <w:tl2br w:val="nil"/>
              <w:tr2bl w:val="nil"/>
            </w:tcBorders>
            <w:shd w:val="clear" w:color="auto" w:fill="auto"/>
            <w:noWrap/>
            <w:tcMar>
              <w:left w:w="101" w:type="dxa"/>
              <w:right w:w="101" w:type="dxa"/>
            </w:tcMar>
          </w:tcPr>
          <w:p w14:paraId="7AE3A29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161</w:t>
            </w:r>
          </w:p>
        </w:tc>
        <w:tc>
          <w:tcPr>
            <w:tcW w:w="900" w:type="dxa"/>
            <w:tcBorders>
              <w:top w:val="nil"/>
              <w:left w:val="nil"/>
              <w:bottom w:val="nil"/>
              <w:right w:val="nil"/>
              <w:tl2br w:val="nil"/>
              <w:tr2bl w:val="nil"/>
            </w:tcBorders>
            <w:shd w:val="clear" w:color="auto" w:fill="auto"/>
            <w:noWrap/>
            <w:tcMar>
              <w:left w:w="101" w:type="dxa"/>
              <w:right w:w="101" w:type="dxa"/>
            </w:tcMar>
          </w:tcPr>
          <w:p w14:paraId="09E23B54"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164</w:t>
            </w:r>
          </w:p>
        </w:tc>
        <w:tc>
          <w:tcPr>
            <w:tcW w:w="900" w:type="dxa"/>
            <w:tcBorders>
              <w:top w:val="nil"/>
              <w:left w:val="nil"/>
              <w:bottom w:val="nil"/>
              <w:right w:val="nil"/>
              <w:tl2br w:val="nil"/>
              <w:tr2bl w:val="nil"/>
            </w:tcBorders>
            <w:shd w:val="clear" w:color="auto" w:fill="auto"/>
            <w:noWrap/>
            <w:tcMar>
              <w:left w:w="101" w:type="dxa"/>
              <w:right w:w="101" w:type="dxa"/>
            </w:tcMar>
          </w:tcPr>
          <w:p w14:paraId="470AB45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168</w:t>
            </w:r>
          </w:p>
        </w:tc>
      </w:tr>
      <w:tr w:rsidR="00795C9B" w14:paraId="49CE7C3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4E47AD15"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Transfer - whole of government intellectual property licensing and public archives access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2EC7DBF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44F6AA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-40</w:t>
            </w:r>
          </w:p>
        </w:tc>
        <w:tc>
          <w:tcPr>
            <w:tcW w:w="900" w:type="dxa"/>
            <w:tcBorders>
              <w:top w:val="nil"/>
              <w:left w:val="nil"/>
              <w:bottom w:val="nil"/>
              <w:right w:val="nil"/>
              <w:tl2br w:val="nil"/>
              <w:tr2bl w:val="nil"/>
            </w:tcBorders>
            <w:shd w:val="clear" w:color="auto" w:fill="auto"/>
            <w:noWrap/>
            <w:tcMar>
              <w:left w:w="101" w:type="dxa"/>
              <w:right w:w="101" w:type="dxa"/>
            </w:tcMar>
          </w:tcPr>
          <w:p w14:paraId="35BB582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-41</w:t>
            </w:r>
          </w:p>
        </w:tc>
        <w:tc>
          <w:tcPr>
            <w:tcW w:w="900" w:type="dxa"/>
            <w:tcBorders>
              <w:top w:val="nil"/>
              <w:left w:val="nil"/>
              <w:bottom w:val="nil"/>
              <w:right w:val="nil"/>
              <w:tl2br w:val="nil"/>
              <w:tr2bl w:val="nil"/>
            </w:tcBorders>
            <w:shd w:val="clear" w:color="auto" w:fill="auto"/>
            <w:noWrap/>
            <w:tcMar>
              <w:left w:w="101" w:type="dxa"/>
              <w:right w:w="101" w:type="dxa"/>
            </w:tcMar>
          </w:tcPr>
          <w:p w14:paraId="6F3238BE"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-42</w:t>
            </w:r>
          </w:p>
        </w:tc>
        <w:tc>
          <w:tcPr>
            <w:tcW w:w="900" w:type="dxa"/>
            <w:tcBorders>
              <w:top w:val="nil"/>
              <w:left w:val="nil"/>
              <w:bottom w:val="nil"/>
              <w:right w:val="nil"/>
              <w:tl2br w:val="nil"/>
              <w:tr2bl w:val="nil"/>
            </w:tcBorders>
            <w:shd w:val="clear" w:color="auto" w:fill="auto"/>
            <w:noWrap/>
            <w:tcMar>
              <w:left w:w="101" w:type="dxa"/>
              <w:right w:w="101" w:type="dxa"/>
            </w:tcMar>
          </w:tcPr>
          <w:p w14:paraId="74B7CA0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-42</w:t>
            </w:r>
          </w:p>
        </w:tc>
      </w:tr>
      <w:tr w:rsidR="00795C9B" w14:paraId="54A68A8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180CFDC"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Revised Indexation Parameters</w:t>
            </w:r>
          </w:p>
        </w:tc>
        <w:tc>
          <w:tcPr>
            <w:tcW w:w="960" w:type="dxa"/>
            <w:tcBorders>
              <w:top w:val="nil"/>
              <w:left w:val="nil"/>
              <w:bottom w:val="nil"/>
              <w:right w:val="nil"/>
              <w:tl2br w:val="nil"/>
              <w:tr2bl w:val="nil"/>
            </w:tcBorders>
            <w:shd w:val="clear" w:color="auto" w:fill="auto"/>
            <w:noWrap/>
            <w:tcMar>
              <w:left w:w="101" w:type="dxa"/>
              <w:right w:w="101" w:type="dxa"/>
            </w:tcMar>
          </w:tcPr>
          <w:p w14:paraId="15B2D808"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9166BB9"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199</w:t>
            </w:r>
          </w:p>
        </w:tc>
        <w:tc>
          <w:tcPr>
            <w:tcW w:w="900" w:type="dxa"/>
            <w:tcBorders>
              <w:top w:val="nil"/>
              <w:left w:val="nil"/>
              <w:bottom w:val="nil"/>
              <w:right w:val="nil"/>
              <w:tl2br w:val="nil"/>
              <w:tr2bl w:val="nil"/>
            </w:tcBorders>
            <w:shd w:val="clear" w:color="auto" w:fill="auto"/>
            <w:noWrap/>
            <w:tcMar>
              <w:left w:w="101" w:type="dxa"/>
              <w:right w:w="101" w:type="dxa"/>
            </w:tcMar>
          </w:tcPr>
          <w:p w14:paraId="3C2F5041"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282</w:t>
            </w:r>
          </w:p>
        </w:tc>
        <w:tc>
          <w:tcPr>
            <w:tcW w:w="900" w:type="dxa"/>
            <w:tcBorders>
              <w:top w:val="nil"/>
              <w:left w:val="nil"/>
              <w:bottom w:val="nil"/>
              <w:right w:val="nil"/>
              <w:tl2br w:val="nil"/>
              <w:tr2bl w:val="nil"/>
            </w:tcBorders>
            <w:shd w:val="clear" w:color="auto" w:fill="auto"/>
            <w:noWrap/>
            <w:tcMar>
              <w:left w:w="101" w:type="dxa"/>
              <w:right w:w="101" w:type="dxa"/>
            </w:tcMar>
          </w:tcPr>
          <w:p w14:paraId="7E26A25B"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279</w:t>
            </w:r>
          </w:p>
        </w:tc>
        <w:tc>
          <w:tcPr>
            <w:tcW w:w="900" w:type="dxa"/>
            <w:tcBorders>
              <w:top w:val="nil"/>
              <w:left w:val="nil"/>
              <w:bottom w:val="nil"/>
              <w:right w:val="nil"/>
              <w:tl2br w:val="nil"/>
              <w:tr2bl w:val="nil"/>
            </w:tcBorders>
            <w:shd w:val="clear" w:color="auto" w:fill="auto"/>
            <w:noWrap/>
            <w:tcMar>
              <w:left w:w="101" w:type="dxa"/>
              <w:right w:w="101" w:type="dxa"/>
            </w:tcMar>
          </w:tcPr>
          <w:p w14:paraId="2B2F679C"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3,613</w:t>
            </w:r>
          </w:p>
        </w:tc>
      </w:tr>
      <w:tr w:rsidR="00795C9B" w14:paraId="672401D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41D92D2" w14:textId="77777777" w:rsidR="00795C9B" w:rsidRDefault="00795C9B" w:rsidP="006D3501">
            <w:pPr>
              <w:pStyle w:val="Normal0"/>
              <w:rPr>
                <w:rFonts w:ascii="Calibri" w:eastAsia="Calibri" w:hAnsi="Calibri" w:cs="Calibri"/>
                <w:color w:val="000000"/>
                <w:sz w:val="18"/>
              </w:rPr>
            </w:pPr>
            <w:r>
              <w:rPr>
                <w:rFonts w:ascii="Calibri" w:eastAsia="Calibri" w:hAnsi="Calibri" w:cs="Calibri"/>
                <w:color w:val="000000"/>
                <w:sz w:val="18"/>
              </w:rPr>
              <w:t>Superannuation Round robin</w:t>
            </w:r>
          </w:p>
        </w:tc>
        <w:tc>
          <w:tcPr>
            <w:tcW w:w="960" w:type="dxa"/>
            <w:tcBorders>
              <w:top w:val="nil"/>
              <w:left w:val="nil"/>
              <w:bottom w:val="nil"/>
              <w:right w:val="nil"/>
              <w:tl2br w:val="nil"/>
              <w:tr2bl w:val="nil"/>
            </w:tcBorders>
            <w:shd w:val="clear" w:color="auto" w:fill="auto"/>
            <w:noWrap/>
            <w:tcMar>
              <w:left w:w="101" w:type="dxa"/>
              <w:right w:w="101" w:type="dxa"/>
            </w:tcMar>
          </w:tcPr>
          <w:p w14:paraId="4D964F1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A65062A"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864</w:t>
            </w:r>
          </w:p>
        </w:tc>
        <w:tc>
          <w:tcPr>
            <w:tcW w:w="900" w:type="dxa"/>
            <w:tcBorders>
              <w:top w:val="nil"/>
              <w:left w:val="nil"/>
              <w:bottom w:val="nil"/>
              <w:right w:val="nil"/>
              <w:tl2br w:val="nil"/>
              <w:tr2bl w:val="nil"/>
            </w:tcBorders>
            <w:shd w:val="clear" w:color="auto" w:fill="auto"/>
            <w:noWrap/>
            <w:tcMar>
              <w:left w:w="101" w:type="dxa"/>
              <w:right w:w="101" w:type="dxa"/>
            </w:tcMar>
          </w:tcPr>
          <w:p w14:paraId="30AA46CF"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819</w:t>
            </w:r>
          </w:p>
        </w:tc>
        <w:tc>
          <w:tcPr>
            <w:tcW w:w="900" w:type="dxa"/>
            <w:tcBorders>
              <w:top w:val="nil"/>
              <w:left w:val="nil"/>
              <w:bottom w:val="nil"/>
              <w:right w:val="nil"/>
              <w:tl2br w:val="nil"/>
              <w:tr2bl w:val="nil"/>
            </w:tcBorders>
            <w:shd w:val="clear" w:color="auto" w:fill="auto"/>
            <w:noWrap/>
            <w:tcMar>
              <w:left w:w="101" w:type="dxa"/>
              <w:right w:w="101" w:type="dxa"/>
            </w:tcMar>
          </w:tcPr>
          <w:p w14:paraId="0F6B4CF7"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729</w:t>
            </w:r>
          </w:p>
        </w:tc>
        <w:tc>
          <w:tcPr>
            <w:tcW w:w="900" w:type="dxa"/>
            <w:tcBorders>
              <w:top w:val="nil"/>
              <w:left w:val="nil"/>
              <w:bottom w:val="nil"/>
              <w:right w:val="nil"/>
              <w:tl2br w:val="nil"/>
              <w:tr2bl w:val="nil"/>
            </w:tcBorders>
            <w:shd w:val="clear" w:color="auto" w:fill="auto"/>
            <w:noWrap/>
            <w:tcMar>
              <w:left w:w="101" w:type="dxa"/>
              <w:right w:w="101" w:type="dxa"/>
            </w:tcMar>
          </w:tcPr>
          <w:p w14:paraId="22746A70" w14:textId="77777777" w:rsidR="00795C9B" w:rsidRDefault="00795C9B" w:rsidP="006D3501">
            <w:pPr>
              <w:pStyle w:val="Normal0"/>
              <w:jc w:val="right"/>
              <w:rPr>
                <w:rFonts w:ascii="Calibri" w:eastAsia="Calibri" w:hAnsi="Calibri" w:cs="Calibri"/>
                <w:color w:val="000000"/>
                <w:sz w:val="18"/>
              </w:rPr>
            </w:pPr>
            <w:r>
              <w:rPr>
                <w:rFonts w:ascii="Calibri" w:eastAsia="Calibri" w:hAnsi="Calibri" w:cs="Calibri"/>
                <w:color w:val="000000"/>
                <w:sz w:val="18"/>
              </w:rPr>
              <w:t>714</w:t>
            </w:r>
          </w:p>
        </w:tc>
      </w:tr>
      <w:tr w:rsidR="00795C9B" w14:paraId="28E1151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2"/>
        </w:trPr>
        <w:tc>
          <w:tcPr>
            <w:tcW w:w="466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B673C97" w14:textId="77777777" w:rsidR="00795C9B" w:rsidRDefault="00795C9B" w:rsidP="006D3501">
            <w:pPr>
              <w:pStyle w:val="Normal0"/>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28C627D"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EAB5C82"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F08ADE2"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B039BF4" w14:textId="77777777" w:rsidR="00795C9B" w:rsidRDefault="00795C9B" w:rsidP="006D3501">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482CC37" w14:textId="77777777" w:rsidR="00795C9B" w:rsidRDefault="00795C9B" w:rsidP="006D3501">
            <w:pPr>
              <w:pStyle w:val="Normal0"/>
              <w:rPr>
                <w:rFonts w:ascii="Calibri" w:eastAsia="Calibri" w:hAnsi="Calibri" w:cs="Calibri"/>
                <w:color w:val="000000"/>
                <w:sz w:val="18"/>
              </w:rPr>
            </w:pPr>
          </w:p>
        </w:tc>
      </w:tr>
      <w:tr w:rsidR="00795C9B" w14:paraId="074C492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665"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5DF345FC" w14:textId="77777777" w:rsidR="00795C9B" w:rsidRDefault="00795C9B" w:rsidP="006D3501">
            <w:pPr>
              <w:pStyle w:val="Normal0"/>
              <w:rPr>
                <w:rFonts w:ascii="Calibri" w:eastAsia="Calibri" w:hAnsi="Calibri" w:cs="Calibri"/>
                <w:b/>
                <w:color w:val="000000"/>
                <w:sz w:val="18"/>
              </w:rPr>
            </w:pPr>
            <w:r>
              <w:rPr>
                <w:rFonts w:ascii="Calibri" w:eastAsia="Calibri" w:hAnsi="Calibri" w:cs="Calibri"/>
                <w:b/>
                <w:color w:val="000000"/>
                <w:sz w:val="18"/>
              </w:rPr>
              <w:t>2021-22 Budget</w:t>
            </w:r>
          </w:p>
        </w:tc>
        <w:tc>
          <w:tcPr>
            <w:tcW w:w="96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8D0AF95"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207,247</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8ECDB91"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219,628</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1B02DDC"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201,912</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EDBFEC8"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200,055</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8C9F86D" w14:textId="77777777" w:rsidR="00795C9B" w:rsidRDefault="00795C9B"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202,055</w:t>
            </w:r>
          </w:p>
        </w:tc>
      </w:tr>
    </w:tbl>
    <w:p w14:paraId="552F6011" w14:textId="77777777" w:rsidR="00795C9B" w:rsidRDefault="00795C9B" w:rsidP="00795C9B">
      <w:pPr>
        <w:pStyle w:val="BSnote0"/>
        <w:pBdr>
          <w:top w:val="nil"/>
          <w:left w:val="nil"/>
          <w:bottom w:val="nil"/>
          <w:right w:val="nil"/>
          <w:between w:val="nil"/>
          <w:bar w:val="nil"/>
        </w:pBdr>
        <w:rPr>
          <w:bdr w:val="nil"/>
        </w:rPr>
      </w:pPr>
      <w:r>
        <w:rPr>
          <w:bdr w:val="nil"/>
        </w:rPr>
        <w:t>Notes:</w:t>
      </w:r>
    </w:p>
    <w:p w14:paraId="1585506F" w14:textId="60F83E74" w:rsidR="00795C9B" w:rsidRDefault="00795C9B" w:rsidP="009A24FA">
      <w:pPr>
        <w:pStyle w:val="BSnoteslist"/>
        <w:numPr>
          <w:ilvl w:val="0"/>
          <w:numId w:val="42"/>
        </w:numPr>
        <w:pBdr>
          <w:top w:val="nil"/>
          <w:left w:val="nil"/>
          <w:bottom w:val="nil"/>
          <w:right w:val="nil"/>
          <w:between w:val="nil"/>
          <w:bar w:val="nil"/>
        </w:pBdr>
        <w:rPr>
          <w:bdr w:val="nil"/>
        </w:rPr>
      </w:pPr>
      <w:r>
        <w:rPr>
          <w:bCs/>
        </w:rPr>
        <w:t>The staffing costs associated with these initiatives are funded from outside the Safer Families Levy</w:t>
      </w:r>
      <w:r>
        <w:rPr>
          <w:bdr w:val="nil"/>
        </w:rPr>
        <w:t>.</w:t>
      </w:r>
    </w:p>
    <w:p w14:paraId="06F18BEA" w14:textId="6762DB0C" w:rsidR="00795C9B" w:rsidRPr="00795C9B" w:rsidRDefault="00795C9B" w:rsidP="009A24FA">
      <w:pPr>
        <w:pStyle w:val="BSnoteslist"/>
        <w:numPr>
          <w:ilvl w:val="0"/>
          <w:numId w:val="42"/>
        </w:numPr>
        <w:pBdr>
          <w:top w:val="nil"/>
          <w:left w:val="nil"/>
          <w:bottom w:val="nil"/>
          <w:right w:val="nil"/>
          <w:between w:val="nil"/>
          <w:bar w:val="nil"/>
        </w:pBdr>
        <w:rPr>
          <w:bdr w:val="nil"/>
        </w:rPr>
      </w:pPr>
      <w:r>
        <w:rPr>
          <w:bCs/>
        </w:rPr>
        <w:t>This initiative is allocated to the Community Services Directorate and Housing ACT.</w:t>
      </w:r>
    </w:p>
    <w:p w14:paraId="0D0DDBFC" w14:textId="614E3A61" w:rsidR="00C07D35" w:rsidRPr="00795C9B" w:rsidRDefault="00A4668D" w:rsidP="00795C9B">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21</w:t>
      </w:r>
      <w:r>
        <w:rPr>
          <w:noProof/>
          <w:bdr w:val="nil"/>
        </w:rPr>
        <w:fldChar w:fldCharType="end"/>
      </w:r>
      <w:r w:rsidRPr="00D227CE">
        <w:rPr>
          <w:bdr w:val="nil"/>
        </w:rPr>
        <w:t xml:space="preserve">: Changes to </w:t>
      </w:r>
      <w:r w:rsidRPr="00E81FCF">
        <w:rPr>
          <w:bdr w:val="nil"/>
        </w:rPr>
        <w:t>appropriation</w:t>
      </w:r>
      <w:r w:rsidRPr="00D227CE">
        <w:rPr>
          <w:bdr w:val="nil"/>
        </w:rPr>
        <w:t xml:space="preserve"> – </w:t>
      </w:r>
      <w:r w:rsidRPr="00E669EC">
        <w:rPr>
          <w:bdr w:val="nil"/>
        </w:rPr>
        <w:t>Capital</w:t>
      </w:r>
      <w:r w:rsidRPr="00D227CE">
        <w:rPr>
          <w:bdr w:val="nil"/>
        </w:rPr>
        <w:t xml:space="preserve"> Injections, Controlled</w:t>
      </w:r>
    </w:p>
    <w:tbl>
      <w:tblPr>
        <w:tblStyle w:val="CDMRange2"/>
        <w:tblW w:w="9285" w:type="dxa"/>
        <w:tblLayout w:type="fixed"/>
        <w:tblLook w:val="0600" w:firstRow="0" w:lastRow="0" w:firstColumn="0" w:lastColumn="0" w:noHBand="1" w:noVBand="1"/>
      </w:tblPr>
      <w:tblGrid>
        <w:gridCol w:w="4665"/>
        <w:gridCol w:w="960"/>
        <w:gridCol w:w="915"/>
        <w:gridCol w:w="915"/>
        <w:gridCol w:w="915"/>
        <w:gridCol w:w="915"/>
      </w:tblGrid>
      <w:tr w:rsidR="00C07D35" w14:paraId="23020F07" w14:textId="77777777">
        <w:trPr>
          <w:trHeight w:val="984"/>
        </w:trPr>
        <w:tc>
          <w:tcPr>
            <w:tcW w:w="466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67BCF7A2" w14:textId="77777777" w:rsidR="00C07D35" w:rsidRDefault="00C07D35">
            <w:pPr>
              <w:pStyle w:val="Normal4"/>
              <w:rPr>
                <w:rFonts w:ascii="Calibri" w:eastAsia="Calibri" w:hAnsi="Calibri" w:cs="Calibri"/>
                <w:color w:val="000000"/>
                <w:sz w:val="18"/>
              </w:rPr>
            </w:pP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774FEAE"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3E5B4A94"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F48E2C9"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2021-22 Budget</w:t>
            </w:r>
          </w:p>
          <w:p w14:paraId="3A311CC0" w14:textId="77777777" w:rsidR="00C07D35" w:rsidRDefault="00C07D35">
            <w:pPr>
              <w:pStyle w:val="Normal4"/>
              <w:jc w:val="right"/>
              <w:rPr>
                <w:rFonts w:ascii="Calibri" w:eastAsia="Calibri" w:hAnsi="Calibri" w:cs="Calibri"/>
                <w:b/>
                <w:color w:val="000000"/>
                <w:sz w:val="18"/>
              </w:rPr>
            </w:pPr>
          </w:p>
          <w:p w14:paraId="0928C287"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BBB612C"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2022-23 Estimate</w:t>
            </w:r>
          </w:p>
          <w:p w14:paraId="5E8BD4A9" w14:textId="77777777" w:rsidR="00C07D35" w:rsidRDefault="00C07D35">
            <w:pPr>
              <w:pStyle w:val="Normal4"/>
              <w:jc w:val="right"/>
              <w:rPr>
                <w:rFonts w:ascii="Calibri" w:eastAsia="Calibri" w:hAnsi="Calibri" w:cs="Calibri"/>
                <w:b/>
                <w:color w:val="000000"/>
                <w:sz w:val="18"/>
              </w:rPr>
            </w:pPr>
          </w:p>
          <w:p w14:paraId="356A4504"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8E67A54"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2023-24 Estimate</w:t>
            </w:r>
          </w:p>
          <w:p w14:paraId="4CEFB41E" w14:textId="77777777" w:rsidR="00C07D35" w:rsidRDefault="00C07D35">
            <w:pPr>
              <w:pStyle w:val="Normal4"/>
              <w:jc w:val="right"/>
              <w:rPr>
                <w:rFonts w:ascii="Calibri" w:eastAsia="Calibri" w:hAnsi="Calibri" w:cs="Calibri"/>
                <w:b/>
                <w:color w:val="000000"/>
                <w:sz w:val="18"/>
              </w:rPr>
            </w:pPr>
          </w:p>
          <w:p w14:paraId="22DDC74E"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133BE19"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2024-25 Estimate</w:t>
            </w:r>
          </w:p>
          <w:p w14:paraId="291098DB" w14:textId="77777777" w:rsidR="00C07D35" w:rsidRDefault="00C07D35">
            <w:pPr>
              <w:pStyle w:val="Normal4"/>
              <w:jc w:val="right"/>
              <w:rPr>
                <w:rFonts w:ascii="Calibri" w:eastAsia="Calibri" w:hAnsi="Calibri" w:cs="Calibri"/>
                <w:b/>
                <w:color w:val="000000"/>
                <w:sz w:val="18"/>
              </w:rPr>
            </w:pPr>
          </w:p>
          <w:p w14:paraId="7CC4BFE1"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r>
      <w:tr w:rsidR="00C07D35" w14:paraId="52305B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210755CA" w14:textId="77777777" w:rsidR="00C07D35" w:rsidRDefault="00C07D35">
            <w:pPr>
              <w:pStyle w:val="Normal4"/>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172DC7B"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E813A12"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E9D80C8"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B6253FE"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63D2138" w14:textId="77777777" w:rsidR="00C07D35" w:rsidRDefault="00C07D35">
            <w:pPr>
              <w:pStyle w:val="Normal4"/>
              <w:rPr>
                <w:rFonts w:ascii="Calibri" w:eastAsia="Calibri" w:hAnsi="Calibri" w:cs="Calibri"/>
                <w:color w:val="000000"/>
                <w:sz w:val="18"/>
              </w:rPr>
            </w:pPr>
          </w:p>
        </w:tc>
      </w:tr>
      <w:tr w:rsidR="00C07D35" w14:paraId="2CFCFE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242F5423" w14:textId="77777777" w:rsidR="00C07D35" w:rsidRDefault="00A4668D">
            <w:pPr>
              <w:pStyle w:val="Normal4"/>
              <w:rPr>
                <w:rFonts w:ascii="Calibri" w:eastAsia="Calibri" w:hAnsi="Calibri" w:cs="Calibri"/>
                <w:b/>
                <w:color w:val="000000"/>
                <w:sz w:val="18"/>
              </w:rPr>
            </w:pPr>
            <w:r>
              <w:rPr>
                <w:rFonts w:ascii="Calibri" w:eastAsia="Calibri" w:hAnsi="Calibri" w:cs="Calibri"/>
                <w:b/>
                <w:color w:val="000000"/>
                <w:sz w:val="18"/>
              </w:rPr>
              <w:t>2020-21 Budget</w:t>
            </w:r>
          </w:p>
        </w:tc>
        <w:tc>
          <w:tcPr>
            <w:tcW w:w="960" w:type="dxa"/>
            <w:tcBorders>
              <w:top w:val="nil"/>
              <w:left w:val="nil"/>
              <w:bottom w:val="nil"/>
              <w:right w:val="nil"/>
              <w:tl2br w:val="nil"/>
              <w:tr2bl w:val="nil"/>
            </w:tcBorders>
            <w:shd w:val="clear" w:color="auto" w:fill="auto"/>
            <w:noWrap/>
            <w:tcMar>
              <w:left w:w="101" w:type="dxa"/>
              <w:right w:w="101" w:type="dxa"/>
            </w:tcMar>
            <w:vAlign w:val="bottom"/>
          </w:tcPr>
          <w:p w14:paraId="46BB94C3"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5,277</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2546D2B6"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2,466</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290E49BD"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448</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242FA54A"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459</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52E4C240"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459</w:t>
            </w:r>
          </w:p>
        </w:tc>
      </w:tr>
      <w:tr w:rsidR="00C07D35" w14:paraId="07BE1A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00B0A20E" w14:textId="77777777" w:rsidR="00C07D35" w:rsidRDefault="00C07D35">
            <w:pPr>
              <w:pStyle w:val="Normal4"/>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345970E"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FC0AEC1"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DFD1012"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05E5EA1"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F610308" w14:textId="77777777" w:rsidR="00C07D35" w:rsidRDefault="00C07D35">
            <w:pPr>
              <w:pStyle w:val="Normal4"/>
              <w:rPr>
                <w:rFonts w:ascii="Calibri" w:eastAsia="Calibri" w:hAnsi="Calibri" w:cs="Calibri"/>
                <w:color w:val="000000"/>
                <w:sz w:val="18"/>
              </w:rPr>
            </w:pPr>
          </w:p>
        </w:tc>
      </w:tr>
      <w:tr w:rsidR="00C07D35" w14:paraId="7EB91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vAlign w:val="bottom"/>
          </w:tcPr>
          <w:p w14:paraId="231545F7" w14:textId="77777777" w:rsidR="00C07D35" w:rsidRDefault="00A4668D">
            <w:pPr>
              <w:pStyle w:val="Normal4"/>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229E522" w14:textId="77777777" w:rsidR="00C07D35" w:rsidRDefault="00C07D35">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C47F902" w14:textId="77777777" w:rsidR="00C07D35" w:rsidRDefault="00C07D35">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028894A" w14:textId="77777777" w:rsidR="00C07D35" w:rsidRDefault="00C07D35">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E2791E7" w14:textId="77777777" w:rsidR="00C07D35" w:rsidRDefault="00C07D35">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4F1549B2" w14:textId="77777777" w:rsidR="00C07D35" w:rsidRDefault="00C07D35">
            <w:pPr>
              <w:pStyle w:val="Normal4"/>
              <w:rPr>
                <w:rFonts w:ascii="Calibri" w:eastAsia="Calibri" w:hAnsi="Calibri" w:cs="Calibri"/>
                <w:color w:val="FFFFFF"/>
                <w:sz w:val="18"/>
              </w:rPr>
            </w:pPr>
          </w:p>
        </w:tc>
      </w:tr>
      <w:tr w:rsidR="00C07D35" w14:paraId="427FA2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DE98F4B"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 xml:space="preserve">Deliver a purpose-built facility with the </w:t>
            </w:r>
            <w:proofErr w:type="spellStart"/>
            <w:r>
              <w:rPr>
                <w:rFonts w:ascii="Calibri" w:eastAsia="Calibri" w:hAnsi="Calibri" w:cs="Calibri"/>
                <w:color w:val="000000"/>
                <w:sz w:val="18"/>
              </w:rPr>
              <w:t>Gugan</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Gulwan</w:t>
            </w:r>
            <w:proofErr w:type="spellEnd"/>
            <w:r>
              <w:rPr>
                <w:rFonts w:ascii="Calibri" w:eastAsia="Calibri" w:hAnsi="Calibri" w:cs="Calibri"/>
                <w:color w:val="000000"/>
                <w:sz w:val="18"/>
              </w:rPr>
              <w:t xml:space="preserve"> Youth Aboriginal Corporation</w:t>
            </w:r>
          </w:p>
        </w:tc>
        <w:tc>
          <w:tcPr>
            <w:tcW w:w="960" w:type="dxa"/>
            <w:tcBorders>
              <w:top w:val="nil"/>
              <w:left w:val="nil"/>
              <w:bottom w:val="nil"/>
              <w:right w:val="nil"/>
              <w:tl2br w:val="nil"/>
              <w:tr2bl w:val="nil"/>
            </w:tcBorders>
            <w:shd w:val="clear" w:color="auto" w:fill="auto"/>
            <w:noWrap/>
            <w:tcMar>
              <w:left w:w="101" w:type="dxa"/>
              <w:right w:w="101" w:type="dxa"/>
            </w:tcMar>
          </w:tcPr>
          <w:p w14:paraId="242AF781"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F65DFBD"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2,000</w:t>
            </w:r>
          </w:p>
        </w:tc>
        <w:tc>
          <w:tcPr>
            <w:tcW w:w="915" w:type="dxa"/>
            <w:tcBorders>
              <w:top w:val="nil"/>
              <w:left w:val="nil"/>
              <w:bottom w:val="nil"/>
              <w:right w:val="nil"/>
              <w:tl2br w:val="nil"/>
              <w:tr2bl w:val="nil"/>
            </w:tcBorders>
            <w:shd w:val="clear" w:color="auto" w:fill="auto"/>
            <w:noWrap/>
            <w:tcMar>
              <w:left w:w="101" w:type="dxa"/>
              <w:right w:w="101" w:type="dxa"/>
            </w:tcMar>
          </w:tcPr>
          <w:p w14:paraId="22452144"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119EBBE"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A75C125"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364A8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58CBE17"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 xml:space="preserve">Improving safety at </w:t>
            </w:r>
            <w:proofErr w:type="spellStart"/>
            <w:r>
              <w:rPr>
                <w:rFonts w:ascii="Calibri" w:eastAsia="Calibri" w:hAnsi="Calibri" w:cs="Calibri"/>
                <w:color w:val="000000"/>
                <w:sz w:val="18"/>
              </w:rPr>
              <w:t>Bimberi</w:t>
            </w:r>
            <w:proofErr w:type="spellEnd"/>
            <w:r>
              <w:rPr>
                <w:rFonts w:ascii="Calibri" w:eastAsia="Calibri" w:hAnsi="Calibri" w:cs="Calibri"/>
                <w:color w:val="000000"/>
                <w:sz w:val="18"/>
              </w:rPr>
              <w:t xml:space="preserve"> Youth Justice Centre</w:t>
            </w:r>
          </w:p>
        </w:tc>
        <w:tc>
          <w:tcPr>
            <w:tcW w:w="960" w:type="dxa"/>
            <w:tcBorders>
              <w:top w:val="nil"/>
              <w:left w:val="nil"/>
              <w:bottom w:val="nil"/>
              <w:right w:val="nil"/>
              <w:tl2br w:val="nil"/>
              <w:tr2bl w:val="nil"/>
            </w:tcBorders>
            <w:shd w:val="clear" w:color="auto" w:fill="auto"/>
            <w:noWrap/>
            <w:tcMar>
              <w:left w:w="101" w:type="dxa"/>
              <w:right w:w="101" w:type="dxa"/>
            </w:tcMar>
          </w:tcPr>
          <w:p w14:paraId="73654647"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F460E67"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315</w:t>
            </w:r>
          </w:p>
        </w:tc>
        <w:tc>
          <w:tcPr>
            <w:tcW w:w="915" w:type="dxa"/>
            <w:tcBorders>
              <w:top w:val="nil"/>
              <w:left w:val="nil"/>
              <w:bottom w:val="nil"/>
              <w:right w:val="nil"/>
              <w:tl2br w:val="nil"/>
              <w:tr2bl w:val="nil"/>
            </w:tcBorders>
            <w:shd w:val="clear" w:color="auto" w:fill="auto"/>
            <w:noWrap/>
            <w:tcMar>
              <w:left w:w="101" w:type="dxa"/>
              <w:right w:w="101" w:type="dxa"/>
            </w:tcMar>
          </w:tcPr>
          <w:p w14:paraId="0DA33B98"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A31F635"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79BF2DBC"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61C78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64382DF0"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More support for the Children and Young People Equipment Loan Service</w:t>
            </w:r>
          </w:p>
        </w:tc>
        <w:tc>
          <w:tcPr>
            <w:tcW w:w="960" w:type="dxa"/>
            <w:tcBorders>
              <w:top w:val="nil"/>
              <w:left w:val="nil"/>
              <w:bottom w:val="nil"/>
              <w:right w:val="nil"/>
              <w:tl2br w:val="nil"/>
              <w:tr2bl w:val="nil"/>
            </w:tcBorders>
            <w:shd w:val="clear" w:color="auto" w:fill="auto"/>
            <w:noWrap/>
            <w:tcMar>
              <w:left w:w="101" w:type="dxa"/>
              <w:right w:w="101" w:type="dxa"/>
            </w:tcMar>
          </w:tcPr>
          <w:p w14:paraId="5A4735A4"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78E1AC2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207</w:t>
            </w:r>
          </w:p>
        </w:tc>
        <w:tc>
          <w:tcPr>
            <w:tcW w:w="915" w:type="dxa"/>
            <w:tcBorders>
              <w:top w:val="nil"/>
              <w:left w:val="nil"/>
              <w:bottom w:val="nil"/>
              <w:right w:val="nil"/>
              <w:tl2br w:val="nil"/>
              <w:tr2bl w:val="nil"/>
            </w:tcBorders>
            <w:shd w:val="clear" w:color="auto" w:fill="auto"/>
            <w:noWrap/>
            <w:tcMar>
              <w:left w:w="101" w:type="dxa"/>
              <w:right w:w="101" w:type="dxa"/>
            </w:tcMar>
          </w:tcPr>
          <w:p w14:paraId="0496D46D"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2960152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618D59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584E00" w14:paraId="6BA1150B" w14:textId="77777777" w:rsidTr="00584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4665" w:type="dxa"/>
            <w:tcBorders>
              <w:top w:val="nil"/>
              <w:left w:val="nil"/>
              <w:bottom w:val="nil"/>
              <w:right w:val="nil"/>
              <w:tl2br w:val="nil"/>
              <w:tr2bl w:val="nil"/>
            </w:tcBorders>
            <w:shd w:val="clear" w:color="auto" w:fill="auto"/>
            <w:tcMar>
              <w:left w:w="101" w:type="dxa"/>
              <w:right w:w="101" w:type="dxa"/>
            </w:tcMar>
          </w:tcPr>
          <w:p w14:paraId="40C927A6" w14:textId="32FCF8C2" w:rsidR="00584E00" w:rsidRDefault="00584E00" w:rsidP="00584E00">
            <w:pPr>
              <w:pStyle w:val="Normal4"/>
              <w:rPr>
                <w:rFonts w:ascii="Calibri" w:eastAsia="Calibri" w:hAnsi="Calibri" w:cs="Calibri"/>
                <w:color w:val="000000"/>
                <w:sz w:val="18"/>
              </w:rPr>
            </w:pPr>
            <w:r>
              <w:rPr>
                <w:rFonts w:ascii="Calibri" w:eastAsia="Calibri" w:hAnsi="Calibri" w:cs="Calibri"/>
                <w:color w:val="000000"/>
                <w:sz w:val="18"/>
              </w:rPr>
              <w:t>Integrated Service Response Program</w:t>
            </w:r>
          </w:p>
        </w:tc>
        <w:tc>
          <w:tcPr>
            <w:tcW w:w="960" w:type="dxa"/>
            <w:tcBorders>
              <w:top w:val="nil"/>
              <w:left w:val="nil"/>
              <w:bottom w:val="nil"/>
              <w:right w:val="nil"/>
              <w:tl2br w:val="nil"/>
              <w:tr2bl w:val="nil"/>
            </w:tcBorders>
            <w:shd w:val="clear" w:color="auto" w:fill="auto"/>
            <w:noWrap/>
            <w:tcMar>
              <w:left w:w="101" w:type="dxa"/>
              <w:right w:w="101" w:type="dxa"/>
            </w:tcMar>
          </w:tcPr>
          <w:p w14:paraId="0002E094" w14:textId="323858DA" w:rsidR="00584E00" w:rsidRDefault="00584E00" w:rsidP="00584E00">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96E3601" w14:textId="1A9AF8F2" w:rsidR="00584E00" w:rsidRDefault="00584E00" w:rsidP="00584E00">
            <w:pPr>
              <w:pStyle w:val="Normal4"/>
              <w:jc w:val="right"/>
              <w:rPr>
                <w:rFonts w:ascii="Calibri" w:eastAsia="Calibri" w:hAnsi="Calibri" w:cs="Calibri"/>
                <w:color w:val="000000"/>
                <w:sz w:val="18"/>
              </w:rPr>
            </w:pPr>
            <w:r>
              <w:rPr>
                <w:rFonts w:ascii="Calibri" w:eastAsia="Calibri" w:hAnsi="Calibri" w:cs="Calibri"/>
                <w:color w:val="000000"/>
                <w:sz w:val="18"/>
              </w:rPr>
              <w:t>60</w:t>
            </w:r>
          </w:p>
        </w:tc>
        <w:tc>
          <w:tcPr>
            <w:tcW w:w="915" w:type="dxa"/>
            <w:tcBorders>
              <w:top w:val="nil"/>
              <w:left w:val="nil"/>
              <w:bottom w:val="nil"/>
              <w:right w:val="nil"/>
              <w:tl2br w:val="nil"/>
              <w:tr2bl w:val="nil"/>
            </w:tcBorders>
            <w:shd w:val="clear" w:color="auto" w:fill="auto"/>
            <w:noWrap/>
            <w:tcMar>
              <w:left w:w="101" w:type="dxa"/>
              <w:right w:w="101" w:type="dxa"/>
            </w:tcMar>
          </w:tcPr>
          <w:p w14:paraId="641A8C98" w14:textId="6C484B67" w:rsidR="00584E00" w:rsidRDefault="00584E00" w:rsidP="00584E00">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9908EC9" w14:textId="2C81AABA" w:rsidR="00584E00" w:rsidRDefault="00584E00" w:rsidP="00584E00">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9C2A782" w14:textId="057F623D" w:rsidR="00584E00" w:rsidRDefault="00584E00" w:rsidP="00584E00">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11D9AC31" w14:textId="77777777" w:rsidTr="00CF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665" w:type="dxa"/>
            <w:tcBorders>
              <w:top w:val="nil"/>
              <w:left w:val="nil"/>
              <w:bottom w:val="nil"/>
              <w:right w:val="nil"/>
              <w:tl2br w:val="nil"/>
              <w:tr2bl w:val="nil"/>
            </w:tcBorders>
            <w:shd w:val="clear" w:color="auto" w:fill="auto"/>
            <w:tcMar>
              <w:left w:w="0" w:type="dxa"/>
              <w:right w:w="0" w:type="dxa"/>
            </w:tcMar>
            <w:vAlign w:val="bottom"/>
          </w:tcPr>
          <w:p w14:paraId="3E1F2ADF" w14:textId="77777777" w:rsidR="00C07D35" w:rsidRDefault="00C07D35">
            <w:pPr>
              <w:pStyle w:val="Normal4"/>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4CBC7C10"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5F03D7D"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C73CFC9"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1F710BD" w14:textId="77777777" w:rsidR="00C07D35" w:rsidRDefault="00C07D35">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E49D769" w14:textId="77777777" w:rsidR="00C07D35" w:rsidRDefault="00C07D35">
            <w:pPr>
              <w:pStyle w:val="Normal4"/>
              <w:rPr>
                <w:rFonts w:ascii="Calibri" w:eastAsia="Calibri" w:hAnsi="Calibri" w:cs="Calibri"/>
                <w:color w:val="000000"/>
                <w:sz w:val="18"/>
              </w:rPr>
            </w:pPr>
          </w:p>
        </w:tc>
      </w:tr>
      <w:tr w:rsidR="00CF0846" w14:paraId="18DEA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23CAFC6" w14:textId="3F5D8B7B" w:rsidR="00CF0846" w:rsidRDefault="00CF0846">
            <w:pPr>
              <w:pStyle w:val="Normal4"/>
              <w:rPr>
                <w:rFonts w:ascii="Calibri" w:eastAsia="Calibri" w:hAnsi="Calibri" w:cs="Calibri"/>
                <w:color w:val="000000"/>
                <w:sz w:val="18"/>
              </w:rPr>
            </w:pPr>
            <w:r>
              <w:rPr>
                <w:rFonts w:ascii="Calibri" w:eastAsia="Calibri" w:hAnsi="Calibri" w:cs="Calibri"/>
                <w:b/>
                <w:color w:val="000000"/>
                <w:sz w:val="18"/>
              </w:rPr>
              <w:t>2021-22 Budget Technical Adjustments</w:t>
            </w:r>
          </w:p>
        </w:tc>
        <w:tc>
          <w:tcPr>
            <w:tcW w:w="960" w:type="dxa"/>
            <w:tcBorders>
              <w:top w:val="nil"/>
              <w:left w:val="nil"/>
              <w:bottom w:val="nil"/>
              <w:right w:val="nil"/>
              <w:tl2br w:val="nil"/>
              <w:tr2bl w:val="nil"/>
            </w:tcBorders>
            <w:shd w:val="clear" w:color="auto" w:fill="auto"/>
            <w:noWrap/>
            <w:tcMar>
              <w:left w:w="101" w:type="dxa"/>
              <w:right w:w="101" w:type="dxa"/>
            </w:tcMar>
          </w:tcPr>
          <w:p w14:paraId="6D2FF1F4" w14:textId="77777777" w:rsidR="00CF0846" w:rsidRDefault="00CF084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6362123B" w14:textId="77777777" w:rsidR="00CF0846" w:rsidRDefault="00CF084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44624444" w14:textId="77777777" w:rsidR="00CF0846" w:rsidRDefault="00CF084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08E1AE96" w14:textId="77777777" w:rsidR="00CF0846" w:rsidRDefault="00CF084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54F367B7" w14:textId="77777777" w:rsidR="00CF0846" w:rsidRDefault="00CF0846">
            <w:pPr>
              <w:pStyle w:val="Normal4"/>
              <w:jc w:val="right"/>
              <w:rPr>
                <w:rFonts w:ascii="Calibri" w:eastAsia="Calibri" w:hAnsi="Calibri" w:cs="Calibri"/>
                <w:color w:val="000000"/>
                <w:sz w:val="18"/>
              </w:rPr>
            </w:pPr>
          </w:p>
        </w:tc>
      </w:tr>
      <w:tr w:rsidR="00C07D35" w14:paraId="147E3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6AF8D7E"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Revised Indexation Parameters</w:t>
            </w:r>
          </w:p>
        </w:tc>
        <w:tc>
          <w:tcPr>
            <w:tcW w:w="960" w:type="dxa"/>
            <w:tcBorders>
              <w:top w:val="nil"/>
              <w:left w:val="nil"/>
              <w:bottom w:val="nil"/>
              <w:right w:val="nil"/>
              <w:tl2br w:val="nil"/>
              <w:tr2bl w:val="nil"/>
            </w:tcBorders>
            <w:shd w:val="clear" w:color="auto" w:fill="auto"/>
            <w:noWrap/>
            <w:tcMar>
              <w:left w:w="101" w:type="dxa"/>
              <w:right w:w="101" w:type="dxa"/>
            </w:tcMar>
          </w:tcPr>
          <w:p w14:paraId="77D415BA"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E52838C"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E8D58D1"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F952449"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79E06F8"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11</w:t>
            </w:r>
          </w:p>
        </w:tc>
      </w:tr>
      <w:tr w:rsidR="00C07D35" w14:paraId="7DAB6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49AD1FB8"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Ruby's house - Additional investment to lower future repairs and maintenance</w:t>
            </w:r>
          </w:p>
        </w:tc>
        <w:tc>
          <w:tcPr>
            <w:tcW w:w="960" w:type="dxa"/>
            <w:tcBorders>
              <w:top w:val="nil"/>
              <w:left w:val="nil"/>
              <w:bottom w:val="nil"/>
              <w:right w:val="nil"/>
              <w:tl2br w:val="nil"/>
              <w:tr2bl w:val="nil"/>
            </w:tcBorders>
            <w:shd w:val="clear" w:color="auto" w:fill="auto"/>
            <w:noWrap/>
            <w:tcMar>
              <w:left w:w="101" w:type="dxa"/>
              <w:right w:w="101" w:type="dxa"/>
            </w:tcMar>
          </w:tcPr>
          <w:p w14:paraId="11A6AB31"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2022601"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200</w:t>
            </w:r>
          </w:p>
        </w:tc>
        <w:tc>
          <w:tcPr>
            <w:tcW w:w="915" w:type="dxa"/>
            <w:tcBorders>
              <w:top w:val="nil"/>
              <w:left w:val="nil"/>
              <w:bottom w:val="nil"/>
              <w:right w:val="nil"/>
              <w:tl2br w:val="nil"/>
              <w:tr2bl w:val="nil"/>
            </w:tcBorders>
            <w:shd w:val="clear" w:color="auto" w:fill="auto"/>
            <w:noWrap/>
            <w:tcMar>
              <w:left w:w="101" w:type="dxa"/>
              <w:right w:w="101" w:type="dxa"/>
            </w:tcMar>
          </w:tcPr>
          <w:p w14:paraId="6778DED6"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230995D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1C6AB6E"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5AB8AC6F" w14:textId="77777777" w:rsidTr="00051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4665" w:type="dxa"/>
            <w:tcBorders>
              <w:top w:val="nil"/>
              <w:left w:val="nil"/>
              <w:bottom w:val="nil"/>
              <w:right w:val="nil"/>
              <w:tl2br w:val="nil"/>
              <w:tr2bl w:val="nil"/>
            </w:tcBorders>
            <w:shd w:val="clear" w:color="auto" w:fill="auto"/>
            <w:tcMar>
              <w:left w:w="101" w:type="dxa"/>
              <w:right w:w="101" w:type="dxa"/>
            </w:tcMar>
          </w:tcPr>
          <w:p w14:paraId="34E65712" w14:textId="21E9DB3F"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Revised Funding Profile - Ruby’s house</w:t>
            </w:r>
          </w:p>
        </w:tc>
        <w:tc>
          <w:tcPr>
            <w:tcW w:w="960" w:type="dxa"/>
            <w:tcBorders>
              <w:top w:val="nil"/>
              <w:left w:val="nil"/>
              <w:bottom w:val="nil"/>
              <w:right w:val="nil"/>
              <w:tl2br w:val="nil"/>
              <w:tr2bl w:val="nil"/>
            </w:tcBorders>
            <w:shd w:val="clear" w:color="auto" w:fill="auto"/>
            <w:noWrap/>
            <w:tcMar>
              <w:left w:w="101" w:type="dxa"/>
              <w:right w:w="101" w:type="dxa"/>
            </w:tcMar>
          </w:tcPr>
          <w:p w14:paraId="03A71074"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-876</w:t>
            </w:r>
          </w:p>
        </w:tc>
        <w:tc>
          <w:tcPr>
            <w:tcW w:w="915" w:type="dxa"/>
            <w:tcBorders>
              <w:top w:val="nil"/>
              <w:left w:val="nil"/>
              <w:bottom w:val="nil"/>
              <w:right w:val="nil"/>
              <w:tl2br w:val="nil"/>
              <w:tr2bl w:val="nil"/>
            </w:tcBorders>
            <w:shd w:val="clear" w:color="auto" w:fill="auto"/>
            <w:noWrap/>
            <w:tcMar>
              <w:left w:w="101" w:type="dxa"/>
              <w:right w:w="101" w:type="dxa"/>
            </w:tcMar>
          </w:tcPr>
          <w:p w14:paraId="3B2EED7C"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876</w:t>
            </w:r>
          </w:p>
        </w:tc>
        <w:tc>
          <w:tcPr>
            <w:tcW w:w="915" w:type="dxa"/>
            <w:tcBorders>
              <w:top w:val="nil"/>
              <w:left w:val="nil"/>
              <w:bottom w:val="nil"/>
              <w:right w:val="nil"/>
              <w:tl2br w:val="nil"/>
              <w:tr2bl w:val="nil"/>
            </w:tcBorders>
            <w:shd w:val="clear" w:color="auto" w:fill="auto"/>
            <w:noWrap/>
            <w:tcMar>
              <w:left w:w="101" w:type="dxa"/>
              <w:right w:w="101" w:type="dxa"/>
            </w:tcMar>
          </w:tcPr>
          <w:p w14:paraId="1259827F"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EEFEA74"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25020CF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59F126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9BC0173"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Revised Funding Profile - Better Infrastructure Fund</w:t>
            </w:r>
          </w:p>
        </w:tc>
        <w:tc>
          <w:tcPr>
            <w:tcW w:w="960" w:type="dxa"/>
            <w:tcBorders>
              <w:top w:val="nil"/>
              <w:left w:val="nil"/>
              <w:bottom w:val="nil"/>
              <w:right w:val="nil"/>
              <w:tl2br w:val="nil"/>
              <w:tr2bl w:val="nil"/>
            </w:tcBorders>
            <w:shd w:val="clear" w:color="auto" w:fill="auto"/>
            <w:noWrap/>
            <w:tcMar>
              <w:left w:w="101" w:type="dxa"/>
              <w:right w:w="101" w:type="dxa"/>
            </w:tcMar>
          </w:tcPr>
          <w:p w14:paraId="3C90A4E5"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-75</w:t>
            </w:r>
          </w:p>
        </w:tc>
        <w:tc>
          <w:tcPr>
            <w:tcW w:w="915" w:type="dxa"/>
            <w:tcBorders>
              <w:top w:val="nil"/>
              <w:left w:val="nil"/>
              <w:bottom w:val="nil"/>
              <w:right w:val="nil"/>
              <w:tl2br w:val="nil"/>
              <w:tr2bl w:val="nil"/>
            </w:tcBorders>
            <w:shd w:val="clear" w:color="auto" w:fill="auto"/>
            <w:noWrap/>
            <w:tcMar>
              <w:left w:w="101" w:type="dxa"/>
              <w:right w:w="101" w:type="dxa"/>
            </w:tcMar>
          </w:tcPr>
          <w:p w14:paraId="1412B272"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75</w:t>
            </w:r>
          </w:p>
        </w:tc>
        <w:tc>
          <w:tcPr>
            <w:tcW w:w="915" w:type="dxa"/>
            <w:tcBorders>
              <w:top w:val="nil"/>
              <w:left w:val="nil"/>
              <w:bottom w:val="nil"/>
              <w:right w:val="nil"/>
              <w:tl2br w:val="nil"/>
              <w:tr2bl w:val="nil"/>
            </w:tcBorders>
            <w:shd w:val="clear" w:color="auto" w:fill="auto"/>
            <w:noWrap/>
            <w:tcMar>
              <w:left w:w="101" w:type="dxa"/>
              <w:right w:w="101" w:type="dxa"/>
            </w:tcMar>
          </w:tcPr>
          <w:p w14:paraId="2C547D4E"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057F486"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94C94B2"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30962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1354C722" w14:textId="0596C990" w:rsidR="00C07D35" w:rsidRDefault="00A4668D">
            <w:pPr>
              <w:pStyle w:val="Normal4"/>
              <w:rPr>
                <w:rFonts w:ascii="Calibri" w:eastAsia="Calibri" w:hAnsi="Calibri" w:cs="Calibri"/>
                <w:color w:val="000000"/>
                <w:sz w:val="18"/>
              </w:rPr>
            </w:pPr>
            <w:r>
              <w:rPr>
                <w:rFonts w:ascii="Calibri" w:eastAsia="Calibri" w:hAnsi="Calibri" w:cs="Calibri"/>
                <w:color w:val="000000"/>
                <w:sz w:val="18"/>
              </w:rPr>
              <w:t xml:space="preserve">Revised Funding Profile - Child and Youth Record Information </w:t>
            </w:r>
            <w:r w:rsidR="00051548">
              <w:rPr>
                <w:rFonts w:ascii="Calibri" w:eastAsia="Calibri" w:hAnsi="Calibri" w:cs="Calibri"/>
                <w:color w:val="000000"/>
                <w:sz w:val="18"/>
              </w:rPr>
              <w:t>S</w:t>
            </w:r>
            <w:r>
              <w:rPr>
                <w:rFonts w:ascii="Calibri" w:eastAsia="Calibri" w:hAnsi="Calibri" w:cs="Calibri"/>
                <w:color w:val="000000"/>
                <w:sz w:val="18"/>
              </w:rPr>
              <w:t>ystem</w:t>
            </w:r>
          </w:p>
        </w:tc>
        <w:tc>
          <w:tcPr>
            <w:tcW w:w="960" w:type="dxa"/>
            <w:tcBorders>
              <w:top w:val="nil"/>
              <w:left w:val="nil"/>
              <w:bottom w:val="nil"/>
              <w:right w:val="nil"/>
              <w:tl2br w:val="nil"/>
              <w:tr2bl w:val="nil"/>
            </w:tcBorders>
            <w:shd w:val="clear" w:color="auto" w:fill="auto"/>
            <w:noWrap/>
            <w:tcMar>
              <w:left w:w="101" w:type="dxa"/>
              <w:right w:w="101" w:type="dxa"/>
            </w:tcMar>
          </w:tcPr>
          <w:p w14:paraId="36681614"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-302</w:t>
            </w:r>
          </w:p>
        </w:tc>
        <w:tc>
          <w:tcPr>
            <w:tcW w:w="915" w:type="dxa"/>
            <w:tcBorders>
              <w:top w:val="nil"/>
              <w:left w:val="nil"/>
              <w:bottom w:val="nil"/>
              <w:right w:val="nil"/>
              <w:tl2br w:val="nil"/>
              <w:tr2bl w:val="nil"/>
            </w:tcBorders>
            <w:shd w:val="clear" w:color="auto" w:fill="auto"/>
            <w:noWrap/>
            <w:tcMar>
              <w:left w:w="101" w:type="dxa"/>
              <w:right w:w="101" w:type="dxa"/>
            </w:tcMar>
          </w:tcPr>
          <w:p w14:paraId="5223D5F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302</w:t>
            </w:r>
          </w:p>
        </w:tc>
        <w:tc>
          <w:tcPr>
            <w:tcW w:w="915" w:type="dxa"/>
            <w:tcBorders>
              <w:top w:val="nil"/>
              <w:left w:val="nil"/>
              <w:bottom w:val="nil"/>
              <w:right w:val="nil"/>
              <w:tl2br w:val="nil"/>
              <w:tr2bl w:val="nil"/>
            </w:tcBorders>
            <w:shd w:val="clear" w:color="auto" w:fill="auto"/>
            <w:noWrap/>
            <w:tcMar>
              <w:left w:w="101" w:type="dxa"/>
              <w:right w:w="101" w:type="dxa"/>
            </w:tcMar>
          </w:tcPr>
          <w:p w14:paraId="43D4DA6C"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7CC2BB6"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EB5D416"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2BFB97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0BDE0168"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Revised Funding Profile - Continuing to reduce and eliminate restrictive practices</w:t>
            </w:r>
          </w:p>
        </w:tc>
        <w:tc>
          <w:tcPr>
            <w:tcW w:w="960" w:type="dxa"/>
            <w:tcBorders>
              <w:top w:val="nil"/>
              <w:left w:val="nil"/>
              <w:bottom w:val="nil"/>
              <w:right w:val="nil"/>
              <w:tl2br w:val="nil"/>
              <w:tr2bl w:val="nil"/>
            </w:tcBorders>
            <w:shd w:val="clear" w:color="auto" w:fill="auto"/>
            <w:noWrap/>
            <w:tcMar>
              <w:left w:w="101" w:type="dxa"/>
              <w:right w:w="101" w:type="dxa"/>
            </w:tcMar>
          </w:tcPr>
          <w:p w14:paraId="5EE8B790"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-18</w:t>
            </w:r>
          </w:p>
        </w:tc>
        <w:tc>
          <w:tcPr>
            <w:tcW w:w="915" w:type="dxa"/>
            <w:tcBorders>
              <w:top w:val="nil"/>
              <w:left w:val="nil"/>
              <w:bottom w:val="nil"/>
              <w:right w:val="nil"/>
              <w:tl2br w:val="nil"/>
              <w:tr2bl w:val="nil"/>
            </w:tcBorders>
            <w:shd w:val="clear" w:color="auto" w:fill="auto"/>
            <w:noWrap/>
            <w:tcMar>
              <w:left w:w="101" w:type="dxa"/>
              <w:right w:w="101" w:type="dxa"/>
            </w:tcMar>
          </w:tcPr>
          <w:p w14:paraId="20D705C7"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18</w:t>
            </w:r>
          </w:p>
        </w:tc>
        <w:tc>
          <w:tcPr>
            <w:tcW w:w="915" w:type="dxa"/>
            <w:tcBorders>
              <w:top w:val="nil"/>
              <w:left w:val="nil"/>
              <w:bottom w:val="nil"/>
              <w:right w:val="nil"/>
              <w:tl2br w:val="nil"/>
              <w:tr2bl w:val="nil"/>
            </w:tcBorders>
            <w:shd w:val="clear" w:color="auto" w:fill="auto"/>
            <w:noWrap/>
            <w:tcMar>
              <w:left w:w="101" w:type="dxa"/>
              <w:right w:w="101" w:type="dxa"/>
            </w:tcMar>
          </w:tcPr>
          <w:p w14:paraId="74055D6F"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CDE69B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B8AEEE5"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155FB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6DEAB242"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Revised Funding Profile - Data system to support the Domestic Violence Death Review</w:t>
            </w:r>
          </w:p>
        </w:tc>
        <w:tc>
          <w:tcPr>
            <w:tcW w:w="960" w:type="dxa"/>
            <w:tcBorders>
              <w:top w:val="nil"/>
              <w:left w:val="nil"/>
              <w:bottom w:val="nil"/>
              <w:right w:val="nil"/>
              <w:tl2br w:val="nil"/>
              <w:tr2bl w:val="nil"/>
            </w:tcBorders>
            <w:shd w:val="clear" w:color="auto" w:fill="auto"/>
            <w:noWrap/>
            <w:tcMar>
              <w:left w:w="101" w:type="dxa"/>
              <w:right w:w="101" w:type="dxa"/>
            </w:tcMar>
          </w:tcPr>
          <w:p w14:paraId="5FC58842"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-200</w:t>
            </w:r>
          </w:p>
        </w:tc>
        <w:tc>
          <w:tcPr>
            <w:tcW w:w="915" w:type="dxa"/>
            <w:tcBorders>
              <w:top w:val="nil"/>
              <w:left w:val="nil"/>
              <w:bottom w:val="nil"/>
              <w:right w:val="nil"/>
              <w:tl2br w:val="nil"/>
              <w:tr2bl w:val="nil"/>
            </w:tcBorders>
            <w:shd w:val="clear" w:color="auto" w:fill="auto"/>
            <w:noWrap/>
            <w:tcMar>
              <w:left w:w="101" w:type="dxa"/>
              <w:right w:w="101" w:type="dxa"/>
            </w:tcMar>
          </w:tcPr>
          <w:p w14:paraId="3809369A"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200</w:t>
            </w:r>
          </w:p>
        </w:tc>
        <w:tc>
          <w:tcPr>
            <w:tcW w:w="915" w:type="dxa"/>
            <w:tcBorders>
              <w:top w:val="nil"/>
              <w:left w:val="nil"/>
              <w:bottom w:val="nil"/>
              <w:right w:val="nil"/>
              <w:tl2br w:val="nil"/>
              <w:tr2bl w:val="nil"/>
            </w:tcBorders>
            <w:shd w:val="clear" w:color="auto" w:fill="auto"/>
            <w:noWrap/>
            <w:tcMar>
              <w:left w:w="101" w:type="dxa"/>
              <w:right w:w="101" w:type="dxa"/>
            </w:tcMar>
          </w:tcPr>
          <w:p w14:paraId="548077A1"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F7A327A"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DEF6E19"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05D0F4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665" w:type="dxa"/>
            <w:tcBorders>
              <w:top w:val="nil"/>
              <w:left w:val="nil"/>
              <w:bottom w:val="nil"/>
              <w:right w:val="nil"/>
              <w:tl2br w:val="nil"/>
              <w:tr2bl w:val="nil"/>
            </w:tcBorders>
            <w:shd w:val="clear" w:color="auto" w:fill="auto"/>
            <w:tcMar>
              <w:left w:w="101" w:type="dxa"/>
              <w:right w:w="101" w:type="dxa"/>
            </w:tcMar>
          </w:tcPr>
          <w:p w14:paraId="1421FE9D"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 xml:space="preserve">Revised Funding Profile - Deliver a purpose-built facility with the </w:t>
            </w:r>
            <w:proofErr w:type="spellStart"/>
            <w:r>
              <w:rPr>
                <w:rFonts w:ascii="Calibri" w:eastAsia="Calibri" w:hAnsi="Calibri" w:cs="Calibri"/>
                <w:color w:val="000000"/>
                <w:sz w:val="18"/>
              </w:rPr>
              <w:t>Gugan</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Gulwan</w:t>
            </w:r>
            <w:proofErr w:type="spellEnd"/>
            <w:r>
              <w:rPr>
                <w:rFonts w:ascii="Calibri" w:eastAsia="Calibri" w:hAnsi="Calibri" w:cs="Calibri"/>
                <w:color w:val="000000"/>
                <w:sz w:val="18"/>
              </w:rPr>
              <w:t xml:space="preserve"> Youth Aboriginal Corporation to better deliver essential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77318C1F"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-175</w:t>
            </w:r>
          </w:p>
        </w:tc>
        <w:tc>
          <w:tcPr>
            <w:tcW w:w="915" w:type="dxa"/>
            <w:tcBorders>
              <w:top w:val="nil"/>
              <w:left w:val="nil"/>
              <w:bottom w:val="nil"/>
              <w:right w:val="nil"/>
              <w:tl2br w:val="nil"/>
              <w:tr2bl w:val="nil"/>
            </w:tcBorders>
            <w:shd w:val="clear" w:color="auto" w:fill="auto"/>
            <w:noWrap/>
            <w:tcMar>
              <w:left w:w="101" w:type="dxa"/>
              <w:right w:w="101" w:type="dxa"/>
            </w:tcMar>
          </w:tcPr>
          <w:p w14:paraId="42D97F37"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175</w:t>
            </w:r>
          </w:p>
        </w:tc>
        <w:tc>
          <w:tcPr>
            <w:tcW w:w="915" w:type="dxa"/>
            <w:tcBorders>
              <w:top w:val="nil"/>
              <w:left w:val="nil"/>
              <w:bottom w:val="nil"/>
              <w:right w:val="nil"/>
              <w:tl2br w:val="nil"/>
              <w:tr2bl w:val="nil"/>
            </w:tcBorders>
            <w:shd w:val="clear" w:color="auto" w:fill="auto"/>
            <w:noWrap/>
            <w:tcMar>
              <w:left w:w="101" w:type="dxa"/>
              <w:right w:w="101" w:type="dxa"/>
            </w:tcMar>
          </w:tcPr>
          <w:p w14:paraId="2CF247DC"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5BB8575"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5FBBEB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45F61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3C533459" w14:textId="4035C53D" w:rsidR="00C07D35" w:rsidRDefault="00A4668D">
            <w:pPr>
              <w:pStyle w:val="Normal4"/>
              <w:rPr>
                <w:rFonts w:ascii="Calibri" w:eastAsia="Calibri" w:hAnsi="Calibri" w:cs="Calibri"/>
                <w:color w:val="000000"/>
                <w:sz w:val="18"/>
              </w:rPr>
            </w:pPr>
            <w:r>
              <w:rPr>
                <w:rFonts w:ascii="Calibri" w:eastAsia="Calibri" w:hAnsi="Calibri" w:cs="Calibri"/>
                <w:color w:val="000000"/>
                <w:sz w:val="18"/>
              </w:rPr>
              <w:t xml:space="preserve">Revised Funding </w:t>
            </w:r>
            <w:r w:rsidRPr="00051548">
              <w:rPr>
                <w:rStyle w:val="BSnoteslistChar2"/>
                <w:rFonts w:eastAsia="Calibri"/>
              </w:rPr>
              <w:t xml:space="preserve">Profile - </w:t>
            </w:r>
            <w:r w:rsidR="00051548" w:rsidRPr="00051548">
              <w:rPr>
                <w:rStyle w:val="BSnoteslistChar2"/>
              </w:rPr>
              <w:t xml:space="preserve">Moving </w:t>
            </w:r>
            <w:r w:rsidR="00051548">
              <w:rPr>
                <w:rStyle w:val="BSnoteslistChar2"/>
              </w:rPr>
              <w:t>d</w:t>
            </w:r>
            <w:r w:rsidR="00051548" w:rsidRPr="00051548">
              <w:rPr>
                <w:rStyle w:val="BSnoteslistChar2"/>
              </w:rPr>
              <w:t>elivery of more community services online</w:t>
            </w:r>
          </w:p>
        </w:tc>
        <w:tc>
          <w:tcPr>
            <w:tcW w:w="960" w:type="dxa"/>
            <w:tcBorders>
              <w:top w:val="nil"/>
              <w:left w:val="nil"/>
              <w:bottom w:val="nil"/>
              <w:right w:val="nil"/>
              <w:tl2br w:val="nil"/>
              <w:tr2bl w:val="nil"/>
            </w:tcBorders>
            <w:shd w:val="clear" w:color="auto" w:fill="auto"/>
            <w:noWrap/>
            <w:tcMar>
              <w:left w:w="101" w:type="dxa"/>
              <w:right w:w="101" w:type="dxa"/>
            </w:tcMar>
          </w:tcPr>
          <w:p w14:paraId="5F0C1B23"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-435</w:t>
            </w:r>
          </w:p>
        </w:tc>
        <w:tc>
          <w:tcPr>
            <w:tcW w:w="915" w:type="dxa"/>
            <w:tcBorders>
              <w:top w:val="nil"/>
              <w:left w:val="nil"/>
              <w:bottom w:val="nil"/>
              <w:right w:val="nil"/>
              <w:tl2br w:val="nil"/>
              <w:tr2bl w:val="nil"/>
            </w:tcBorders>
            <w:shd w:val="clear" w:color="auto" w:fill="auto"/>
            <w:noWrap/>
            <w:tcMar>
              <w:left w:w="101" w:type="dxa"/>
              <w:right w:w="101" w:type="dxa"/>
            </w:tcMar>
          </w:tcPr>
          <w:p w14:paraId="6E7A01A0"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435</w:t>
            </w:r>
          </w:p>
        </w:tc>
        <w:tc>
          <w:tcPr>
            <w:tcW w:w="915" w:type="dxa"/>
            <w:tcBorders>
              <w:top w:val="nil"/>
              <w:left w:val="nil"/>
              <w:bottom w:val="nil"/>
              <w:right w:val="nil"/>
              <w:tl2br w:val="nil"/>
              <w:tr2bl w:val="nil"/>
            </w:tcBorders>
            <w:shd w:val="clear" w:color="auto" w:fill="auto"/>
            <w:noWrap/>
            <w:tcMar>
              <w:left w:w="101" w:type="dxa"/>
              <w:right w:w="101" w:type="dxa"/>
            </w:tcMar>
          </w:tcPr>
          <w:p w14:paraId="599D5740"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4292378"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94277AE"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7E751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0C632F51"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Revised Funding Profile - Maintaining Systems Supporting Practice (CYRIS)</w:t>
            </w:r>
          </w:p>
        </w:tc>
        <w:tc>
          <w:tcPr>
            <w:tcW w:w="960" w:type="dxa"/>
            <w:tcBorders>
              <w:top w:val="nil"/>
              <w:left w:val="nil"/>
              <w:bottom w:val="nil"/>
              <w:right w:val="nil"/>
              <w:tl2br w:val="nil"/>
              <w:tr2bl w:val="nil"/>
            </w:tcBorders>
            <w:shd w:val="clear" w:color="auto" w:fill="auto"/>
            <w:noWrap/>
            <w:tcMar>
              <w:left w:w="101" w:type="dxa"/>
              <w:right w:w="101" w:type="dxa"/>
            </w:tcMar>
          </w:tcPr>
          <w:p w14:paraId="541AE99A"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-67</w:t>
            </w:r>
          </w:p>
        </w:tc>
        <w:tc>
          <w:tcPr>
            <w:tcW w:w="915" w:type="dxa"/>
            <w:tcBorders>
              <w:top w:val="nil"/>
              <w:left w:val="nil"/>
              <w:bottom w:val="nil"/>
              <w:right w:val="nil"/>
              <w:tl2br w:val="nil"/>
              <w:tr2bl w:val="nil"/>
            </w:tcBorders>
            <w:shd w:val="clear" w:color="auto" w:fill="auto"/>
            <w:noWrap/>
            <w:tcMar>
              <w:left w:w="101" w:type="dxa"/>
              <w:right w:w="101" w:type="dxa"/>
            </w:tcMar>
          </w:tcPr>
          <w:p w14:paraId="2780951C"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67</w:t>
            </w:r>
          </w:p>
        </w:tc>
        <w:tc>
          <w:tcPr>
            <w:tcW w:w="915" w:type="dxa"/>
            <w:tcBorders>
              <w:top w:val="nil"/>
              <w:left w:val="nil"/>
              <w:bottom w:val="nil"/>
              <w:right w:val="nil"/>
              <w:tl2br w:val="nil"/>
              <w:tr2bl w:val="nil"/>
            </w:tcBorders>
            <w:shd w:val="clear" w:color="auto" w:fill="auto"/>
            <w:noWrap/>
            <w:tcMar>
              <w:left w:w="101" w:type="dxa"/>
              <w:right w:w="101" w:type="dxa"/>
            </w:tcMar>
          </w:tcPr>
          <w:p w14:paraId="0AE516B0"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1A4044E"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C45D7CF"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6A662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6D2F8F2F" w14:textId="77777777" w:rsidR="00C07D35" w:rsidRDefault="00A4668D">
            <w:pPr>
              <w:pStyle w:val="Normal4"/>
              <w:rPr>
                <w:rFonts w:ascii="Calibri" w:eastAsia="Calibri" w:hAnsi="Calibri" w:cs="Calibri"/>
                <w:color w:val="000000"/>
                <w:sz w:val="18"/>
              </w:rPr>
            </w:pPr>
            <w:r>
              <w:rPr>
                <w:rFonts w:ascii="Calibri" w:eastAsia="Calibri" w:hAnsi="Calibri" w:cs="Calibri"/>
                <w:color w:val="000000"/>
                <w:sz w:val="18"/>
              </w:rPr>
              <w:t xml:space="preserve">Revised Funding Profile - Strengthening specialist capacity at </w:t>
            </w:r>
            <w:proofErr w:type="spellStart"/>
            <w:r>
              <w:rPr>
                <w:rFonts w:ascii="Calibri" w:eastAsia="Calibri" w:hAnsi="Calibri" w:cs="Calibri"/>
                <w:color w:val="000000"/>
                <w:sz w:val="18"/>
              </w:rPr>
              <w:t>Bimberi</w:t>
            </w:r>
            <w:proofErr w:type="spellEnd"/>
            <w:r>
              <w:rPr>
                <w:rFonts w:ascii="Calibri" w:eastAsia="Calibri" w:hAnsi="Calibri" w:cs="Calibri"/>
                <w:color w:val="000000"/>
                <w:sz w:val="18"/>
              </w:rPr>
              <w:t xml:space="preserve"> Youth Justice Centre</w:t>
            </w:r>
          </w:p>
        </w:tc>
        <w:tc>
          <w:tcPr>
            <w:tcW w:w="960" w:type="dxa"/>
            <w:tcBorders>
              <w:top w:val="nil"/>
              <w:left w:val="nil"/>
              <w:bottom w:val="nil"/>
              <w:right w:val="nil"/>
              <w:tl2br w:val="nil"/>
              <w:tr2bl w:val="nil"/>
            </w:tcBorders>
            <w:shd w:val="clear" w:color="auto" w:fill="auto"/>
            <w:noWrap/>
            <w:tcMar>
              <w:left w:w="101" w:type="dxa"/>
              <w:right w:w="101" w:type="dxa"/>
            </w:tcMar>
          </w:tcPr>
          <w:p w14:paraId="5494F2BD"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-3</w:t>
            </w:r>
          </w:p>
        </w:tc>
        <w:tc>
          <w:tcPr>
            <w:tcW w:w="915" w:type="dxa"/>
            <w:tcBorders>
              <w:top w:val="nil"/>
              <w:left w:val="nil"/>
              <w:bottom w:val="nil"/>
              <w:right w:val="nil"/>
              <w:tl2br w:val="nil"/>
              <w:tr2bl w:val="nil"/>
            </w:tcBorders>
            <w:shd w:val="clear" w:color="auto" w:fill="auto"/>
            <w:noWrap/>
            <w:tcMar>
              <w:left w:w="101" w:type="dxa"/>
              <w:right w:w="101" w:type="dxa"/>
            </w:tcMar>
          </w:tcPr>
          <w:p w14:paraId="71310F74"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3</w:t>
            </w:r>
          </w:p>
        </w:tc>
        <w:tc>
          <w:tcPr>
            <w:tcW w:w="915" w:type="dxa"/>
            <w:tcBorders>
              <w:top w:val="nil"/>
              <w:left w:val="nil"/>
              <w:bottom w:val="nil"/>
              <w:right w:val="nil"/>
              <w:tl2br w:val="nil"/>
              <w:tr2bl w:val="nil"/>
            </w:tcBorders>
            <w:shd w:val="clear" w:color="auto" w:fill="auto"/>
            <w:noWrap/>
            <w:tcMar>
              <w:left w:w="101" w:type="dxa"/>
              <w:right w:w="101" w:type="dxa"/>
            </w:tcMar>
          </w:tcPr>
          <w:p w14:paraId="022ACA55"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EA0D5A7"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B31390B" w14:textId="77777777" w:rsidR="00C07D35" w:rsidRDefault="00A4668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07D35" w14:paraId="68161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
        </w:trPr>
        <w:tc>
          <w:tcPr>
            <w:tcW w:w="466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D39B098" w14:textId="77777777" w:rsidR="00C07D35" w:rsidRDefault="00C07D35">
            <w:pPr>
              <w:pStyle w:val="Normal4"/>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938A8A9" w14:textId="77777777" w:rsidR="00C07D35" w:rsidRDefault="00C07D35">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DAB3588" w14:textId="77777777" w:rsidR="00C07D35" w:rsidRDefault="00C07D35">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C318FF3" w14:textId="77777777" w:rsidR="00C07D35" w:rsidRDefault="00C07D35">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46C4CB1" w14:textId="77777777" w:rsidR="00C07D35" w:rsidRDefault="00C07D35">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9C72652" w14:textId="77777777" w:rsidR="00C07D35" w:rsidRDefault="00C07D35">
            <w:pPr>
              <w:pStyle w:val="Normal4"/>
              <w:rPr>
                <w:rFonts w:ascii="Calibri" w:eastAsia="Calibri" w:hAnsi="Calibri" w:cs="Calibri"/>
                <w:color w:val="000000"/>
                <w:sz w:val="18"/>
              </w:rPr>
            </w:pPr>
          </w:p>
        </w:tc>
      </w:tr>
      <w:tr w:rsidR="00C07D35" w14:paraId="12F3313F" w14:textId="77777777" w:rsidTr="00BB4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665"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32F3B966" w14:textId="77777777" w:rsidR="00C07D35" w:rsidRDefault="00A4668D">
            <w:pPr>
              <w:pStyle w:val="Normal4"/>
              <w:rPr>
                <w:rFonts w:ascii="Calibri" w:eastAsia="Calibri" w:hAnsi="Calibri" w:cs="Calibri"/>
                <w:b/>
                <w:color w:val="000000"/>
                <w:sz w:val="18"/>
              </w:rPr>
            </w:pPr>
            <w:r>
              <w:rPr>
                <w:rFonts w:ascii="Calibri" w:eastAsia="Calibri" w:hAnsi="Calibri" w:cs="Calibri"/>
                <w:b/>
                <w:color w:val="000000"/>
                <w:sz w:val="18"/>
              </w:rPr>
              <w:t>2021-22 Budget</w:t>
            </w:r>
          </w:p>
        </w:tc>
        <w:tc>
          <w:tcPr>
            <w:tcW w:w="96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B1C5E1D"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3,126</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A535322" w14:textId="19EBEC1C"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7,3</w:t>
            </w:r>
            <w:r w:rsidR="00584E00">
              <w:rPr>
                <w:rFonts w:ascii="Calibri" w:eastAsia="Calibri" w:hAnsi="Calibri" w:cs="Calibri"/>
                <w:b/>
                <w:color w:val="000000"/>
                <w:sz w:val="18"/>
              </w:rPr>
              <w:t>9</w:t>
            </w:r>
            <w:r>
              <w:rPr>
                <w:rFonts w:ascii="Calibri" w:eastAsia="Calibri" w:hAnsi="Calibri" w:cs="Calibri"/>
                <w:b/>
                <w:color w:val="000000"/>
                <w:sz w:val="18"/>
              </w:rPr>
              <w:t>9</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9A8F59A"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448</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1E2DBE7"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459</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71B0748" w14:textId="77777777" w:rsidR="00C07D35" w:rsidRDefault="00A4668D">
            <w:pPr>
              <w:pStyle w:val="Normal4"/>
              <w:jc w:val="right"/>
              <w:rPr>
                <w:rFonts w:ascii="Calibri" w:eastAsia="Calibri" w:hAnsi="Calibri" w:cs="Calibri"/>
                <w:b/>
                <w:color w:val="000000"/>
                <w:sz w:val="18"/>
              </w:rPr>
            </w:pPr>
            <w:r>
              <w:rPr>
                <w:rFonts w:ascii="Calibri" w:eastAsia="Calibri" w:hAnsi="Calibri" w:cs="Calibri"/>
                <w:b/>
                <w:color w:val="000000"/>
                <w:sz w:val="18"/>
              </w:rPr>
              <w:t>470</w:t>
            </w:r>
          </w:p>
        </w:tc>
      </w:tr>
    </w:tbl>
    <w:p w14:paraId="5D674BB5" w14:textId="77777777" w:rsidR="00D50379" w:rsidRDefault="00D50379">
      <w:pPr>
        <w:spacing w:before="0" w:after="0"/>
        <w:rPr>
          <w:b/>
          <w:bCs/>
          <w:color w:val="000000"/>
          <w:sz w:val="22"/>
          <w:szCs w:val="18"/>
        </w:rPr>
      </w:pPr>
      <w:r>
        <w:br w:type="page"/>
      </w:r>
    </w:p>
    <w:p w14:paraId="16B4FA6E" w14:textId="3BEBBABA" w:rsidR="00A4668D" w:rsidRPr="009B235F" w:rsidRDefault="00A4668D" w:rsidP="009B235F">
      <w:pPr>
        <w:pStyle w:val="Caption"/>
      </w:pPr>
      <w:r w:rsidRPr="009B235F">
        <w:lastRenderedPageBreak/>
        <w:t xml:space="preserve">Table </w:t>
      </w:r>
      <w:fldSimple w:instr=" SEQ Table \* ARABIC ">
        <w:r w:rsidR="001E4FEE" w:rsidRPr="009B235F">
          <w:t>22</w:t>
        </w:r>
      </w:fldSimple>
      <w:r w:rsidRPr="009B235F">
        <w:t>: Changes to appropriation – Expenses on Behalf of the Territory</w:t>
      </w:r>
    </w:p>
    <w:tbl>
      <w:tblPr>
        <w:tblStyle w:val="CDMRange10"/>
        <w:tblW w:w="9225" w:type="dxa"/>
        <w:tblLayout w:type="fixed"/>
        <w:tblLook w:val="0600" w:firstRow="0" w:lastRow="0" w:firstColumn="0" w:lastColumn="0" w:noHBand="1" w:noVBand="1"/>
      </w:tblPr>
      <w:tblGrid>
        <w:gridCol w:w="4665"/>
        <w:gridCol w:w="960"/>
        <w:gridCol w:w="900"/>
        <w:gridCol w:w="900"/>
        <w:gridCol w:w="900"/>
        <w:gridCol w:w="900"/>
      </w:tblGrid>
      <w:tr w:rsidR="00C07D35" w14:paraId="6C938436" w14:textId="77777777">
        <w:trPr>
          <w:trHeight w:val="990"/>
        </w:trPr>
        <w:tc>
          <w:tcPr>
            <w:tcW w:w="466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37F81ECF" w14:textId="77777777" w:rsidR="00C07D35" w:rsidRDefault="00C07D35">
            <w:pPr>
              <w:pStyle w:val="Normal5"/>
              <w:rPr>
                <w:rFonts w:ascii="Calibri" w:eastAsia="Calibri" w:hAnsi="Calibri" w:cs="Calibri"/>
                <w:color w:val="000000"/>
                <w:sz w:val="18"/>
              </w:rPr>
            </w:pP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4C2C4AA"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7EFF82F3"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B4F9246"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2021-22 Budget</w:t>
            </w:r>
          </w:p>
          <w:p w14:paraId="26AB53C9" w14:textId="77777777" w:rsidR="00C07D35" w:rsidRDefault="00C07D35">
            <w:pPr>
              <w:pStyle w:val="Normal5"/>
              <w:jc w:val="right"/>
              <w:rPr>
                <w:rFonts w:ascii="Calibri" w:eastAsia="Calibri" w:hAnsi="Calibri" w:cs="Calibri"/>
                <w:b/>
                <w:color w:val="000000"/>
                <w:sz w:val="18"/>
              </w:rPr>
            </w:pPr>
          </w:p>
          <w:p w14:paraId="15B9FD05"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B2C68BC"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2022-23 Estimate</w:t>
            </w:r>
          </w:p>
          <w:p w14:paraId="11BAA574" w14:textId="77777777" w:rsidR="00C07D35" w:rsidRDefault="00C07D35">
            <w:pPr>
              <w:pStyle w:val="Normal5"/>
              <w:jc w:val="right"/>
              <w:rPr>
                <w:rFonts w:ascii="Calibri" w:eastAsia="Calibri" w:hAnsi="Calibri" w:cs="Calibri"/>
                <w:b/>
                <w:color w:val="000000"/>
                <w:sz w:val="18"/>
              </w:rPr>
            </w:pPr>
          </w:p>
          <w:p w14:paraId="406A0C9C"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F72A2B9"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2023-24 Estimate</w:t>
            </w:r>
          </w:p>
          <w:p w14:paraId="2BD97C2F" w14:textId="77777777" w:rsidR="00C07D35" w:rsidRDefault="00C07D35">
            <w:pPr>
              <w:pStyle w:val="Normal5"/>
              <w:jc w:val="right"/>
              <w:rPr>
                <w:rFonts w:ascii="Calibri" w:eastAsia="Calibri" w:hAnsi="Calibri" w:cs="Calibri"/>
                <w:b/>
                <w:color w:val="000000"/>
                <w:sz w:val="18"/>
              </w:rPr>
            </w:pPr>
          </w:p>
          <w:p w14:paraId="517DDCE8"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909535"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2024-25 Estimate</w:t>
            </w:r>
          </w:p>
          <w:p w14:paraId="19B905CC" w14:textId="77777777" w:rsidR="00C07D35" w:rsidRDefault="00C07D35">
            <w:pPr>
              <w:pStyle w:val="Normal5"/>
              <w:jc w:val="right"/>
              <w:rPr>
                <w:rFonts w:ascii="Calibri" w:eastAsia="Calibri" w:hAnsi="Calibri" w:cs="Calibri"/>
                <w:b/>
                <w:color w:val="000000"/>
                <w:sz w:val="18"/>
              </w:rPr>
            </w:pPr>
          </w:p>
          <w:p w14:paraId="6A201A08"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r>
      <w:tr w:rsidR="00C07D35" w14:paraId="7325ED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72440D9D" w14:textId="77777777" w:rsidR="00C07D35" w:rsidRDefault="00C07D35">
            <w:pPr>
              <w:pStyle w:val="Normal5"/>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7CB45EF"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46AC15"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E445555"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E8A5E17"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D488BBF" w14:textId="77777777" w:rsidR="00C07D35" w:rsidRDefault="00C07D35">
            <w:pPr>
              <w:pStyle w:val="Normal5"/>
              <w:rPr>
                <w:rFonts w:ascii="Calibri" w:eastAsia="Calibri" w:hAnsi="Calibri" w:cs="Calibri"/>
                <w:color w:val="000000"/>
                <w:sz w:val="18"/>
              </w:rPr>
            </w:pPr>
          </w:p>
        </w:tc>
      </w:tr>
      <w:tr w:rsidR="00C07D35" w14:paraId="6EE164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111E2CDA" w14:textId="77777777" w:rsidR="00C07D35" w:rsidRDefault="00A4668D">
            <w:pPr>
              <w:pStyle w:val="Normal5"/>
              <w:rPr>
                <w:rFonts w:ascii="Calibri" w:eastAsia="Calibri" w:hAnsi="Calibri" w:cs="Calibri"/>
                <w:b/>
                <w:color w:val="000000"/>
                <w:sz w:val="18"/>
              </w:rPr>
            </w:pPr>
            <w:r>
              <w:rPr>
                <w:rFonts w:ascii="Calibri" w:eastAsia="Calibri" w:hAnsi="Calibri" w:cs="Calibri"/>
                <w:b/>
                <w:color w:val="000000"/>
                <w:sz w:val="18"/>
              </w:rPr>
              <w:t>2020-21 Budget</w:t>
            </w:r>
          </w:p>
        </w:tc>
        <w:tc>
          <w:tcPr>
            <w:tcW w:w="960" w:type="dxa"/>
            <w:tcBorders>
              <w:top w:val="nil"/>
              <w:left w:val="nil"/>
              <w:bottom w:val="nil"/>
              <w:right w:val="nil"/>
              <w:tl2br w:val="nil"/>
              <w:tr2bl w:val="nil"/>
            </w:tcBorders>
            <w:shd w:val="clear" w:color="auto" w:fill="auto"/>
            <w:noWrap/>
            <w:tcMar>
              <w:left w:w="101" w:type="dxa"/>
              <w:right w:w="101" w:type="dxa"/>
            </w:tcMar>
            <w:vAlign w:val="bottom"/>
          </w:tcPr>
          <w:p w14:paraId="4DAB5BDF"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160,560</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41F04816"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167,161</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3A0A582C"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174,029</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39E56434"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180,990</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3041FF06"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180,990</w:t>
            </w:r>
          </w:p>
        </w:tc>
      </w:tr>
      <w:tr w:rsidR="00C07D35" w14:paraId="564AA3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57E2A583" w14:textId="77777777" w:rsidR="00C07D35" w:rsidRDefault="00C07D35">
            <w:pPr>
              <w:pStyle w:val="Normal5"/>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CF4805C"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AED273C"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706EC29"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F9E9FB0" w14:textId="77777777" w:rsidR="00C07D35" w:rsidRDefault="00C07D35">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360DEA8" w14:textId="77777777" w:rsidR="00C07D35" w:rsidRDefault="00C07D35">
            <w:pPr>
              <w:pStyle w:val="Normal5"/>
              <w:rPr>
                <w:rFonts w:ascii="Calibri" w:eastAsia="Calibri" w:hAnsi="Calibri" w:cs="Calibri"/>
                <w:color w:val="000000"/>
                <w:sz w:val="18"/>
              </w:rPr>
            </w:pPr>
          </w:p>
        </w:tc>
      </w:tr>
      <w:tr w:rsidR="00C07D35" w14:paraId="3BA2AA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
        </w:trPr>
        <w:tc>
          <w:tcPr>
            <w:tcW w:w="466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880A814" w14:textId="77777777" w:rsidR="00C07D35" w:rsidRDefault="00C07D35">
            <w:pPr>
              <w:pStyle w:val="Normal5"/>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ABCB1F9" w14:textId="77777777" w:rsidR="00C07D35" w:rsidRDefault="00C07D35">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4048BD4" w14:textId="77777777" w:rsidR="00C07D35" w:rsidRDefault="00C07D35">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D750CD8" w14:textId="77777777" w:rsidR="00C07D35" w:rsidRDefault="00C07D35">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E7AA997" w14:textId="77777777" w:rsidR="00C07D35" w:rsidRDefault="00C07D35">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2C8C7B8" w14:textId="77777777" w:rsidR="00C07D35" w:rsidRDefault="00C07D35">
            <w:pPr>
              <w:pStyle w:val="Normal5"/>
              <w:rPr>
                <w:rFonts w:ascii="Calibri" w:eastAsia="Calibri" w:hAnsi="Calibri" w:cs="Calibri"/>
                <w:color w:val="000000"/>
                <w:sz w:val="18"/>
              </w:rPr>
            </w:pPr>
          </w:p>
        </w:tc>
      </w:tr>
      <w:tr w:rsidR="00C07D35" w14:paraId="766D4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665"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6A7C3C9E" w14:textId="77777777" w:rsidR="00C07D35" w:rsidRDefault="00A4668D">
            <w:pPr>
              <w:pStyle w:val="Normal5"/>
              <w:rPr>
                <w:rFonts w:ascii="Calibri" w:eastAsia="Calibri" w:hAnsi="Calibri" w:cs="Calibri"/>
                <w:b/>
                <w:color w:val="000000"/>
                <w:sz w:val="18"/>
              </w:rPr>
            </w:pPr>
            <w:r>
              <w:rPr>
                <w:rFonts w:ascii="Calibri" w:eastAsia="Calibri" w:hAnsi="Calibri" w:cs="Calibri"/>
                <w:b/>
                <w:color w:val="000000"/>
                <w:sz w:val="18"/>
              </w:rPr>
              <w:t>2021-22 Budget</w:t>
            </w:r>
          </w:p>
        </w:tc>
        <w:tc>
          <w:tcPr>
            <w:tcW w:w="96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B2E6931"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160,560</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E8656F0"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167,161</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2C222BD"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174,029</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CBB4F59"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180,990</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8E00D5B" w14:textId="77777777" w:rsidR="00C07D35" w:rsidRDefault="00A4668D">
            <w:pPr>
              <w:pStyle w:val="Normal5"/>
              <w:jc w:val="right"/>
              <w:rPr>
                <w:rFonts w:ascii="Calibri" w:eastAsia="Calibri" w:hAnsi="Calibri" w:cs="Calibri"/>
                <w:b/>
                <w:color w:val="000000"/>
                <w:sz w:val="18"/>
              </w:rPr>
            </w:pPr>
            <w:r>
              <w:rPr>
                <w:rFonts w:ascii="Calibri" w:eastAsia="Calibri" w:hAnsi="Calibri" w:cs="Calibri"/>
                <w:b/>
                <w:color w:val="000000"/>
                <w:sz w:val="18"/>
              </w:rPr>
              <w:t>188,230</w:t>
            </w:r>
          </w:p>
        </w:tc>
      </w:tr>
    </w:tbl>
    <w:p w14:paraId="27503A54" w14:textId="77777777" w:rsidR="00A4668D" w:rsidRDefault="00A4668D" w:rsidP="00A4668D">
      <w:pPr>
        <w:pStyle w:val="Heading2"/>
        <w:pageBreakBefore/>
        <w:pBdr>
          <w:top w:val="nil"/>
          <w:left w:val="nil"/>
          <w:bottom w:val="nil"/>
          <w:right w:val="nil"/>
          <w:between w:val="nil"/>
          <w:bar w:val="nil"/>
        </w:pBdr>
        <w:ind w:left="-426" w:firstLine="426"/>
        <w:rPr>
          <w:bdr w:val="nil"/>
        </w:rPr>
      </w:pPr>
      <w:bookmarkStart w:id="39" w:name="_Toc452467803"/>
      <w:bookmarkStart w:id="40" w:name="_Toc84071138"/>
      <w:r>
        <w:rPr>
          <w:bdr w:val="nil"/>
        </w:rPr>
        <w:lastRenderedPageBreak/>
        <w:t>Financial Statements</w:t>
      </w:r>
      <w:bookmarkEnd w:id="39"/>
      <w:r>
        <w:rPr>
          <w:bdr w:val="nil"/>
        </w:rPr>
        <w:t xml:space="preserve"> – Controlled GGS</w:t>
      </w:r>
      <w:bookmarkEnd w:id="40"/>
    </w:p>
    <w:p w14:paraId="34E58879" w14:textId="28C230DC" w:rsidR="00A4668D" w:rsidRPr="000748A8" w:rsidRDefault="00A4668D" w:rsidP="00D4101A">
      <w:pPr>
        <w:rPr>
          <w:bdr w:val="nil"/>
        </w:rPr>
      </w:pPr>
      <w:r w:rsidRPr="000748A8">
        <w:rPr>
          <w:bdr w:val="nil"/>
        </w:rPr>
        <w:t xml:space="preserve">Due to the release of the 2021-22 Budget </w:t>
      </w:r>
      <w:r w:rsidRPr="00B7399E">
        <w:rPr>
          <w:bdr w:val="nil"/>
        </w:rPr>
        <w:t>on 6 October 2021, the 2020-21 Interim Outcome column reflects the interim outcome included in the draft 2020-21 Financial Statements, which were unaudited at the time of preparing these budget statements</w:t>
      </w:r>
      <w:r w:rsidRPr="000748A8">
        <w:rPr>
          <w:bdr w:val="nil"/>
        </w:rPr>
        <w:t>.</w:t>
      </w:r>
    </w:p>
    <w:p w14:paraId="4BDA5F36" w14:textId="6DE9A1B9" w:rsidR="00A4668D" w:rsidRPr="00625775" w:rsidRDefault="00A4668D" w:rsidP="00A4668D">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23</w:t>
      </w:r>
      <w:r>
        <w:rPr>
          <w:noProof/>
          <w:bdr w:val="nil"/>
        </w:rPr>
        <w:fldChar w:fldCharType="end"/>
      </w:r>
      <w:r>
        <w:rPr>
          <w:bdr w:val="nil"/>
        </w:rPr>
        <w:t xml:space="preserve">: Community Services Directorate: Operating Statement </w:t>
      </w:r>
    </w:p>
    <w:tbl>
      <w:tblPr>
        <w:tblStyle w:val="CDMRange20"/>
        <w:tblW w:w="9195" w:type="dxa"/>
        <w:tblLayout w:type="fixed"/>
        <w:tblLook w:val="0600" w:firstRow="0" w:lastRow="0" w:firstColumn="0" w:lastColumn="0" w:noHBand="1" w:noVBand="1"/>
      </w:tblPr>
      <w:tblGrid>
        <w:gridCol w:w="1035"/>
        <w:gridCol w:w="2509"/>
        <w:gridCol w:w="911"/>
        <w:gridCol w:w="1035"/>
        <w:gridCol w:w="600"/>
        <w:gridCol w:w="1035"/>
        <w:gridCol w:w="1035"/>
        <w:gridCol w:w="1035"/>
      </w:tblGrid>
      <w:tr w:rsidR="00C07D35" w14:paraId="599635EA" w14:textId="77777777" w:rsidTr="00E11B84">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799F08"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06D6D3F2" w14:textId="77777777" w:rsidR="00C07D35" w:rsidRDefault="00C07D35">
            <w:pPr>
              <w:pStyle w:val="Normal6"/>
              <w:jc w:val="right"/>
              <w:rPr>
                <w:rFonts w:ascii="Calibri" w:eastAsia="Calibri" w:hAnsi="Calibri" w:cs="Calibri"/>
                <w:b/>
                <w:color w:val="000000"/>
                <w:sz w:val="18"/>
              </w:rPr>
            </w:pPr>
          </w:p>
          <w:p w14:paraId="7A8D9CD0"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509"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5C5D6B8" w14:textId="77777777" w:rsidR="00C07D35" w:rsidRDefault="00C07D35">
            <w:pPr>
              <w:pStyle w:val="Normal6"/>
              <w:rPr>
                <w:rFonts w:ascii="Calibri" w:eastAsia="Calibri" w:hAnsi="Calibri" w:cs="Calibri"/>
                <w:b/>
                <w:color w:val="000000"/>
                <w:sz w:val="18"/>
              </w:rPr>
            </w:pPr>
          </w:p>
        </w:tc>
        <w:tc>
          <w:tcPr>
            <w:tcW w:w="911"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1CB0DC3"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5DBBF2A"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6A41997A" w14:textId="77777777" w:rsidR="00C07D35" w:rsidRDefault="00C07D35">
            <w:pPr>
              <w:pStyle w:val="Normal6"/>
              <w:jc w:val="right"/>
              <w:rPr>
                <w:rFonts w:ascii="Calibri" w:eastAsia="Calibri" w:hAnsi="Calibri" w:cs="Calibri"/>
                <w:b/>
                <w:color w:val="000000"/>
                <w:sz w:val="18"/>
              </w:rPr>
            </w:pPr>
          </w:p>
          <w:p w14:paraId="71A9DABF"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C39D42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Var</w:t>
            </w:r>
          </w:p>
          <w:p w14:paraId="718C1B3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6FC8796"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0EA5C56" w14:textId="77777777" w:rsidR="00C07D35" w:rsidRDefault="00C07D35">
            <w:pPr>
              <w:pStyle w:val="Normal6"/>
              <w:jc w:val="right"/>
              <w:rPr>
                <w:rFonts w:ascii="Calibri" w:eastAsia="Calibri" w:hAnsi="Calibri" w:cs="Calibri"/>
                <w:b/>
                <w:color w:val="000000"/>
                <w:sz w:val="18"/>
              </w:rPr>
            </w:pPr>
          </w:p>
          <w:p w14:paraId="79E516B8"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A59BFC"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405DF83A" w14:textId="77777777" w:rsidR="00C07D35" w:rsidRDefault="00C07D35">
            <w:pPr>
              <w:pStyle w:val="Normal6"/>
              <w:jc w:val="right"/>
              <w:rPr>
                <w:rFonts w:ascii="Calibri" w:eastAsia="Calibri" w:hAnsi="Calibri" w:cs="Calibri"/>
                <w:b/>
                <w:color w:val="000000"/>
                <w:sz w:val="18"/>
              </w:rPr>
            </w:pPr>
          </w:p>
          <w:p w14:paraId="70088F33"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36A985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7B62B1A4" w14:textId="77777777" w:rsidR="00C07D35" w:rsidRDefault="00C07D35">
            <w:pPr>
              <w:pStyle w:val="Normal6"/>
              <w:jc w:val="right"/>
              <w:rPr>
                <w:rFonts w:ascii="Calibri" w:eastAsia="Calibri" w:hAnsi="Calibri" w:cs="Calibri"/>
                <w:b/>
                <w:color w:val="000000"/>
                <w:sz w:val="18"/>
              </w:rPr>
            </w:pPr>
          </w:p>
          <w:p w14:paraId="1445ECB2"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07D35" w14:paraId="0C1AF5F4"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29F3642" w14:textId="77777777" w:rsidR="00C07D35" w:rsidRDefault="00C07D35">
            <w:pPr>
              <w:pStyle w:val="Normal6"/>
              <w:jc w:val="right"/>
              <w:rPr>
                <w:rFonts w:ascii="Calibri" w:eastAsia="Calibri" w:hAnsi="Calibri" w:cs="Calibri"/>
                <w:b/>
                <w:i/>
                <w:color w:val="000000"/>
                <w:sz w:val="18"/>
              </w:rPr>
            </w:pPr>
          </w:p>
        </w:tc>
        <w:tc>
          <w:tcPr>
            <w:tcW w:w="2509" w:type="dxa"/>
            <w:tcBorders>
              <w:top w:val="single" w:sz="12" w:space="0" w:color="000000"/>
              <w:left w:val="nil"/>
              <w:bottom w:val="nil"/>
              <w:right w:val="nil"/>
              <w:tl2br w:val="nil"/>
              <w:tr2bl w:val="nil"/>
            </w:tcBorders>
            <w:shd w:val="clear" w:color="FFFFFF" w:fill="FFFFFF"/>
            <w:tcMar>
              <w:left w:w="0" w:type="dxa"/>
              <w:right w:w="0" w:type="dxa"/>
            </w:tcMar>
          </w:tcPr>
          <w:p w14:paraId="60F18387" w14:textId="77777777" w:rsidR="00C07D35" w:rsidRDefault="00C07D35">
            <w:pPr>
              <w:pStyle w:val="Normal6"/>
              <w:rPr>
                <w:rFonts w:ascii="Calibri" w:eastAsia="Calibri" w:hAnsi="Calibri" w:cs="Calibri"/>
                <w:b/>
                <w:color w:val="000000"/>
                <w:sz w:val="18"/>
              </w:rPr>
            </w:pPr>
          </w:p>
        </w:tc>
        <w:tc>
          <w:tcPr>
            <w:tcW w:w="911" w:type="dxa"/>
            <w:tcBorders>
              <w:top w:val="single" w:sz="12" w:space="0" w:color="000000"/>
              <w:left w:val="nil"/>
              <w:bottom w:val="nil"/>
              <w:right w:val="nil"/>
              <w:tl2br w:val="nil"/>
              <w:tr2bl w:val="nil"/>
            </w:tcBorders>
            <w:shd w:val="clear" w:color="FFFFFF" w:fill="FFFFFF"/>
            <w:tcMar>
              <w:left w:w="0" w:type="dxa"/>
              <w:right w:w="0" w:type="dxa"/>
            </w:tcMar>
          </w:tcPr>
          <w:p w14:paraId="2C4FAE22" w14:textId="77777777" w:rsidR="00C07D35" w:rsidRDefault="00C07D35">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7D80AE6" w14:textId="77777777" w:rsidR="00C07D35" w:rsidRDefault="00C07D35">
            <w:pPr>
              <w:pStyle w:val="Normal6"/>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626C40B" w14:textId="77777777" w:rsidR="00C07D35" w:rsidRDefault="00C07D35">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83B8D1A" w14:textId="77777777" w:rsidR="00C07D35" w:rsidRDefault="00C07D35">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FA0CD47" w14:textId="77777777" w:rsidR="00C07D35" w:rsidRDefault="00C07D35">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6EFE46D" w14:textId="77777777" w:rsidR="00C07D35" w:rsidRDefault="00C07D35">
            <w:pPr>
              <w:pStyle w:val="Normal6"/>
              <w:jc w:val="right"/>
              <w:rPr>
                <w:rFonts w:ascii="Calibri" w:eastAsia="Calibri" w:hAnsi="Calibri" w:cs="Calibri"/>
                <w:b/>
                <w:i/>
                <w:color w:val="000000"/>
                <w:sz w:val="18"/>
              </w:rPr>
            </w:pPr>
          </w:p>
        </w:tc>
      </w:tr>
      <w:tr w:rsidR="00C07D35" w14:paraId="28C2D3E7"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5A48A4" w14:textId="77777777" w:rsidR="00C07D35" w:rsidRDefault="00C07D35">
            <w:pPr>
              <w:pStyle w:val="Normal6"/>
              <w:jc w:val="right"/>
              <w:rPr>
                <w:rFonts w:ascii="Calibri" w:eastAsia="Calibri" w:hAnsi="Calibri" w:cs="Calibri"/>
                <w:b/>
                <w:i/>
                <w:color w:val="000000"/>
                <w:sz w:val="18"/>
              </w:rPr>
            </w:pPr>
          </w:p>
        </w:tc>
        <w:tc>
          <w:tcPr>
            <w:tcW w:w="2509" w:type="dxa"/>
            <w:tcBorders>
              <w:top w:val="nil"/>
              <w:left w:val="nil"/>
              <w:bottom w:val="nil"/>
              <w:right w:val="nil"/>
              <w:tl2br w:val="nil"/>
              <w:tr2bl w:val="nil"/>
            </w:tcBorders>
            <w:shd w:val="clear" w:color="FFFFFF" w:fill="FFFFFF"/>
            <w:noWrap/>
            <w:tcMar>
              <w:left w:w="101" w:type="dxa"/>
              <w:right w:w="101" w:type="dxa"/>
            </w:tcMar>
          </w:tcPr>
          <w:p w14:paraId="7FA17B7D"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Income</w:t>
            </w:r>
          </w:p>
        </w:tc>
        <w:tc>
          <w:tcPr>
            <w:tcW w:w="911" w:type="dxa"/>
            <w:tcBorders>
              <w:top w:val="nil"/>
              <w:left w:val="nil"/>
              <w:bottom w:val="nil"/>
              <w:right w:val="nil"/>
              <w:tl2br w:val="nil"/>
              <w:tr2bl w:val="nil"/>
            </w:tcBorders>
            <w:shd w:val="clear" w:color="FFFFFF" w:fill="FFFFFF"/>
            <w:tcMar>
              <w:left w:w="0" w:type="dxa"/>
              <w:right w:w="0" w:type="dxa"/>
            </w:tcMar>
          </w:tcPr>
          <w:p w14:paraId="710B684A"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ACCA41" w14:textId="77777777" w:rsidR="00C07D35" w:rsidRDefault="00C07D35">
            <w:pPr>
              <w:pStyle w:val="Normal6"/>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D804B1"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38D56A"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60188C"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AB947" w14:textId="77777777" w:rsidR="00C07D35" w:rsidRDefault="00C07D35">
            <w:pPr>
              <w:pStyle w:val="Normal6"/>
              <w:jc w:val="right"/>
              <w:rPr>
                <w:rFonts w:ascii="Calibri" w:eastAsia="Calibri" w:hAnsi="Calibri" w:cs="Calibri"/>
                <w:b/>
                <w:i/>
                <w:color w:val="000000"/>
                <w:sz w:val="18"/>
              </w:rPr>
            </w:pPr>
          </w:p>
        </w:tc>
      </w:tr>
      <w:tr w:rsidR="00C07D35" w14:paraId="314C2688"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48092D" w14:textId="77777777" w:rsidR="00C07D35" w:rsidRDefault="00C07D35">
            <w:pPr>
              <w:pStyle w:val="Normal6"/>
              <w:jc w:val="right"/>
              <w:rPr>
                <w:rFonts w:ascii="Calibri" w:eastAsia="Calibri" w:hAnsi="Calibri" w:cs="Calibri"/>
                <w:b/>
                <w: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4794EF65"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37B0CCAF"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A92AFF" w14:textId="77777777" w:rsidR="00C07D35" w:rsidRDefault="00C07D35">
            <w:pPr>
              <w:pStyle w:val="Normal6"/>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E32ED0"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87A18C"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4D7CB5" w14:textId="77777777" w:rsidR="00C07D35" w:rsidRDefault="00C07D35">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B6078B" w14:textId="77777777" w:rsidR="00C07D35" w:rsidRDefault="00C07D35">
            <w:pPr>
              <w:pStyle w:val="Normal6"/>
              <w:jc w:val="right"/>
              <w:rPr>
                <w:rFonts w:ascii="Calibri" w:eastAsia="Calibri" w:hAnsi="Calibri" w:cs="Calibri"/>
                <w:b/>
                <w:i/>
                <w:color w:val="000000"/>
                <w:sz w:val="18"/>
              </w:rPr>
            </w:pPr>
          </w:p>
        </w:tc>
      </w:tr>
      <w:tr w:rsidR="00C07D35" w14:paraId="7A5E388A"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6EEA60"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101" w:type="dxa"/>
              <w:right w:w="101" w:type="dxa"/>
            </w:tcMar>
          </w:tcPr>
          <w:p w14:paraId="27223CD8"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Revenue</w:t>
            </w:r>
          </w:p>
        </w:tc>
        <w:tc>
          <w:tcPr>
            <w:tcW w:w="911" w:type="dxa"/>
            <w:tcBorders>
              <w:top w:val="nil"/>
              <w:left w:val="nil"/>
              <w:bottom w:val="nil"/>
              <w:right w:val="nil"/>
              <w:tl2br w:val="nil"/>
              <w:tr2bl w:val="nil"/>
            </w:tcBorders>
            <w:shd w:val="clear" w:color="FFFFFF" w:fill="FFFFFF"/>
            <w:tcMar>
              <w:left w:w="0" w:type="dxa"/>
              <w:right w:w="0" w:type="dxa"/>
            </w:tcMar>
          </w:tcPr>
          <w:p w14:paraId="6784E762"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AD8E4A"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38981B"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301AF4"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86BFA2"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727E26" w14:textId="77777777" w:rsidR="00C07D35" w:rsidRDefault="00C07D35">
            <w:pPr>
              <w:pStyle w:val="Normal6"/>
              <w:rPr>
                <w:rFonts w:ascii="Calibri" w:eastAsia="Calibri" w:hAnsi="Calibri" w:cs="Calibri"/>
                <w:color w:val="000000"/>
                <w:sz w:val="18"/>
              </w:rPr>
            </w:pPr>
          </w:p>
        </w:tc>
      </w:tr>
      <w:tr w:rsidR="00C07D35" w14:paraId="47EC43E7"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BAC03F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212,740</w:t>
            </w:r>
          </w:p>
        </w:tc>
        <w:tc>
          <w:tcPr>
            <w:tcW w:w="2509" w:type="dxa"/>
            <w:tcBorders>
              <w:top w:val="nil"/>
              <w:left w:val="nil"/>
              <w:bottom w:val="nil"/>
              <w:right w:val="nil"/>
              <w:tl2br w:val="nil"/>
              <w:tr2bl w:val="nil"/>
            </w:tcBorders>
            <w:shd w:val="clear" w:color="auto" w:fill="auto"/>
            <w:noWrap/>
            <w:tcMar>
              <w:left w:w="101" w:type="dxa"/>
              <w:right w:w="101" w:type="dxa"/>
            </w:tcMar>
          </w:tcPr>
          <w:p w14:paraId="611FE720"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Controlled Recurrent Payments</w:t>
            </w:r>
          </w:p>
        </w:tc>
        <w:tc>
          <w:tcPr>
            <w:tcW w:w="911" w:type="dxa"/>
            <w:tcBorders>
              <w:top w:val="nil"/>
              <w:left w:val="nil"/>
              <w:bottom w:val="nil"/>
              <w:right w:val="nil"/>
              <w:tl2br w:val="nil"/>
              <w:tr2bl w:val="nil"/>
            </w:tcBorders>
            <w:shd w:val="clear" w:color="FFFFFF" w:fill="FFFFFF"/>
            <w:noWrap/>
            <w:tcMar>
              <w:left w:w="101" w:type="dxa"/>
              <w:right w:w="101" w:type="dxa"/>
            </w:tcMar>
          </w:tcPr>
          <w:p w14:paraId="1FF2A7C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207,247</w:t>
            </w:r>
          </w:p>
        </w:tc>
        <w:tc>
          <w:tcPr>
            <w:tcW w:w="1035" w:type="dxa"/>
            <w:tcBorders>
              <w:top w:val="nil"/>
              <w:left w:val="nil"/>
              <w:bottom w:val="nil"/>
              <w:right w:val="nil"/>
              <w:tl2br w:val="nil"/>
              <w:tr2bl w:val="nil"/>
            </w:tcBorders>
            <w:shd w:val="clear" w:color="FFFFFF" w:fill="FFFFFF"/>
            <w:noWrap/>
            <w:tcMar>
              <w:left w:w="101" w:type="dxa"/>
              <w:right w:w="101" w:type="dxa"/>
            </w:tcMar>
          </w:tcPr>
          <w:p w14:paraId="3B1AEEA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219,628</w:t>
            </w:r>
          </w:p>
        </w:tc>
        <w:tc>
          <w:tcPr>
            <w:tcW w:w="600" w:type="dxa"/>
            <w:tcBorders>
              <w:top w:val="nil"/>
              <w:left w:val="nil"/>
              <w:bottom w:val="nil"/>
              <w:right w:val="nil"/>
              <w:tl2br w:val="nil"/>
              <w:tr2bl w:val="nil"/>
            </w:tcBorders>
            <w:shd w:val="clear" w:color="FFFFFF" w:fill="FFFFFF"/>
            <w:tcMar>
              <w:left w:w="101" w:type="dxa"/>
              <w:right w:w="101" w:type="dxa"/>
            </w:tcMar>
          </w:tcPr>
          <w:p w14:paraId="1343794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noWrap/>
            <w:tcMar>
              <w:left w:w="101" w:type="dxa"/>
              <w:right w:w="101" w:type="dxa"/>
            </w:tcMar>
          </w:tcPr>
          <w:p w14:paraId="1E9174FD"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201,912</w:t>
            </w:r>
          </w:p>
        </w:tc>
        <w:tc>
          <w:tcPr>
            <w:tcW w:w="1035" w:type="dxa"/>
            <w:tcBorders>
              <w:top w:val="nil"/>
              <w:left w:val="nil"/>
              <w:bottom w:val="nil"/>
              <w:right w:val="nil"/>
              <w:tl2br w:val="nil"/>
              <w:tr2bl w:val="nil"/>
            </w:tcBorders>
            <w:shd w:val="clear" w:color="FFFFFF" w:fill="FFFFFF"/>
            <w:noWrap/>
            <w:tcMar>
              <w:left w:w="101" w:type="dxa"/>
              <w:right w:w="101" w:type="dxa"/>
            </w:tcMar>
          </w:tcPr>
          <w:p w14:paraId="4D41C49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200,055</w:t>
            </w:r>
          </w:p>
        </w:tc>
        <w:tc>
          <w:tcPr>
            <w:tcW w:w="1035" w:type="dxa"/>
            <w:tcBorders>
              <w:top w:val="nil"/>
              <w:left w:val="nil"/>
              <w:bottom w:val="nil"/>
              <w:right w:val="nil"/>
              <w:tl2br w:val="nil"/>
              <w:tr2bl w:val="nil"/>
            </w:tcBorders>
            <w:shd w:val="clear" w:color="FFFFFF" w:fill="FFFFFF"/>
            <w:noWrap/>
            <w:tcMar>
              <w:left w:w="101" w:type="dxa"/>
              <w:right w:w="101" w:type="dxa"/>
            </w:tcMar>
          </w:tcPr>
          <w:p w14:paraId="6F205F13"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202,055</w:t>
            </w:r>
          </w:p>
        </w:tc>
      </w:tr>
      <w:tr w:rsidR="00C07D35" w14:paraId="714D584D"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DF5D34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705</w:t>
            </w:r>
          </w:p>
        </w:tc>
        <w:tc>
          <w:tcPr>
            <w:tcW w:w="2509" w:type="dxa"/>
            <w:tcBorders>
              <w:top w:val="nil"/>
              <w:left w:val="nil"/>
              <w:bottom w:val="nil"/>
              <w:right w:val="nil"/>
              <w:tl2br w:val="nil"/>
              <w:tr2bl w:val="nil"/>
            </w:tcBorders>
            <w:shd w:val="clear" w:color="auto" w:fill="auto"/>
            <w:noWrap/>
            <w:tcMar>
              <w:left w:w="101" w:type="dxa"/>
              <w:right w:w="101" w:type="dxa"/>
            </w:tcMar>
          </w:tcPr>
          <w:p w14:paraId="6AB63263"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Sales of Goods and Services from Contracts with Customers</w:t>
            </w:r>
          </w:p>
        </w:tc>
        <w:tc>
          <w:tcPr>
            <w:tcW w:w="911" w:type="dxa"/>
            <w:tcBorders>
              <w:top w:val="nil"/>
              <w:left w:val="nil"/>
              <w:bottom w:val="nil"/>
              <w:right w:val="nil"/>
              <w:tl2br w:val="nil"/>
              <w:tr2bl w:val="nil"/>
            </w:tcBorders>
            <w:shd w:val="clear" w:color="FFFFFF" w:fill="FFFFFF"/>
            <w:noWrap/>
            <w:tcMar>
              <w:left w:w="101" w:type="dxa"/>
              <w:right w:w="101" w:type="dxa"/>
            </w:tcMar>
          </w:tcPr>
          <w:p w14:paraId="6AB7EEA2"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2,093</w:t>
            </w:r>
          </w:p>
        </w:tc>
        <w:tc>
          <w:tcPr>
            <w:tcW w:w="1035" w:type="dxa"/>
            <w:tcBorders>
              <w:top w:val="nil"/>
              <w:left w:val="nil"/>
              <w:bottom w:val="nil"/>
              <w:right w:val="nil"/>
              <w:tl2br w:val="nil"/>
              <w:tr2bl w:val="nil"/>
            </w:tcBorders>
            <w:shd w:val="clear" w:color="FFFFFF" w:fill="FFFFFF"/>
            <w:noWrap/>
            <w:tcMar>
              <w:left w:w="101" w:type="dxa"/>
              <w:right w:w="101" w:type="dxa"/>
            </w:tcMar>
          </w:tcPr>
          <w:p w14:paraId="2D4AA18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2,001</w:t>
            </w:r>
          </w:p>
        </w:tc>
        <w:tc>
          <w:tcPr>
            <w:tcW w:w="600" w:type="dxa"/>
            <w:tcBorders>
              <w:top w:val="nil"/>
              <w:left w:val="nil"/>
              <w:bottom w:val="nil"/>
              <w:right w:val="nil"/>
              <w:tl2br w:val="nil"/>
              <w:tr2bl w:val="nil"/>
            </w:tcBorders>
            <w:shd w:val="clear" w:color="FFFFFF" w:fill="FFFFFF"/>
            <w:tcMar>
              <w:left w:w="101" w:type="dxa"/>
              <w:right w:w="101" w:type="dxa"/>
            </w:tcMar>
          </w:tcPr>
          <w:p w14:paraId="2324A339"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4F9684FE"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1,445</w:t>
            </w:r>
          </w:p>
        </w:tc>
        <w:tc>
          <w:tcPr>
            <w:tcW w:w="1035" w:type="dxa"/>
            <w:tcBorders>
              <w:top w:val="nil"/>
              <w:left w:val="nil"/>
              <w:bottom w:val="nil"/>
              <w:right w:val="nil"/>
              <w:tl2br w:val="nil"/>
              <w:tr2bl w:val="nil"/>
            </w:tcBorders>
            <w:shd w:val="clear" w:color="FFFFFF" w:fill="FFFFFF"/>
            <w:noWrap/>
            <w:tcMar>
              <w:left w:w="101" w:type="dxa"/>
              <w:right w:w="101" w:type="dxa"/>
            </w:tcMar>
          </w:tcPr>
          <w:p w14:paraId="5C78E27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1,296</w:t>
            </w:r>
          </w:p>
        </w:tc>
        <w:tc>
          <w:tcPr>
            <w:tcW w:w="1035" w:type="dxa"/>
            <w:tcBorders>
              <w:top w:val="nil"/>
              <w:left w:val="nil"/>
              <w:bottom w:val="nil"/>
              <w:right w:val="nil"/>
              <w:tl2br w:val="nil"/>
              <w:tr2bl w:val="nil"/>
            </w:tcBorders>
            <w:shd w:val="clear" w:color="FFFFFF" w:fill="FFFFFF"/>
            <w:noWrap/>
            <w:tcMar>
              <w:left w:w="101" w:type="dxa"/>
              <w:right w:w="101" w:type="dxa"/>
            </w:tcMar>
          </w:tcPr>
          <w:p w14:paraId="249488B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1,314</w:t>
            </w:r>
          </w:p>
        </w:tc>
      </w:tr>
      <w:tr w:rsidR="00C07D35" w14:paraId="6CAA6228"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F4165ED"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4,601</w:t>
            </w:r>
          </w:p>
        </w:tc>
        <w:tc>
          <w:tcPr>
            <w:tcW w:w="2509" w:type="dxa"/>
            <w:tcBorders>
              <w:top w:val="nil"/>
              <w:left w:val="nil"/>
              <w:bottom w:val="nil"/>
              <w:right w:val="nil"/>
              <w:tl2br w:val="nil"/>
              <w:tr2bl w:val="nil"/>
            </w:tcBorders>
            <w:shd w:val="clear" w:color="auto" w:fill="auto"/>
            <w:noWrap/>
            <w:tcMar>
              <w:left w:w="101" w:type="dxa"/>
              <w:right w:w="101" w:type="dxa"/>
            </w:tcMar>
          </w:tcPr>
          <w:p w14:paraId="4AF01AED"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Grants and Contributions</w:t>
            </w:r>
          </w:p>
        </w:tc>
        <w:tc>
          <w:tcPr>
            <w:tcW w:w="911" w:type="dxa"/>
            <w:tcBorders>
              <w:top w:val="nil"/>
              <w:left w:val="nil"/>
              <w:bottom w:val="nil"/>
              <w:right w:val="nil"/>
              <w:tl2br w:val="nil"/>
              <w:tr2bl w:val="nil"/>
            </w:tcBorders>
            <w:shd w:val="clear" w:color="FFFFFF" w:fill="FFFFFF"/>
            <w:noWrap/>
            <w:tcMar>
              <w:left w:w="101" w:type="dxa"/>
              <w:right w:w="101" w:type="dxa"/>
            </w:tcMar>
          </w:tcPr>
          <w:p w14:paraId="7845CA2A"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3,683</w:t>
            </w:r>
          </w:p>
        </w:tc>
        <w:tc>
          <w:tcPr>
            <w:tcW w:w="1035" w:type="dxa"/>
            <w:tcBorders>
              <w:top w:val="nil"/>
              <w:left w:val="nil"/>
              <w:bottom w:val="nil"/>
              <w:right w:val="nil"/>
              <w:tl2br w:val="nil"/>
              <w:tr2bl w:val="nil"/>
            </w:tcBorders>
            <w:shd w:val="clear" w:color="FFFFFF" w:fill="FFFFFF"/>
            <w:noWrap/>
            <w:tcMar>
              <w:left w:w="101" w:type="dxa"/>
              <w:right w:w="101" w:type="dxa"/>
            </w:tcMar>
          </w:tcPr>
          <w:p w14:paraId="2869A5D2"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4,884</w:t>
            </w:r>
          </w:p>
        </w:tc>
        <w:tc>
          <w:tcPr>
            <w:tcW w:w="600" w:type="dxa"/>
            <w:tcBorders>
              <w:top w:val="nil"/>
              <w:left w:val="nil"/>
              <w:bottom w:val="nil"/>
              <w:right w:val="nil"/>
              <w:tl2br w:val="nil"/>
              <w:tr2bl w:val="nil"/>
            </w:tcBorders>
            <w:shd w:val="clear" w:color="FFFFFF" w:fill="FFFFFF"/>
            <w:tcMar>
              <w:left w:w="101" w:type="dxa"/>
              <w:right w:w="101" w:type="dxa"/>
            </w:tcMar>
          </w:tcPr>
          <w:p w14:paraId="780B26CD"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33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EDC8B8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4,948</w:t>
            </w:r>
          </w:p>
        </w:tc>
        <w:tc>
          <w:tcPr>
            <w:tcW w:w="1035" w:type="dxa"/>
            <w:tcBorders>
              <w:top w:val="nil"/>
              <w:left w:val="nil"/>
              <w:bottom w:val="nil"/>
              <w:right w:val="nil"/>
              <w:tl2br w:val="nil"/>
              <w:tr2bl w:val="nil"/>
            </w:tcBorders>
            <w:shd w:val="clear" w:color="FFFFFF" w:fill="FFFFFF"/>
            <w:noWrap/>
            <w:tcMar>
              <w:left w:w="101" w:type="dxa"/>
              <w:right w:w="101" w:type="dxa"/>
            </w:tcMar>
          </w:tcPr>
          <w:p w14:paraId="4DE2441D"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5,012</w:t>
            </w:r>
          </w:p>
        </w:tc>
        <w:tc>
          <w:tcPr>
            <w:tcW w:w="1035" w:type="dxa"/>
            <w:tcBorders>
              <w:top w:val="nil"/>
              <w:left w:val="nil"/>
              <w:bottom w:val="nil"/>
              <w:right w:val="nil"/>
              <w:tl2br w:val="nil"/>
              <w:tr2bl w:val="nil"/>
            </w:tcBorders>
            <w:shd w:val="clear" w:color="FFFFFF" w:fill="FFFFFF"/>
            <w:noWrap/>
            <w:tcMar>
              <w:left w:w="101" w:type="dxa"/>
              <w:right w:w="101" w:type="dxa"/>
            </w:tcMar>
          </w:tcPr>
          <w:p w14:paraId="7C5BE698"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5,047</w:t>
            </w:r>
          </w:p>
        </w:tc>
      </w:tr>
      <w:tr w:rsidR="00C07D35" w14:paraId="5C088606"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F848BF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591</w:t>
            </w:r>
          </w:p>
        </w:tc>
        <w:tc>
          <w:tcPr>
            <w:tcW w:w="2509" w:type="dxa"/>
            <w:tcBorders>
              <w:top w:val="nil"/>
              <w:left w:val="nil"/>
              <w:bottom w:val="nil"/>
              <w:right w:val="nil"/>
              <w:tl2br w:val="nil"/>
              <w:tr2bl w:val="nil"/>
            </w:tcBorders>
            <w:shd w:val="clear" w:color="auto" w:fill="auto"/>
            <w:noWrap/>
            <w:tcMar>
              <w:left w:w="101" w:type="dxa"/>
              <w:right w:w="101" w:type="dxa"/>
            </w:tcMar>
          </w:tcPr>
          <w:p w14:paraId="7AFB8C07"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Other Revenue</w:t>
            </w:r>
          </w:p>
        </w:tc>
        <w:tc>
          <w:tcPr>
            <w:tcW w:w="911" w:type="dxa"/>
            <w:tcBorders>
              <w:top w:val="nil"/>
              <w:left w:val="nil"/>
              <w:bottom w:val="nil"/>
              <w:right w:val="nil"/>
              <w:tl2br w:val="nil"/>
              <w:tr2bl w:val="nil"/>
            </w:tcBorders>
            <w:shd w:val="clear" w:color="FFFFFF" w:fill="FFFFFF"/>
            <w:noWrap/>
            <w:tcMar>
              <w:left w:w="101" w:type="dxa"/>
              <w:right w:w="101" w:type="dxa"/>
            </w:tcMar>
          </w:tcPr>
          <w:p w14:paraId="1F37D2F2"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1,569</w:t>
            </w:r>
          </w:p>
        </w:tc>
        <w:tc>
          <w:tcPr>
            <w:tcW w:w="1035" w:type="dxa"/>
            <w:tcBorders>
              <w:top w:val="nil"/>
              <w:left w:val="nil"/>
              <w:bottom w:val="nil"/>
              <w:right w:val="nil"/>
              <w:tl2br w:val="nil"/>
              <w:tr2bl w:val="nil"/>
            </w:tcBorders>
            <w:shd w:val="clear" w:color="FFFFFF" w:fill="FFFFFF"/>
            <w:noWrap/>
            <w:tcMar>
              <w:left w:w="101" w:type="dxa"/>
              <w:right w:w="101" w:type="dxa"/>
            </w:tcMar>
          </w:tcPr>
          <w:p w14:paraId="3BA43EB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705EFA8"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29C7D454"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2295B40"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79EA40E"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r>
      <w:tr w:rsidR="00C07D35" w14:paraId="4CF38044"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0A8552"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04A97F46"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758443CB"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29B8C1"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A1C79D"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73A37B"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539088"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DC8BFE" w14:textId="77777777" w:rsidR="00C07D35" w:rsidRDefault="00C07D35">
            <w:pPr>
              <w:pStyle w:val="Normal6"/>
              <w:rPr>
                <w:rFonts w:ascii="Calibri" w:eastAsia="Calibri" w:hAnsi="Calibri" w:cs="Calibri"/>
                <w:color w:val="000000"/>
                <w:sz w:val="18"/>
              </w:rPr>
            </w:pPr>
          </w:p>
        </w:tc>
      </w:tr>
      <w:tr w:rsidR="00C07D35" w14:paraId="5EAEAEBC"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8C873F"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218,637</w:t>
            </w:r>
          </w:p>
        </w:tc>
        <w:tc>
          <w:tcPr>
            <w:tcW w:w="2509" w:type="dxa"/>
            <w:tcBorders>
              <w:top w:val="nil"/>
              <w:left w:val="nil"/>
              <w:bottom w:val="nil"/>
              <w:right w:val="nil"/>
              <w:tl2br w:val="nil"/>
              <w:tr2bl w:val="nil"/>
            </w:tcBorders>
            <w:shd w:val="clear" w:color="FFFFFF" w:fill="FFFFFF"/>
            <w:noWrap/>
            <w:tcMar>
              <w:left w:w="101" w:type="dxa"/>
              <w:right w:w="101" w:type="dxa"/>
            </w:tcMar>
          </w:tcPr>
          <w:p w14:paraId="0E2D4DDD"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Total Revenue</w:t>
            </w:r>
          </w:p>
        </w:tc>
        <w:tc>
          <w:tcPr>
            <w:tcW w:w="911" w:type="dxa"/>
            <w:tcBorders>
              <w:top w:val="nil"/>
              <w:left w:val="nil"/>
              <w:bottom w:val="nil"/>
              <w:right w:val="nil"/>
              <w:tl2br w:val="nil"/>
              <w:tr2bl w:val="nil"/>
            </w:tcBorders>
            <w:shd w:val="clear" w:color="FFFFFF" w:fill="FFFFFF"/>
            <w:tcMar>
              <w:left w:w="101" w:type="dxa"/>
              <w:right w:w="101" w:type="dxa"/>
            </w:tcMar>
          </w:tcPr>
          <w:p w14:paraId="7B10BFD1"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214,592</w:t>
            </w:r>
          </w:p>
        </w:tc>
        <w:tc>
          <w:tcPr>
            <w:tcW w:w="1035" w:type="dxa"/>
            <w:tcBorders>
              <w:top w:val="nil"/>
              <w:left w:val="nil"/>
              <w:bottom w:val="nil"/>
              <w:right w:val="nil"/>
              <w:tl2br w:val="nil"/>
              <w:tr2bl w:val="nil"/>
            </w:tcBorders>
            <w:shd w:val="clear" w:color="FFFFFF" w:fill="FFFFFF"/>
            <w:tcMar>
              <w:left w:w="101" w:type="dxa"/>
              <w:right w:w="101" w:type="dxa"/>
            </w:tcMar>
          </w:tcPr>
          <w:p w14:paraId="4C9BBF6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226,513</w:t>
            </w:r>
          </w:p>
        </w:tc>
        <w:tc>
          <w:tcPr>
            <w:tcW w:w="600" w:type="dxa"/>
            <w:tcBorders>
              <w:top w:val="nil"/>
              <w:left w:val="nil"/>
              <w:bottom w:val="nil"/>
              <w:right w:val="nil"/>
              <w:tl2br w:val="nil"/>
              <w:tr2bl w:val="nil"/>
            </w:tcBorders>
            <w:shd w:val="clear" w:color="FFFFFF" w:fill="FFFFFF"/>
            <w:tcMar>
              <w:left w:w="101" w:type="dxa"/>
              <w:right w:w="101" w:type="dxa"/>
            </w:tcMar>
          </w:tcPr>
          <w:p w14:paraId="0E0A52F2"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3D1CCBCE"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208,305</w:t>
            </w:r>
          </w:p>
        </w:tc>
        <w:tc>
          <w:tcPr>
            <w:tcW w:w="1035" w:type="dxa"/>
            <w:tcBorders>
              <w:top w:val="nil"/>
              <w:left w:val="nil"/>
              <w:bottom w:val="nil"/>
              <w:right w:val="nil"/>
              <w:tl2br w:val="nil"/>
              <w:tr2bl w:val="nil"/>
            </w:tcBorders>
            <w:shd w:val="clear" w:color="FFFFFF" w:fill="FFFFFF"/>
            <w:tcMar>
              <w:left w:w="101" w:type="dxa"/>
              <w:right w:w="101" w:type="dxa"/>
            </w:tcMar>
          </w:tcPr>
          <w:p w14:paraId="14C37907"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206,363</w:t>
            </w:r>
          </w:p>
        </w:tc>
        <w:tc>
          <w:tcPr>
            <w:tcW w:w="1035" w:type="dxa"/>
            <w:tcBorders>
              <w:top w:val="nil"/>
              <w:left w:val="nil"/>
              <w:bottom w:val="nil"/>
              <w:right w:val="nil"/>
              <w:tl2br w:val="nil"/>
              <w:tr2bl w:val="nil"/>
            </w:tcBorders>
            <w:shd w:val="clear" w:color="FFFFFF" w:fill="FFFFFF"/>
            <w:tcMar>
              <w:left w:w="101" w:type="dxa"/>
              <w:right w:w="101" w:type="dxa"/>
            </w:tcMar>
          </w:tcPr>
          <w:p w14:paraId="2A06B731"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208,416</w:t>
            </w:r>
          </w:p>
        </w:tc>
      </w:tr>
      <w:tr w:rsidR="00C07D35" w14:paraId="71151E38"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725DA0"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347EC294"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7DFB808D"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7FAACB"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C7F41B"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EC78CA"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E2B413"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231CD0" w14:textId="77777777" w:rsidR="00C07D35" w:rsidRDefault="00C07D35">
            <w:pPr>
              <w:pStyle w:val="Normal6"/>
              <w:rPr>
                <w:rFonts w:ascii="Calibri" w:eastAsia="Calibri" w:hAnsi="Calibri" w:cs="Calibri"/>
                <w:color w:val="000000"/>
                <w:sz w:val="18"/>
              </w:rPr>
            </w:pPr>
          </w:p>
        </w:tc>
      </w:tr>
      <w:tr w:rsidR="00C07D35" w14:paraId="3F12E600"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352F32"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101" w:type="dxa"/>
              <w:right w:w="101" w:type="dxa"/>
            </w:tcMar>
          </w:tcPr>
          <w:p w14:paraId="5D607DE2"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Gains</w:t>
            </w:r>
          </w:p>
        </w:tc>
        <w:tc>
          <w:tcPr>
            <w:tcW w:w="911" w:type="dxa"/>
            <w:tcBorders>
              <w:top w:val="nil"/>
              <w:left w:val="nil"/>
              <w:bottom w:val="nil"/>
              <w:right w:val="nil"/>
              <w:tl2br w:val="nil"/>
              <w:tr2bl w:val="nil"/>
            </w:tcBorders>
            <w:shd w:val="clear" w:color="FFFFFF" w:fill="FFFFFF"/>
            <w:tcMar>
              <w:left w:w="0" w:type="dxa"/>
              <w:right w:w="0" w:type="dxa"/>
            </w:tcMar>
          </w:tcPr>
          <w:p w14:paraId="59CA3672"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978A1B"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9A0DB7"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0D1281"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B9D6D"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235223" w14:textId="77777777" w:rsidR="00C07D35" w:rsidRDefault="00C07D35">
            <w:pPr>
              <w:pStyle w:val="Normal6"/>
              <w:rPr>
                <w:rFonts w:ascii="Calibri" w:eastAsia="Calibri" w:hAnsi="Calibri" w:cs="Calibri"/>
                <w:color w:val="000000"/>
                <w:sz w:val="18"/>
              </w:rPr>
            </w:pPr>
          </w:p>
        </w:tc>
      </w:tr>
      <w:tr w:rsidR="00C07D35" w14:paraId="77C09EB2"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0E6D4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2509" w:type="dxa"/>
            <w:tcBorders>
              <w:top w:val="nil"/>
              <w:left w:val="nil"/>
              <w:bottom w:val="nil"/>
              <w:right w:val="nil"/>
              <w:tl2br w:val="nil"/>
              <w:tr2bl w:val="nil"/>
            </w:tcBorders>
            <w:shd w:val="clear" w:color="FFFFFF" w:fill="FFFFFF"/>
            <w:noWrap/>
            <w:tcMar>
              <w:left w:w="101" w:type="dxa"/>
              <w:right w:w="101" w:type="dxa"/>
            </w:tcMar>
          </w:tcPr>
          <w:p w14:paraId="6B844B56"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Other Gains</w:t>
            </w:r>
          </w:p>
        </w:tc>
        <w:tc>
          <w:tcPr>
            <w:tcW w:w="911" w:type="dxa"/>
            <w:tcBorders>
              <w:top w:val="nil"/>
              <w:left w:val="nil"/>
              <w:bottom w:val="nil"/>
              <w:right w:val="nil"/>
              <w:tl2br w:val="nil"/>
              <w:tr2bl w:val="nil"/>
            </w:tcBorders>
            <w:shd w:val="clear" w:color="FFFFFF" w:fill="FFFFFF"/>
            <w:tcMar>
              <w:left w:w="101" w:type="dxa"/>
              <w:right w:w="101" w:type="dxa"/>
            </w:tcMar>
          </w:tcPr>
          <w:p w14:paraId="4D4B01B3" w14:textId="4F6153FA"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26</w:t>
            </w:r>
            <w:r w:rsidR="000C7235">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518D19C0"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D21BFE8"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2CBE30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2D047EC"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B64092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r>
      <w:tr w:rsidR="00C07D35" w14:paraId="510B4357"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394F80B"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74FC8EB1"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17FB0E32"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5C4B3D"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BF2A0C"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BCBB65"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6DCB8A"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26294E" w14:textId="77777777" w:rsidR="00C07D35" w:rsidRDefault="00C07D35">
            <w:pPr>
              <w:pStyle w:val="Normal6"/>
              <w:rPr>
                <w:rFonts w:ascii="Calibri" w:eastAsia="Calibri" w:hAnsi="Calibri" w:cs="Calibri"/>
                <w:color w:val="000000"/>
                <w:sz w:val="18"/>
              </w:rPr>
            </w:pPr>
          </w:p>
        </w:tc>
      </w:tr>
      <w:tr w:rsidR="00C07D35" w14:paraId="4A6B63BC"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234EAD"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0</w:t>
            </w:r>
          </w:p>
        </w:tc>
        <w:tc>
          <w:tcPr>
            <w:tcW w:w="2509" w:type="dxa"/>
            <w:tcBorders>
              <w:top w:val="nil"/>
              <w:left w:val="nil"/>
              <w:bottom w:val="nil"/>
              <w:right w:val="nil"/>
              <w:tl2br w:val="nil"/>
              <w:tr2bl w:val="nil"/>
            </w:tcBorders>
            <w:shd w:val="clear" w:color="FFFFFF" w:fill="FFFFFF"/>
            <w:noWrap/>
            <w:tcMar>
              <w:left w:w="101" w:type="dxa"/>
              <w:right w:w="101" w:type="dxa"/>
            </w:tcMar>
          </w:tcPr>
          <w:p w14:paraId="3D8E162B"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Total Gains</w:t>
            </w:r>
          </w:p>
        </w:tc>
        <w:tc>
          <w:tcPr>
            <w:tcW w:w="911" w:type="dxa"/>
            <w:tcBorders>
              <w:top w:val="nil"/>
              <w:left w:val="nil"/>
              <w:bottom w:val="nil"/>
              <w:right w:val="nil"/>
              <w:tl2br w:val="nil"/>
              <w:tr2bl w:val="nil"/>
            </w:tcBorders>
            <w:shd w:val="clear" w:color="FFFFFF" w:fill="FFFFFF"/>
            <w:tcMar>
              <w:left w:w="101" w:type="dxa"/>
              <w:right w:w="101" w:type="dxa"/>
            </w:tcMar>
          </w:tcPr>
          <w:p w14:paraId="0EF548DD" w14:textId="63DF77F5"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26</w:t>
            </w:r>
            <w:r w:rsidR="000C7235">
              <w:rPr>
                <w:rFonts w:ascii="Calibri" w:eastAsia="Calibri" w:hAnsi="Calibri" w:cs="Calibri"/>
                <w:b/>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72F90692"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67E096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C3B595C"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DFE6F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7ABF1E2"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0FEE8BFF"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DE0E13"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25CE9C29"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02499FA6"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7E531C"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472EAB"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D62A45"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204BDF"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0B6355" w14:textId="77777777" w:rsidR="00C07D35" w:rsidRDefault="00C07D35">
            <w:pPr>
              <w:pStyle w:val="Normal6"/>
              <w:rPr>
                <w:rFonts w:ascii="Calibri" w:eastAsia="Calibri" w:hAnsi="Calibri" w:cs="Calibri"/>
                <w:color w:val="000000"/>
                <w:sz w:val="18"/>
              </w:rPr>
            </w:pPr>
          </w:p>
        </w:tc>
      </w:tr>
      <w:tr w:rsidR="00C07D35" w14:paraId="39E76896"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7D807D"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218,637</w:t>
            </w:r>
          </w:p>
        </w:tc>
        <w:tc>
          <w:tcPr>
            <w:tcW w:w="2509" w:type="dxa"/>
            <w:tcBorders>
              <w:top w:val="nil"/>
              <w:left w:val="nil"/>
              <w:bottom w:val="nil"/>
              <w:right w:val="nil"/>
              <w:tl2br w:val="nil"/>
              <w:tr2bl w:val="nil"/>
            </w:tcBorders>
            <w:shd w:val="clear" w:color="FFFFFF" w:fill="FFFFFF"/>
            <w:noWrap/>
            <w:tcMar>
              <w:left w:w="101" w:type="dxa"/>
              <w:right w:w="101" w:type="dxa"/>
            </w:tcMar>
          </w:tcPr>
          <w:p w14:paraId="62B726DB"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Total Income</w:t>
            </w:r>
          </w:p>
        </w:tc>
        <w:tc>
          <w:tcPr>
            <w:tcW w:w="911" w:type="dxa"/>
            <w:tcBorders>
              <w:top w:val="nil"/>
              <w:left w:val="nil"/>
              <w:bottom w:val="nil"/>
              <w:right w:val="nil"/>
              <w:tl2br w:val="nil"/>
              <w:tr2bl w:val="nil"/>
            </w:tcBorders>
            <w:shd w:val="clear" w:color="FFFFFF" w:fill="FFFFFF"/>
            <w:tcMar>
              <w:left w:w="101" w:type="dxa"/>
              <w:right w:w="101" w:type="dxa"/>
            </w:tcMar>
          </w:tcPr>
          <w:p w14:paraId="275A8B88" w14:textId="0F09DF8D"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214,85</w:t>
            </w:r>
            <w:r w:rsidR="000C7235">
              <w:rPr>
                <w:rFonts w:ascii="Calibri" w:eastAsia="Calibri" w:hAnsi="Calibri" w:cs="Calibri"/>
                <w:b/>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57A7B06E"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226,513</w:t>
            </w:r>
          </w:p>
        </w:tc>
        <w:tc>
          <w:tcPr>
            <w:tcW w:w="600" w:type="dxa"/>
            <w:tcBorders>
              <w:top w:val="nil"/>
              <w:left w:val="nil"/>
              <w:bottom w:val="nil"/>
              <w:right w:val="nil"/>
              <w:tl2br w:val="nil"/>
              <w:tr2bl w:val="nil"/>
            </w:tcBorders>
            <w:shd w:val="clear" w:color="FFFFFF" w:fill="FFFFFF"/>
            <w:tcMar>
              <w:left w:w="101" w:type="dxa"/>
              <w:right w:w="101" w:type="dxa"/>
            </w:tcMar>
          </w:tcPr>
          <w:p w14:paraId="57284580"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EFF1BAA"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208,305</w:t>
            </w:r>
          </w:p>
        </w:tc>
        <w:tc>
          <w:tcPr>
            <w:tcW w:w="1035" w:type="dxa"/>
            <w:tcBorders>
              <w:top w:val="nil"/>
              <w:left w:val="nil"/>
              <w:bottom w:val="nil"/>
              <w:right w:val="nil"/>
              <w:tl2br w:val="nil"/>
              <w:tr2bl w:val="nil"/>
            </w:tcBorders>
            <w:shd w:val="clear" w:color="FFFFFF" w:fill="FFFFFF"/>
            <w:tcMar>
              <w:left w:w="101" w:type="dxa"/>
              <w:right w:w="101" w:type="dxa"/>
            </w:tcMar>
          </w:tcPr>
          <w:p w14:paraId="5BD50C4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206,363</w:t>
            </w:r>
          </w:p>
        </w:tc>
        <w:tc>
          <w:tcPr>
            <w:tcW w:w="1035" w:type="dxa"/>
            <w:tcBorders>
              <w:top w:val="nil"/>
              <w:left w:val="nil"/>
              <w:bottom w:val="nil"/>
              <w:right w:val="nil"/>
              <w:tl2br w:val="nil"/>
              <w:tr2bl w:val="nil"/>
            </w:tcBorders>
            <w:shd w:val="clear" w:color="FFFFFF" w:fill="FFFFFF"/>
            <w:tcMar>
              <w:left w:w="101" w:type="dxa"/>
              <w:right w:w="101" w:type="dxa"/>
            </w:tcMar>
          </w:tcPr>
          <w:p w14:paraId="17447FCC"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208,416</w:t>
            </w:r>
          </w:p>
        </w:tc>
      </w:tr>
      <w:tr w:rsidR="00C07D35" w14:paraId="2D888647"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A41429"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1AA668A6"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7D09769A"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17EB07"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3A059C4"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A06F2C"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D5C2F3"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A4C78E" w14:textId="77777777" w:rsidR="00C07D35" w:rsidRDefault="00C07D35">
            <w:pPr>
              <w:pStyle w:val="Normal6"/>
              <w:rPr>
                <w:rFonts w:ascii="Calibri" w:eastAsia="Calibri" w:hAnsi="Calibri" w:cs="Calibri"/>
                <w:color w:val="000000"/>
                <w:sz w:val="18"/>
              </w:rPr>
            </w:pPr>
          </w:p>
        </w:tc>
      </w:tr>
      <w:tr w:rsidR="00C07D35" w14:paraId="452D9090"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9416A6"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101" w:type="dxa"/>
              <w:right w:w="101" w:type="dxa"/>
            </w:tcMar>
          </w:tcPr>
          <w:p w14:paraId="7135DBBB"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 xml:space="preserve">Expenses  </w:t>
            </w:r>
          </w:p>
        </w:tc>
        <w:tc>
          <w:tcPr>
            <w:tcW w:w="911" w:type="dxa"/>
            <w:tcBorders>
              <w:top w:val="nil"/>
              <w:left w:val="nil"/>
              <w:bottom w:val="nil"/>
              <w:right w:val="nil"/>
              <w:tl2br w:val="nil"/>
              <w:tr2bl w:val="nil"/>
            </w:tcBorders>
            <w:shd w:val="clear" w:color="FFFFFF" w:fill="FFFFFF"/>
            <w:tcMar>
              <w:left w:w="0" w:type="dxa"/>
              <w:right w:w="0" w:type="dxa"/>
            </w:tcMar>
          </w:tcPr>
          <w:p w14:paraId="3A3B97AF"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36ED11"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5316C82"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1C8E11"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831006"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0A74BE" w14:textId="77777777" w:rsidR="00C07D35" w:rsidRDefault="00C07D35">
            <w:pPr>
              <w:pStyle w:val="Normal6"/>
              <w:rPr>
                <w:rFonts w:ascii="Calibri" w:eastAsia="Calibri" w:hAnsi="Calibri" w:cs="Calibri"/>
                <w:color w:val="000000"/>
                <w:sz w:val="18"/>
              </w:rPr>
            </w:pPr>
          </w:p>
        </w:tc>
      </w:tr>
      <w:tr w:rsidR="00C07D35" w14:paraId="67762D20"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0FC1C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77,395</w:t>
            </w:r>
          </w:p>
        </w:tc>
        <w:tc>
          <w:tcPr>
            <w:tcW w:w="2509" w:type="dxa"/>
            <w:tcBorders>
              <w:top w:val="nil"/>
              <w:left w:val="nil"/>
              <w:bottom w:val="nil"/>
              <w:right w:val="nil"/>
              <w:tl2br w:val="nil"/>
              <w:tr2bl w:val="nil"/>
            </w:tcBorders>
            <w:shd w:val="clear" w:color="FFFFFF" w:fill="FFFFFF"/>
            <w:noWrap/>
            <w:tcMar>
              <w:left w:w="101" w:type="dxa"/>
              <w:right w:w="101" w:type="dxa"/>
            </w:tcMar>
          </w:tcPr>
          <w:p w14:paraId="7788A9A1"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Employee Expenses</w:t>
            </w:r>
          </w:p>
        </w:tc>
        <w:tc>
          <w:tcPr>
            <w:tcW w:w="911" w:type="dxa"/>
            <w:tcBorders>
              <w:top w:val="nil"/>
              <w:left w:val="nil"/>
              <w:bottom w:val="nil"/>
              <w:right w:val="nil"/>
              <w:tl2br w:val="nil"/>
              <w:tr2bl w:val="nil"/>
            </w:tcBorders>
            <w:shd w:val="clear" w:color="FFFFFF" w:fill="FFFFFF"/>
            <w:tcMar>
              <w:left w:w="101" w:type="dxa"/>
              <w:right w:w="101" w:type="dxa"/>
            </w:tcMar>
          </w:tcPr>
          <w:p w14:paraId="50E07F3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76,707</w:t>
            </w:r>
          </w:p>
        </w:tc>
        <w:tc>
          <w:tcPr>
            <w:tcW w:w="1035" w:type="dxa"/>
            <w:tcBorders>
              <w:top w:val="nil"/>
              <w:left w:val="nil"/>
              <w:bottom w:val="nil"/>
              <w:right w:val="nil"/>
              <w:tl2br w:val="nil"/>
              <w:tr2bl w:val="nil"/>
            </w:tcBorders>
            <w:shd w:val="clear" w:color="FFFFFF" w:fill="FFFFFF"/>
            <w:tcMar>
              <w:left w:w="101" w:type="dxa"/>
              <w:right w:w="101" w:type="dxa"/>
            </w:tcMar>
          </w:tcPr>
          <w:p w14:paraId="4F7E81CE"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82,094</w:t>
            </w:r>
          </w:p>
        </w:tc>
        <w:tc>
          <w:tcPr>
            <w:tcW w:w="600" w:type="dxa"/>
            <w:tcBorders>
              <w:top w:val="nil"/>
              <w:left w:val="nil"/>
              <w:bottom w:val="nil"/>
              <w:right w:val="nil"/>
              <w:tl2br w:val="nil"/>
              <w:tr2bl w:val="nil"/>
            </w:tcBorders>
            <w:shd w:val="clear" w:color="FFFFFF" w:fill="FFFFFF"/>
            <w:tcMar>
              <w:left w:w="101" w:type="dxa"/>
              <w:right w:w="101" w:type="dxa"/>
            </w:tcMar>
          </w:tcPr>
          <w:p w14:paraId="4346A79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897E09D"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82,753</w:t>
            </w:r>
          </w:p>
        </w:tc>
        <w:tc>
          <w:tcPr>
            <w:tcW w:w="1035" w:type="dxa"/>
            <w:tcBorders>
              <w:top w:val="nil"/>
              <w:left w:val="nil"/>
              <w:bottom w:val="nil"/>
              <w:right w:val="nil"/>
              <w:tl2br w:val="nil"/>
              <w:tr2bl w:val="nil"/>
            </w:tcBorders>
            <w:shd w:val="clear" w:color="FFFFFF" w:fill="FFFFFF"/>
            <w:tcMar>
              <w:left w:w="101" w:type="dxa"/>
              <w:right w:w="101" w:type="dxa"/>
            </w:tcMar>
          </w:tcPr>
          <w:p w14:paraId="4590A693"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81,854</w:t>
            </w:r>
          </w:p>
        </w:tc>
        <w:tc>
          <w:tcPr>
            <w:tcW w:w="1035" w:type="dxa"/>
            <w:tcBorders>
              <w:top w:val="nil"/>
              <w:left w:val="nil"/>
              <w:bottom w:val="nil"/>
              <w:right w:val="nil"/>
              <w:tl2br w:val="nil"/>
              <w:tr2bl w:val="nil"/>
            </w:tcBorders>
            <w:shd w:val="clear" w:color="FFFFFF" w:fill="FFFFFF"/>
            <w:tcMar>
              <w:left w:w="101" w:type="dxa"/>
              <w:right w:w="101" w:type="dxa"/>
            </w:tcMar>
          </w:tcPr>
          <w:p w14:paraId="59533070"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82,450</w:t>
            </w:r>
          </w:p>
        </w:tc>
      </w:tr>
      <w:tr w:rsidR="00C07D35" w14:paraId="479F155D"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AE08CE"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11,848</w:t>
            </w:r>
          </w:p>
        </w:tc>
        <w:tc>
          <w:tcPr>
            <w:tcW w:w="2509" w:type="dxa"/>
            <w:tcBorders>
              <w:top w:val="nil"/>
              <w:left w:val="nil"/>
              <w:bottom w:val="nil"/>
              <w:right w:val="nil"/>
              <w:tl2br w:val="nil"/>
              <w:tr2bl w:val="nil"/>
            </w:tcBorders>
            <w:shd w:val="clear" w:color="FFFFFF" w:fill="FFFFFF"/>
            <w:noWrap/>
            <w:tcMar>
              <w:left w:w="101" w:type="dxa"/>
              <w:right w:w="101" w:type="dxa"/>
            </w:tcMar>
          </w:tcPr>
          <w:p w14:paraId="1E949B0F"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Superannuation Expenses</w:t>
            </w:r>
          </w:p>
        </w:tc>
        <w:tc>
          <w:tcPr>
            <w:tcW w:w="911" w:type="dxa"/>
            <w:tcBorders>
              <w:top w:val="nil"/>
              <w:left w:val="nil"/>
              <w:bottom w:val="nil"/>
              <w:right w:val="nil"/>
              <w:tl2br w:val="nil"/>
              <w:tr2bl w:val="nil"/>
            </w:tcBorders>
            <w:shd w:val="clear" w:color="FFFFFF" w:fill="FFFFFF"/>
            <w:tcMar>
              <w:left w:w="101" w:type="dxa"/>
              <w:right w:w="101" w:type="dxa"/>
            </w:tcMar>
          </w:tcPr>
          <w:p w14:paraId="460D4838"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11,633</w:t>
            </w:r>
          </w:p>
        </w:tc>
        <w:tc>
          <w:tcPr>
            <w:tcW w:w="1035" w:type="dxa"/>
            <w:tcBorders>
              <w:top w:val="nil"/>
              <w:left w:val="nil"/>
              <w:bottom w:val="nil"/>
              <w:right w:val="nil"/>
              <w:tl2br w:val="nil"/>
              <w:tr2bl w:val="nil"/>
            </w:tcBorders>
            <w:shd w:val="clear" w:color="FFFFFF" w:fill="FFFFFF"/>
            <w:tcMar>
              <w:left w:w="101" w:type="dxa"/>
              <w:right w:w="101" w:type="dxa"/>
            </w:tcMar>
          </w:tcPr>
          <w:p w14:paraId="069867E9"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13,459</w:t>
            </w:r>
          </w:p>
        </w:tc>
        <w:tc>
          <w:tcPr>
            <w:tcW w:w="600" w:type="dxa"/>
            <w:tcBorders>
              <w:top w:val="nil"/>
              <w:left w:val="nil"/>
              <w:bottom w:val="nil"/>
              <w:right w:val="nil"/>
              <w:tl2br w:val="nil"/>
              <w:tr2bl w:val="nil"/>
            </w:tcBorders>
            <w:shd w:val="clear" w:color="FFFFFF" w:fill="FFFFFF"/>
            <w:tcMar>
              <w:left w:w="101" w:type="dxa"/>
              <w:right w:w="101" w:type="dxa"/>
            </w:tcMar>
          </w:tcPr>
          <w:p w14:paraId="1FD707C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1751FE44"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13,511</w:t>
            </w:r>
          </w:p>
        </w:tc>
        <w:tc>
          <w:tcPr>
            <w:tcW w:w="1035" w:type="dxa"/>
            <w:tcBorders>
              <w:top w:val="nil"/>
              <w:left w:val="nil"/>
              <w:bottom w:val="nil"/>
              <w:right w:val="nil"/>
              <w:tl2br w:val="nil"/>
              <w:tr2bl w:val="nil"/>
            </w:tcBorders>
            <w:shd w:val="clear" w:color="FFFFFF" w:fill="FFFFFF"/>
            <w:tcMar>
              <w:left w:w="101" w:type="dxa"/>
              <w:right w:w="101" w:type="dxa"/>
            </w:tcMar>
          </w:tcPr>
          <w:p w14:paraId="3F94272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13,446</w:t>
            </w:r>
          </w:p>
        </w:tc>
        <w:tc>
          <w:tcPr>
            <w:tcW w:w="1035" w:type="dxa"/>
            <w:tcBorders>
              <w:top w:val="nil"/>
              <w:left w:val="nil"/>
              <w:bottom w:val="nil"/>
              <w:right w:val="nil"/>
              <w:tl2br w:val="nil"/>
              <w:tr2bl w:val="nil"/>
            </w:tcBorders>
            <w:shd w:val="clear" w:color="FFFFFF" w:fill="FFFFFF"/>
            <w:tcMar>
              <w:left w:w="101" w:type="dxa"/>
              <w:right w:w="101" w:type="dxa"/>
            </w:tcMar>
          </w:tcPr>
          <w:p w14:paraId="31AFFD8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13,548</w:t>
            </w:r>
          </w:p>
        </w:tc>
      </w:tr>
      <w:tr w:rsidR="00C07D35" w14:paraId="11C0C150"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037663"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30,166</w:t>
            </w:r>
          </w:p>
        </w:tc>
        <w:tc>
          <w:tcPr>
            <w:tcW w:w="2509" w:type="dxa"/>
            <w:tcBorders>
              <w:top w:val="nil"/>
              <w:left w:val="nil"/>
              <w:bottom w:val="nil"/>
              <w:right w:val="nil"/>
              <w:tl2br w:val="nil"/>
              <w:tr2bl w:val="nil"/>
            </w:tcBorders>
            <w:shd w:val="clear" w:color="FFFFFF" w:fill="FFFFFF"/>
            <w:noWrap/>
            <w:tcMar>
              <w:left w:w="101" w:type="dxa"/>
              <w:right w:w="101" w:type="dxa"/>
            </w:tcMar>
          </w:tcPr>
          <w:p w14:paraId="48E1997E"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Supplies and Services</w:t>
            </w:r>
          </w:p>
        </w:tc>
        <w:tc>
          <w:tcPr>
            <w:tcW w:w="911" w:type="dxa"/>
            <w:tcBorders>
              <w:top w:val="nil"/>
              <w:left w:val="nil"/>
              <w:bottom w:val="nil"/>
              <w:right w:val="nil"/>
              <w:tl2br w:val="nil"/>
              <w:tr2bl w:val="nil"/>
            </w:tcBorders>
            <w:shd w:val="clear" w:color="FFFFFF" w:fill="FFFFFF"/>
            <w:tcMar>
              <w:left w:w="101" w:type="dxa"/>
              <w:right w:w="101" w:type="dxa"/>
            </w:tcMar>
          </w:tcPr>
          <w:p w14:paraId="11CA555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26,701</w:t>
            </w:r>
          </w:p>
        </w:tc>
        <w:tc>
          <w:tcPr>
            <w:tcW w:w="1035" w:type="dxa"/>
            <w:tcBorders>
              <w:top w:val="nil"/>
              <w:left w:val="nil"/>
              <w:bottom w:val="nil"/>
              <w:right w:val="nil"/>
              <w:tl2br w:val="nil"/>
              <w:tr2bl w:val="nil"/>
            </w:tcBorders>
            <w:shd w:val="clear" w:color="FFFFFF" w:fill="FFFFFF"/>
            <w:tcMar>
              <w:left w:w="101" w:type="dxa"/>
              <w:right w:w="101" w:type="dxa"/>
            </w:tcMar>
          </w:tcPr>
          <w:p w14:paraId="1A388090"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32,097</w:t>
            </w:r>
          </w:p>
        </w:tc>
        <w:tc>
          <w:tcPr>
            <w:tcW w:w="600" w:type="dxa"/>
            <w:tcBorders>
              <w:top w:val="nil"/>
              <w:left w:val="nil"/>
              <w:bottom w:val="nil"/>
              <w:right w:val="nil"/>
              <w:tl2br w:val="nil"/>
              <w:tr2bl w:val="nil"/>
            </w:tcBorders>
            <w:shd w:val="clear" w:color="FFFFFF" w:fill="FFFFFF"/>
            <w:tcMar>
              <w:left w:w="101" w:type="dxa"/>
              <w:right w:w="101" w:type="dxa"/>
            </w:tcMar>
          </w:tcPr>
          <w:p w14:paraId="04A8D042"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5B4A337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29,993</w:t>
            </w:r>
          </w:p>
        </w:tc>
        <w:tc>
          <w:tcPr>
            <w:tcW w:w="1035" w:type="dxa"/>
            <w:tcBorders>
              <w:top w:val="nil"/>
              <w:left w:val="nil"/>
              <w:bottom w:val="nil"/>
              <w:right w:val="nil"/>
              <w:tl2br w:val="nil"/>
              <w:tr2bl w:val="nil"/>
            </w:tcBorders>
            <w:shd w:val="clear" w:color="FFFFFF" w:fill="FFFFFF"/>
            <w:tcMar>
              <w:left w:w="101" w:type="dxa"/>
              <w:right w:w="101" w:type="dxa"/>
            </w:tcMar>
          </w:tcPr>
          <w:p w14:paraId="48A44A1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29,185</w:t>
            </w:r>
          </w:p>
        </w:tc>
        <w:tc>
          <w:tcPr>
            <w:tcW w:w="1035" w:type="dxa"/>
            <w:tcBorders>
              <w:top w:val="nil"/>
              <w:left w:val="nil"/>
              <w:bottom w:val="nil"/>
              <w:right w:val="nil"/>
              <w:tl2br w:val="nil"/>
              <w:tr2bl w:val="nil"/>
            </w:tcBorders>
            <w:shd w:val="clear" w:color="FFFFFF" w:fill="FFFFFF"/>
            <w:tcMar>
              <w:left w:w="101" w:type="dxa"/>
              <w:right w:w="101" w:type="dxa"/>
            </w:tcMar>
          </w:tcPr>
          <w:p w14:paraId="61BC597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29,458</w:t>
            </w:r>
          </w:p>
        </w:tc>
      </w:tr>
      <w:tr w:rsidR="00C07D35" w14:paraId="6559A613"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C4CB7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3,572</w:t>
            </w:r>
          </w:p>
        </w:tc>
        <w:tc>
          <w:tcPr>
            <w:tcW w:w="2509" w:type="dxa"/>
            <w:tcBorders>
              <w:top w:val="nil"/>
              <w:left w:val="nil"/>
              <w:bottom w:val="nil"/>
              <w:right w:val="nil"/>
              <w:tl2br w:val="nil"/>
              <w:tr2bl w:val="nil"/>
            </w:tcBorders>
            <w:shd w:val="clear" w:color="FFFFFF" w:fill="FFFFFF"/>
            <w:noWrap/>
            <w:tcMar>
              <w:left w:w="101" w:type="dxa"/>
              <w:right w:w="101" w:type="dxa"/>
            </w:tcMar>
          </w:tcPr>
          <w:p w14:paraId="5ABD7C6D"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Depreciation and Amortisation</w:t>
            </w:r>
          </w:p>
        </w:tc>
        <w:tc>
          <w:tcPr>
            <w:tcW w:w="911" w:type="dxa"/>
            <w:tcBorders>
              <w:top w:val="nil"/>
              <w:left w:val="nil"/>
              <w:bottom w:val="nil"/>
              <w:right w:val="nil"/>
              <w:tl2br w:val="nil"/>
              <w:tr2bl w:val="nil"/>
            </w:tcBorders>
            <w:shd w:val="clear" w:color="FFFFFF" w:fill="FFFFFF"/>
            <w:tcMar>
              <w:left w:w="101" w:type="dxa"/>
              <w:right w:w="101" w:type="dxa"/>
            </w:tcMar>
          </w:tcPr>
          <w:p w14:paraId="325B3B4A"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3,547</w:t>
            </w:r>
          </w:p>
        </w:tc>
        <w:tc>
          <w:tcPr>
            <w:tcW w:w="1035" w:type="dxa"/>
            <w:tcBorders>
              <w:top w:val="nil"/>
              <w:left w:val="nil"/>
              <w:bottom w:val="nil"/>
              <w:right w:val="nil"/>
              <w:tl2br w:val="nil"/>
              <w:tr2bl w:val="nil"/>
            </w:tcBorders>
            <w:shd w:val="clear" w:color="FFFFFF" w:fill="FFFFFF"/>
            <w:tcMar>
              <w:left w:w="101" w:type="dxa"/>
              <w:right w:w="101" w:type="dxa"/>
            </w:tcMar>
          </w:tcPr>
          <w:p w14:paraId="70FE499E"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4,733</w:t>
            </w:r>
          </w:p>
        </w:tc>
        <w:tc>
          <w:tcPr>
            <w:tcW w:w="600" w:type="dxa"/>
            <w:tcBorders>
              <w:top w:val="nil"/>
              <w:left w:val="nil"/>
              <w:bottom w:val="nil"/>
              <w:right w:val="nil"/>
              <w:tl2br w:val="nil"/>
              <w:tr2bl w:val="nil"/>
            </w:tcBorders>
            <w:shd w:val="clear" w:color="FFFFFF" w:fill="FFFFFF"/>
            <w:tcMar>
              <w:left w:w="101" w:type="dxa"/>
              <w:right w:w="101" w:type="dxa"/>
            </w:tcMar>
          </w:tcPr>
          <w:p w14:paraId="665B1407"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4F1C447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4,816</w:t>
            </w:r>
          </w:p>
        </w:tc>
        <w:tc>
          <w:tcPr>
            <w:tcW w:w="1035" w:type="dxa"/>
            <w:tcBorders>
              <w:top w:val="nil"/>
              <w:left w:val="nil"/>
              <w:bottom w:val="nil"/>
              <w:right w:val="nil"/>
              <w:tl2br w:val="nil"/>
              <w:tr2bl w:val="nil"/>
            </w:tcBorders>
            <w:shd w:val="clear" w:color="FFFFFF" w:fill="FFFFFF"/>
            <w:tcMar>
              <w:left w:w="101" w:type="dxa"/>
              <w:right w:w="101" w:type="dxa"/>
            </w:tcMar>
          </w:tcPr>
          <w:p w14:paraId="0A7B164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4,579</w:t>
            </w:r>
          </w:p>
        </w:tc>
        <w:tc>
          <w:tcPr>
            <w:tcW w:w="1035" w:type="dxa"/>
            <w:tcBorders>
              <w:top w:val="nil"/>
              <w:left w:val="nil"/>
              <w:bottom w:val="nil"/>
              <w:right w:val="nil"/>
              <w:tl2br w:val="nil"/>
              <w:tr2bl w:val="nil"/>
            </w:tcBorders>
            <w:shd w:val="clear" w:color="FFFFFF" w:fill="FFFFFF"/>
            <w:tcMar>
              <w:left w:w="101" w:type="dxa"/>
              <w:right w:w="101" w:type="dxa"/>
            </w:tcMar>
          </w:tcPr>
          <w:p w14:paraId="2F121FC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4,549</w:t>
            </w:r>
          </w:p>
        </w:tc>
      </w:tr>
      <w:tr w:rsidR="00C07D35" w14:paraId="3426D4F5"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451B1E"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98,279</w:t>
            </w:r>
          </w:p>
        </w:tc>
        <w:tc>
          <w:tcPr>
            <w:tcW w:w="2509" w:type="dxa"/>
            <w:tcBorders>
              <w:top w:val="nil"/>
              <w:left w:val="nil"/>
              <w:bottom w:val="nil"/>
              <w:right w:val="nil"/>
              <w:tl2br w:val="nil"/>
              <w:tr2bl w:val="nil"/>
            </w:tcBorders>
            <w:shd w:val="clear" w:color="FFFFFF" w:fill="FFFFFF"/>
            <w:noWrap/>
            <w:tcMar>
              <w:left w:w="101" w:type="dxa"/>
              <w:right w:w="101" w:type="dxa"/>
            </w:tcMar>
          </w:tcPr>
          <w:p w14:paraId="652E1D2C"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Grants and Purchased Services</w:t>
            </w:r>
          </w:p>
        </w:tc>
        <w:tc>
          <w:tcPr>
            <w:tcW w:w="911" w:type="dxa"/>
            <w:tcBorders>
              <w:top w:val="nil"/>
              <w:left w:val="nil"/>
              <w:bottom w:val="nil"/>
              <w:right w:val="nil"/>
              <w:tl2br w:val="nil"/>
              <w:tr2bl w:val="nil"/>
            </w:tcBorders>
            <w:shd w:val="clear" w:color="FFFFFF" w:fill="FFFFFF"/>
            <w:tcMar>
              <w:left w:w="101" w:type="dxa"/>
              <w:right w:w="101" w:type="dxa"/>
            </w:tcMar>
          </w:tcPr>
          <w:p w14:paraId="35220191"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98,769</w:t>
            </w:r>
          </w:p>
        </w:tc>
        <w:tc>
          <w:tcPr>
            <w:tcW w:w="1035" w:type="dxa"/>
            <w:tcBorders>
              <w:top w:val="nil"/>
              <w:left w:val="nil"/>
              <w:bottom w:val="nil"/>
              <w:right w:val="nil"/>
              <w:tl2br w:val="nil"/>
              <w:tr2bl w:val="nil"/>
            </w:tcBorders>
            <w:shd w:val="clear" w:color="FFFFFF" w:fill="FFFFFF"/>
            <w:tcMar>
              <w:left w:w="101" w:type="dxa"/>
              <w:right w:w="101" w:type="dxa"/>
            </w:tcMar>
          </w:tcPr>
          <w:p w14:paraId="74A2F6A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98,110</w:t>
            </w:r>
          </w:p>
        </w:tc>
        <w:tc>
          <w:tcPr>
            <w:tcW w:w="600" w:type="dxa"/>
            <w:tcBorders>
              <w:top w:val="nil"/>
              <w:left w:val="nil"/>
              <w:bottom w:val="nil"/>
              <w:right w:val="nil"/>
              <w:tl2br w:val="nil"/>
              <w:tr2bl w:val="nil"/>
            </w:tcBorders>
            <w:shd w:val="clear" w:color="FFFFFF" w:fill="FFFFFF"/>
            <w:tcMar>
              <w:left w:w="101" w:type="dxa"/>
              <w:right w:w="101" w:type="dxa"/>
            </w:tcMar>
          </w:tcPr>
          <w:p w14:paraId="2ADE7DB4"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4892C0C"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81,358</w:t>
            </w:r>
          </w:p>
        </w:tc>
        <w:tc>
          <w:tcPr>
            <w:tcW w:w="1035" w:type="dxa"/>
            <w:tcBorders>
              <w:top w:val="nil"/>
              <w:left w:val="nil"/>
              <w:bottom w:val="nil"/>
              <w:right w:val="nil"/>
              <w:tl2br w:val="nil"/>
              <w:tr2bl w:val="nil"/>
            </w:tcBorders>
            <w:shd w:val="clear" w:color="FFFFFF" w:fill="FFFFFF"/>
            <w:tcMar>
              <w:left w:w="101" w:type="dxa"/>
              <w:right w:w="101" w:type="dxa"/>
            </w:tcMar>
          </w:tcPr>
          <w:p w14:paraId="0D6B910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81,222</w:t>
            </w:r>
          </w:p>
        </w:tc>
        <w:tc>
          <w:tcPr>
            <w:tcW w:w="1035" w:type="dxa"/>
            <w:tcBorders>
              <w:top w:val="nil"/>
              <w:left w:val="nil"/>
              <w:bottom w:val="nil"/>
              <w:right w:val="nil"/>
              <w:tl2br w:val="nil"/>
              <w:tr2bl w:val="nil"/>
            </w:tcBorders>
            <w:shd w:val="clear" w:color="FFFFFF" w:fill="FFFFFF"/>
            <w:tcMar>
              <w:left w:w="101" w:type="dxa"/>
              <w:right w:w="101" w:type="dxa"/>
            </w:tcMar>
          </w:tcPr>
          <w:p w14:paraId="72A80DD0"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82,375</w:t>
            </w:r>
          </w:p>
        </w:tc>
      </w:tr>
      <w:tr w:rsidR="00C07D35" w14:paraId="3A35BFF0"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C48029"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18</w:t>
            </w:r>
          </w:p>
        </w:tc>
        <w:tc>
          <w:tcPr>
            <w:tcW w:w="2509" w:type="dxa"/>
            <w:tcBorders>
              <w:top w:val="nil"/>
              <w:left w:val="nil"/>
              <w:bottom w:val="nil"/>
              <w:right w:val="nil"/>
              <w:tl2br w:val="nil"/>
              <w:tr2bl w:val="nil"/>
            </w:tcBorders>
            <w:shd w:val="clear" w:color="FFFFFF" w:fill="FFFFFF"/>
            <w:noWrap/>
            <w:tcMar>
              <w:left w:w="101" w:type="dxa"/>
              <w:right w:w="101" w:type="dxa"/>
            </w:tcMar>
          </w:tcPr>
          <w:p w14:paraId="1D7597D6"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Borrowing Costs</w:t>
            </w:r>
          </w:p>
        </w:tc>
        <w:tc>
          <w:tcPr>
            <w:tcW w:w="911" w:type="dxa"/>
            <w:tcBorders>
              <w:top w:val="nil"/>
              <w:left w:val="nil"/>
              <w:bottom w:val="nil"/>
              <w:right w:val="nil"/>
              <w:tl2br w:val="nil"/>
              <w:tr2bl w:val="nil"/>
            </w:tcBorders>
            <w:shd w:val="clear" w:color="FFFFFF" w:fill="FFFFFF"/>
            <w:tcMar>
              <w:left w:w="101" w:type="dxa"/>
              <w:right w:w="101" w:type="dxa"/>
            </w:tcMar>
          </w:tcPr>
          <w:p w14:paraId="434EB8A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3E0E6BD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4A4C8933"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75383EC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09CDE6B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3B189C6C"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13</w:t>
            </w:r>
          </w:p>
        </w:tc>
      </w:tr>
      <w:tr w:rsidR="00C07D35" w14:paraId="21BCE7D5"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1138D3"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82</w:t>
            </w:r>
          </w:p>
        </w:tc>
        <w:tc>
          <w:tcPr>
            <w:tcW w:w="2509" w:type="dxa"/>
            <w:tcBorders>
              <w:top w:val="nil"/>
              <w:left w:val="nil"/>
              <w:bottom w:val="nil"/>
              <w:right w:val="nil"/>
              <w:tl2br w:val="nil"/>
              <w:tr2bl w:val="nil"/>
            </w:tcBorders>
            <w:shd w:val="clear" w:color="FFFFFF" w:fill="FFFFFF"/>
            <w:noWrap/>
            <w:tcMar>
              <w:left w:w="101" w:type="dxa"/>
              <w:right w:w="101" w:type="dxa"/>
            </w:tcMar>
          </w:tcPr>
          <w:p w14:paraId="1EBDB9F1"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Other Expenses</w:t>
            </w:r>
          </w:p>
        </w:tc>
        <w:tc>
          <w:tcPr>
            <w:tcW w:w="911" w:type="dxa"/>
            <w:tcBorders>
              <w:top w:val="nil"/>
              <w:left w:val="nil"/>
              <w:bottom w:val="nil"/>
              <w:right w:val="nil"/>
              <w:tl2br w:val="nil"/>
              <w:tr2bl w:val="nil"/>
            </w:tcBorders>
            <w:shd w:val="clear" w:color="FFFFFF" w:fill="FFFFFF"/>
            <w:tcMar>
              <w:left w:w="101" w:type="dxa"/>
              <w:right w:w="101" w:type="dxa"/>
            </w:tcMar>
          </w:tcPr>
          <w:p w14:paraId="6F930A5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214</w:t>
            </w:r>
          </w:p>
        </w:tc>
        <w:tc>
          <w:tcPr>
            <w:tcW w:w="1035" w:type="dxa"/>
            <w:tcBorders>
              <w:top w:val="nil"/>
              <w:left w:val="nil"/>
              <w:bottom w:val="nil"/>
              <w:right w:val="nil"/>
              <w:tl2br w:val="nil"/>
              <w:tr2bl w:val="nil"/>
            </w:tcBorders>
            <w:shd w:val="clear" w:color="FFFFFF" w:fill="FFFFFF"/>
            <w:tcMar>
              <w:left w:w="101" w:type="dxa"/>
              <w:right w:w="101" w:type="dxa"/>
            </w:tcMar>
          </w:tcPr>
          <w:p w14:paraId="7701C4B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83</w:t>
            </w:r>
          </w:p>
        </w:tc>
        <w:tc>
          <w:tcPr>
            <w:tcW w:w="600" w:type="dxa"/>
            <w:tcBorders>
              <w:top w:val="nil"/>
              <w:left w:val="nil"/>
              <w:bottom w:val="nil"/>
              <w:right w:val="nil"/>
              <w:tl2br w:val="nil"/>
              <w:tr2bl w:val="nil"/>
            </w:tcBorders>
            <w:shd w:val="clear" w:color="FFFFFF" w:fill="FFFFFF"/>
            <w:tcMar>
              <w:left w:w="101" w:type="dxa"/>
              <w:right w:w="101" w:type="dxa"/>
            </w:tcMar>
          </w:tcPr>
          <w:p w14:paraId="19E47108"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-61 </w:t>
            </w:r>
          </w:p>
        </w:tc>
        <w:tc>
          <w:tcPr>
            <w:tcW w:w="1035" w:type="dxa"/>
            <w:tcBorders>
              <w:top w:val="nil"/>
              <w:left w:val="nil"/>
              <w:bottom w:val="nil"/>
              <w:right w:val="nil"/>
              <w:tl2br w:val="nil"/>
              <w:tr2bl w:val="nil"/>
            </w:tcBorders>
            <w:shd w:val="clear" w:color="FFFFFF" w:fill="FFFFFF"/>
            <w:tcMar>
              <w:left w:w="101" w:type="dxa"/>
              <w:right w:w="101" w:type="dxa"/>
            </w:tcMar>
          </w:tcPr>
          <w:p w14:paraId="6BD0FD92"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82</w:t>
            </w:r>
          </w:p>
        </w:tc>
        <w:tc>
          <w:tcPr>
            <w:tcW w:w="1035" w:type="dxa"/>
            <w:tcBorders>
              <w:top w:val="nil"/>
              <w:left w:val="nil"/>
              <w:bottom w:val="nil"/>
              <w:right w:val="nil"/>
              <w:tl2br w:val="nil"/>
              <w:tr2bl w:val="nil"/>
            </w:tcBorders>
            <w:shd w:val="clear" w:color="FFFFFF" w:fill="FFFFFF"/>
            <w:tcMar>
              <w:left w:w="101" w:type="dxa"/>
              <w:right w:w="101" w:type="dxa"/>
            </w:tcMar>
          </w:tcPr>
          <w:p w14:paraId="4B9CB6A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84</w:t>
            </w:r>
          </w:p>
        </w:tc>
        <w:tc>
          <w:tcPr>
            <w:tcW w:w="1035" w:type="dxa"/>
            <w:tcBorders>
              <w:top w:val="nil"/>
              <w:left w:val="nil"/>
              <w:bottom w:val="nil"/>
              <w:right w:val="nil"/>
              <w:tl2br w:val="nil"/>
              <w:tr2bl w:val="nil"/>
            </w:tcBorders>
            <w:shd w:val="clear" w:color="FFFFFF" w:fill="FFFFFF"/>
            <w:tcMar>
              <w:left w:w="101" w:type="dxa"/>
              <w:right w:w="101" w:type="dxa"/>
            </w:tcMar>
          </w:tcPr>
          <w:p w14:paraId="56194019"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86</w:t>
            </w:r>
          </w:p>
        </w:tc>
      </w:tr>
      <w:tr w:rsidR="00C07D35" w14:paraId="5C83201A"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16ADAB"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6C116A69"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732C308F"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4FC5E1"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66F9D0"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8A9FCB"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20FE18"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C0C644" w14:textId="77777777" w:rsidR="00C07D35" w:rsidRDefault="00C07D35">
            <w:pPr>
              <w:pStyle w:val="Normal6"/>
              <w:rPr>
                <w:rFonts w:ascii="Calibri" w:eastAsia="Calibri" w:hAnsi="Calibri" w:cs="Calibri"/>
                <w:color w:val="000000"/>
                <w:sz w:val="18"/>
              </w:rPr>
            </w:pPr>
          </w:p>
        </w:tc>
      </w:tr>
      <w:tr w:rsidR="00C07D35" w14:paraId="348FD95D"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7379F6"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221,360</w:t>
            </w:r>
          </w:p>
        </w:tc>
        <w:tc>
          <w:tcPr>
            <w:tcW w:w="2509" w:type="dxa"/>
            <w:tcBorders>
              <w:top w:val="nil"/>
              <w:left w:val="nil"/>
              <w:bottom w:val="nil"/>
              <w:right w:val="nil"/>
              <w:tl2br w:val="nil"/>
              <w:tr2bl w:val="nil"/>
            </w:tcBorders>
            <w:shd w:val="clear" w:color="FFFFFF" w:fill="FFFFFF"/>
            <w:noWrap/>
            <w:tcMar>
              <w:left w:w="101" w:type="dxa"/>
              <w:right w:w="101" w:type="dxa"/>
            </w:tcMar>
          </w:tcPr>
          <w:p w14:paraId="421A9727"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Total Expenses</w:t>
            </w:r>
          </w:p>
        </w:tc>
        <w:tc>
          <w:tcPr>
            <w:tcW w:w="911" w:type="dxa"/>
            <w:tcBorders>
              <w:top w:val="nil"/>
              <w:left w:val="nil"/>
              <w:bottom w:val="nil"/>
              <w:right w:val="nil"/>
              <w:tl2br w:val="nil"/>
              <w:tr2bl w:val="nil"/>
            </w:tcBorders>
            <w:shd w:val="clear" w:color="FFFFFF" w:fill="FFFFFF"/>
            <w:tcMar>
              <w:left w:w="101" w:type="dxa"/>
              <w:right w:w="101" w:type="dxa"/>
            </w:tcMar>
          </w:tcPr>
          <w:p w14:paraId="1125834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217,600</w:t>
            </w:r>
          </w:p>
        </w:tc>
        <w:tc>
          <w:tcPr>
            <w:tcW w:w="1035" w:type="dxa"/>
            <w:tcBorders>
              <w:top w:val="nil"/>
              <w:left w:val="nil"/>
              <w:bottom w:val="nil"/>
              <w:right w:val="nil"/>
              <w:tl2br w:val="nil"/>
              <w:tr2bl w:val="nil"/>
            </w:tcBorders>
            <w:shd w:val="clear" w:color="FFFFFF" w:fill="FFFFFF"/>
            <w:tcMar>
              <w:left w:w="101" w:type="dxa"/>
              <w:right w:w="101" w:type="dxa"/>
            </w:tcMar>
          </w:tcPr>
          <w:p w14:paraId="6729A83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230,594</w:t>
            </w:r>
          </w:p>
        </w:tc>
        <w:tc>
          <w:tcPr>
            <w:tcW w:w="600" w:type="dxa"/>
            <w:tcBorders>
              <w:top w:val="nil"/>
              <w:left w:val="nil"/>
              <w:bottom w:val="nil"/>
              <w:right w:val="nil"/>
              <w:tl2br w:val="nil"/>
              <w:tr2bl w:val="nil"/>
            </w:tcBorders>
            <w:shd w:val="clear" w:color="FFFFFF" w:fill="FFFFFF"/>
            <w:tcMar>
              <w:left w:w="101" w:type="dxa"/>
              <w:right w:w="101" w:type="dxa"/>
            </w:tcMar>
          </w:tcPr>
          <w:p w14:paraId="4426F7A8"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25F7D248"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212,526</w:t>
            </w:r>
          </w:p>
        </w:tc>
        <w:tc>
          <w:tcPr>
            <w:tcW w:w="1035" w:type="dxa"/>
            <w:tcBorders>
              <w:top w:val="nil"/>
              <w:left w:val="nil"/>
              <w:bottom w:val="nil"/>
              <w:right w:val="nil"/>
              <w:tl2br w:val="nil"/>
              <w:tr2bl w:val="nil"/>
            </w:tcBorders>
            <w:shd w:val="clear" w:color="FFFFFF" w:fill="FFFFFF"/>
            <w:tcMar>
              <w:left w:w="101" w:type="dxa"/>
              <w:right w:w="101" w:type="dxa"/>
            </w:tcMar>
          </w:tcPr>
          <w:p w14:paraId="2F4ADD5D"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210,383</w:t>
            </w:r>
          </w:p>
        </w:tc>
        <w:tc>
          <w:tcPr>
            <w:tcW w:w="1035" w:type="dxa"/>
            <w:tcBorders>
              <w:top w:val="nil"/>
              <w:left w:val="nil"/>
              <w:bottom w:val="nil"/>
              <w:right w:val="nil"/>
              <w:tl2br w:val="nil"/>
              <w:tr2bl w:val="nil"/>
            </w:tcBorders>
            <w:shd w:val="clear" w:color="FFFFFF" w:fill="FFFFFF"/>
            <w:tcMar>
              <w:left w:w="101" w:type="dxa"/>
              <w:right w:w="101" w:type="dxa"/>
            </w:tcMar>
          </w:tcPr>
          <w:p w14:paraId="661AFE0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212,479</w:t>
            </w:r>
          </w:p>
        </w:tc>
      </w:tr>
      <w:tr w:rsidR="00C07D35" w14:paraId="434331C6"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928C92" w14:textId="77777777" w:rsidR="00C07D35" w:rsidRDefault="00C07D35">
            <w:pPr>
              <w:pStyle w:val="Normal6"/>
              <w:rPr>
                <w:rFonts w:ascii="Calibri" w:eastAsia="Calibri" w:hAnsi="Calibri" w:cs="Calibri"/>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4A2770F7" w14:textId="77777777" w:rsidR="00C07D35" w:rsidRDefault="00C07D35">
            <w:pPr>
              <w:pStyle w:val="Normal6"/>
              <w:rPr>
                <w:rFonts w:ascii="Calibri" w:eastAsia="Calibri" w:hAnsi="Calibri" w:cs="Calibri"/>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662588D9"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FFD3DC" w14:textId="77777777" w:rsidR="00C07D35" w:rsidRDefault="00C07D35">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6F6F66"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1152AD"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9DA0A6" w14:textId="77777777" w:rsidR="00C07D35" w:rsidRDefault="00C07D35">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28C60F" w14:textId="77777777" w:rsidR="00C07D35" w:rsidRDefault="00C07D35">
            <w:pPr>
              <w:pStyle w:val="Normal6"/>
              <w:rPr>
                <w:rFonts w:ascii="Calibri" w:eastAsia="Calibri" w:hAnsi="Calibri" w:cs="Calibri"/>
                <w:color w:val="000000"/>
                <w:sz w:val="18"/>
              </w:rPr>
            </w:pPr>
          </w:p>
        </w:tc>
      </w:tr>
      <w:tr w:rsidR="00C07D35" w14:paraId="33D8F943"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D94A61"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-2,723</w:t>
            </w:r>
          </w:p>
        </w:tc>
        <w:tc>
          <w:tcPr>
            <w:tcW w:w="2509" w:type="dxa"/>
            <w:tcBorders>
              <w:top w:val="nil"/>
              <w:left w:val="nil"/>
              <w:bottom w:val="nil"/>
              <w:right w:val="nil"/>
              <w:tl2br w:val="nil"/>
              <w:tr2bl w:val="nil"/>
            </w:tcBorders>
            <w:shd w:val="clear" w:color="FFFFFF" w:fill="FFFFFF"/>
            <w:noWrap/>
            <w:tcMar>
              <w:left w:w="101" w:type="dxa"/>
              <w:right w:w="101" w:type="dxa"/>
            </w:tcMar>
          </w:tcPr>
          <w:p w14:paraId="42072FB9"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Operating Result</w:t>
            </w:r>
          </w:p>
        </w:tc>
        <w:tc>
          <w:tcPr>
            <w:tcW w:w="911" w:type="dxa"/>
            <w:tcBorders>
              <w:top w:val="nil"/>
              <w:left w:val="nil"/>
              <w:bottom w:val="nil"/>
              <w:right w:val="nil"/>
              <w:tl2br w:val="nil"/>
              <w:tr2bl w:val="nil"/>
            </w:tcBorders>
            <w:shd w:val="clear" w:color="FFFFFF" w:fill="FFFFFF"/>
            <w:tcMar>
              <w:left w:w="101" w:type="dxa"/>
              <w:right w:w="101" w:type="dxa"/>
            </w:tcMar>
          </w:tcPr>
          <w:p w14:paraId="28BEA6CC" w14:textId="08D1ED22"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-2,74</w:t>
            </w:r>
            <w:r w:rsidR="000C7235">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511AABD"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-4,081</w:t>
            </w:r>
          </w:p>
        </w:tc>
        <w:tc>
          <w:tcPr>
            <w:tcW w:w="600" w:type="dxa"/>
            <w:tcBorders>
              <w:top w:val="nil"/>
              <w:left w:val="nil"/>
              <w:bottom w:val="nil"/>
              <w:right w:val="nil"/>
              <w:tl2br w:val="nil"/>
              <w:tr2bl w:val="nil"/>
            </w:tcBorders>
            <w:shd w:val="clear" w:color="FFFFFF" w:fill="FFFFFF"/>
            <w:tcMar>
              <w:left w:w="101" w:type="dxa"/>
              <w:right w:w="101" w:type="dxa"/>
            </w:tcMar>
          </w:tcPr>
          <w:p w14:paraId="01CFEB3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-49</w:t>
            </w:r>
          </w:p>
        </w:tc>
        <w:tc>
          <w:tcPr>
            <w:tcW w:w="1035" w:type="dxa"/>
            <w:tcBorders>
              <w:top w:val="nil"/>
              <w:left w:val="nil"/>
              <w:bottom w:val="nil"/>
              <w:right w:val="nil"/>
              <w:tl2br w:val="nil"/>
              <w:tr2bl w:val="nil"/>
            </w:tcBorders>
            <w:shd w:val="clear" w:color="FFFFFF" w:fill="FFFFFF"/>
            <w:tcMar>
              <w:left w:w="101" w:type="dxa"/>
              <w:right w:w="101" w:type="dxa"/>
            </w:tcMar>
          </w:tcPr>
          <w:p w14:paraId="207EFBDD"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-4,221</w:t>
            </w:r>
          </w:p>
        </w:tc>
        <w:tc>
          <w:tcPr>
            <w:tcW w:w="1035" w:type="dxa"/>
            <w:tcBorders>
              <w:top w:val="nil"/>
              <w:left w:val="nil"/>
              <w:bottom w:val="nil"/>
              <w:right w:val="nil"/>
              <w:tl2br w:val="nil"/>
              <w:tr2bl w:val="nil"/>
            </w:tcBorders>
            <w:shd w:val="clear" w:color="FFFFFF" w:fill="FFFFFF"/>
            <w:tcMar>
              <w:left w:w="101" w:type="dxa"/>
              <w:right w:w="101" w:type="dxa"/>
            </w:tcMar>
          </w:tcPr>
          <w:p w14:paraId="42911C30"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-4,020</w:t>
            </w:r>
          </w:p>
        </w:tc>
        <w:tc>
          <w:tcPr>
            <w:tcW w:w="1035" w:type="dxa"/>
            <w:tcBorders>
              <w:top w:val="nil"/>
              <w:left w:val="nil"/>
              <w:bottom w:val="nil"/>
              <w:right w:val="nil"/>
              <w:tl2br w:val="nil"/>
              <w:tr2bl w:val="nil"/>
            </w:tcBorders>
            <w:shd w:val="clear" w:color="FFFFFF" w:fill="FFFFFF"/>
            <w:tcMar>
              <w:left w:w="101" w:type="dxa"/>
              <w:right w:w="101" w:type="dxa"/>
            </w:tcMar>
          </w:tcPr>
          <w:p w14:paraId="53F3322E"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-4,063</w:t>
            </w:r>
          </w:p>
        </w:tc>
      </w:tr>
      <w:tr w:rsidR="00C07D35" w14:paraId="4B033E89"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5DF3E0F" w14:textId="77777777" w:rsidR="00C07D35" w:rsidRDefault="00C07D35">
            <w:pPr>
              <w:pStyle w:val="Normal6"/>
              <w:rPr>
                <w:rFonts w:ascii="Calibri" w:eastAsia="Calibri" w:hAnsi="Calibri" w:cs="Calibri"/>
                <w:b/>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005C7A34"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76C8CB91"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36801A" w14:textId="77777777" w:rsidR="00C07D35" w:rsidRDefault="00C07D35">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DD2211"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7097A0"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75D0D4"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D950F3" w14:textId="77777777" w:rsidR="00C07D35" w:rsidRDefault="00C07D35">
            <w:pPr>
              <w:pStyle w:val="Normal6"/>
              <w:rPr>
                <w:rFonts w:ascii="Calibri" w:eastAsia="Calibri" w:hAnsi="Calibri" w:cs="Calibri"/>
                <w:b/>
                <w:color w:val="000000"/>
                <w:sz w:val="18"/>
              </w:rPr>
            </w:pPr>
          </w:p>
        </w:tc>
      </w:tr>
      <w:tr w:rsidR="00C07D35" w14:paraId="59D505C6"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auto" w:fill="auto"/>
            <w:tcMar>
              <w:left w:w="101" w:type="dxa"/>
              <w:right w:w="101" w:type="dxa"/>
            </w:tcMar>
          </w:tcPr>
          <w:p w14:paraId="5682F9D1" w14:textId="77777777" w:rsidR="00C07D35" w:rsidRDefault="00A4668D">
            <w:pPr>
              <w:pStyle w:val="Normal6"/>
              <w:jc w:val="right"/>
              <w:rPr>
                <w:rFonts w:ascii="Calibri" w:eastAsia="Calibri" w:hAnsi="Calibri" w:cs="Calibri"/>
                <w:color w:val="FFFFFF"/>
                <w:sz w:val="18"/>
              </w:rPr>
            </w:pPr>
            <w:r>
              <w:rPr>
                <w:rFonts w:ascii="Calibri" w:eastAsia="Calibri" w:hAnsi="Calibri" w:cs="Calibri"/>
                <w:color w:val="FFFFFF"/>
                <w:sz w:val="18"/>
              </w:rPr>
              <w:t>-364</w:t>
            </w:r>
          </w:p>
        </w:tc>
        <w:tc>
          <w:tcPr>
            <w:tcW w:w="2509" w:type="dxa"/>
            <w:tcBorders>
              <w:top w:val="nil"/>
              <w:left w:val="nil"/>
              <w:bottom w:val="nil"/>
              <w:right w:val="nil"/>
              <w:tl2br w:val="nil"/>
              <w:tr2bl w:val="nil"/>
            </w:tcBorders>
            <w:shd w:val="clear" w:color="auto" w:fill="auto"/>
            <w:noWrap/>
            <w:tcMar>
              <w:left w:w="101" w:type="dxa"/>
              <w:right w:w="101" w:type="dxa"/>
            </w:tcMar>
            <w:vAlign w:val="bottom"/>
          </w:tcPr>
          <w:p w14:paraId="79B69DEA"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Other Comprehensive Income</w:t>
            </w:r>
          </w:p>
        </w:tc>
        <w:tc>
          <w:tcPr>
            <w:tcW w:w="911" w:type="dxa"/>
            <w:tcBorders>
              <w:top w:val="nil"/>
              <w:left w:val="nil"/>
              <w:bottom w:val="nil"/>
              <w:right w:val="nil"/>
              <w:tl2br w:val="nil"/>
              <w:tr2bl w:val="nil"/>
            </w:tcBorders>
            <w:shd w:val="clear" w:color="auto" w:fill="auto"/>
            <w:tcMar>
              <w:left w:w="101" w:type="dxa"/>
              <w:right w:w="101" w:type="dxa"/>
            </w:tcMar>
          </w:tcPr>
          <w:p w14:paraId="6DD515C9" w14:textId="77777777" w:rsidR="00C07D35" w:rsidRDefault="00A4668D">
            <w:pPr>
              <w:pStyle w:val="Normal6"/>
              <w:jc w:val="right"/>
              <w:rPr>
                <w:rFonts w:ascii="Calibri" w:eastAsia="Calibri" w:hAnsi="Calibri" w:cs="Calibri"/>
                <w:color w:val="FFFFFF"/>
                <w:sz w:val="18"/>
              </w:rPr>
            </w:pPr>
            <w:r>
              <w:rPr>
                <w:rFonts w:ascii="Calibri" w:eastAsia="Calibri" w:hAnsi="Calibri" w:cs="Calibri"/>
                <w:color w:val="FFFFFF"/>
                <w:sz w:val="18"/>
              </w:rPr>
              <w:t>0</w:t>
            </w:r>
          </w:p>
        </w:tc>
        <w:tc>
          <w:tcPr>
            <w:tcW w:w="1035" w:type="dxa"/>
            <w:tcBorders>
              <w:top w:val="nil"/>
              <w:left w:val="nil"/>
              <w:bottom w:val="nil"/>
              <w:right w:val="nil"/>
              <w:tl2br w:val="nil"/>
              <w:tr2bl w:val="nil"/>
            </w:tcBorders>
            <w:shd w:val="clear" w:color="auto" w:fill="auto"/>
            <w:tcMar>
              <w:left w:w="101" w:type="dxa"/>
              <w:right w:w="101" w:type="dxa"/>
            </w:tcMar>
          </w:tcPr>
          <w:p w14:paraId="22B1C2EC" w14:textId="77777777" w:rsidR="00C07D35" w:rsidRDefault="00A4668D">
            <w:pPr>
              <w:pStyle w:val="Normal6"/>
              <w:jc w:val="right"/>
              <w:rPr>
                <w:rFonts w:ascii="Calibri" w:eastAsia="Calibri" w:hAnsi="Calibri" w:cs="Calibri"/>
                <w:color w:val="FFFFFF"/>
                <w:sz w:val="18"/>
              </w:rPr>
            </w:pPr>
            <w:r>
              <w:rPr>
                <w:rFonts w:ascii="Calibri" w:eastAsia="Calibri" w:hAnsi="Calibri" w:cs="Calibri"/>
                <w:color w:val="FFFFFF"/>
                <w:sz w:val="18"/>
              </w:rPr>
              <w:t>-363</w:t>
            </w:r>
          </w:p>
        </w:tc>
        <w:tc>
          <w:tcPr>
            <w:tcW w:w="600" w:type="dxa"/>
            <w:tcBorders>
              <w:top w:val="nil"/>
              <w:left w:val="nil"/>
              <w:bottom w:val="nil"/>
              <w:right w:val="nil"/>
              <w:tl2br w:val="nil"/>
              <w:tr2bl w:val="nil"/>
            </w:tcBorders>
            <w:shd w:val="clear" w:color="auto" w:fill="auto"/>
            <w:tcMar>
              <w:left w:w="0" w:type="dxa"/>
              <w:right w:w="0" w:type="dxa"/>
            </w:tcMar>
          </w:tcPr>
          <w:p w14:paraId="188F97CD" w14:textId="77777777" w:rsidR="00C07D35" w:rsidRDefault="00C07D35">
            <w:pPr>
              <w:pStyle w:val="Normal6"/>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tcMar>
              <w:left w:w="101" w:type="dxa"/>
              <w:right w:w="101" w:type="dxa"/>
            </w:tcMar>
          </w:tcPr>
          <w:p w14:paraId="57BF5290" w14:textId="77777777" w:rsidR="00C07D35" w:rsidRDefault="00A4668D">
            <w:pPr>
              <w:pStyle w:val="Normal6"/>
              <w:jc w:val="right"/>
              <w:rPr>
                <w:rFonts w:ascii="Calibri" w:eastAsia="Calibri" w:hAnsi="Calibri" w:cs="Calibri"/>
                <w:color w:val="FFFFFF"/>
                <w:sz w:val="18"/>
              </w:rPr>
            </w:pPr>
            <w:r>
              <w:rPr>
                <w:rFonts w:ascii="Calibri" w:eastAsia="Calibri" w:hAnsi="Calibri" w:cs="Calibri"/>
                <w:color w:val="FFFFFF"/>
                <w:sz w:val="18"/>
              </w:rPr>
              <w:t>-128</w:t>
            </w:r>
          </w:p>
        </w:tc>
        <w:tc>
          <w:tcPr>
            <w:tcW w:w="1035" w:type="dxa"/>
            <w:tcBorders>
              <w:top w:val="nil"/>
              <w:left w:val="nil"/>
              <w:bottom w:val="nil"/>
              <w:right w:val="nil"/>
              <w:tl2br w:val="nil"/>
              <w:tr2bl w:val="nil"/>
            </w:tcBorders>
            <w:shd w:val="clear" w:color="auto" w:fill="auto"/>
            <w:tcMar>
              <w:left w:w="101" w:type="dxa"/>
              <w:right w:w="101" w:type="dxa"/>
            </w:tcMar>
          </w:tcPr>
          <w:p w14:paraId="61CF35E7" w14:textId="77777777" w:rsidR="00C07D35" w:rsidRDefault="00A4668D">
            <w:pPr>
              <w:pStyle w:val="Normal6"/>
              <w:jc w:val="right"/>
              <w:rPr>
                <w:rFonts w:ascii="Calibri" w:eastAsia="Calibri" w:hAnsi="Calibri" w:cs="Calibri"/>
                <w:color w:val="FFFFFF"/>
                <w:sz w:val="18"/>
              </w:rPr>
            </w:pPr>
            <w:r>
              <w:rPr>
                <w:rFonts w:ascii="Calibri" w:eastAsia="Calibri" w:hAnsi="Calibri" w:cs="Calibri"/>
                <w:color w:val="FFFFFF"/>
                <w:sz w:val="18"/>
              </w:rPr>
              <w:t>107</w:t>
            </w:r>
          </w:p>
        </w:tc>
        <w:tc>
          <w:tcPr>
            <w:tcW w:w="1035" w:type="dxa"/>
            <w:tcBorders>
              <w:top w:val="nil"/>
              <w:left w:val="nil"/>
              <w:bottom w:val="nil"/>
              <w:right w:val="nil"/>
              <w:tl2br w:val="nil"/>
              <w:tr2bl w:val="nil"/>
            </w:tcBorders>
            <w:shd w:val="clear" w:color="auto" w:fill="auto"/>
            <w:tcMar>
              <w:left w:w="101" w:type="dxa"/>
              <w:right w:w="101" w:type="dxa"/>
            </w:tcMar>
          </w:tcPr>
          <w:p w14:paraId="6553C5B8" w14:textId="77777777" w:rsidR="00C07D35" w:rsidRDefault="00A4668D">
            <w:pPr>
              <w:pStyle w:val="Normal6"/>
              <w:jc w:val="right"/>
              <w:rPr>
                <w:rFonts w:ascii="Calibri" w:eastAsia="Calibri" w:hAnsi="Calibri" w:cs="Calibri"/>
                <w:color w:val="FFFFFF"/>
                <w:sz w:val="18"/>
              </w:rPr>
            </w:pPr>
            <w:r>
              <w:rPr>
                <w:rFonts w:ascii="Calibri" w:eastAsia="Calibri" w:hAnsi="Calibri" w:cs="Calibri"/>
                <w:color w:val="FFFFFF"/>
                <w:sz w:val="18"/>
              </w:rPr>
              <w:t>342</w:t>
            </w:r>
          </w:p>
        </w:tc>
      </w:tr>
      <w:tr w:rsidR="00C07D35" w14:paraId="2CF5B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4B6647" w14:textId="77777777" w:rsidR="00C07D35" w:rsidRDefault="00C07D35">
            <w:pPr>
              <w:pStyle w:val="Normal6"/>
              <w:rPr>
                <w:rFonts w:ascii="Calibri" w:eastAsia="Calibri" w:hAnsi="Calibri" w:cs="Calibri"/>
                <w:b/>
                <w:color w:val="FFFFFF"/>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539F9A78" w14:textId="77777777" w:rsidR="00C07D35" w:rsidRDefault="00A4668D">
            <w:pPr>
              <w:pStyle w:val="Normal6"/>
              <w:rPr>
                <w:rFonts w:ascii="Calibri" w:eastAsia="Calibri" w:hAnsi="Calibri" w:cs="Calibri"/>
                <w:i/>
                <w:color w:val="000000"/>
                <w:sz w:val="18"/>
              </w:rPr>
            </w:pPr>
            <w:r>
              <w:rPr>
                <w:rFonts w:ascii="Calibri" w:eastAsia="Calibri" w:hAnsi="Calibri" w:cs="Calibri"/>
                <w:i/>
                <w:color w:val="000000"/>
                <w:sz w:val="18"/>
              </w:rPr>
              <w:t>Items that will not be Reclassified Subsequently to Profit or Loss</w:t>
            </w:r>
          </w:p>
        </w:tc>
      </w:tr>
      <w:tr w:rsidR="00C07D35" w14:paraId="25D17DB4"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83AF6B"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229</w:t>
            </w:r>
          </w:p>
        </w:tc>
        <w:tc>
          <w:tcPr>
            <w:tcW w:w="2509" w:type="dxa"/>
            <w:tcBorders>
              <w:top w:val="nil"/>
              <w:left w:val="nil"/>
              <w:bottom w:val="nil"/>
              <w:right w:val="nil"/>
              <w:tl2br w:val="nil"/>
              <w:tr2bl w:val="nil"/>
            </w:tcBorders>
            <w:shd w:val="clear" w:color="FFFFFF" w:fill="FFFFFF"/>
            <w:noWrap/>
            <w:tcMar>
              <w:left w:w="101" w:type="dxa"/>
              <w:right w:w="101" w:type="dxa"/>
            </w:tcMar>
          </w:tcPr>
          <w:p w14:paraId="58ED8DE9"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Net Effect of a Change in Accounting Policy</w:t>
            </w:r>
          </w:p>
        </w:tc>
        <w:tc>
          <w:tcPr>
            <w:tcW w:w="911" w:type="dxa"/>
            <w:tcBorders>
              <w:top w:val="nil"/>
              <w:left w:val="nil"/>
              <w:bottom w:val="nil"/>
              <w:right w:val="nil"/>
              <w:tl2br w:val="nil"/>
              <w:tr2bl w:val="nil"/>
            </w:tcBorders>
            <w:shd w:val="clear" w:color="FFFFFF" w:fill="FFFFFF"/>
            <w:tcMar>
              <w:left w:w="101" w:type="dxa"/>
              <w:right w:w="101" w:type="dxa"/>
            </w:tcMar>
          </w:tcPr>
          <w:p w14:paraId="2C6A0F05"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BCEF174"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230</w:t>
            </w:r>
          </w:p>
        </w:tc>
        <w:tc>
          <w:tcPr>
            <w:tcW w:w="600" w:type="dxa"/>
            <w:tcBorders>
              <w:top w:val="nil"/>
              <w:left w:val="nil"/>
              <w:bottom w:val="nil"/>
              <w:right w:val="nil"/>
              <w:tl2br w:val="nil"/>
              <w:tr2bl w:val="nil"/>
            </w:tcBorders>
            <w:shd w:val="clear" w:color="FFFFFF" w:fill="FFFFFF"/>
            <w:tcMar>
              <w:left w:w="101" w:type="dxa"/>
              <w:right w:w="101" w:type="dxa"/>
            </w:tcMar>
          </w:tcPr>
          <w:p w14:paraId="4D11E9A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33D5E8B" w14:textId="7882DAB5" w:rsidR="00C07D35" w:rsidRDefault="000C7235">
            <w:pPr>
              <w:pStyle w:val="Normal6"/>
              <w:jc w:val="right"/>
              <w:rPr>
                <w:rFonts w:ascii="Calibri" w:eastAsia="Calibri" w:hAnsi="Calibri" w:cs="Calibri"/>
                <w:color w:val="000000"/>
                <w:sz w:val="18"/>
              </w:rPr>
            </w:pPr>
            <w:r>
              <w:rPr>
                <w:rFonts w:ascii="Calibri" w:eastAsia="Calibri" w:hAnsi="Calibri" w:cs="Calibri"/>
                <w:color w:val="000000"/>
                <w:sz w:val="18"/>
              </w:rPr>
              <w:t>235</w:t>
            </w:r>
          </w:p>
        </w:tc>
        <w:tc>
          <w:tcPr>
            <w:tcW w:w="1035" w:type="dxa"/>
            <w:tcBorders>
              <w:top w:val="nil"/>
              <w:left w:val="nil"/>
              <w:bottom w:val="nil"/>
              <w:right w:val="nil"/>
              <w:tl2br w:val="nil"/>
              <w:tr2bl w:val="nil"/>
            </w:tcBorders>
            <w:shd w:val="clear" w:color="FFFFFF" w:fill="FFFFFF"/>
            <w:tcMar>
              <w:left w:w="101" w:type="dxa"/>
              <w:right w:w="101" w:type="dxa"/>
            </w:tcMar>
          </w:tcPr>
          <w:p w14:paraId="2460E126" w14:textId="4F0D5C25" w:rsidR="00C07D35" w:rsidRDefault="000C7235">
            <w:pPr>
              <w:pStyle w:val="Normal6"/>
              <w:jc w:val="right"/>
              <w:rPr>
                <w:rFonts w:ascii="Calibri" w:eastAsia="Calibri" w:hAnsi="Calibri" w:cs="Calibri"/>
                <w:color w:val="000000"/>
                <w:sz w:val="18"/>
              </w:rPr>
            </w:pPr>
            <w:r>
              <w:rPr>
                <w:rFonts w:ascii="Calibri" w:eastAsia="Calibri" w:hAnsi="Calibri" w:cs="Calibri"/>
                <w:color w:val="000000"/>
                <w:sz w:val="18"/>
              </w:rPr>
              <w:t>235</w:t>
            </w:r>
          </w:p>
        </w:tc>
        <w:tc>
          <w:tcPr>
            <w:tcW w:w="1035" w:type="dxa"/>
            <w:tcBorders>
              <w:top w:val="nil"/>
              <w:left w:val="nil"/>
              <w:bottom w:val="nil"/>
              <w:right w:val="nil"/>
              <w:tl2br w:val="nil"/>
              <w:tr2bl w:val="nil"/>
            </w:tcBorders>
            <w:shd w:val="clear" w:color="FFFFFF" w:fill="FFFFFF"/>
            <w:tcMar>
              <w:left w:w="101" w:type="dxa"/>
              <w:right w:w="101" w:type="dxa"/>
            </w:tcMar>
          </w:tcPr>
          <w:p w14:paraId="33AA42CD" w14:textId="4E94E429" w:rsidR="00C07D35" w:rsidRDefault="000C7235">
            <w:pPr>
              <w:pStyle w:val="Normal6"/>
              <w:jc w:val="right"/>
              <w:rPr>
                <w:rFonts w:ascii="Calibri" w:eastAsia="Calibri" w:hAnsi="Calibri" w:cs="Calibri"/>
                <w:color w:val="000000"/>
                <w:sz w:val="18"/>
              </w:rPr>
            </w:pPr>
            <w:r>
              <w:rPr>
                <w:rFonts w:ascii="Calibri" w:eastAsia="Calibri" w:hAnsi="Calibri" w:cs="Calibri"/>
                <w:color w:val="000000"/>
                <w:sz w:val="18"/>
              </w:rPr>
              <w:t>235</w:t>
            </w:r>
          </w:p>
        </w:tc>
      </w:tr>
      <w:tr w:rsidR="00C07D35" w14:paraId="18F0BA79"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D023F3"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-593</w:t>
            </w:r>
          </w:p>
        </w:tc>
        <w:tc>
          <w:tcPr>
            <w:tcW w:w="2509" w:type="dxa"/>
            <w:tcBorders>
              <w:top w:val="nil"/>
              <w:left w:val="nil"/>
              <w:bottom w:val="nil"/>
              <w:right w:val="nil"/>
              <w:tl2br w:val="nil"/>
              <w:tr2bl w:val="nil"/>
            </w:tcBorders>
            <w:shd w:val="clear" w:color="FFFFFF" w:fill="FFFFFF"/>
            <w:noWrap/>
            <w:tcMar>
              <w:left w:w="101" w:type="dxa"/>
              <w:right w:w="101" w:type="dxa"/>
            </w:tcMar>
          </w:tcPr>
          <w:p w14:paraId="7C001F01" w14:textId="77777777" w:rsidR="00C07D35" w:rsidRDefault="00A4668D">
            <w:pPr>
              <w:pStyle w:val="Normal6"/>
              <w:rPr>
                <w:rFonts w:ascii="Calibri" w:eastAsia="Calibri" w:hAnsi="Calibri" w:cs="Calibri"/>
                <w:color w:val="000000"/>
                <w:sz w:val="18"/>
              </w:rPr>
            </w:pPr>
            <w:r>
              <w:rPr>
                <w:rFonts w:ascii="Calibri" w:eastAsia="Calibri" w:hAnsi="Calibri" w:cs="Calibri"/>
                <w:color w:val="000000"/>
                <w:sz w:val="18"/>
              </w:rPr>
              <w:t>Other Movements</w:t>
            </w:r>
          </w:p>
        </w:tc>
        <w:tc>
          <w:tcPr>
            <w:tcW w:w="911" w:type="dxa"/>
            <w:tcBorders>
              <w:top w:val="nil"/>
              <w:left w:val="nil"/>
              <w:bottom w:val="nil"/>
              <w:right w:val="nil"/>
              <w:tl2br w:val="nil"/>
              <w:tr2bl w:val="nil"/>
            </w:tcBorders>
            <w:shd w:val="clear" w:color="FFFFFF" w:fill="FFFFFF"/>
            <w:tcMar>
              <w:left w:w="101" w:type="dxa"/>
              <w:right w:w="101" w:type="dxa"/>
            </w:tcMar>
          </w:tcPr>
          <w:p w14:paraId="2BB261C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55DBEDF"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-593</w:t>
            </w:r>
          </w:p>
        </w:tc>
        <w:tc>
          <w:tcPr>
            <w:tcW w:w="600" w:type="dxa"/>
            <w:tcBorders>
              <w:top w:val="nil"/>
              <w:left w:val="nil"/>
              <w:bottom w:val="nil"/>
              <w:right w:val="nil"/>
              <w:tl2br w:val="nil"/>
              <w:tr2bl w:val="nil"/>
            </w:tcBorders>
            <w:shd w:val="clear" w:color="FFFFFF" w:fill="FFFFFF"/>
            <w:tcMar>
              <w:left w:w="101" w:type="dxa"/>
              <w:right w:w="101" w:type="dxa"/>
            </w:tcMar>
          </w:tcPr>
          <w:p w14:paraId="287057F7"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8EB6862"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tcMar>
              <w:left w:w="101" w:type="dxa"/>
              <w:right w:w="101" w:type="dxa"/>
            </w:tcMar>
          </w:tcPr>
          <w:p w14:paraId="7A1066A4"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tcMar>
              <w:left w:w="101" w:type="dxa"/>
              <w:right w:w="101" w:type="dxa"/>
            </w:tcMar>
          </w:tcPr>
          <w:p w14:paraId="623EA946" w14:textId="77777777" w:rsidR="00C07D35" w:rsidRDefault="00A4668D">
            <w:pPr>
              <w:pStyle w:val="Normal6"/>
              <w:jc w:val="right"/>
              <w:rPr>
                <w:rFonts w:ascii="Calibri" w:eastAsia="Calibri" w:hAnsi="Calibri" w:cs="Calibri"/>
                <w:color w:val="000000"/>
                <w:sz w:val="18"/>
              </w:rPr>
            </w:pPr>
            <w:r>
              <w:rPr>
                <w:rFonts w:ascii="Calibri" w:eastAsia="Calibri" w:hAnsi="Calibri" w:cs="Calibri"/>
                <w:color w:val="000000"/>
                <w:sz w:val="18"/>
              </w:rPr>
              <w:t>-593</w:t>
            </w:r>
          </w:p>
        </w:tc>
      </w:tr>
      <w:tr w:rsidR="00C07D35" w14:paraId="79BF99FA"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2E77D7"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-364</w:t>
            </w:r>
          </w:p>
        </w:tc>
        <w:tc>
          <w:tcPr>
            <w:tcW w:w="2509" w:type="dxa"/>
            <w:tcBorders>
              <w:top w:val="nil"/>
              <w:left w:val="nil"/>
              <w:bottom w:val="nil"/>
              <w:right w:val="nil"/>
              <w:tl2br w:val="nil"/>
              <w:tr2bl w:val="nil"/>
            </w:tcBorders>
            <w:shd w:val="clear" w:color="auto" w:fill="auto"/>
            <w:noWrap/>
            <w:tcMar>
              <w:left w:w="101" w:type="dxa"/>
              <w:right w:w="101" w:type="dxa"/>
            </w:tcMar>
          </w:tcPr>
          <w:p w14:paraId="1FB862AD"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Total Other Comprehensive Income</w:t>
            </w:r>
          </w:p>
        </w:tc>
        <w:tc>
          <w:tcPr>
            <w:tcW w:w="911" w:type="dxa"/>
            <w:tcBorders>
              <w:top w:val="nil"/>
              <w:left w:val="nil"/>
              <w:bottom w:val="nil"/>
              <w:right w:val="nil"/>
              <w:tl2br w:val="nil"/>
              <w:tr2bl w:val="nil"/>
            </w:tcBorders>
            <w:shd w:val="clear" w:color="FFFFFF" w:fill="FFFFFF"/>
            <w:tcMar>
              <w:left w:w="101" w:type="dxa"/>
              <w:right w:w="101" w:type="dxa"/>
            </w:tcMar>
          </w:tcPr>
          <w:p w14:paraId="7FAE4C1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CA9952C"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-363</w:t>
            </w:r>
          </w:p>
        </w:tc>
        <w:tc>
          <w:tcPr>
            <w:tcW w:w="600" w:type="dxa"/>
            <w:tcBorders>
              <w:top w:val="nil"/>
              <w:left w:val="nil"/>
              <w:bottom w:val="nil"/>
              <w:right w:val="nil"/>
              <w:tl2br w:val="nil"/>
              <w:tr2bl w:val="nil"/>
            </w:tcBorders>
            <w:shd w:val="clear" w:color="FFFFFF" w:fill="FFFFFF"/>
            <w:tcMar>
              <w:left w:w="101" w:type="dxa"/>
              <w:right w:w="101" w:type="dxa"/>
            </w:tcMar>
          </w:tcPr>
          <w:p w14:paraId="70CCA734"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6375725" w14:textId="4101E83D"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w:t>
            </w:r>
            <w:r w:rsidR="000C7235">
              <w:rPr>
                <w:rFonts w:ascii="Calibri" w:eastAsia="Calibri" w:hAnsi="Calibri" w:cs="Calibri"/>
                <w:b/>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44171DF4" w14:textId="013742DB" w:rsidR="00C07D35" w:rsidRDefault="000C7235">
            <w:pPr>
              <w:pStyle w:val="Normal6"/>
              <w:jc w:val="right"/>
              <w:rPr>
                <w:rFonts w:ascii="Calibri" w:eastAsia="Calibri" w:hAnsi="Calibri" w:cs="Calibri"/>
                <w:b/>
                <w:color w:val="000000"/>
                <w:sz w:val="18"/>
              </w:rPr>
            </w:pPr>
            <w:r>
              <w:rPr>
                <w:rFonts w:ascii="Calibri" w:eastAsia="Calibri" w:hAnsi="Calibri" w:cs="Calibri"/>
                <w:b/>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45E4E8B1" w14:textId="400C851B" w:rsidR="00C07D35" w:rsidRDefault="000C7235">
            <w:pPr>
              <w:pStyle w:val="Normal6"/>
              <w:jc w:val="right"/>
              <w:rPr>
                <w:rFonts w:ascii="Calibri" w:eastAsia="Calibri" w:hAnsi="Calibri" w:cs="Calibri"/>
                <w:b/>
                <w:color w:val="000000"/>
                <w:sz w:val="18"/>
              </w:rPr>
            </w:pPr>
            <w:r>
              <w:rPr>
                <w:rFonts w:ascii="Calibri" w:eastAsia="Calibri" w:hAnsi="Calibri" w:cs="Calibri"/>
                <w:b/>
                <w:color w:val="000000"/>
                <w:sz w:val="18"/>
              </w:rPr>
              <w:t>-358</w:t>
            </w:r>
          </w:p>
        </w:tc>
      </w:tr>
      <w:tr w:rsidR="00C07D35" w14:paraId="16DE8554"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82F731" w14:textId="77777777" w:rsidR="00C07D35" w:rsidRDefault="00C07D35">
            <w:pPr>
              <w:pStyle w:val="Normal6"/>
              <w:rPr>
                <w:rFonts w:ascii="Calibri" w:eastAsia="Calibri" w:hAnsi="Calibri" w:cs="Calibri"/>
                <w:b/>
                <w:color w:val="000000"/>
                <w:sz w:val="18"/>
              </w:rPr>
            </w:pPr>
          </w:p>
        </w:tc>
        <w:tc>
          <w:tcPr>
            <w:tcW w:w="2509" w:type="dxa"/>
            <w:tcBorders>
              <w:top w:val="nil"/>
              <w:left w:val="nil"/>
              <w:bottom w:val="nil"/>
              <w:right w:val="nil"/>
              <w:tl2br w:val="nil"/>
              <w:tr2bl w:val="nil"/>
            </w:tcBorders>
            <w:shd w:val="clear" w:color="FFFFFF" w:fill="FFFFFF"/>
            <w:noWrap/>
            <w:tcMar>
              <w:left w:w="0" w:type="dxa"/>
              <w:right w:w="0" w:type="dxa"/>
            </w:tcMar>
          </w:tcPr>
          <w:p w14:paraId="2951F7E1" w14:textId="77777777" w:rsidR="00C07D35" w:rsidRDefault="00C07D35">
            <w:pPr>
              <w:pStyle w:val="Normal6"/>
              <w:rPr>
                <w:rFonts w:ascii="Calibri" w:eastAsia="Calibri" w:hAnsi="Calibri" w:cs="Calibri"/>
                <w:b/>
                <w:color w:val="000000"/>
                <w:sz w:val="18"/>
              </w:rPr>
            </w:pPr>
          </w:p>
        </w:tc>
        <w:tc>
          <w:tcPr>
            <w:tcW w:w="911" w:type="dxa"/>
            <w:tcBorders>
              <w:top w:val="nil"/>
              <w:left w:val="nil"/>
              <w:bottom w:val="nil"/>
              <w:right w:val="nil"/>
              <w:tl2br w:val="nil"/>
              <w:tr2bl w:val="nil"/>
            </w:tcBorders>
            <w:shd w:val="clear" w:color="FFFFFF" w:fill="FFFFFF"/>
            <w:tcMar>
              <w:left w:w="0" w:type="dxa"/>
              <w:right w:w="0" w:type="dxa"/>
            </w:tcMar>
          </w:tcPr>
          <w:p w14:paraId="489F4DDA"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7A793E" w14:textId="77777777" w:rsidR="00C07D35" w:rsidRDefault="00C07D35">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89F938"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2AADEF"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FACCD" w14:textId="77777777" w:rsidR="00C07D35" w:rsidRDefault="00C07D35">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74FB6F" w14:textId="77777777" w:rsidR="00C07D35" w:rsidRDefault="00C07D35">
            <w:pPr>
              <w:pStyle w:val="Normal6"/>
              <w:rPr>
                <w:rFonts w:ascii="Calibri" w:eastAsia="Calibri" w:hAnsi="Calibri" w:cs="Calibri"/>
                <w:b/>
                <w:color w:val="000000"/>
                <w:sz w:val="18"/>
              </w:rPr>
            </w:pPr>
          </w:p>
        </w:tc>
      </w:tr>
      <w:tr w:rsidR="00C07D35" w14:paraId="66335BF8"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AD9D3D"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-3,087</w:t>
            </w:r>
          </w:p>
        </w:tc>
        <w:tc>
          <w:tcPr>
            <w:tcW w:w="2509" w:type="dxa"/>
            <w:tcBorders>
              <w:top w:val="nil"/>
              <w:left w:val="nil"/>
              <w:bottom w:val="nil"/>
              <w:right w:val="nil"/>
              <w:tl2br w:val="nil"/>
              <w:tr2bl w:val="nil"/>
            </w:tcBorders>
            <w:shd w:val="clear" w:color="FFFFFF" w:fill="FFFFFF"/>
            <w:noWrap/>
            <w:tcMar>
              <w:left w:w="101" w:type="dxa"/>
              <w:right w:w="101" w:type="dxa"/>
            </w:tcMar>
          </w:tcPr>
          <w:p w14:paraId="2C761011" w14:textId="77777777" w:rsidR="00C07D35" w:rsidRDefault="00A4668D">
            <w:pPr>
              <w:pStyle w:val="Normal6"/>
              <w:rPr>
                <w:rFonts w:ascii="Calibri" w:eastAsia="Calibri" w:hAnsi="Calibri" w:cs="Calibri"/>
                <w:b/>
                <w:color w:val="000000"/>
                <w:sz w:val="18"/>
              </w:rPr>
            </w:pPr>
            <w:r>
              <w:rPr>
                <w:rFonts w:ascii="Calibri" w:eastAsia="Calibri" w:hAnsi="Calibri" w:cs="Calibri"/>
                <w:b/>
                <w:color w:val="000000"/>
                <w:sz w:val="18"/>
              </w:rPr>
              <w:t>Total Comprehensive Income</w:t>
            </w:r>
          </w:p>
        </w:tc>
        <w:tc>
          <w:tcPr>
            <w:tcW w:w="911" w:type="dxa"/>
            <w:tcBorders>
              <w:top w:val="nil"/>
              <w:left w:val="nil"/>
              <w:bottom w:val="nil"/>
              <w:right w:val="nil"/>
              <w:tl2br w:val="nil"/>
              <w:tr2bl w:val="nil"/>
            </w:tcBorders>
            <w:shd w:val="clear" w:color="FFFFFF" w:fill="FFFFFF"/>
            <w:tcMar>
              <w:left w:w="101" w:type="dxa"/>
              <w:right w:w="101" w:type="dxa"/>
            </w:tcMar>
          </w:tcPr>
          <w:p w14:paraId="48532D06" w14:textId="3B5B2378"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-2,74</w:t>
            </w:r>
            <w:r w:rsidR="000C7235">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9F318A5"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-4,444</w:t>
            </w:r>
          </w:p>
        </w:tc>
        <w:tc>
          <w:tcPr>
            <w:tcW w:w="600" w:type="dxa"/>
            <w:tcBorders>
              <w:top w:val="nil"/>
              <w:left w:val="nil"/>
              <w:bottom w:val="nil"/>
              <w:right w:val="nil"/>
              <w:tl2br w:val="nil"/>
              <w:tr2bl w:val="nil"/>
            </w:tcBorders>
            <w:shd w:val="clear" w:color="FFFFFF" w:fill="FFFFFF"/>
            <w:tcMar>
              <w:left w:w="101" w:type="dxa"/>
              <w:right w:w="101" w:type="dxa"/>
            </w:tcMar>
          </w:tcPr>
          <w:p w14:paraId="3E054723" w14:textId="77777777"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 xml:space="preserve">-62 </w:t>
            </w:r>
          </w:p>
        </w:tc>
        <w:tc>
          <w:tcPr>
            <w:tcW w:w="1035" w:type="dxa"/>
            <w:tcBorders>
              <w:top w:val="nil"/>
              <w:left w:val="nil"/>
              <w:bottom w:val="nil"/>
              <w:right w:val="nil"/>
              <w:tl2br w:val="nil"/>
              <w:tr2bl w:val="nil"/>
            </w:tcBorders>
            <w:shd w:val="clear" w:color="FFFFFF" w:fill="FFFFFF"/>
            <w:tcMar>
              <w:left w:w="101" w:type="dxa"/>
              <w:right w:w="101" w:type="dxa"/>
            </w:tcMar>
          </w:tcPr>
          <w:p w14:paraId="6B86D158" w14:textId="326C7C8D"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-4,</w:t>
            </w:r>
            <w:r w:rsidR="000C7235">
              <w:rPr>
                <w:rFonts w:ascii="Calibri" w:eastAsia="Calibri" w:hAnsi="Calibri" w:cs="Calibri"/>
                <w:b/>
                <w:color w:val="000000"/>
                <w:sz w:val="18"/>
              </w:rPr>
              <w:t>579</w:t>
            </w:r>
          </w:p>
        </w:tc>
        <w:tc>
          <w:tcPr>
            <w:tcW w:w="1035" w:type="dxa"/>
            <w:tcBorders>
              <w:top w:val="nil"/>
              <w:left w:val="nil"/>
              <w:bottom w:val="nil"/>
              <w:right w:val="nil"/>
              <w:tl2br w:val="nil"/>
              <w:tr2bl w:val="nil"/>
            </w:tcBorders>
            <w:shd w:val="clear" w:color="FFFFFF" w:fill="FFFFFF"/>
            <w:tcMar>
              <w:left w:w="101" w:type="dxa"/>
              <w:right w:w="101" w:type="dxa"/>
            </w:tcMar>
          </w:tcPr>
          <w:p w14:paraId="2E1A0FAF" w14:textId="06F2EB6B"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w:t>
            </w:r>
            <w:r w:rsidR="000C7235">
              <w:rPr>
                <w:rFonts w:ascii="Calibri" w:eastAsia="Calibri" w:hAnsi="Calibri" w:cs="Calibri"/>
                <w:b/>
                <w:color w:val="000000"/>
                <w:sz w:val="18"/>
              </w:rPr>
              <w:t>4,378</w:t>
            </w:r>
          </w:p>
        </w:tc>
        <w:tc>
          <w:tcPr>
            <w:tcW w:w="1035" w:type="dxa"/>
            <w:tcBorders>
              <w:top w:val="nil"/>
              <w:left w:val="nil"/>
              <w:bottom w:val="nil"/>
              <w:right w:val="nil"/>
              <w:tl2br w:val="nil"/>
              <w:tr2bl w:val="nil"/>
            </w:tcBorders>
            <w:shd w:val="clear" w:color="FFFFFF" w:fill="FFFFFF"/>
            <w:tcMar>
              <w:left w:w="101" w:type="dxa"/>
              <w:right w:w="101" w:type="dxa"/>
            </w:tcMar>
          </w:tcPr>
          <w:p w14:paraId="38D88A03" w14:textId="303E1235" w:rsidR="00C07D35" w:rsidRDefault="00A4668D">
            <w:pPr>
              <w:pStyle w:val="Normal6"/>
              <w:jc w:val="right"/>
              <w:rPr>
                <w:rFonts w:ascii="Calibri" w:eastAsia="Calibri" w:hAnsi="Calibri" w:cs="Calibri"/>
                <w:b/>
                <w:color w:val="000000"/>
                <w:sz w:val="18"/>
              </w:rPr>
            </w:pPr>
            <w:r>
              <w:rPr>
                <w:rFonts w:ascii="Calibri" w:eastAsia="Calibri" w:hAnsi="Calibri" w:cs="Calibri"/>
                <w:b/>
                <w:color w:val="000000"/>
                <w:sz w:val="18"/>
              </w:rPr>
              <w:t>-</w:t>
            </w:r>
            <w:r w:rsidR="000C7235">
              <w:rPr>
                <w:rFonts w:ascii="Calibri" w:eastAsia="Calibri" w:hAnsi="Calibri" w:cs="Calibri"/>
                <w:b/>
                <w:color w:val="000000"/>
                <w:sz w:val="18"/>
              </w:rPr>
              <w:t>4,421</w:t>
            </w:r>
          </w:p>
        </w:tc>
      </w:tr>
      <w:tr w:rsidR="00C07D35" w14:paraId="6BFFFD83" w14:textId="77777777" w:rsidTr="00E11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B5C32DA" w14:textId="77777777" w:rsidR="00C07D35" w:rsidRDefault="00C07D35">
            <w:pPr>
              <w:pStyle w:val="Normal6"/>
              <w:rPr>
                <w:rFonts w:ascii="Calibri" w:eastAsia="Calibri" w:hAnsi="Calibri" w:cs="Calibri"/>
                <w:color w:val="000000"/>
                <w:sz w:val="18"/>
              </w:rPr>
            </w:pPr>
          </w:p>
        </w:tc>
        <w:tc>
          <w:tcPr>
            <w:tcW w:w="2509" w:type="dxa"/>
            <w:tcBorders>
              <w:top w:val="nil"/>
              <w:left w:val="nil"/>
              <w:bottom w:val="single" w:sz="12" w:space="0" w:color="000000"/>
              <w:right w:val="nil"/>
              <w:tl2br w:val="nil"/>
              <w:tr2bl w:val="nil"/>
            </w:tcBorders>
            <w:shd w:val="clear" w:color="FFFFFF" w:fill="FFFFFF"/>
            <w:tcMar>
              <w:left w:w="0" w:type="dxa"/>
              <w:right w:w="0" w:type="dxa"/>
            </w:tcMar>
          </w:tcPr>
          <w:p w14:paraId="7B17B566" w14:textId="77777777" w:rsidR="00C07D35" w:rsidRDefault="00C07D35">
            <w:pPr>
              <w:pStyle w:val="Normal6"/>
              <w:rPr>
                <w:rFonts w:ascii="Calibri" w:eastAsia="Calibri" w:hAnsi="Calibri" w:cs="Calibri"/>
                <w:color w:val="000000"/>
                <w:sz w:val="18"/>
              </w:rPr>
            </w:pPr>
          </w:p>
        </w:tc>
        <w:tc>
          <w:tcPr>
            <w:tcW w:w="911" w:type="dxa"/>
            <w:tcBorders>
              <w:top w:val="nil"/>
              <w:left w:val="nil"/>
              <w:bottom w:val="single" w:sz="12" w:space="0" w:color="000000"/>
              <w:right w:val="nil"/>
              <w:tl2br w:val="nil"/>
              <w:tr2bl w:val="nil"/>
            </w:tcBorders>
            <w:shd w:val="clear" w:color="FFFFFF" w:fill="FFFFFF"/>
            <w:tcMar>
              <w:left w:w="0" w:type="dxa"/>
              <w:right w:w="0" w:type="dxa"/>
            </w:tcMar>
          </w:tcPr>
          <w:p w14:paraId="579712F3" w14:textId="77777777" w:rsidR="00C07D35" w:rsidRDefault="00C07D35">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9BEC8B8" w14:textId="77777777" w:rsidR="00C07D35" w:rsidRDefault="00C07D35">
            <w:pPr>
              <w:pStyle w:val="Normal6"/>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7272FE3" w14:textId="77777777" w:rsidR="00C07D35" w:rsidRDefault="00C07D35">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564C04E" w14:textId="77777777" w:rsidR="00C07D35" w:rsidRDefault="00C07D35">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5322397" w14:textId="77777777" w:rsidR="00C07D35" w:rsidRDefault="00C07D35">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F8C149F" w14:textId="77777777" w:rsidR="00C07D35" w:rsidRDefault="00C07D35">
            <w:pPr>
              <w:pStyle w:val="Normal6"/>
              <w:rPr>
                <w:rFonts w:ascii="Calibri" w:eastAsia="Calibri" w:hAnsi="Calibri" w:cs="Calibri"/>
                <w:color w:val="000000"/>
                <w:sz w:val="18"/>
              </w:rPr>
            </w:pPr>
          </w:p>
        </w:tc>
      </w:tr>
    </w:tbl>
    <w:p w14:paraId="56AD7E34" w14:textId="48B599D0" w:rsidR="00A4668D" w:rsidRDefault="00A4668D" w:rsidP="00A4668D">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24</w:t>
      </w:r>
      <w:r>
        <w:rPr>
          <w:noProof/>
          <w:bdr w:val="nil"/>
        </w:rPr>
        <w:fldChar w:fldCharType="end"/>
      </w:r>
      <w:r>
        <w:rPr>
          <w:bdr w:val="nil"/>
        </w:rPr>
        <w:t xml:space="preserve">: Community Services Directorate: Balance Sheet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07D35" w14:paraId="5D2F168B" w14:textId="77777777">
        <w:trPr>
          <w:trHeight w:val="94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CF7538"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Budget</w:t>
            </w:r>
          </w:p>
          <w:p w14:paraId="29D0C780"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4982516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277945A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2717606" w14:textId="77777777" w:rsidR="00C07D35" w:rsidRDefault="00C07D35">
            <w:pPr>
              <w:pStyle w:val="Normal7"/>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C9AF08"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Interim</w:t>
            </w:r>
          </w:p>
          <w:p w14:paraId="254C7A48"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Outcome at</w:t>
            </w:r>
          </w:p>
          <w:p w14:paraId="01FBF4BA"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9E82B82"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AD9ECF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Budget</w:t>
            </w:r>
          </w:p>
          <w:p w14:paraId="35640523"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5925E7E7"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1E3E811B"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EEBA9C5"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Var</w:t>
            </w:r>
          </w:p>
          <w:p w14:paraId="11DCD6EA"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2D9B82"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50B3B586"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1947B3B8"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6EC64BBE"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854B72D"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75041CA0"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39CB19D1"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3FAA2BC9"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E5E9515"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0D8A4962"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0D2DE6BB"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34F95B4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r>
      <w:tr w:rsidR="00C07D35" w14:paraId="1D08BA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280C057" w14:textId="77777777" w:rsidR="00C07D35" w:rsidRDefault="00C07D35">
            <w:pPr>
              <w:pStyle w:val="Normal7"/>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05FAE62" w14:textId="77777777" w:rsidR="00C07D35" w:rsidRDefault="00C07D35">
            <w:pPr>
              <w:pStyle w:val="Normal7"/>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1B1CB49" w14:textId="77777777" w:rsidR="00C07D35" w:rsidRDefault="00C07D35">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CD04F4B" w14:textId="77777777" w:rsidR="00C07D35" w:rsidRDefault="00C07D35">
            <w:pPr>
              <w:pStyle w:val="Normal7"/>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E7EA452" w14:textId="77777777" w:rsidR="00C07D35" w:rsidRDefault="00C07D35">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B72D7D9" w14:textId="77777777" w:rsidR="00C07D35" w:rsidRDefault="00C07D35">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FCF75A0" w14:textId="77777777" w:rsidR="00C07D35" w:rsidRDefault="00C07D35">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4E05424" w14:textId="77777777" w:rsidR="00C07D35" w:rsidRDefault="00C07D35">
            <w:pPr>
              <w:pStyle w:val="Normal7"/>
              <w:jc w:val="right"/>
              <w:rPr>
                <w:rFonts w:ascii="Calibri" w:eastAsia="Calibri" w:hAnsi="Calibri" w:cs="Calibri"/>
                <w:b/>
                <w:i/>
                <w:color w:val="000000"/>
                <w:sz w:val="18"/>
              </w:rPr>
            </w:pPr>
          </w:p>
        </w:tc>
      </w:tr>
      <w:tr w:rsidR="00C07D35" w14:paraId="4CD486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F41102"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83D6A32"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71FCC5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F00192"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792C8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AF40B7"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52935B"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EBF2F5" w14:textId="77777777" w:rsidR="00C07D35" w:rsidRDefault="00C07D35">
            <w:pPr>
              <w:pStyle w:val="Normal7"/>
              <w:rPr>
                <w:rFonts w:ascii="Calibri" w:eastAsia="Calibri" w:hAnsi="Calibri" w:cs="Calibri"/>
                <w:color w:val="000000"/>
                <w:sz w:val="18"/>
              </w:rPr>
            </w:pPr>
          </w:p>
        </w:tc>
      </w:tr>
      <w:tr w:rsidR="00C07D35" w14:paraId="2697F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2E6E7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6,592</w:t>
            </w:r>
          </w:p>
        </w:tc>
        <w:tc>
          <w:tcPr>
            <w:tcW w:w="2385" w:type="dxa"/>
            <w:tcBorders>
              <w:top w:val="nil"/>
              <w:left w:val="nil"/>
              <w:bottom w:val="nil"/>
              <w:right w:val="nil"/>
              <w:tl2br w:val="nil"/>
              <w:tr2bl w:val="nil"/>
            </w:tcBorders>
            <w:shd w:val="clear" w:color="auto" w:fill="auto"/>
            <w:noWrap/>
            <w:tcMar>
              <w:left w:w="101" w:type="dxa"/>
              <w:right w:w="101" w:type="dxa"/>
            </w:tcMar>
          </w:tcPr>
          <w:p w14:paraId="605157D9"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BA400A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7,695</w:t>
            </w:r>
          </w:p>
        </w:tc>
        <w:tc>
          <w:tcPr>
            <w:tcW w:w="1035" w:type="dxa"/>
            <w:tcBorders>
              <w:top w:val="nil"/>
              <w:left w:val="nil"/>
              <w:bottom w:val="nil"/>
              <w:right w:val="nil"/>
              <w:tl2br w:val="nil"/>
              <w:tr2bl w:val="nil"/>
            </w:tcBorders>
            <w:shd w:val="clear" w:color="FFFFFF" w:fill="FFFFFF"/>
            <w:tcMar>
              <w:left w:w="101" w:type="dxa"/>
              <w:right w:w="101" w:type="dxa"/>
            </w:tcMar>
          </w:tcPr>
          <w:p w14:paraId="4DB9612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7,387</w:t>
            </w:r>
          </w:p>
        </w:tc>
        <w:tc>
          <w:tcPr>
            <w:tcW w:w="600" w:type="dxa"/>
            <w:tcBorders>
              <w:top w:val="nil"/>
              <w:left w:val="nil"/>
              <w:bottom w:val="nil"/>
              <w:right w:val="nil"/>
              <w:tl2br w:val="nil"/>
              <w:tr2bl w:val="nil"/>
            </w:tcBorders>
            <w:shd w:val="clear" w:color="FFFFFF" w:fill="FFFFFF"/>
            <w:tcMar>
              <w:left w:w="101" w:type="dxa"/>
              <w:right w:w="101" w:type="dxa"/>
            </w:tcMar>
          </w:tcPr>
          <w:p w14:paraId="5BD008C0"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6EC9ED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7,079</w:t>
            </w:r>
          </w:p>
        </w:tc>
        <w:tc>
          <w:tcPr>
            <w:tcW w:w="1035" w:type="dxa"/>
            <w:tcBorders>
              <w:top w:val="nil"/>
              <w:left w:val="nil"/>
              <w:bottom w:val="nil"/>
              <w:right w:val="nil"/>
              <w:tl2br w:val="nil"/>
              <w:tr2bl w:val="nil"/>
            </w:tcBorders>
            <w:shd w:val="clear" w:color="FFFFFF" w:fill="FFFFFF"/>
            <w:tcMar>
              <w:left w:w="101" w:type="dxa"/>
              <w:right w:w="101" w:type="dxa"/>
            </w:tcMar>
          </w:tcPr>
          <w:p w14:paraId="4E959570"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6,771</w:t>
            </w:r>
          </w:p>
        </w:tc>
        <w:tc>
          <w:tcPr>
            <w:tcW w:w="1035" w:type="dxa"/>
            <w:tcBorders>
              <w:top w:val="nil"/>
              <w:left w:val="nil"/>
              <w:bottom w:val="nil"/>
              <w:right w:val="nil"/>
              <w:tl2br w:val="nil"/>
              <w:tr2bl w:val="nil"/>
            </w:tcBorders>
            <w:shd w:val="clear" w:color="FFFFFF" w:fill="FFFFFF"/>
            <w:tcMar>
              <w:left w:w="101" w:type="dxa"/>
              <w:right w:w="101" w:type="dxa"/>
            </w:tcMar>
          </w:tcPr>
          <w:p w14:paraId="5B92B78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6,463</w:t>
            </w:r>
          </w:p>
        </w:tc>
      </w:tr>
      <w:tr w:rsidR="00C07D35" w14:paraId="547F01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218E5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1,233</w:t>
            </w:r>
          </w:p>
        </w:tc>
        <w:tc>
          <w:tcPr>
            <w:tcW w:w="2385" w:type="dxa"/>
            <w:tcBorders>
              <w:top w:val="nil"/>
              <w:left w:val="nil"/>
              <w:bottom w:val="nil"/>
              <w:right w:val="nil"/>
              <w:tl2br w:val="nil"/>
              <w:tr2bl w:val="nil"/>
            </w:tcBorders>
            <w:shd w:val="clear" w:color="auto" w:fill="auto"/>
            <w:noWrap/>
            <w:tcMar>
              <w:left w:w="101" w:type="dxa"/>
              <w:right w:w="101" w:type="dxa"/>
            </w:tcMar>
          </w:tcPr>
          <w:p w14:paraId="355F64CC"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27AAA5E0"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956</w:t>
            </w:r>
          </w:p>
        </w:tc>
        <w:tc>
          <w:tcPr>
            <w:tcW w:w="1035" w:type="dxa"/>
            <w:tcBorders>
              <w:top w:val="nil"/>
              <w:left w:val="nil"/>
              <w:bottom w:val="nil"/>
              <w:right w:val="nil"/>
              <w:tl2br w:val="nil"/>
              <w:tr2bl w:val="nil"/>
            </w:tcBorders>
            <w:shd w:val="clear" w:color="FFFFFF" w:fill="FFFFFF"/>
            <w:tcMar>
              <w:left w:w="101" w:type="dxa"/>
              <w:right w:w="101" w:type="dxa"/>
            </w:tcMar>
          </w:tcPr>
          <w:p w14:paraId="58AA4BF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956</w:t>
            </w:r>
          </w:p>
        </w:tc>
        <w:tc>
          <w:tcPr>
            <w:tcW w:w="600" w:type="dxa"/>
            <w:tcBorders>
              <w:top w:val="nil"/>
              <w:left w:val="nil"/>
              <w:bottom w:val="nil"/>
              <w:right w:val="nil"/>
              <w:tl2br w:val="nil"/>
              <w:tr2bl w:val="nil"/>
            </w:tcBorders>
            <w:shd w:val="clear" w:color="FFFFFF" w:fill="FFFFFF"/>
            <w:tcMar>
              <w:left w:w="101" w:type="dxa"/>
              <w:right w:w="101" w:type="dxa"/>
            </w:tcMar>
          </w:tcPr>
          <w:p w14:paraId="1830B7B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004CCC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956</w:t>
            </w:r>
          </w:p>
        </w:tc>
        <w:tc>
          <w:tcPr>
            <w:tcW w:w="1035" w:type="dxa"/>
            <w:tcBorders>
              <w:top w:val="nil"/>
              <w:left w:val="nil"/>
              <w:bottom w:val="nil"/>
              <w:right w:val="nil"/>
              <w:tl2br w:val="nil"/>
              <w:tr2bl w:val="nil"/>
            </w:tcBorders>
            <w:shd w:val="clear" w:color="FFFFFF" w:fill="FFFFFF"/>
            <w:tcMar>
              <w:left w:w="101" w:type="dxa"/>
              <w:right w:w="101" w:type="dxa"/>
            </w:tcMar>
          </w:tcPr>
          <w:p w14:paraId="733104A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956</w:t>
            </w:r>
          </w:p>
        </w:tc>
        <w:tc>
          <w:tcPr>
            <w:tcW w:w="1035" w:type="dxa"/>
            <w:tcBorders>
              <w:top w:val="nil"/>
              <w:left w:val="nil"/>
              <w:bottom w:val="nil"/>
              <w:right w:val="nil"/>
              <w:tl2br w:val="nil"/>
              <w:tr2bl w:val="nil"/>
            </w:tcBorders>
            <w:shd w:val="clear" w:color="FFFFFF" w:fill="FFFFFF"/>
            <w:tcMar>
              <w:left w:w="101" w:type="dxa"/>
              <w:right w:w="101" w:type="dxa"/>
            </w:tcMar>
          </w:tcPr>
          <w:p w14:paraId="3A8D2987"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956</w:t>
            </w:r>
          </w:p>
        </w:tc>
      </w:tr>
      <w:tr w:rsidR="00C07D35" w14:paraId="4E8E67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6497D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3,040</w:t>
            </w:r>
          </w:p>
        </w:tc>
        <w:tc>
          <w:tcPr>
            <w:tcW w:w="2385" w:type="dxa"/>
            <w:tcBorders>
              <w:top w:val="nil"/>
              <w:left w:val="nil"/>
              <w:bottom w:val="nil"/>
              <w:right w:val="nil"/>
              <w:tl2br w:val="nil"/>
              <w:tr2bl w:val="nil"/>
            </w:tcBorders>
            <w:shd w:val="clear" w:color="auto" w:fill="auto"/>
            <w:noWrap/>
            <w:tcMar>
              <w:left w:w="101" w:type="dxa"/>
              <w:right w:w="101" w:type="dxa"/>
            </w:tcMar>
          </w:tcPr>
          <w:p w14:paraId="5921F662"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06F6014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69C5F1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7F965E0"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5C61EC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96F74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6985F56"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C07D35" w14:paraId="0AF9B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2AF317"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320</w:t>
            </w:r>
          </w:p>
        </w:tc>
        <w:tc>
          <w:tcPr>
            <w:tcW w:w="2385" w:type="dxa"/>
            <w:tcBorders>
              <w:top w:val="nil"/>
              <w:left w:val="nil"/>
              <w:bottom w:val="nil"/>
              <w:right w:val="nil"/>
              <w:tl2br w:val="nil"/>
              <w:tr2bl w:val="nil"/>
            </w:tcBorders>
            <w:shd w:val="clear" w:color="auto" w:fill="auto"/>
            <w:noWrap/>
            <w:tcMar>
              <w:left w:w="101" w:type="dxa"/>
              <w:right w:w="101" w:type="dxa"/>
            </w:tcMar>
          </w:tcPr>
          <w:p w14:paraId="32BCA481"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09FFB8F7"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382</w:t>
            </w:r>
          </w:p>
        </w:tc>
        <w:tc>
          <w:tcPr>
            <w:tcW w:w="1035" w:type="dxa"/>
            <w:tcBorders>
              <w:top w:val="nil"/>
              <w:left w:val="nil"/>
              <w:bottom w:val="nil"/>
              <w:right w:val="nil"/>
              <w:tl2br w:val="nil"/>
              <w:tr2bl w:val="nil"/>
            </w:tcBorders>
            <w:shd w:val="clear" w:color="FFFFFF" w:fill="FFFFFF"/>
            <w:tcMar>
              <w:left w:w="101" w:type="dxa"/>
              <w:right w:w="101" w:type="dxa"/>
            </w:tcMar>
          </w:tcPr>
          <w:p w14:paraId="326795E0"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382</w:t>
            </w:r>
          </w:p>
        </w:tc>
        <w:tc>
          <w:tcPr>
            <w:tcW w:w="600" w:type="dxa"/>
            <w:tcBorders>
              <w:top w:val="nil"/>
              <w:left w:val="nil"/>
              <w:bottom w:val="nil"/>
              <w:right w:val="nil"/>
              <w:tl2br w:val="nil"/>
              <w:tr2bl w:val="nil"/>
            </w:tcBorders>
            <w:shd w:val="clear" w:color="FFFFFF" w:fill="FFFFFF"/>
            <w:tcMar>
              <w:left w:w="101" w:type="dxa"/>
              <w:right w:w="101" w:type="dxa"/>
            </w:tcMar>
          </w:tcPr>
          <w:p w14:paraId="4AED8A6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5E3EEC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382</w:t>
            </w:r>
          </w:p>
        </w:tc>
        <w:tc>
          <w:tcPr>
            <w:tcW w:w="1035" w:type="dxa"/>
            <w:tcBorders>
              <w:top w:val="nil"/>
              <w:left w:val="nil"/>
              <w:bottom w:val="nil"/>
              <w:right w:val="nil"/>
              <w:tl2br w:val="nil"/>
              <w:tr2bl w:val="nil"/>
            </w:tcBorders>
            <w:shd w:val="clear" w:color="FFFFFF" w:fill="FFFFFF"/>
            <w:tcMar>
              <w:left w:w="101" w:type="dxa"/>
              <w:right w:w="101" w:type="dxa"/>
            </w:tcMar>
          </w:tcPr>
          <w:p w14:paraId="644B51A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382</w:t>
            </w:r>
          </w:p>
        </w:tc>
        <w:tc>
          <w:tcPr>
            <w:tcW w:w="1035" w:type="dxa"/>
            <w:tcBorders>
              <w:top w:val="nil"/>
              <w:left w:val="nil"/>
              <w:bottom w:val="nil"/>
              <w:right w:val="nil"/>
              <w:tl2br w:val="nil"/>
              <w:tr2bl w:val="nil"/>
            </w:tcBorders>
            <w:shd w:val="clear" w:color="FFFFFF" w:fill="FFFFFF"/>
            <w:tcMar>
              <w:left w:w="101" w:type="dxa"/>
              <w:right w:w="101" w:type="dxa"/>
            </w:tcMar>
          </w:tcPr>
          <w:p w14:paraId="38896BC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382</w:t>
            </w:r>
          </w:p>
        </w:tc>
      </w:tr>
      <w:tr w:rsidR="00C07D35" w14:paraId="7AB4F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0AE22B"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9365E9"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B970C4"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27CFDE"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5E481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01AA3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ED1CA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7251B2" w14:textId="77777777" w:rsidR="00C07D35" w:rsidRDefault="00C07D35">
            <w:pPr>
              <w:pStyle w:val="Normal7"/>
              <w:rPr>
                <w:rFonts w:ascii="Calibri" w:eastAsia="Calibri" w:hAnsi="Calibri" w:cs="Calibri"/>
                <w:color w:val="000000"/>
                <w:sz w:val="18"/>
              </w:rPr>
            </w:pPr>
          </w:p>
        </w:tc>
      </w:tr>
      <w:tr w:rsidR="00C07D35" w14:paraId="58A16D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8C866D"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11,185</w:t>
            </w:r>
          </w:p>
        </w:tc>
        <w:tc>
          <w:tcPr>
            <w:tcW w:w="2385" w:type="dxa"/>
            <w:tcBorders>
              <w:top w:val="nil"/>
              <w:left w:val="nil"/>
              <w:bottom w:val="nil"/>
              <w:right w:val="nil"/>
              <w:tl2br w:val="nil"/>
              <w:tr2bl w:val="nil"/>
            </w:tcBorders>
            <w:shd w:val="clear" w:color="FFFFFF" w:fill="FFFFFF"/>
            <w:tcMar>
              <w:left w:w="101" w:type="dxa"/>
              <w:right w:w="101" w:type="dxa"/>
            </w:tcMar>
          </w:tcPr>
          <w:p w14:paraId="290DBA39"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EADE025"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9,033</w:t>
            </w:r>
          </w:p>
        </w:tc>
        <w:tc>
          <w:tcPr>
            <w:tcW w:w="1035" w:type="dxa"/>
            <w:tcBorders>
              <w:top w:val="nil"/>
              <w:left w:val="nil"/>
              <w:bottom w:val="nil"/>
              <w:right w:val="nil"/>
              <w:tl2br w:val="nil"/>
              <w:tr2bl w:val="nil"/>
            </w:tcBorders>
            <w:shd w:val="clear" w:color="FFFFFF" w:fill="FFFFFF"/>
            <w:tcMar>
              <w:left w:w="101" w:type="dxa"/>
              <w:right w:w="101" w:type="dxa"/>
            </w:tcMar>
          </w:tcPr>
          <w:p w14:paraId="3F7CB133"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8,725</w:t>
            </w:r>
          </w:p>
        </w:tc>
        <w:tc>
          <w:tcPr>
            <w:tcW w:w="600" w:type="dxa"/>
            <w:tcBorders>
              <w:top w:val="nil"/>
              <w:left w:val="nil"/>
              <w:bottom w:val="nil"/>
              <w:right w:val="nil"/>
              <w:tl2br w:val="nil"/>
              <w:tr2bl w:val="nil"/>
            </w:tcBorders>
            <w:shd w:val="clear" w:color="FFFFFF" w:fill="FFFFFF"/>
            <w:tcMar>
              <w:left w:w="101" w:type="dxa"/>
              <w:right w:w="101" w:type="dxa"/>
            </w:tcMar>
          </w:tcPr>
          <w:p w14:paraId="2DA6CF7D"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372BFB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8,417</w:t>
            </w:r>
          </w:p>
        </w:tc>
        <w:tc>
          <w:tcPr>
            <w:tcW w:w="1035" w:type="dxa"/>
            <w:tcBorders>
              <w:top w:val="nil"/>
              <w:left w:val="nil"/>
              <w:bottom w:val="nil"/>
              <w:right w:val="nil"/>
              <w:tl2br w:val="nil"/>
              <w:tr2bl w:val="nil"/>
            </w:tcBorders>
            <w:shd w:val="clear" w:color="FFFFFF" w:fill="FFFFFF"/>
            <w:tcMar>
              <w:left w:w="101" w:type="dxa"/>
              <w:right w:w="101" w:type="dxa"/>
            </w:tcMar>
          </w:tcPr>
          <w:p w14:paraId="14315FAB"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8,109</w:t>
            </w:r>
          </w:p>
        </w:tc>
        <w:tc>
          <w:tcPr>
            <w:tcW w:w="1035" w:type="dxa"/>
            <w:tcBorders>
              <w:top w:val="nil"/>
              <w:left w:val="nil"/>
              <w:bottom w:val="nil"/>
              <w:right w:val="nil"/>
              <w:tl2br w:val="nil"/>
              <w:tr2bl w:val="nil"/>
            </w:tcBorders>
            <w:shd w:val="clear" w:color="FFFFFF" w:fill="FFFFFF"/>
            <w:tcMar>
              <w:left w:w="101" w:type="dxa"/>
              <w:right w:w="101" w:type="dxa"/>
            </w:tcMar>
          </w:tcPr>
          <w:p w14:paraId="452FDF97"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7,801</w:t>
            </w:r>
          </w:p>
        </w:tc>
      </w:tr>
      <w:tr w:rsidR="00C07D35" w14:paraId="5D20F2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FBA2E2"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7A48CEC"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BF04E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2B596C"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125FD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F4CD78"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7B5E2B"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D86ED6" w14:textId="77777777" w:rsidR="00C07D35" w:rsidRDefault="00C07D35">
            <w:pPr>
              <w:pStyle w:val="Normal7"/>
              <w:rPr>
                <w:rFonts w:ascii="Calibri" w:eastAsia="Calibri" w:hAnsi="Calibri" w:cs="Calibri"/>
                <w:color w:val="000000"/>
                <w:sz w:val="18"/>
              </w:rPr>
            </w:pPr>
          </w:p>
        </w:tc>
      </w:tr>
      <w:tr w:rsidR="00C07D35" w14:paraId="248770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F3466C"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6E18BAE" w14:textId="77777777" w:rsidR="00C07D35" w:rsidRDefault="00A4668D">
            <w:pPr>
              <w:pStyle w:val="Normal7"/>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05B8620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94D1BA"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3E8EBC"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F684A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4D04D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C083A6" w14:textId="77777777" w:rsidR="00C07D35" w:rsidRDefault="00C07D35">
            <w:pPr>
              <w:pStyle w:val="Normal7"/>
              <w:rPr>
                <w:rFonts w:ascii="Calibri" w:eastAsia="Calibri" w:hAnsi="Calibri" w:cs="Calibri"/>
                <w:color w:val="000000"/>
                <w:sz w:val="18"/>
              </w:rPr>
            </w:pPr>
          </w:p>
        </w:tc>
      </w:tr>
      <w:tr w:rsidR="00C07D35" w14:paraId="63A300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FAF3A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77,080</w:t>
            </w:r>
          </w:p>
        </w:tc>
        <w:tc>
          <w:tcPr>
            <w:tcW w:w="2385" w:type="dxa"/>
            <w:tcBorders>
              <w:top w:val="nil"/>
              <w:left w:val="nil"/>
              <w:bottom w:val="nil"/>
              <w:right w:val="nil"/>
              <w:tl2br w:val="nil"/>
              <w:tr2bl w:val="nil"/>
            </w:tcBorders>
            <w:shd w:val="clear" w:color="FFFFFF" w:fill="FFFFFF"/>
            <w:noWrap/>
            <w:tcMar>
              <w:left w:w="101" w:type="dxa"/>
              <w:right w:w="101" w:type="dxa"/>
            </w:tcMar>
          </w:tcPr>
          <w:p w14:paraId="0862B7E6"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E359ED6"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85,442</w:t>
            </w:r>
          </w:p>
        </w:tc>
        <w:tc>
          <w:tcPr>
            <w:tcW w:w="1035" w:type="dxa"/>
            <w:tcBorders>
              <w:top w:val="nil"/>
              <w:left w:val="nil"/>
              <w:bottom w:val="nil"/>
              <w:right w:val="nil"/>
              <w:tl2br w:val="nil"/>
              <w:tr2bl w:val="nil"/>
            </w:tcBorders>
            <w:shd w:val="clear" w:color="FFFFFF" w:fill="FFFFFF"/>
            <w:tcMar>
              <w:left w:w="101" w:type="dxa"/>
              <w:right w:w="101" w:type="dxa"/>
            </w:tcMar>
          </w:tcPr>
          <w:p w14:paraId="7A1B5EF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87,432</w:t>
            </w:r>
          </w:p>
        </w:tc>
        <w:tc>
          <w:tcPr>
            <w:tcW w:w="600" w:type="dxa"/>
            <w:tcBorders>
              <w:top w:val="nil"/>
              <w:left w:val="nil"/>
              <w:bottom w:val="nil"/>
              <w:right w:val="nil"/>
              <w:tl2br w:val="nil"/>
              <w:tr2bl w:val="nil"/>
            </w:tcBorders>
            <w:shd w:val="clear" w:color="FFFFFF" w:fill="FFFFFF"/>
            <w:tcMar>
              <w:left w:w="101" w:type="dxa"/>
              <w:right w:w="101" w:type="dxa"/>
            </w:tcMar>
          </w:tcPr>
          <w:p w14:paraId="07181BA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2E9A65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86,403</w:t>
            </w:r>
          </w:p>
        </w:tc>
        <w:tc>
          <w:tcPr>
            <w:tcW w:w="1035" w:type="dxa"/>
            <w:tcBorders>
              <w:top w:val="nil"/>
              <w:left w:val="nil"/>
              <w:bottom w:val="nil"/>
              <w:right w:val="nil"/>
              <w:tl2br w:val="nil"/>
              <w:tr2bl w:val="nil"/>
            </w:tcBorders>
            <w:shd w:val="clear" w:color="FFFFFF" w:fill="FFFFFF"/>
            <w:tcMar>
              <w:left w:w="101" w:type="dxa"/>
              <w:right w:w="101" w:type="dxa"/>
            </w:tcMar>
          </w:tcPr>
          <w:p w14:paraId="18A02FA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85,657</w:t>
            </w:r>
          </w:p>
        </w:tc>
        <w:tc>
          <w:tcPr>
            <w:tcW w:w="1035" w:type="dxa"/>
            <w:tcBorders>
              <w:top w:val="nil"/>
              <w:left w:val="nil"/>
              <w:bottom w:val="nil"/>
              <w:right w:val="nil"/>
              <w:tl2br w:val="nil"/>
              <w:tr2bl w:val="nil"/>
            </w:tcBorders>
            <w:shd w:val="clear" w:color="FFFFFF" w:fill="FFFFFF"/>
            <w:tcMar>
              <w:left w:w="101" w:type="dxa"/>
              <w:right w:w="101" w:type="dxa"/>
            </w:tcMar>
          </w:tcPr>
          <w:p w14:paraId="5451DD4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84,922</w:t>
            </w:r>
          </w:p>
        </w:tc>
      </w:tr>
      <w:tr w:rsidR="00C07D35" w14:paraId="0DF854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5342C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5,029</w:t>
            </w:r>
          </w:p>
        </w:tc>
        <w:tc>
          <w:tcPr>
            <w:tcW w:w="2385" w:type="dxa"/>
            <w:tcBorders>
              <w:top w:val="nil"/>
              <w:left w:val="nil"/>
              <w:bottom w:val="nil"/>
              <w:right w:val="nil"/>
              <w:tl2br w:val="nil"/>
              <w:tr2bl w:val="nil"/>
            </w:tcBorders>
            <w:shd w:val="clear" w:color="FFFFFF" w:fill="FFFFFF"/>
            <w:noWrap/>
            <w:tcMar>
              <w:left w:w="101" w:type="dxa"/>
              <w:right w:w="101" w:type="dxa"/>
            </w:tcMar>
          </w:tcPr>
          <w:p w14:paraId="383705C5"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31E5391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3,184</w:t>
            </w:r>
          </w:p>
        </w:tc>
        <w:tc>
          <w:tcPr>
            <w:tcW w:w="1035" w:type="dxa"/>
            <w:tcBorders>
              <w:top w:val="nil"/>
              <w:left w:val="nil"/>
              <w:bottom w:val="nil"/>
              <w:right w:val="nil"/>
              <w:tl2br w:val="nil"/>
              <w:tr2bl w:val="nil"/>
            </w:tcBorders>
            <w:shd w:val="clear" w:color="FFFFFF" w:fill="FFFFFF"/>
            <w:tcMar>
              <w:left w:w="101" w:type="dxa"/>
              <w:right w:w="101" w:type="dxa"/>
            </w:tcMar>
          </w:tcPr>
          <w:p w14:paraId="41CC487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6,730</w:t>
            </w:r>
          </w:p>
        </w:tc>
        <w:tc>
          <w:tcPr>
            <w:tcW w:w="600" w:type="dxa"/>
            <w:tcBorders>
              <w:top w:val="nil"/>
              <w:left w:val="nil"/>
              <w:bottom w:val="nil"/>
              <w:right w:val="nil"/>
              <w:tl2br w:val="nil"/>
              <w:tr2bl w:val="nil"/>
            </w:tcBorders>
            <w:shd w:val="clear" w:color="FFFFFF" w:fill="FFFFFF"/>
            <w:tcMar>
              <w:left w:w="101" w:type="dxa"/>
              <w:right w:w="101" w:type="dxa"/>
            </w:tcMar>
          </w:tcPr>
          <w:p w14:paraId="550451D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111 </w:t>
            </w:r>
          </w:p>
        </w:tc>
        <w:tc>
          <w:tcPr>
            <w:tcW w:w="1035" w:type="dxa"/>
            <w:tcBorders>
              <w:top w:val="nil"/>
              <w:left w:val="nil"/>
              <w:bottom w:val="nil"/>
              <w:right w:val="nil"/>
              <w:tl2br w:val="nil"/>
              <w:tr2bl w:val="nil"/>
            </w:tcBorders>
            <w:shd w:val="clear" w:color="FFFFFF" w:fill="FFFFFF"/>
            <w:tcMar>
              <w:left w:w="101" w:type="dxa"/>
              <w:right w:w="101" w:type="dxa"/>
            </w:tcMar>
          </w:tcPr>
          <w:p w14:paraId="21C4C52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4,803</w:t>
            </w:r>
          </w:p>
        </w:tc>
        <w:tc>
          <w:tcPr>
            <w:tcW w:w="1035" w:type="dxa"/>
            <w:tcBorders>
              <w:top w:val="nil"/>
              <w:left w:val="nil"/>
              <w:bottom w:val="nil"/>
              <w:right w:val="nil"/>
              <w:tl2br w:val="nil"/>
              <w:tr2bl w:val="nil"/>
            </w:tcBorders>
            <w:shd w:val="clear" w:color="FFFFFF" w:fill="FFFFFF"/>
            <w:tcMar>
              <w:left w:w="101" w:type="dxa"/>
              <w:right w:w="101" w:type="dxa"/>
            </w:tcMar>
          </w:tcPr>
          <w:p w14:paraId="14CC426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2,876</w:t>
            </w:r>
          </w:p>
        </w:tc>
        <w:tc>
          <w:tcPr>
            <w:tcW w:w="1035" w:type="dxa"/>
            <w:tcBorders>
              <w:top w:val="nil"/>
              <w:left w:val="nil"/>
              <w:bottom w:val="nil"/>
              <w:right w:val="nil"/>
              <w:tl2br w:val="nil"/>
              <w:tr2bl w:val="nil"/>
            </w:tcBorders>
            <w:shd w:val="clear" w:color="FFFFFF" w:fill="FFFFFF"/>
            <w:tcMar>
              <w:left w:w="101" w:type="dxa"/>
              <w:right w:w="101" w:type="dxa"/>
            </w:tcMar>
          </w:tcPr>
          <w:p w14:paraId="7B1C766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979</w:t>
            </w:r>
          </w:p>
        </w:tc>
      </w:tr>
      <w:tr w:rsidR="00C07D35" w14:paraId="7A9DE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C7991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648F640"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581BC87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4,157</w:t>
            </w:r>
          </w:p>
        </w:tc>
        <w:tc>
          <w:tcPr>
            <w:tcW w:w="1035" w:type="dxa"/>
            <w:tcBorders>
              <w:top w:val="nil"/>
              <w:left w:val="nil"/>
              <w:bottom w:val="nil"/>
              <w:right w:val="nil"/>
              <w:tl2br w:val="nil"/>
              <w:tr2bl w:val="nil"/>
            </w:tcBorders>
            <w:shd w:val="clear" w:color="FFFFFF" w:fill="FFFFFF"/>
            <w:tcMar>
              <w:left w:w="101" w:type="dxa"/>
              <w:right w:w="101" w:type="dxa"/>
            </w:tcMar>
          </w:tcPr>
          <w:p w14:paraId="3CE7826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2,485</w:t>
            </w:r>
          </w:p>
        </w:tc>
        <w:tc>
          <w:tcPr>
            <w:tcW w:w="600" w:type="dxa"/>
            <w:tcBorders>
              <w:top w:val="nil"/>
              <w:left w:val="nil"/>
              <w:bottom w:val="nil"/>
              <w:right w:val="nil"/>
              <w:tl2br w:val="nil"/>
              <w:tr2bl w:val="nil"/>
            </w:tcBorders>
            <w:shd w:val="clear" w:color="FFFFFF" w:fill="FFFFFF"/>
            <w:tcMar>
              <w:left w:w="101" w:type="dxa"/>
              <w:right w:w="101" w:type="dxa"/>
            </w:tcMar>
          </w:tcPr>
          <w:p w14:paraId="1882BA8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6A3BAD3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2,485</w:t>
            </w:r>
          </w:p>
        </w:tc>
        <w:tc>
          <w:tcPr>
            <w:tcW w:w="1035" w:type="dxa"/>
            <w:tcBorders>
              <w:top w:val="nil"/>
              <w:left w:val="nil"/>
              <w:bottom w:val="nil"/>
              <w:right w:val="nil"/>
              <w:tl2br w:val="nil"/>
              <w:tr2bl w:val="nil"/>
            </w:tcBorders>
            <w:shd w:val="clear" w:color="FFFFFF" w:fill="FFFFFF"/>
            <w:tcMar>
              <w:left w:w="101" w:type="dxa"/>
              <w:right w:w="101" w:type="dxa"/>
            </w:tcMar>
          </w:tcPr>
          <w:p w14:paraId="0E70990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2,485</w:t>
            </w:r>
          </w:p>
        </w:tc>
        <w:tc>
          <w:tcPr>
            <w:tcW w:w="1035" w:type="dxa"/>
            <w:tcBorders>
              <w:top w:val="nil"/>
              <w:left w:val="nil"/>
              <w:bottom w:val="nil"/>
              <w:right w:val="nil"/>
              <w:tl2br w:val="nil"/>
              <w:tr2bl w:val="nil"/>
            </w:tcBorders>
            <w:shd w:val="clear" w:color="FFFFFF" w:fill="FFFFFF"/>
            <w:tcMar>
              <w:left w:w="101" w:type="dxa"/>
              <w:right w:w="101" w:type="dxa"/>
            </w:tcMar>
          </w:tcPr>
          <w:p w14:paraId="10AA918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2,485</w:t>
            </w:r>
          </w:p>
        </w:tc>
      </w:tr>
      <w:tr w:rsidR="00C07D35" w14:paraId="604C8F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3CD210"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6536BAE"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56D112"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F77BB"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C112C1"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F95D70"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827E08"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29EBEC" w14:textId="77777777" w:rsidR="00C07D35" w:rsidRDefault="00C07D35">
            <w:pPr>
              <w:pStyle w:val="Normal7"/>
              <w:rPr>
                <w:rFonts w:ascii="Calibri" w:eastAsia="Calibri" w:hAnsi="Calibri" w:cs="Calibri"/>
                <w:color w:val="000000"/>
                <w:sz w:val="18"/>
              </w:rPr>
            </w:pPr>
          </w:p>
        </w:tc>
      </w:tr>
      <w:tr w:rsidR="00C07D35" w14:paraId="47A5B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2E0319"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82,109</w:t>
            </w:r>
          </w:p>
        </w:tc>
        <w:tc>
          <w:tcPr>
            <w:tcW w:w="2385" w:type="dxa"/>
            <w:tcBorders>
              <w:top w:val="nil"/>
              <w:left w:val="nil"/>
              <w:bottom w:val="nil"/>
              <w:right w:val="nil"/>
              <w:tl2br w:val="nil"/>
              <w:tr2bl w:val="nil"/>
            </w:tcBorders>
            <w:shd w:val="clear" w:color="FFFFFF" w:fill="FFFFFF"/>
            <w:tcMar>
              <w:left w:w="101" w:type="dxa"/>
              <w:right w:w="101" w:type="dxa"/>
            </w:tcMar>
          </w:tcPr>
          <w:p w14:paraId="2439D576"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59BEE19D"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92,783</w:t>
            </w:r>
          </w:p>
        </w:tc>
        <w:tc>
          <w:tcPr>
            <w:tcW w:w="1035" w:type="dxa"/>
            <w:tcBorders>
              <w:top w:val="nil"/>
              <w:left w:val="nil"/>
              <w:bottom w:val="nil"/>
              <w:right w:val="nil"/>
              <w:tl2br w:val="nil"/>
              <w:tr2bl w:val="nil"/>
            </w:tcBorders>
            <w:shd w:val="clear" w:color="FFFFFF" w:fill="FFFFFF"/>
            <w:tcMar>
              <w:left w:w="101" w:type="dxa"/>
              <w:right w:w="101" w:type="dxa"/>
            </w:tcMar>
          </w:tcPr>
          <w:p w14:paraId="0AE22466"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96,647</w:t>
            </w:r>
          </w:p>
        </w:tc>
        <w:tc>
          <w:tcPr>
            <w:tcW w:w="600" w:type="dxa"/>
            <w:tcBorders>
              <w:top w:val="nil"/>
              <w:left w:val="nil"/>
              <w:bottom w:val="nil"/>
              <w:right w:val="nil"/>
              <w:tl2br w:val="nil"/>
              <w:tr2bl w:val="nil"/>
            </w:tcBorders>
            <w:shd w:val="clear" w:color="FFFFFF" w:fill="FFFFFF"/>
            <w:tcMar>
              <w:left w:w="101" w:type="dxa"/>
              <w:right w:w="101" w:type="dxa"/>
            </w:tcMar>
          </w:tcPr>
          <w:p w14:paraId="209B00CC"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757A5E3C"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93,691</w:t>
            </w:r>
          </w:p>
        </w:tc>
        <w:tc>
          <w:tcPr>
            <w:tcW w:w="1035" w:type="dxa"/>
            <w:tcBorders>
              <w:top w:val="nil"/>
              <w:left w:val="nil"/>
              <w:bottom w:val="nil"/>
              <w:right w:val="nil"/>
              <w:tl2br w:val="nil"/>
              <w:tr2bl w:val="nil"/>
            </w:tcBorders>
            <w:shd w:val="clear" w:color="FFFFFF" w:fill="FFFFFF"/>
            <w:tcMar>
              <w:left w:w="101" w:type="dxa"/>
              <w:right w:w="101" w:type="dxa"/>
            </w:tcMar>
          </w:tcPr>
          <w:p w14:paraId="727E129D"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91,018</w:t>
            </w:r>
          </w:p>
        </w:tc>
        <w:tc>
          <w:tcPr>
            <w:tcW w:w="1035" w:type="dxa"/>
            <w:tcBorders>
              <w:top w:val="nil"/>
              <w:left w:val="nil"/>
              <w:bottom w:val="nil"/>
              <w:right w:val="nil"/>
              <w:tl2br w:val="nil"/>
              <w:tr2bl w:val="nil"/>
            </w:tcBorders>
            <w:shd w:val="clear" w:color="FFFFFF" w:fill="FFFFFF"/>
            <w:tcMar>
              <w:left w:w="101" w:type="dxa"/>
              <w:right w:w="101" w:type="dxa"/>
            </w:tcMar>
          </w:tcPr>
          <w:p w14:paraId="699D03C0"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88,386</w:t>
            </w:r>
          </w:p>
        </w:tc>
      </w:tr>
      <w:tr w:rsidR="00C07D35" w14:paraId="30657B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E48A52"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9B3F2F"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D3CE48"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D82B0"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AB6E4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39469"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512D19"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C17B0" w14:textId="77777777" w:rsidR="00C07D35" w:rsidRDefault="00C07D35">
            <w:pPr>
              <w:pStyle w:val="Normal7"/>
              <w:rPr>
                <w:rFonts w:ascii="Calibri" w:eastAsia="Calibri" w:hAnsi="Calibri" w:cs="Calibri"/>
                <w:color w:val="000000"/>
                <w:sz w:val="18"/>
              </w:rPr>
            </w:pPr>
          </w:p>
        </w:tc>
      </w:tr>
      <w:tr w:rsidR="00C07D35" w14:paraId="48EF90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3813F0"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93,294</w:t>
            </w:r>
          </w:p>
        </w:tc>
        <w:tc>
          <w:tcPr>
            <w:tcW w:w="2385" w:type="dxa"/>
            <w:tcBorders>
              <w:top w:val="nil"/>
              <w:left w:val="nil"/>
              <w:bottom w:val="nil"/>
              <w:right w:val="nil"/>
              <w:tl2br w:val="nil"/>
              <w:tr2bl w:val="nil"/>
            </w:tcBorders>
            <w:shd w:val="clear" w:color="FFFFFF" w:fill="FFFFFF"/>
            <w:tcMar>
              <w:left w:w="101" w:type="dxa"/>
              <w:right w:w="101" w:type="dxa"/>
            </w:tcMar>
          </w:tcPr>
          <w:p w14:paraId="4261A54B"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370F168C"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101,816</w:t>
            </w:r>
          </w:p>
        </w:tc>
        <w:tc>
          <w:tcPr>
            <w:tcW w:w="1035" w:type="dxa"/>
            <w:tcBorders>
              <w:top w:val="nil"/>
              <w:left w:val="nil"/>
              <w:bottom w:val="nil"/>
              <w:right w:val="nil"/>
              <w:tl2br w:val="nil"/>
              <w:tr2bl w:val="nil"/>
            </w:tcBorders>
            <w:shd w:val="clear" w:color="FFFFFF" w:fill="FFFFFF"/>
            <w:tcMar>
              <w:left w:w="101" w:type="dxa"/>
              <w:right w:w="101" w:type="dxa"/>
            </w:tcMar>
          </w:tcPr>
          <w:p w14:paraId="58E0CCB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105,372</w:t>
            </w:r>
          </w:p>
        </w:tc>
        <w:tc>
          <w:tcPr>
            <w:tcW w:w="600" w:type="dxa"/>
            <w:tcBorders>
              <w:top w:val="nil"/>
              <w:left w:val="nil"/>
              <w:bottom w:val="nil"/>
              <w:right w:val="nil"/>
              <w:tl2br w:val="nil"/>
              <w:tr2bl w:val="nil"/>
            </w:tcBorders>
            <w:shd w:val="clear" w:color="FFFFFF" w:fill="FFFFFF"/>
            <w:tcMar>
              <w:left w:w="101" w:type="dxa"/>
              <w:right w:w="101" w:type="dxa"/>
            </w:tcMar>
          </w:tcPr>
          <w:p w14:paraId="4319F90C"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6740B2A"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102,108</w:t>
            </w:r>
          </w:p>
        </w:tc>
        <w:tc>
          <w:tcPr>
            <w:tcW w:w="1035" w:type="dxa"/>
            <w:tcBorders>
              <w:top w:val="nil"/>
              <w:left w:val="nil"/>
              <w:bottom w:val="nil"/>
              <w:right w:val="nil"/>
              <w:tl2br w:val="nil"/>
              <w:tr2bl w:val="nil"/>
            </w:tcBorders>
            <w:shd w:val="clear" w:color="FFFFFF" w:fill="FFFFFF"/>
            <w:tcMar>
              <w:left w:w="101" w:type="dxa"/>
              <w:right w:w="101" w:type="dxa"/>
            </w:tcMar>
          </w:tcPr>
          <w:p w14:paraId="3CDD20E0"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99,127</w:t>
            </w:r>
          </w:p>
        </w:tc>
        <w:tc>
          <w:tcPr>
            <w:tcW w:w="1035" w:type="dxa"/>
            <w:tcBorders>
              <w:top w:val="nil"/>
              <w:left w:val="nil"/>
              <w:bottom w:val="nil"/>
              <w:right w:val="nil"/>
              <w:tl2br w:val="nil"/>
              <w:tr2bl w:val="nil"/>
            </w:tcBorders>
            <w:shd w:val="clear" w:color="FFFFFF" w:fill="FFFFFF"/>
            <w:tcMar>
              <w:left w:w="101" w:type="dxa"/>
              <w:right w:w="101" w:type="dxa"/>
            </w:tcMar>
          </w:tcPr>
          <w:p w14:paraId="0A430A52"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96,187</w:t>
            </w:r>
          </w:p>
        </w:tc>
      </w:tr>
      <w:tr w:rsidR="00C07D35" w14:paraId="5907E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7BFF5F"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500A93E"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697F2C"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40980C"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15CEC4"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A9F6D7"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6F7470"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D2E0D3" w14:textId="77777777" w:rsidR="00C07D35" w:rsidRDefault="00C07D35">
            <w:pPr>
              <w:pStyle w:val="Normal7"/>
              <w:rPr>
                <w:rFonts w:ascii="Calibri" w:eastAsia="Calibri" w:hAnsi="Calibri" w:cs="Calibri"/>
                <w:color w:val="000000"/>
                <w:sz w:val="18"/>
              </w:rPr>
            </w:pPr>
          </w:p>
        </w:tc>
      </w:tr>
      <w:tr w:rsidR="00C07D35" w14:paraId="1274CC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284792"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44E6B47"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F76685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8CF059"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ED690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E27A66"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7E5A84"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637463" w14:textId="77777777" w:rsidR="00C07D35" w:rsidRDefault="00C07D35">
            <w:pPr>
              <w:pStyle w:val="Normal7"/>
              <w:rPr>
                <w:rFonts w:ascii="Calibri" w:eastAsia="Calibri" w:hAnsi="Calibri" w:cs="Calibri"/>
                <w:color w:val="000000"/>
                <w:sz w:val="18"/>
              </w:rPr>
            </w:pPr>
          </w:p>
        </w:tc>
      </w:tr>
      <w:tr w:rsidR="00C07D35" w14:paraId="5F6A4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CEE47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2,798</w:t>
            </w:r>
          </w:p>
        </w:tc>
        <w:tc>
          <w:tcPr>
            <w:tcW w:w="2385" w:type="dxa"/>
            <w:tcBorders>
              <w:top w:val="nil"/>
              <w:left w:val="nil"/>
              <w:bottom w:val="nil"/>
              <w:right w:val="nil"/>
              <w:tl2br w:val="nil"/>
              <w:tr2bl w:val="nil"/>
            </w:tcBorders>
            <w:shd w:val="clear" w:color="FFFFFF" w:fill="FFFFFF"/>
            <w:noWrap/>
            <w:tcMar>
              <w:left w:w="101" w:type="dxa"/>
              <w:right w:w="101" w:type="dxa"/>
            </w:tcMar>
          </w:tcPr>
          <w:p w14:paraId="0D1E928E"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68E8FA5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2,984</w:t>
            </w:r>
          </w:p>
        </w:tc>
        <w:tc>
          <w:tcPr>
            <w:tcW w:w="1035" w:type="dxa"/>
            <w:tcBorders>
              <w:top w:val="nil"/>
              <w:left w:val="nil"/>
              <w:bottom w:val="nil"/>
              <w:right w:val="nil"/>
              <w:tl2br w:val="nil"/>
              <w:tr2bl w:val="nil"/>
            </w:tcBorders>
            <w:shd w:val="clear" w:color="FFFFFF" w:fill="FFFFFF"/>
            <w:tcMar>
              <w:left w:w="101" w:type="dxa"/>
              <w:right w:w="101" w:type="dxa"/>
            </w:tcMar>
          </w:tcPr>
          <w:p w14:paraId="4CD8FAF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2,984</w:t>
            </w:r>
          </w:p>
        </w:tc>
        <w:tc>
          <w:tcPr>
            <w:tcW w:w="600" w:type="dxa"/>
            <w:tcBorders>
              <w:top w:val="nil"/>
              <w:left w:val="nil"/>
              <w:bottom w:val="nil"/>
              <w:right w:val="nil"/>
              <w:tl2br w:val="nil"/>
              <w:tr2bl w:val="nil"/>
            </w:tcBorders>
            <w:shd w:val="clear" w:color="FFFFFF" w:fill="FFFFFF"/>
            <w:tcMar>
              <w:left w:w="101" w:type="dxa"/>
              <w:right w:w="101" w:type="dxa"/>
            </w:tcMar>
          </w:tcPr>
          <w:p w14:paraId="3B21301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33E07E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2,983</w:t>
            </w:r>
          </w:p>
        </w:tc>
        <w:tc>
          <w:tcPr>
            <w:tcW w:w="1035" w:type="dxa"/>
            <w:tcBorders>
              <w:top w:val="nil"/>
              <w:left w:val="nil"/>
              <w:bottom w:val="nil"/>
              <w:right w:val="nil"/>
              <w:tl2br w:val="nil"/>
              <w:tr2bl w:val="nil"/>
            </w:tcBorders>
            <w:shd w:val="clear" w:color="FFFFFF" w:fill="FFFFFF"/>
            <w:tcMar>
              <w:left w:w="101" w:type="dxa"/>
              <w:right w:w="101" w:type="dxa"/>
            </w:tcMar>
          </w:tcPr>
          <w:p w14:paraId="7DC292F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2,982</w:t>
            </w:r>
          </w:p>
        </w:tc>
        <w:tc>
          <w:tcPr>
            <w:tcW w:w="1035" w:type="dxa"/>
            <w:tcBorders>
              <w:top w:val="nil"/>
              <w:left w:val="nil"/>
              <w:bottom w:val="nil"/>
              <w:right w:val="nil"/>
              <w:tl2br w:val="nil"/>
              <w:tr2bl w:val="nil"/>
            </w:tcBorders>
            <w:shd w:val="clear" w:color="FFFFFF" w:fill="FFFFFF"/>
            <w:tcMar>
              <w:left w:w="101" w:type="dxa"/>
              <w:right w:w="101" w:type="dxa"/>
            </w:tcMar>
          </w:tcPr>
          <w:p w14:paraId="2C8E0533"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2,981</w:t>
            </w:r>
          </w:p>
        </w:tc>
      </w:tr>
      <w:tr w:rsidR="00C07D35" w14:paraId="78232C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4E680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376</w:t>
            </w:r>
          </w:p>
        </w:tc>
        <w:tc>
          <w:tcPr>
            <w:tcW w:w="2385" w:type="dxa"/>
            <w:tcBorders>
              <w:top w:val="nil"/>
              <w:left w:val="nil"/>
              <w:bottom w:val="nil"/>
              <w:right w:val="nil"/>
              <w:tl2br w:val="nil"/>
              <w:tr2bl w:val="nil"/>
            </w:tcBorders>
            <w:shd w:val="clear" w:color="FFFFFF" w:fill="FFFFFF"/>
            <w:noWrap/>
            <w:tcMar>
              <w:left w:w="101" w:type="dxa"/>
              <w:right w:w="101" w:type="dxa"/>
            </w:tcMar>
          </w:tcPr>
          <w:p w14:paraId="59F912D4"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35443C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405</w:t>
            </w:r>
          </w:p>
        </w:tc>
        <w:tc>
          <w:tcPr>
            <w:tcW w:w="1035" w:type="dxa"/>
            <w:tcBorders>
              <w:top w:val="nil"/>
              <w:left w:val="nil"/>
              <w:bottom w:val="nil"/>
              <w:right w:val="nil"/>
              <w:tl2br w:val="nil"/>
              <w:tr2bl w:val="nil"/>
            </w:tcBorders>
            <w:shd w:val="clear" w:color="FFFFFF" w:fill="FFFFFF"/>
            <w:tcMar>
              <w:left w:w="101" w:type="dxa"/>
              <w:right w:w="101" w:type="dxa"/>
            </w:tcMar>
          </w:tcPr>
          <w:p w14:paraId="12B81CC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409</w:t>
            </w:r>
          </w:p>
        </w:tc>
        <w:tc>
          <w:tcPr>
            <w:tcW w:w="600" w:type="dxa"/>
            <w:tcBorders>
              <w:top w:val="nil"/>
              <w:left w:val="nil"/>
              <w:bottom w:val="nil"/>
              <w:right w:val="nil"/>
              <w:tl2br w:val="nil"/>
              <w:tr2bl w:val="nil"/>
            </w:tcBorders>
            <w:shd w:val="clear" w:color="FFFFFF" w:fill="FFFFFF"/>
            <w:tcMar>
              <w:left w:w="101" w:type="dxa"/>
              <w:right w:w="101" w:type="dxa"/>
            </w:tcMar>
          </w:tcPr>
          <w:p w14:paraId="3C35CE9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74298A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338</w:t>
            </w:r>
          </w:p>
        </w:tc>
        <w:tc>
          <w:tcPr>
            <w:tcW w:w="1035" w:type="dxa"/>
            <w:tcBorders>
              <w:top w:val="nil"/>
              <w:left w:val="nil"/>
              <w:bottom w:val="nil"/>
              <w:right w:val="nil"/>
              <w:tl2br w:val="nil"/>
              <w:tr2bl w:val="nil"/>
            </w:tcBorders>
            <w:shd w:val="clear" w:color="FFFFFF" w:fill="FFFFFF"/>
            <w:tcMar>
              <w:left w:w="101" w:type="dxa"/>
              <w:right w:w="101" w:type="dxa"/>
            </w:tcMar>
          </w:tcPr>
          <w:p w14:paraId="50E7CBF6"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267</w:t>
            </w:r>
          </w:p>
        </w:tc>
        <w:tc>
          <w:tcPr>
            <w:tcW w:w="1035" w:type="dxa"/>
            <w:tcBorders>
              <w:top w:val="nil"/>
              <w:left w:val="nil"/>
              <w:bottom w:val="nil"/>
              <w:right w:val="nil"/>
              <w:tl2br w:val="nil"/>
              <w:tr2bl w:val="nil"/>
            </w:tcBorders>
            <w:shd w:val="clear" w:color="FFFFFF" w:fill="FFFFFF"/>
            <w:tcMar>
              <w:left w:w="101" w:type="dxa"/>
              <w:right w:w="101" w:type="dxa"/>
            </w:tcMar>
          </w:tcPr>
          <w:p w14:paraId="67886F50"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196</w:t>
            </w:r>
          </w:p>
        </w:tc>
      </w:tr>
      <w:tr w:rsidR="00C07D35" w14:paraId="1DF88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7B6F8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23,612</w:t>
            </w:r>
          </w:p>
        </w:tc>
        <w:tc>
          <w:tcPr>
            <w:tcW w:w="2385" w:type="dxa"/>
            <w:tcBorders>
              <w:top w:val="nil"/>
              <w:left w:val="nil"/>
              <w:bottom w:val="nil"/>
              <w:right w:val="nil"/>
              <w:tl2br w:val="nil"/>
              <w:tr2bl w:val="nil"/>
            </w:tcBorders>
            <w:shd w:val="clear" w:color="FFFFFF" w:fill="FFFFFF"/>
            <w:noWrap/>
            <w:tcMar>
              <w:left w:w="101" w:type="dxa"/>
              <w:right w:w="101" w:type="dxa"/>
            </w:tcMar>
          </w:tcPr>
          <w:p w14:paraId="3273200F"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5A19CF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24,418</w:t>
            </w:r>
          </w:p>
        </w:tc>
        <w:tc>
          <w:tcPr>
            <w:tcW w:w="1035" w:type="dxa"/>
            <w:tcBorders>
              <w:top w:val="nil"/>
              <w:left w:val="nil"/>
              <w:bottom w:val="nil"/>
              <w:right w:val="nil"/>
              <w:tl2br w:val="nil"/>
              <w:tr2bl w:val="nil"/>
            </w:tcBorders>
            <w:shd w:val="clear" w:color="FFFFFF" w:fill="FFFFFF"/>
            <w:tcMar>
              <w:left w:w="101" w:type="dxa"/>
              <w:right w:w="101" w:type="dxa"/>
            </w:tcMar>
          </w:tcPr>
          <w:p w14:paraId="240F8E7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25,048</w:t>
            </w:r>
          </w:p>
        </w:tc>
        <w:tc>
          <w:tcPr>
            <w:tcW w:w="600" w:type="dxa"/>
            <w:tcBorders>
              <w:top w:val="nil"/>
              <w:left w:val="nil"/>
              <w:bottom w:val="nil"/>
              <w:right w:val="nil"/>
              <w:tl2br w:val="nil"/>
              <w:tr2bl w:val="nil"/>
            </w:tcBorders>
            <w:shd w:val="clear" w:color="FFFFFF" w:fill="FFFFFF"/>
            <w:tcMar>
              <w:left w:w="101" w:type="dxa"/>
              <w:right w:w="101" w:type="dxa"/>
            </w:tcMar>
          </w:tcPr>
          <w:p w14:paraId="03D84F4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C673D67"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25,747</w:t>
            </w:r>
          </w:p>
        </w:tc>
        <w:tc>
          <w:tcPr>
            <w:tcW w:w="1035" w:type="dxa"/>
            <w:tcBorders>
              <w:top w:val="nil"/>
              <w:left w:val="nil"/>
              <w:bottom w:val="nil"/>
              <w:right w:val="nil"/>
              <w:tl2br w:val="nil"/>
              <w:tr2bl w:val="nil"/>
            </w:tcBorders>
            <w:shd w:val="clear" w:color="FFFFFF" w:fill="FFFFFF"/>
            <w:tcMar>
              <w:left w:w="101" w:type="dxa"/>
              <w:right w:w="101" w:type="dxa"/>
            </w:tcMar>
          </w:tcPr>
          <w:p w14:paraId="3FAB58A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26,517</w:t>
            </w:r>
          </w:p>
        </w:tc>
        <w:tc>
          <w:tcPr>
            <w:tcW w:w="1035" w:type="dxa"/>
            <w:tcBorders>
              <w:top w:val="nil"/>
              <w:left w:val="nil"/>
              <w:bottom w:val="nil"/>
              <w:right w:val="nil"/>
              <w:tl2br w:val="nil"/>
              <w:tr2bl w:val="nil"/>
            </w:tcBorders>
            <w:shd w:val="clear" w:color="FFFFFF" w:fill="FFFFFF"/>
            <w:tcMar>
              <w:left w:w="101" w:type="dxa"/>
              <w:right w:w="101" w:type="dxa"/>
            </w:tcMar>
          </w:tcPr>
          <w:p w14:paraId="2B740BE1"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27,360</w:t>
            </w:r>
          </w:p>
        </w:tc>
      </w:tr>
      <w:tr w:rsidR="00C07D35" w14:paraId="637CFA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3CE18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1,208</w:t>
            </w:r>
          </w:p>
        </w:tc>
        <w:tc>
          <w:tcPr>
            <w:tcW w:w="2385" w:type="dxa"/>
            <w:tcBorders>
              <w:top w:val="nil"/>
              <w:left w:val="nil"/>
              <w:bottom w:val="nil"/>
              <w:right w:val="nil"/>
              <w:tl2br w:val="nil"/>
              <w:tr2bl w:val="nil"/>
            </w:tcBorders>
            <w:shd w:val="clear" w:color="FFFFFF" w:fill="FFFFFF"/>
            <w:noWrap/>
            <w:tcMar>
              <w:left w:w="101" w:type="dxa"/>
              <w:right w:w="101" w:type="dxa"/>
            </w:tcMar>
          </w:tcPr>
          <w:p w14:paraId="54A56C62"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693BD21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6F81BD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751E71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C1C5113"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55F244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00E5C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C07D35" w14:paraId="24FDE8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A1468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670</w:t>
            </w:r>
          </w:p>
        </w:tc>
        <w:tc>
          <w:tcPr>
            <w:tcW w:w="2385" w:type="dxa"/>
            <w:tcBorders>
              <w:top w:val="nil"/>
              <w:left w:val="nil"/>
              <w:bottom w:val="nil"/>
              <w:right w:val="nil"/>
              <w:tl2br w:val="nil"/>
              <w:tr2bl w:val="nil"/>
            </w:tcBorders>
            <w:shd w:val="clear" w:color="FFFFFF" w:fill="FFFFFF"/>
            <w:noWrap/>
            <w:tcMar>
              <w:left w:w="101" w:type="dxa"/>
              <w:right w:w="101" w:type="dxa"/>
            </w:tcMar>
          </w:tcPr>
          <w:p w14:paraId="621C6636"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68A2165"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925</w:t>
            </w:r>
          </w:p>
        </w:tc>
        <w:tc>
          <w:tcPr>
            <w:tcW w:w="1035" w:type="dxa"/>
            <w:tcBorders>
              <w:top w:val="nil"/>
              <w:left w:val="nil"/>
              <w:bottom w:val="nil"/>
              <w:right w:val="nil"/>
              <w:tl2br w:val="nil"/>
              <w:tr2bl w:val="nil"/>
            </w:tcBorders>
            <w:shd w:val="clear" w:color="FFFFFF" w:fill="FFFFFF"/>
            <w:tcMar>
              <w:left w:w="101" w:type="dxa"/>
              <w:right w:w="101" w:type="dxa"/>
            </w:tcMar>
          </w:tcPr>
          <w:p w14:paraId="2C30229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925</w:t>
            </w:r>
          </w:p>
        </w:tc>
        <w:tc>
          <w:tcPr>
            <w:tcW w:w="600" w:type="dxa"/>
            <w:tcBorders>
              <w:top w:val="nil"/>
              <w:left w:val="nil"/>
              <w:bottom w:val="nil"/>
              <w:right w:val="nil"/>
              <w:tl2br w:val="nil"/>
              <w:tr2bl w:val="nil"/>
            </w:tcBorders>
            <w:shd w:val="clear" w:color="FFFFFF" w:fill="FFFFFF"/>
            <w:tcMar>
              <w:left w:w="101" w:type="dxa"/>
              <w:right w:w="101" w:type="dxa"/>
            </w:tcMar>
          </w:tcPr>
          <w:p w14:paraId="4DABE14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5EE6C9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925</w:t>
            </w:r>
          </w:p>
        </w:tc>
        <w:tc>
          <w:tcPr>
            <w:tcW w:w="1035" w:type="dxa"/>
            <w:tcBorders>
              <w:top w:val="nil"/>
              <w:left w:val="nil"/>
              <w:bottom w:val="nil"/>
              <w:right w:val="nil"/>
              <w:tl2br w:val="nil"/>
              <w:tr2bl w:val="nil"/>
            </w:tcBorders>
            <w:shd w:val="clear" w:color="FFFFFF" w:fill="FFFFFF"/>
            <w:tcMar>
              <w:left w:w="101" w:type="dxa"/>
              <w:right w:w="101" w:type="dxa"/>
            </w:tcMar>
          </w:tcPr>
          <w:p w14:paraId="36C9744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925</w:t>
            </w:r>
          </w:p>
        </w:tc>
        <w:tc>
          <w:tcPr>
            <w:tcW w:w="1035" w:type="dxa"/>
            <w:tcBorders>
              <w:top w:val="nil"/>
              <w:left w:val="nil"/>
              <w:bottom w:val="nil"/>
              <w:right w:val="nil"/>
              <w:tl2br w:val="nil"/>
              <w:tr2bl w:val="nil"/>
            </w:tcBorders>
            <w:shd w:val="clear" w:color="FFFFFF" w:fill="FFFFFF"/>
            <w:tcMar>
              <w:left w:w="101" w:type="dxa"/>
              <w:right w:w="101" w:type="dxa"/>
            </w:tcMar>
          </w:tcPr>
          <w:p w14:paraId="697E1524"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925</w:t>
            </w:r>
          </w:p>
        </w:tc>
      </w:tr>
      <w:tr w:rsidR="00C07D35" w14:paraId="6C61D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BA7E14"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C83879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F50916"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6A8668"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B30F75" w14:textId="77777777" w:rsidR="00C07D35" w:rsidRDefault="00C07D35">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64E6E1"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FA047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9B140" w14:textId="77777777" w:rsidR="00C07D35" w:rsidRDefault="00C07D35">
            <w:pPr>
              <w:pStyle w:val="Normal7"/>
              <w:rPr>
                <w:rFonts w:ascii="Calibri" w:eastAsia="Calibri" w:hAnsi="Calibri" w:cs="Calibri"/>
                <w:color w:val="000000"/>
                <w:sz w:val="18"/>
              </w:rPr>
            </w:pPr>
          </w:p>
        </w:tc>
      </w:tr>
      <w:tr w:rsidR="00C07D35" w14:paraId="77F3C2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1CE102B"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28,664</w:t>
            </w:r>
          </w:p>
        </w:tc>
        <w:tc>
          <w:tcPr>
            <w:tcW w:w="2385" w:type="dxa"/>
            <w:tcBorders>
              <w:top w:val="nil"/>
              <w:left w:val="nil"/>
              <w:bottom w:val="nil"/>
              <w:right w:val="nil"/>
              <w:tl2br w:val="nil"/>
              <w:tr2bl w:val="nil"/>
            </w:tcBorders>
            <w:shd w:val="clear" w:color="FFFFFF" w:fill="FFFFFF"/>
            <w:tcMar>
              <w:left w:w="101" w:type="dxa"/>
              <w:right w:w="101" w:type="dxa"/>
            </w:tcMar>
          </w:tcPr>
          <w:p w14:paraId="594EF6E5"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5628EA7"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28,733</w:t>
            </w:r>
          </w:p>
        </w:tc>
        <w:tc>
          <w:tcPr>
            <w:tcW w:w="1035" w:type="dxa"/>
            <w:tcBorders>
              <w:top w:val="nil"/>
              <w:left w:val="nil"/>
              <w:bottom w:val="nil"/>
              <w:right w:val="nil"/>
              <w:tl2br w:val="nil"/>
              <w:tr2bl w:val="nil"/>
            </w:tcBorders>
            <w:shd w:val="clear" w:color="FFFFFF" w:fill="FFFFFF"/>
            <w:noWrap/>
            <w:tcMar>
              <w:left w:w="101" w:type="dxa"/>
              <w:right w:w="101" w:type="dxa"/>
            </w:tcMar>
          </w:tcPr>
          <w:p w14:paraId="710776E1"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29,366</w:t>
            </w:r>
          </w:p>
        </w:tc>
        <w:tc>
          <w:tcPr>
            <w:tcW w:w="600" w:type="dxa"/>
            <w:tcBorders>
              <w:top w:val="nil"/>
              <w:left w:val="nil"/>
              <w:bottom w:val="nil"/>
              <w:right w:val="nil"/>
              <w:tl2br w:val="nil"/>
              <w:tr2bl w:val="nil"/>
            </w:tcBorders>
            <w:shd w:val="clear" w:color="FFFFFF" w:fill="FFFFFF"/>
            <w:tcMar>
              <w:left w:w="101" w:type="dxa"/>
              <w:right w:w="101" w:type="dxa"/>
            </w:tcMar>
          </w:tcPr>
          <w:p w14:paraId="46688A40"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338CA479"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29,993</w:t>
            </w:r>
          </w:p>
        </w:tc>
        <w:tc>
          <w:tcPr>
            <w:tcW w:w="1035" w:type="dxa"/>
            <w:tcBorders>
              <w:top w:val="nil"/>
              <w:left w:val="nil"/>
              <w:bottom w:val="nil"/>
              <w:right w:val="nil"/>
              <w:tl2br w:val="nil"/>
              <w:tr2bl w:val="nil"/>
            </w:tcBorders>
            <w:shd w:val="clear" w:color="FFFFFF" w:fill="FFFFFF"/>
            <w:noWrap/>
            <w:tcMar>
              <w:left w:w="101" w:type="dxa"/>
              <w:right w:w="101" w:type="dxa"/>
            </w:tcMar>
          </w:tcPr>
          <w:p w14:paraId="358E8D06"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30,691</w:t>
            </w:r>
          </w:p>
        </w:tc>
        <w:tc>
          <w:tcPr>
            <w:tcW w:w="1035" w:type="dxa"/>
            <w:tcBorders>
              <w:top w:val="nil"/>
              <w:left w:val="nil"/>
              <w:bottom w:val="nil"/>
              <w:right w:val="nil"/>
              <w:tl2br w:val="nil"/>
              <w:tr2bl w:val="nil"/>
            </w:tcBorders>
            <w:shd w:val="clear" w:color="FFFFFF" w:fill="FFFFFF"/>
            <w:noWrap/>
            <w:tcMar>
              <w:left w:w="101" w:type="dxa"/>
              <w:right w:w="101" w:type="dxa"/>
            </w:tcMar>
          </w:tcPr>
          <w:p w14:paraId="38C4FB91"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31,462</w:t>
            </w:r>
          </w:p>
        </w:tc>
      </w:tr>
      <w:tr w:rsidR="00C07D35" w14:paraId="79ED1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69D315"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FD3A7AB"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D4193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D77758"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0A3F2F" w14:textId="77777777" w:rsidR="00C07D35" w:rsidRDefault="00C07D35">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26F49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8160A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66AC4F" w14:textId="77777777" w:rsidR="00C07D35" w:rsidRDefault="00C07D35">
            <w:pPr>
              <w:pStyle w:val="Normal7"/>
              <w:rPr>
                <w:rFonts w:ascii="Calibri" w:eastAsia="Calibri" w:hAnsi="Calibri" w:cs="Calibri"/>
                <w:color w:val="000000"/>
                <w:sz w:val="18"/>
              </w:rPr>
            </w:pPr>
          </w:p>
        </w:tc>
      </w:tr>
      <w:tr w:rsidR="00C07D35" w14:paraId="3DA283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6E62DD"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0D37C40" w14:textId="77777777" w:rsidR="00C07D35" w:rsidRDefault="00A4668D">
            <w:pPr>
              <w:pStyle w:val="Normal7"/>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4C524D0F"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631FEE"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CCA67B" w14:textId="77777777" w:rsidR="00C07D35" w:rsidRDefault="00C07D35">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1B9F4A"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BAB538"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C70F4B" w14:textId="77777777" w:rsidR="00C07D35" w:rsidRDefault="00C07D35">
            <w:pPr>
              <w:pStyle w:val="Normal7"/>
              <w:rPr>
                <w:rFonts w:ascii="Calibri" w:eastAsia="Calibri" w:hAnsi="Calibri" w:cs="Calibri"/>
                <w:color w:val="000000"/>
                <w:sz w:val="18"/>
              </w:rPr>
            </w:pPr>
          </w:p>
        </w:tc>
      </w:tr>
      <w:tr w:rsidR="00C07D35" w14:paraId="31835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AC8A45"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779</w:t>
            </w:r>
          </w:p>
        </w:tc>
        <w:tc>
          <w:tcPr>
            <w:tcW w:w="2385" w:type="dxa"/>
            <w:tcBorders>
              <w:top w:val="nil"/>
              <w:left w:val="nil"/>
              <w:bottom w:val="nil"/>
              <w:right w:val="nil"/>
              <w:tl2br w:val="nil"/>
              <w:tr2bl w:val="nil"/>
            </w:tcBorders>
            <w:shd w:val="clear" w:color="FFFFFF" w:fill="FFFFFF"/>
            <w:noWrap/>
            <w:tcMar>
              <w:left w:w="101" w:type="dxa"/>
              <w:right w:w="101" w:type="dxa"/>
            </w:tcMar>
          </w:tcPr>
          <w:p w14:paraId="5C414B1D"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FEB6D67" w14:textId="0F032A35"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62</w:t>
            </w:r>
            <w:r w:rsidR="000C7235">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15D0E867" w14:textId="0776FE1C"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43</w:t>
            </w:r>
            <w:r w:rsidR="000C7235">
              <w:rPr>
                <w:rFonts w:ascii="Calibri" w:eastAsia="Calibri" w:hAnsi="Calibri" w:cs="Calibri"/>
                <w:color w:val="000000"/>
                <w:sz w:val="18"/>
              </w:rPr>
              <w:t>7</w:t>
            </w:r>
          </w:p>
        </w:tc>
        <w:tc>
          <w:tcPr>
            <w:tcW w:w="600" w:type="dxa"/>
            <w:tcBorders>
              <w:top w:val="nil"/>
              <w:left w:val="nil"/>
              <w:bottom w:val="nil"/>
              <w:right w:val="nil"/>
              <w:tl2br w:val="nil"/>
              <w:tr2bl w:val="nil"/>
            </w:tcBorders>
            <w:shd w:val="clear" w:color="FFFFFF" w:fill="FFFFFF"/>
            <w:tcMar>
              <w:left w:w="101" w:type="dxa"/>
              <w:right w:w="101" w:type="dxa"/>
            </w:tcMar>
          </w:tcPr>
          <w:p w14:paraId="0A70850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19ACD7BB" w14:textId="7AFF3D41"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51</w:t>
            </w:r>
            <w:r w:rsidR="000C7235">
              <w:rPr>
                <w:rFonts w:ascii="Calibri" w:eastAsia="Calibri" w:hAnsi="Calibri" w:cs="Calibri"/>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16DCE785" w14:textId="2CDDD296"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60</w:t>
            </w:r>
            <w:r w:rsidR="000C7235">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3AA90D7" w14:textId="54E4949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68</w:t>
            </w:r>
            <w:r w:rsidR="000C7235">
              <w:rPr>
                <w:rFonts w:ascii="Calibri" w:eastAsia="Calibri" w:hAnsi="Calibri" w:cs="Calibri"/>
                <w:color w:val="000000"/>
                <w:sz w:val="18"/>
              </w:rPr>
              <w:t>3</w:t>
            </w:r>
          </w:p>
        </w:tc>
      </w:tr>
      <w:tr w:rsidR="00C07D35" w14:paraId="6EEA9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FE4D5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1,592</w:t>
            </w:r>
          </w:p>
        </w:tc>
        <w:tc>
          <w:tcPr>
            <w:tcW w:w="2385" w:type="dxa"/>
            <w:tcBorders>
              <w:top w:val="nil"/>
              <w:left w:val="nil"/>
              <w:bottom w:val="nil"/>
              <w:right w:val="nil"/>
              <w:tl2br w:val="nil"/>
              <w:tr2bl w:val="nil"/>
            </w:tcBorders>
            <w:shd w:val="clear" w:color="FFFFFF" w:fill="FFFFFF"/>
            <w:noWrap/>
            <w:tcMar>
              <w:left w:w="101" w:type="dxa"/>
              <w:right w:w="101" w:type="dxa"/>
            </w:tcMar>
          </w:tcPr>
          <w:p w14:paraId="57EA7E83"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5A045B5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1,609</w:t>
            </w:r>
          </w:p>
        </w:tc>
        <w:tc>
          <w:tcPr>
            <w:tcW w:w="1035" w:type="dxa"/>
            <w:tcBorders>
              <w:top w:val="nil"/>
              <w:left w:val="nil"/>
              <w:bottom w:val="nil"/>
              <w:right w:val="nil"/>
              <w:tl2br w:val="nil"/>
              <w:tr2bl w:val="nil"/>
            </w:tcBorders>
            <w:shd w:val="clear" w:color="FFFFFF" w:fill="FFFFFF"/>
            <w:tcMar>
              <w:left w:w="101" w:type="dxa"/>
              <w:right w:w="101" w:type="dxa"/>
            </w:tcMar>
          </w:tcPr>
          <w:p w14:paraId="74317DE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1,767</w:t>
            </w:r>
          </w:p>
        </w:tc>
        <w:tc>
          <w:tcPr>
            <w:tcW w:w="600" w:type="dxa"/>
            <w:tcBorders>
              <w:top w:val="nil"/>
              <w:left w:val="nil"/>
              <w:bottom w:val="nil"/>
              <w:right w:val="nil"/>
              <w:tl2br w:val="nil"/>
              <w:tr2bl w:val="nil"/>
            </w:tcBorders>
            <w:shd w:val="clear" w:color="FFFFFF" w:fill="FFFFFF"/>
            <w:tcMar>
              <w:left w:w="101" w:type="dxa"/>
              <w:right w:w="101" w:type="dxa"/>
            </w:tcMar>
          </w:tcPr>
          <w:p w14:paraId="29B7406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762ED8FA"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1,925</w:t>
            </w:r>
          </w:p>
        </w:tc>
        <w:tc>
          <w:tcPr>
            <w:tcW w:w="1035" w:type="dxa"/>
            <w:tcBorders>
              <w:top w:val="nil"/>
              <w:left w:val="nil"/>
              <w:bottom w:val="nil"/>
              <w:right w:val="nil"/>
              <w:tl2br w:val="nil"/>
              <w:tr2bl w:val="nil"/>
            </w:tcBorders>
            <w:shd w:val="clear" w:color="FFFFFF" w:fill="FFFFFF"/>
            <w:tcMar>
              <w:left w:w="101" w:type="dxa"/>
              <w:right w:w="101" w:type="dxa"/>
            </w:tcMar>
          </w:tcPr>
          <w:p w14:paraId="7E46F10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2,083</w:t>
            </w:r>
          </w:p>
        </w:tc>
        <w:tc>
          <w:tcPr>
            <w:tcW w:w="1035" w:type="dxa"/>
            <w:tcBorders>
              <w:top w:val="nil"/>
              <w:left w:val="nil"/>
              <w:bottom w:val="nil"/>
              <w:right w:val="nil"/>
              <w:tl2br w:val="nil"/>
              <w:tr2bl w:val="nil"/>
            </w:tcBorders>
            <w:shd w:val="clear" w:color="FFFFFF" w:fill="FFFFFF"/>
            <w:tcMar>
              <w:left w:w="101" w:type="dxa"/>
              <w:right w:w="101" w:type="dxa"/>
            </w:tcMar>
          </w:tcPr>
          <w:p w14:paraId="029A2783"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2,241</w:t>
            </w:r>
          </w:p>
        </w:tc>
      </w:tr>
      <w:tr w:rsidR="00C07D35" w14:paraId="37314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DABFD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DFEB4EF"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0F700B25"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127</w:t>
            </w:r>
          </w:p>
        </w:tc>
        <w:tc>
          <w:tcPr>
            <w:tcW w:w="1035" w:type="dxa"/>
            <w:tcBorders>
              <w:top w:val="nil"/>
              <w:left w:val="nil"/>
              <w:bottom w:val="nil"/>
              <w:right w:val="nil"/>
              <w:tl2br w:val="nil"/>
              <w:tr2bl w:val="nil"/>
            </w:tcBorders>
            <w:shd w:val="clear" w:color="FFFFFF" w:fill="FFFFFF"/>
            <w:tcMar>
              <w:left w:w="101" w:type="dxa"/>
              <w:right w:w="101" w:type="dxa"/>
            </w:tcMar>
          </w:tcPr>
          <w:p w14:paraId="58684782"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127</w:t>
            </w:r>
          </w:p>
        </w:tc>
        <w:tc>
          <w:tcPr>
            <w:tcW w:w="600" w:type="dxa"/>
            <w:tcBorders>
              <w:top w:val="nil"/>
              <w:left w:val="nil"/>
              <w:bottom w:val="nil"/>
              <w:right w:val="nil"/>
              <w:tl2br w:val="nil"/>
              <w:tr2bl w:val="nil"/>
            </w:tcBorders>
            <w:shd w:val="clear" w:color="FFFFFF" w:fill="FFFFFF"/>
            <w:tcMar>
              <w:left w:w="101" w:type="dxa"/>
              <w:right w:w="101" w:type="dxa"/>
            </w:tcMar>
          </w:tcPr>
          <w:p w14:paraId="338C217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1ED9B65"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127</w:t>
            </w:r>
          </w:p>
        </w:tc>
        <w:tc>
          <w:tcPr>
            <w:tcW w:w="1035" w:type="dxa"/>
            <w:tcBorders>
              <w:top w:val="nil"/>
              <w:left w:val="nil"/>
              <w:bottom w:val="nil"/>
              <w:right w:val="nil"/>
              <w:tl2br w:val="nil"/>
              <w:tr2bl w:val="nil"/>
            </w:tcBorders>
            <w:shd w:val="clear" w:color="FFFFFF" w:fill="FFFFFF"/>
            <w:tcMar>
              <w:left w:w="101" w:type="dxa"/>
              <w:right w:w="101" w:type="dxa"/>
            </w:tcMar>
          </w:tcPr>
          <w:p w14:paraId="336F2325"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127</w:t>
            </w:r>
          </w:p>
        </w:tc>
        <w:tc>
          <w:tcPr>
            <w:tcW w:w="1035" w:type="dxa"/>
            <w:tcBorders>
              <w:top w:val="nil"/>
              <w:left w:val="nil"/>
              <w:bottom w:val="nil"/>
              <w:right w:val="nil"/>
              <w:tl2br w:val="nil"/>
              <w:tr2bl w:val="nil"/>
            </w:tcBorders>
            <w:shd w:val="clear" w:color="FFFFFF" w:fill="FFFFFF"/>
            <w:tcMar>
              <w:left w:w="101" w:type="dxa"/>
              <w:right w:w="101" w:type="dxa"/>
            </w:tcMar>
          </w:tcPr>
          <w:p w14:paraId="49A417C9"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127</w:t>
            </w:r>
          </w:p>
        </w:tc>
      </w:tr>
      <w:tr w:rsidR="00C07D35" w14:paraId="6A825F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C717F6"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5EF3CD7"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FDE357"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075547"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5F4202"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742FE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5F71D7"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9EF74F" w14:textId="77777777" w:rsidR="00C07D35" w:rsidRDefault="00C07D35">
            <w:pPr>
              <w:pStyle w:val="Normal7"/>
              <w:rPr>
                <w:rFonts w:ascii="Calibri" w:eastAsia="Calibri" w:hAnsi="Calibri" w:cs="Calibri"/>
                <w:color w:val="000000"/>
                <w:sz w:val="18"/>
              </w:rPr>
            </w:pPr>
          </w:p>
        </w:tc>
      </w:tr>
      <w:tr w:rsidR="00C07D35" w14:paraId="147C9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6A9B2B9"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2,371</w:t>
            </w:r>
          </w:p>
        </w:tc>
        <w:tc>
          <w:tcPr>
            <w:tcW w:w="2385" w:type="dxa"/>
            <w:tcBorders>
              <w:top w:val="nil"/>
              <w:left w:val="nil"/>
              <w:bottom w:val="nil"/>
              <w:right w:val="nil"/>
              <w:tl2br w:val="nil"/>
              <w:tr2bl w:val="nil"/>
            </w:tcBorders>
            <w:shd w:val="clear" w:color="FFFFFF" w:fill="FFFFFF"/>
            <w:tcMar>
              <w:left w:w="101" w:type="dxa"/>
              <w:right w:w="101" w:type="dxa"/>
            </w:tcMar>
          </w:tcPr>
          <w:p w14:paraId="573A2B10"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D92E611" w14:textId="6025455D"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2,36</w:t>
            </w:r>
            <w:r w:rsidR="000C7235">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3791118A" w14:textId="10E2D8D4"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2,33</w:t>
            </w:r>
            <w:r w:rsidR="000C7235">
              <w:rPr>
                <w:rFonts w:ascii="Calibri" w:eastAsia="Calibri" w:hAnsi="Calibri" w:cs="Calibri"/>
                <w:b/>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535A9C3F"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5628F0CE" w14:textId="69A500E6"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2,57</w:t>
            </w:r>
            <w:r w:rsidR="000C7235">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BAAF975" w14:textId="7A20671F"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2,81</w:t>
            </w:r>
            <w:r w:rsidR="000C7235">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6930E98C" w14:textId="4820FBDC"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3,05</w:t>
            </w:r>
            <w:r w:rsidR="000C7235">
              <w:rPr>
                <w:rFonts w:ascii="Calibri" w:eastAsia="Calibri" w:hAnsi="Calibri" w:cs="Calibri"/>
                <w:b/>
                <w:color w:val="000000"/>
                <w:sz w:val="18"/>
              </w:rPr>
              <w:t>1</w:t>
            </w:r>
          </w:p>
        </w:tc>
      </w:tr>
      <w:tr w:rsidR="00C07D35" w14:paraId="1FC93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ADDC25"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7E32560"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1D949D"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DB227B"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C67B30"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70A440"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59ED7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F89DC4" w14:textId="77777777" w:rsidR="00C07D35" w:rsidRDefault="00C07D35">
            <w:pPr>
              <w:pStyle w:val="Normal7"/>
              <w:rPr>
                <w:rFonts w:ascii="Calibri" w:eastAsia="Calibri" w:hAnsi="Calibri" w:cs="Calibri"/>
                <w:color w:val="000000"/>
                <w:sz w:val="18"/>
              </w:rPr>
            </w:pPr>
          </w:p>
        </w:tc>
      </w:tr>
      <w:tr w:rsidR="00C07D35" w14:paraId="1A2AB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5F79D2F"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31,035</w:t>
            </w:r>
          </w:p>
        </w:tc>
        <w:tc>
          <w:tcPr>
            <w:tcW w:w="2385" w:type="dxa"/>
            <w:tcBorders>
              <w:top w:val="nil"/>
              <w:left w:val="nil"/>
              <w:bottom w:val="nil"/>
              <w:right w:val="nil"/>
              <w:tl2br w:val="nil"/>
              <w:tr2bl w:val="nil"/>
            </w:tcBorders>
            <w:shd w:val="clear" w:color="FFFFFF" w:fill="FFFFFF"/>
            <w:tcMar>
              <w:left w:w="101" w:type="dxa"/>
              <w:right w:w="101" w:type="dxa"/>
            </w:tcMar>
          </w:tcPr>
          <w:p w14:paraId="0755B63F"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3D3BC4" w14:textId="346AFA78"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31,09</w:t>
            </w:r>
            <w:r w:rsidR="000C7235">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noWrap/>
            <w:tcMar>
              <w:left w:w="101" w:type="dxa"/>
              <w:right w:w="101" w:type="dxa"/>
            </w:tcMar>
          </w:tcPr>
          <w:p w14:paraId="0E2AC6D7" w14:textId="07179561"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31,69</w:t>
            </w:r>
            <w:r w:rsidR="000C7235">
              <w:rPr>
                <w:rFonts w:ascii="Calibri" w:eastAsia="Calibri" w:hAnsi="Calibri" w:cs="Calibri"/>
                <w:b/>
                <w:color w:val="000000"/>
                <w:sz w:val="18"/>
              </w:rPr>
              <w:t>7</w:t>
            </w:r>
          </w:p>
        </w:tc>
        <w:tc>
          <w:tcPr>
            <w:tcW w:w="600" w:type="dxa"/>
            <w:tcBorders>
              <w:top w:val="nil"/>
              <w:left w:val="nil"/>
              <w:bottom w:val="nil"/>
              <w:right w:val="nil"/>
              <w:tl2br w:val="nil"/>
              <w:tr2bl w:val="nil"/>
            </w:tcBorders>
            <w:shd w:val="clear" w:color="FFFFFF" w:fill="FFFFFF"/>
            <w:tcMar>
              <w:left w:w="101" w:type="dxa"/>
              <w:right w:w="101" w:type="dxa"/>
            </w:tcMar>
          </w:tcPr>
          <w:p w14:paraId="1A1AEAAB"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5A95D51" w14:textId="2ECA5E2A"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32,56</w:t>
            </w:r>
            <w:r w:rsidR="000C7235">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1D6DB2F0" w14:textId="248B4661"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33,50</w:t>
            </w:r>
            <w:r w:rsidR="000C7235">
              <w:rPr>
                <w:rFonts w:ascii="Calibri" w:eastAsia="Calibri" w:hAnsi="Calibri" w:cs="Calibri"/>
                <w:b/>
                <w:color w:val="000000"/>
                <w:sz w:val="18"/>
              </w:rPr>
              <w:t>2</w:t>
            </w:r>
          </w:p>
        </w:tc>
        <w:tc>
          <w:tcPr>
            <w:tcW w:w="1035" w:type="dxa"/>
            <w:tcBorders>
              <w:top w:val="nil"/>
              <w:left w:val="nil"/>
              <w:bottom w:val="nil"/>
              <w:right w:val="nil"/>
              <w:tl2br w:val="nil"/>
              <w:tr2bl w:val="nil"/>
            </w:tcBorders>
            <w:shd w:val="clear" w:color="FFFFFF" w:fill="FFFFFF"/>
            <w:noWrap/>
            <w:tcMar>
              <w:left w:w="101" w:type="dxa"/>
              <w:right w:w="101" w:type="dxa"/>
            </w:tcMar>
          </w:tcPr>
          <w:p w14:paraId="147651BE" w14:textId="0E17B7E8"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34,51</w:t>
            </w:r>
            <w:r w:rsidR="000C7235">
              <w:rPr>
                <w:rFonts w:ascii="Calibri" w:eastAsia="Calibri" w:hAnsi="Calibri" w:cs="Calibri"/>
                <w:b/>
                <w:color w:val="000000"/>
                <w:sz w:val="18"/>
              </w:rPr>
              <w:t>3</w:t>
            </w:r>
          </w:p>
        </w:tc>
      </w:tr>
      <w:tr w:rsidR="00C07D35" w14:paraId="176840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5A669D"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E1F7B03"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BF042C"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0FDCFB"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9D7095"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F4F772"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C598DE"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866F4A" w14:textId="77777777" w:rsidR="00C07D35" w:rsidRDefault="00C07D35">
            <w:pPr>
              <w:pStyle w:val="Normal7"/>
              <w:rPr>
                <w:rFonts w:ascii="Calibri" w:eastAsia="Calibri" w:hAnsi="Calibri" w:cs="Calibri"/>
                <w:color w:val="000000"/>
                <w:sz w:val="18"/>
              </w:rPr>
            </w:pPr>
          </w:p>
        </w:tc>
      </w:tr>
      <w:tr w:rsidR="00C07D35" w14:paraId="3F2919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57C6792"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62,259</w:t>
            </w:r>
          </w:p>
        </w:tc>
        <w:tc>
          <w:tcPr>
            <w:tcW w:w="2385" w:type="dxa"/>
            <w:tcBorders>
              <w:top w:val="nil"/>
              <w:left w:val="nil"/>
              <w:bottom w:val="nil"/>
              <w:right w:val="nil"/>
              <w:tl2br w:val="nil"/>
              <w:tr2bl w:val="nil"/>
            </w:tcBorders>
            <w:shd w:val="clear" w:color="FFFFFF" w:fill="FFFFFF"/>
            <w:tcMar>
              <w:left w:w="101" w:type="dxa"/>
              <w:right w:w="101" w:type="dxa"/>
            </w:tcMar>
          </w:tcPr>
          <w:p w14:paraId="609E1AF0"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C7C4D4B" w14:textId="3EF6E964"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70,72</w:t>
            </w:r>
            <w:r w:rsidR="000C7235">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7AE037F" w14:textId="21647E51"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73,67</w:t>
            </w:r>
            <w:r w:rsidR="000C7235">
              <w:rPr>
                <w:rFonts w:ascii="Calibri" w:eastAsia="Calibri" w:hAnsi="Calibri" w:cs="Calibri"/>
                <w:b/>
                <w:color w:val="000000"/>
                <w:sz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29C9036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1F93EE85" w14:textId="274EACDD"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69,54</w:t>
            </w:r>
            <w:r w:rsidR="000C7235">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093219F8" w14:textId="104A600C"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65,62</w:t>
            </w:r>
            <w:r w:rsidR="000C7235">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621AF4AA" w14:textId="105363F6"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61,67</w:t>
            </w:r>
            <w:r w:rsidR="000C7235">
              <w:rPr>
                <w:rFonts w:ascii="Calibri" w:eastAsia="Calibri" w:hAnsi="Calibri" w:cs="Calibri"/>
                <w:b/>
                <w:color w:val="000000"/>
                <w:sz w:val="18"/>
              </w:rPr>
              <w:t>4</w:t>
            </w:r>
          </w:p>
        </w:tc>
      </w:tr>
      <w:tr w:rsidR="00C07D35" w14:paraId="14C4A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6B46072" w14:textId="77777777" w:rsidR="00C07D35" w:rsidRDefault="00C07D35">
            <w:pPr>
              <w:pStyle w:val="Normal7"/>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70E4CE20"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C07D35" w14:paraId="758FF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DD0F9F" w14:textId="77777777" w:rsidR="00C07D35" w:rsidRDefault="00C07D35">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9AD3CB2"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FE7520"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DFF4DD" w14:textId="77777777" w:rsidR="00C07D35" w:rsidRDefault="00C07D35">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C18A84"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EBC7B1"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588DB1" w14:textId="77777777" w:rsidR="00C07D35" w:rsidRDefault="00C07D35">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40A894" w14:textId="77777777" w:rsidR="00C07D35" w:rsidRDefault="00C07D35">
            <w:pPr>
              <w:pStyle w:val="Normal7"/>
              <w:rPr>
                <w:rFonts w:ascii="Calibri" w:eastAsia="Calibri" w:hAnsi="Calibri" w:cs="Calibri"/>
                <w:color w:val="000000"/>
                <w:sz w:val="18"/>
              </w:rPr>
            </w:pPr>
          </w:p>
        </w:tc>
      </w:tr>
      <w:tr w:rsidR="00C07D35" w14:paraId="230CB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24737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58,066</w:t>
            </w:r>
          </w:p>
        </w:tc>
        <w:tc>
          <w:tcPr>
            <w:tcW w:w="2385" w:type="dxa"/>
            <w:tcBorders>
              <w:top w:val="nil"/>
              <w:left w:val="nil"/>
              <w:bottom w:val="nil"/>
              <w:right w:val="nil"/>
              <w:tl2br w:val="nil"/>
              <w:tr2bl w:val="nil"/>
            </w:tcBorders>
            <w:shd w:val="clear" w:color="FFFFFF" w:fill="FFFFFF"/>
            <w:noWrap/>
            <w:tcMar>
              <w:left w:w="101" w:type="dxa"/>
              <w:right w:w="101" w:type="dxa"/>
            </w:tcMar>
          </w:tcPr>
          <w:p w14:paraId="476F4CF7"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13E86F4F"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66,757</w:t>
            </w:r>
          </w:p>
        </w:tc>
        <w:tc>
          <w:tcPr>
            <w:tcW w:w="1035" w:type="dxa"/>
            <w:tcBorders>
              <w:top w:val="nil"/>
              <w:left w:val="nil"/>
              <w:bottom w:val="nil"/>
              <w:right w:val="nil"/>
              <w:tl2br w:val="nil"/>
              <w:tr2bl w:val="nil"/>
            </w:tcBorders>
            <w:shd w:val="clear" w:color="FFFFFF" w:fill="FFFFFF"/>
            <w:tcMar>
              <w:left w:w="101" w:type="dxa"/>
              <w:right w:w="101" w:type="dxa"/>
            </w:tcMar>
          </w:tcPr>
          <w:p w14:paraId="5702D96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69,482</w:t>
            </w:r>
          </w:p>
        </w:tc>
        <w:tc>
          <w:tcPr>
            <w:tcW w:w="600" w:type="dxa"/>
            <w:tcBorders>
              <w:top w:val="nil"/>
              <w:left w:val="nil"/>
              <w:bottom w:val="nil"/>
              <w:right w:val="nil"/>
              <w:tl2br w:val="nil"/>
              <w:tr2bl w:val="nil"/>
            </w:tcBorders>
            <w:shd w:val="clear" w:color="FFFFFF" w:fill="FFFFFF"/>
            <w:tcMar>
              <w:left w:w="101" w:type="dxa"/>
              <w:right w:w="101" w:type="dxa"/>
            </w:tcMar>
          </w:tcPr>
          <w:p w14:paraId="235C1F7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030BFAD"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65,116</w:t>
            </w:r>
          </w:p>
        </w:tc>
        <w:tc>
          <w:tcPr>
            <w:tcW w:w="1035" w:type="dxa"/>
            <w:tcBorders>
              <w:top w:val="nil"/>
              <w:left w:val="nil"/>
              <w:bottom w:val="nil"/>
              <w:right w:val="nil"/>
              <w:tl2br w:val="nil"/>
              <w:tr2bl w:val="nil"/>
            </w:tcBorders>
            <w:shd w:val="clear" w:color="FFFFFF" w:fill="FFFFFF"/>
            <w:tcMar>
              <w:left w:w="101" w:type="dxa"/>
              <w:right w:w="101" w:type="dxa"/>
            </w:tcMar>
          </w:tcPr>
          <w:p w14:paraId="09360B58"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60,962</w:t>
            </w:r>
          </w:p>
        </w:tc>
        <w:tc>
          <w:tcPr>
            <w:tcW w:w="1035" w:type="dxa"/>
            <w:tcBorders>
              <w:top w:val="nil"/>
              <w:left w:val="nil"/>
              <w:bottom w:val="nil"/>
              <w:right w:val="nil"/>
              <w:tl2br w:val="nil"/>
              <w:tr2bl w:val="nil"/>
            </w:tcBorders>
            <w:shd w:val="clear" w:color="FFFFFF" w:fill="FFFFFF"/>
            <w:tcMar>
              <w:left w:w="101" w:type="dxa"/>
              <w:right w:w="101" w:type="dxa"/>
            </w:tcMar>
          </w:tcPr>
          <w:p w14:paraId="795DEAFC"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56,776</w:t>
            </w:r>
          </w:p>
        </w:tc>
      </w:tr>
      <w:tr w:rsidR="00C07D35" w14:paraId="1B874A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22A9EB"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4,193</w:t>
            </w:r>
          </w:p>
        </w:tc>
        <w:tc>
          <w:tcPr>
            <w:tcW w:w="2385" w:type="dxa"/>
            <w:tcBorders>
              <w:top w:val="nil"/>
              <w:left w:val="nil"/>
              <w:bottom w:val="nil"/>
              <w:right w:val="nil"/>
              <w:tl2br w:val="nil"/>
              <w:tr2bl w:val="nil"/>
            </w:tcBorders>
            <w:shd w:val="clear" w:color="FFFFFF" w:fill="FFFFFF"/>
            <w:noWrap/>
            <w:tcMar>
              <w:left w:w="101" w:type="dxa"/>
              <w:right w:w="101" w:type="dxa"/>
            </w:tcMar>
          </w:tcPr>
          <w:p w14:paraId="01DD6EF2" w14:textId="77777777" w:rsidR="00C07D35" w:rsidRDefault="00A4668D">
            <w:pPr>
              <w:pStyle w:val="Normal7"/>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26F5F3D6" w14:textId="6A2E7F4D"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3,96</w:t>
            </w:r>
            <w:r w:rsidR="000C7235">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44981BE1" w14:textId="14D689E3"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4,19</w:t>
            </w:r>
            <w:r w:rsidR="000C7235">
              <w:rPr>
                <w:rFonts w:ascii="Calibri" w:eastAsia="Calibri" w:hAnsi="Calibri" w:cs="Calibri"/>
                <w:color w:val="000000"/>
                <w:sz w:val="18"/>
              </w:rPr>
              <w:t>3</w:t>
            </w:r>
          </w:p>
        </w:tc>
        <w:tc>
          <w:tcPr>
            <w:tcW w:w="600" w:type="dxa"/>
            <w:tcBorders>
              <w:top w:val="nil"/>
              <w:left w:val="nil"/>
              <w:bottom w:val="nil"/>
              <w:right w:val="nil"/>
              <w:tl2br w:val="nil"/>
              <w:tr2bl w:val="nil"/>
            </w:tcBorders>
            <w:shd w:val="clear" w:color="FFFFFF" w:fill="FFFFFF"/>
            <w:tcMar>
              <w:left w:w="101" w:type="dxa"/>
              <w:right w:w="101" w:type="dxa"/>
            </w:tcMar>
          </w:tcPr>
          <w:p w14:paraId="1A726DFE" w14:textId="77777777"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32F2684A" w14:textId="057485F0"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4,42</w:t>
            </w:r>
            <w:r w:rsidR="000C7235">
              <w:rPr>
                <w:rFonts w:ascii="Calibri" w:eastAsia="Calibri" w:hAnsi="Calibri" w:cs="Calibri"/>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1897AF82" w14:textId="6242EBB4"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4,66</w:t>
            </w:r>
            <w:r w:rsidR="000C7235">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0E34D2CA" w14:textId="3C5935FA" w:rsidR="00C07D35" w:rsidRDefault="00A4668D">
            <w:pPr>
              <w:pStyle w:val="Normal7"/>
              <w:jc w:val="right"/>
              <w:rPr>
                <w:rFonts w:ascii="Calibri" w:eastAsia="Calibri" w:hAnsi="Calibri" w:cs="Calibri"/>
                <w:color w:val="000000"/>
                <w:sz w:val="18"/>
              </w:rPr>
            </w:pPr>
            <w:r>
              <w:rPr>
                <w:rFonts w:ascii="Calibri" w:eastAsia="Calibri" w:hAnsi="Calibri" w:cs="Calibri"/>
                <w:color w:val="000000"/>
                <w:sz w:val="18"/>
              </w:rPr>
              <w:t>4,89</w:t>
            </w:r>
            <w:r w:rsidR="000C7235">
              <w:rPr>
                <w:rFonts w:ascii="Calibri" w:eastAsia="Calibri" w:hAnsi="Calibri" w:cs="Calibri"/>
                <w:color w:val="000000"/>
                <w:sz w:val="18"/>
              </w:rPr>
              <w:t>8</w:t>
            </w:r>
          </w:p>
        </w:tc>
      </w:tr>
      <w:tr w:rsidR="00C07D35" w14:paraId="5CBFD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44D646" w14:textId="77777777" w:rsidR="00C07D35" w:rsidRDefault="00C07D35">
            <w:pPr>
              <w:pStyle w:val="Normal7"/>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DD1258"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15AEC8"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DF0F51" w14:textId="77777777" w:rsidR="00C07D35" w:rsidRDefault="00C07D35">
            <w:pPr>
              <w:pStyle w:val="Normal7"/>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5B560B"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009FA3"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F92089" w14:textId="77777777" w:rsidR="00C07D35" w:rsidRDefault="00C07D35">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61E5F7" w14:textId="77777777" w:rsidR="00C07D35" w:rsidRDefault="00C07D35">
            <w:pPr>
              <w:pStyle w:val="Normal7"/>
              <w:rPr>
                <w:rFonts w:ascii="Calibri" w:eastAsia="Calibri" w:hAnsi="Calibri" w:cs="Calibri"/>
                <w:b/>
                <w:color w:val="000000"/>
                <w:sz w:val="18"/>
              </w:rPr>
            </w:pPr>
          </w:p>
        </w:tc>
      </w:tr>
      <w:tr w:rsidR="00C07D35" w14:paraId="30402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7DD5AB4"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62,259</w:t>
            </w:r>
          </w:p>
        </w:tc>
        <w:tc>
          <w:tcPr>
            <w:tcW w:w="2385" w:type="dxa"/>
            <w:tcBorders>
              <w:top w:val="nil"/>
              <w:left w:val="nil"/>
              <w:bottom w:val="nil"/>
              <w:right w:val="nil"/>
              <w:tl2br w:val="nil"/>
              <w:tr2bl w:val="nil"/>
            </w:tcBorders>
            <w:shd w:val="clear" w:color="FFFFFF" w:fill="FFFFFF"/>
            <w:tcMar>
              <w:left w:w="101" w:type="dxa"/>
              <w:right w:w="101" w:type="dxa"/>
            </w:tcMar>
          </w:tcPr>
          <w:p w14:paraId="11ED88D4" w14:textId="77777777" w:rsidR="00C07D35" w:rsidRDefault="00A4668D">
            <w:pPr>
              <w:pStyle w:val="Normal7"/>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60A6F3E5" w14:textId="45788CA4"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70,72</w:t>
            </w:r>
            <w:r w:rsidR="000C7235">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FE791F2" w14:textId="3CB83ABB"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73,67</w:t>
            </w:r>
            <w:r w:rsidR="000C7235">
              <w:rPr>
                <w:rFonts w:ascii="Calibri" w:eastAsia="Calibri" w:hAnsi="Calibri" w:cs="Calibri"/>
                <w:b/>
                <w:color w:val="000000"/>
                <w:sz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71D6F77C" w14:textId="77777777"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5EE13293" w14:textId="02B1F8E5"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69,54</w:t>
            </w:r>
            <w:r w:rsidR="000C7235">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005E2C37" w14:textId="00A61E52"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65,62</w:t>
            </w:r>
            <w:r w:rsidR="000C7235">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37D2E24B" w14:textId="7FE5DAF2" w:rsidR="00C07D35" w:rsidRDefault="00A4668D">
            <w:pPr>
              <w:pStyle w:val="Normal7"/>
              <w:jc w:val="right"/>
              <w:rPr>
                <w:rFonts w:ascii="Calibri" w:eastAsia="Calibri" w:hAnsi="Calibri" w:cs="Calibri"/>
                <w:b/>
                <w:color w:val="000000"/>
                <w:sz w:val="18"/>
              </w:rPr>
            </w:pPr>
            <w:r>
              <w:rPr>
                <w:rFonts w:ascii="Calibri" w:eastAsia="Calibri" w:hAnsi="Calibri" w:cs="Calibri"/>
                <w:b/>
                <w:color w:val="000000"/>
                <w:sz w:val="18"/>
              </w:rPr>
              <w:t>61,67</w:t>
            </w:r>
            <w:r w:rsidR="000C7235">
              <w:rPr>
                <w:rFonts w:ascii="Calibri" w:eastAsia="Calibri" w:hAnsi="Calibri" w:cs="Calibri"/>
                <w:b/>
                <w:color w:val="000000"/>
                <w:sz w:val="18"/>
              </w:rPr>
              <w:t>4</w:t>
            </w:r>
          </w:p>
        </w:tc>
      </w:tr>
      <w:tr w:rsidR="00C07D35" w14:paraId="04EF0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80FCB6B" w14:textId="77777777" w:rsidR="00C07D35" w:rsidRDefault="00C07D35">
            <w:pPr>
              <w:pStyle w:val="Normal7"/>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00FB7FD9" w14:textId="77777777" w:rsidR="00C07D35" w:rsidRDefault="00C07D35">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B644F3E" w14:textId="77777777" w:rsidR="00C07D35" w:rsidRDefault="00C07D35">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240EC31" w14:textId="77777777" w:rsidR="00C07D35" w:rsidRDefault="00C07D35">
            <w:pPr>
              <w:pStyle w:val="Normal7"/>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FB203F7" w14:textId="77777777" w:rsidR="00C07D35" w:rsidRDefault="00C07D35">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B4F17B7" w14:textId="77777777" w:rsidR="00C07D35" w:rsidRDefault="00C07D35">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44D7A0F" w14:textId="77777777" w:rsidR="00C07D35" w:rsidRDefault="00C07D35">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B505C3A" w14:textId="77777777" w:rsidR="00C07D35" w:rsidRDefault="00C07D35">
            <w:pPr>
              <w:pStyle w:val="Normal7"/>
              <w:rPr>
                <w:rFonts w:ascii="Calibri" w:eastAsia="Calibri" w:hAnsi="Calibri" w:cs="Calibri"/>
                <w:color w:val="000000"/>
                <w:sz w:val="18"/>
              </w:rPr>
            </w:pPr>
          </w:p>
        </w:tc>
      </w:tr>
    </w:tbl>
    <w:p w14:paraId="601B4807" w14:textId="20DF8818" w:rsidR="00A4668D" w:rsidRPr="00DB70E3" w:rsidRDefault="00A4668D" w:rsidP="00A4668D">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25</w:t>
      </w:r>
      <w:r>
        <w:rPr>
          <w:noProof/>
          <w:bdr w:val="nil"/>
        </w:rPr>
        <w:fldChar w:fldCharType="end"/>
      </w:r>
      <w:r>
        <w:rPr>
          <w:bdr w:val="nil"/>
        </w:rPr>
        <w:t xml:space="preserve">: Community Services Directorate: Statement of Changes in Equity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07D35" w14:paraId="6C22921B" w14:textId="77777777">
        <w:trPr>
          <w:trHeight w:val="93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A70B2A"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5063FCD5"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26E76886"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6A19ACC"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50BC4DD7" w14:textId="77777777" w:rsidR="00C07D35" w:rsidRDefault="00C07D35">
            <w:pPr>
              <w:pStyle w:val="Normal8"/>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30300C1"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Interim</w:t>
            </w:r>
          </w:p>
          <w:p w14:paraId="0540C92E"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Outcome at</w:t>
            </w:r>
          </w:p>
          <w:p w14:paraId="21728DC1"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42B4E6C0"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1053216"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2F5F43C5"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74B7A4DF"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43CE3B7"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EF8C21D"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Var</w:t>
            </w:r>
          </w:p>
          <w:p w14:paraId="583BBC2F"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6AF356A"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0AA0CAEC"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5595880A"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6490CC56"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1FBDDE1"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567BC406"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651BF85D"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D13EDFC"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09DD376"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41C61389"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66E8350D"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7548278F"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r>
      <w:tr w:rsidR="00C07D35" w14:paraId="5F96C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54C0B13" w14:textId="77777777" w:rsidR="00C07D35" w:rsidRDefault="00C07D35">
            <w:pPr>
              <w:pStyle w:val="Normal8"/>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15195B8" w14:textId="77777777" w:rsidR="00C07D35" w:rsidRDefault="00C07D35">
            <w:pPr>
              <w:pStyle w:val="Normal8"/>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1E98810" w14:textId="77777777" w:rsidR="00C07D35" w:rsidRDefault="00C07D35">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715ADF2" w14:textId="77777777" w:rsidR="00C07D35" w:rsidRDefault="00C07D35">
            <w:pPr>
              <w:pStyle w:val="Normal8"/>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55BEF87A" w14:textId="77777777" w:rsidR="00C07D35" w:rsidRDefault="00C07D35">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A4F38D0" w14:textId="77777777" w:rsidR="00C07D35" w:rsidRDefault="00C07D35">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C434AE4" w14:textId="77777777" w:rsidR="00C07D35" w:rsidRDefault="00C07D35">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C9D0A08" w14:textId="77777777" w:rsidR="00C07D35" w:rsidRDefault="00C07D35">
            <w:pPr>
              <w:pStyle w:val="Normal8"/>
              <w:jc w:val="right"/>
              <w:rPr>
                <w:rFonts w:ascii="Calibri" w:eastAsia="Calibri" w:hAnsi="Calibri" w:cs="Calibri"/>
                <w:b/>
                <w:i/>
                <w:color w:val="000000"/>
                <w:sz w:val="18"/>
              </w:rPr>
            </w:pPr>
          </w:p>
        </w:tc>
      </w:tr>
      <w:tr w:rsidR="00C07D35" w14:paraId="0D5F0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5BD047A" w14:textId="77777777" w:rsidR="00C07D35" w:rsidRDefault="00C07D35">
            <w:pPr>
              <w:pStyle w:val="Normal8"/>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2F617E69"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A3B3D90"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B598B9" w14:textId="77777777" w:rsidR="00C07D35" w:rsidRDefault="00C07D35">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AB0E220"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DFB534"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373B9F"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F71149" w14:textId="77777777" w:rsidR="00C07D35" w:rsidRDefault="00C07D35">
            <w:pPr>
              <w:pStyle w:val="Normal8"/>
              <w:jc w:val="right"/>
              <w:rPr>
                <w:rFonts w:ascii="Calibri" w:eastAsia="Calibri" w:hAnsi="Calibri" w:cs="Calibri"/>
                <w:b/>
                <w:i/>
                <w:color w:val="000000"/>
                <w:sz w:val="18"/>
              </w:rPr>
            </w:pPr>
          </w:p>
        </w:tc>
      </w:tr>
      <w:tr w:rsidR="00C07D35" w14:paraId="03C00C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1553E4D"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55,876</w:t>
            </w:r>
          </w:p>
        </w:tc>
        <w:tc>
          <w:tcPr>
            <w:tcW w:w="2385" w:type="dxa"/>
            <w:tcBorders>
              <w:top w:val="nil"/>
              <w:left w:val="nil"/>
              <w:bottom w:val="nil"/>
              <w:right w:val="nil"/>
              <w:tl2br w:val="nil"/>
              <w:tr2bl w:val="nil"/>
            </w:tcBorders>
            <w:shd w:val="clear" w:color="auto" w:fill="auto"/>
            <w:noWrap/>
            <w:tcMar>
              <w:left w:w="101" w:type="dxa"/>
              <w:right w:w="101" w:type="dxa"/>
            </w:tcMar>
          </w:tcPr>
          <w:p w14:paraId="0E43CBFE"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9F595B4" w14:textId="6C408989"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56,10</w:t>
            </w:r>
            <w:r w:rsidR="0080539F">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3D7D10B4"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66,757</w:t>
            </w:r>
          </w:p>
        </w:tc>
        <w:tc>
          <w:tcPr>
            <w:tcW w:w="600" w:type="dxa"/>
            <w:tcBorders>
              <w:top w:val="nil"/>
              <w:left w:val="nil"/>
              <w:bottom w:val="nil"/>
              <w:right w:val="nil"/>
              <w:tl2br w:val="nil"/>
              <w:tr2bl w:val="nil"/>
            </w:tcBorders>
            <w:shd w:val="clear" w:color="FFFFFF" w:fill="FFFFFF"/>
            <w:noWrap/>
            <w:tcMar>
              <w:left w:w="101" w:type="dxa"/>
              <w:right w:w="101" w:type="dxa"/>
            </w:tcMar>
          </w:tcPr>
          <w:p w14:paraId="01F69BF7"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19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CA0CA6"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69,482</w:t>
            </w:r>
          </w:p>
        </w:tc>
        <w:tc>
          <w:tcPr>
            <w:tcW w:w="1035" w:type="dxa"/>
            <w:tcBorders>
              <w:top w:val="nil"/>
              <w:left w:val="nil"/>
              <w:bottom w:val="nil"/>
              <w:right w:val="nil"/>
              <w:tl2br w:val="nil"/>
              <w:tr2bl w:val="nil"/>
            </w:tcBorders>
            <w:shd w:val="clear" w:color="FFFFFF" w:fill="FFFFFF"/>
            <w:noWrap/>
            <w:tcMar>
              <w:left w:w="101" w:type="dxa"/>
              <w:right w:w="101" w:type="dxa"/>
            </w:tcMar>
          </w:tcPr>
          <w:p w14:paraId="1E5425CF"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65,116</w:t>
            </w:r>
          </w:p>
        </w:tc>
        <w:tc>
          <w:tcPr>
            <w:tcW w:w="1035" w:type="dxa"/>
            <w:tcBorders>
              <w:top w:val="nil"/>
              <w:left w:val="nil"/>
              <w:bottom w:val="nil"/>
              <w:right w:val="nil"/>
              <w:tl2br w:val="nil"/>
              <w:tr2bl w:val="nil"/>
            </w:tcBorders>
            <w:shd w:val="clear" w:color="FFFFFF" w:fill="FFFFFF"/>
            <w:noWrap/>
            <w:tcMar>
              <w:left w:w="101" w:type="dxa"/>
              <w:right w:w="101" w:type="dxa"/>
            </w:tcMar>
          </w:tcPr>
          <w:p w14:paraId="1D3B372A"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60,962</w:t>
            </w:r>
          </w:p>
        </w:tc>
      </w:tr>
      <w:tr w:rsidR="00C07D35" w14:paraId="7C492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9A27306"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4,193</w:t>
            </w:r>
          </w:p>
        </w:tc>
        <w:tc>
          <w:tcPr>
            <w:tcW w:w="2385" w:type="dxa"/>
            <w:tcBorders>
              <w:top w:val="nil"/>
              <w:left w:val="nil"/>
              <w:bottom w:val="nil"/>
              <w:right w:val="nil"/>
              <w:tl2br w:val="nil"/>
              <w:tr2bl w:val="nil"/>
            </w:tcBorders>
            <w:shd w:val="clear" w:color="auto" w:fill="auto"/>
            <w:tcMar>
              <w:left w:w="101" w:type="dxa"/>
              <w:right w:w="101" w:type="dxa"/>
            </w:tcMar>
          </w:tcPr>
          <w:p w14:paraId="6823987A"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89D5E5B" w14:textId="02E94A81"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3,96</w:t>
            </w:r>
            <w:r w:rsidR="0080539F">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0839A154" w14:textId="4ADBE28C"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3,96</w:t>
            </w:r>
            <w:r w:rsidR="0080539F">
              <w:rPr>
                <w:rFonts w:ascii="Calibri" w:eastAsia="Calibri" w:hAnsi="Calibri" w:cs="Calibri"/>
                <w:color w:val="000000"/>
                <w:sz w:val="18"/>
              </w:rPr>
              <w:t>3</w:t>
            </w:r>
          </w:p>
        </w:tc>
        <w:tc>
          <w:tcPr>
            <w:tcW w:w="600" w:type="dxa"/>
            <w:tcBorders>
              <w:top w:val="nil"/>
              <w:left w:val="nil"/>
              <w:bottom w:val="nil"/>
              <w:right w:val="nil"/>
              <w:tl2br w:val="nil"/>
              <w:tr2bl w:val="nil"/>
            </w:tcBorders>
            <w:shd w:val="clear" w:color="FFFFFF" w:fill="FFFFFF"/>
            <w:noWrap/>
            <w:tcMar>
              <w:left w:w="101" w:type="dxa"/>
              <w:right w:w="101" w:type="dxa"/>
            </w:tcMar>
          </w:tcPr>
          <w:p w14:paraId="25EEC5F2"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42C91C1" w14:textId="708EEABA"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4,19</w:t>
            </w:r>
            <w:r w:rsidR="0080539F">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4CE085D5" w14:textId="35CFD88F"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4,42</w:t>
            </w:r>
            <w:r w:rsidR="0080539F">
              <w:rPr>
                <w:rFonts w:ascii="Calibri" w:eastAsia="Calibri" w:hAnsi="Calibri" w:cs="Calibri"/>
                <w:color w:val="000000"/>
                <w:sz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5C7B2BB9" w14:textId="01B3AA83"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4,66</w:t>
            </w:r>
            <w:r w:rsidR="0080539F">
              <w:rPr>
                <w:rFonts w:ascii="Calibri" w:eastAsia="Calibri" w:hAnsi="Calibri" w:cs="Calibri"/>
                <w:color w:val="000000"/>
                <w:sz w:val="18"/>
              </w:rPr>
              <w:t>3</w:t>
            </w:r>
          </w:p>
        </w:tc>
      </w:tr>
      <w:tr w:rsidR="00C07D35" w14:paraId="5DD3F5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E990D77" w14:textId="77777777" w:rsidR="00C07D35" w:rsidRDefault="00C07D35">
            <w:pPr>
              <w:pStyle w:val="Normal8"/>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70A654E3"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136D52" w14:textId="77777777" w:rsidR="00C07D35" w:rsidRDefault="00C07D35">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55A925" w14:textId="77777777" w:rsidR="00C07D35" w:rsidRDefault="00C07D35">
            <w:pPr>
              <w:pStyle w:val="Normal8"/>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D46DFC9"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03F8B7" w14:textId="77777777" w:rsidR="00C07D35" w:rsidRDefault="00C07D35">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693E06" w14:textId="77777777" w:rsidR="00C07D35" w:rsidRDefault="00C07D35">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7D5934" w14:textId="77777777" w:rsidR="00C07D35" w:rsidRDefault="00C07D35">
            <w:pPr>
              <w:pStyle w:val="Normal8"/>
              <w:jc w:val="right"/>
              <w:rPr>
                <w:rFonts w:ascii="Calibri" w:eastAsia="Calibri" w:hAnsi="Calibri" w:cs="Calibri"/>
                <w:b/>
                <w:color w:val="000000"/>
                <w:sz w:val="18"/>
              </w:rPr>
            </w:pPr>
          </w:p>
        </w:tc>
      </w:tr>
      <w:tr w:rsidR="00C07D35" w14:paraId="762F7F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779941C"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60,069</w:t>
            </w:r>
          </w:p>
        </w:tc>
        <w:tc>
          <w:tcPr>
            <w:tcW w:w="2385" w:type="dxa"/>
            <w:tcBorders>
              <w:top w:val="nil"/>
              <w:left w:val="nil"/>
              <w:bottom w:val="nil"/>
              <w:right w:val="nil"/>
              <w:tl2br w:val="nil"/>
              <w:tr2bl w:val="nil"/>
            </w:tcBorders>
            <w:shd w:val="clear" w:color="auto" w:fill="auto"/>
            <w:tcMar>
              <w:left w:w="101" w:type="dxa"/>
              <w:right w:w="101" w:type="dxa"/>
            </w:tcMar>
          </w:tcPr>
          <w:p w14:paraId="7E33B209"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042087F" w14:textId="64A11EC8"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60,0</w:t>
            </w:r>
            <w:r w:rsidR="0080539F">
              <w:rPr>
                <w:rFonts w:ascii="Calibri" w:eastAsia="Calibri" w:hAnsi="Calibri" w:cs="Calibri"/>
                <w:b/>
                <w:color w:val="000000"/>
                <w:sz w:val="18"/>
              </w:rPr>
              <w:t>68</w:t>
            </w:r>
          </w:p>
        </w:tc>
        <w:tc>
          <w:tcPr>
            <w:tcW w:w="1035" w:type="dxa"/>
            <w:tcBorders>
              <w:top w:val="nil"/>
              <w:left w:val="nil"/>
              <w:bottom w:val="nil"/>
              <w:right w:val="nil"/>
              <w:tl2br w:val="nil"/>
              <w:tr2bl w:val="nil"/>
            </w:tcBorders>
            <w:shd w:val="clear" w:color="FFFFFF" w:fill="FFFFFF"/>
            <w:noWrap/>
            <w:tcMar>
              <w:left w:w="101" w:type="dxa"/>
              <w:right w:w="101" w:type="dxa"/>
            </w:tcMar>
          </w:tcPr>
          <w:p w14:paraId="204CA21E" w14:textId="1426CB88"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70,72</w:t>
            </w:r>
            <w:r w:rsidR="0080539F">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6F4124B"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18 </w:t>
            </w:r>
          </w:p>
        </w:tc>
        <w:tc>
          <w:tcPr>
            <w:tcW w:w="1035" w:type="dxa"/>
            <w:tcBorders>
              <w:top w:val="nil"/>
              <w:left w:val="nil"/>
              <w:bottom w:val="nil"/>
              <w:right w:val="nil"/>
              <w:tl2br w:val="nil"/>
              <w:tr2bl w:val="nil"/>
            </w:tcBorders>
            <w:shd w:val="clear" w:color="FFFFFF" w:fill="FFFFFF"/>
            <w:noWrap/>
            <w:tcMar>
              <w:left w:w="101" w:type="dxa"/>
              <w:right w:w="101" w:type="dxa"/>
            </w:tcMar>
          </w:tcPr>
          <w:p w14:paraId="4C6EA654" w14:textId="2F5AE7F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73,67</w:t>
            </w:r>
            <w:r w:rsidR="0080539F">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4BEFD19C" w14:textId="4D81B41D"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69,54</w:t>
            </w:r>
            <w:r w:rsidR="0080539F">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4A49397E" w14:textId="03E79E05"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65,62</w:t>
            </w:r>
            <w:r w:rsidR="0080539F">
              <w:rPr>
                <w:rFonts w:ascii="Calibri" w:eastAsia="Calibri" w:hAnsi="Calibri" w:cs="Calibri"/>
                <w:b/>
                <w:color w:val="000000"/>
                <w:sz w:val="18"/>
              </w:rPr>
              <w:t>5</w:t>
            </w:r>
          </w:p>
        </w:tc>
      </w:tr>
      <w:tr w:rsidR="00C07D35" w14:paraId="6B20F6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7308F7E" w14:textId="77777777" w:rsidR="00C07D35" w:rsidRDefault="00C07D35">
            <w:pPr>
              <w:pStyle w:val="Normal8"/>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CFD89E6" w14:textId="77777777" w:rsidR="00C07D35" w:rsidRDefault="00C07D35">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A00E13"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48E0B8" w14:textId="77777777" w:rsidR="00C07D35" w:rsidRDefault="00C07D35">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E1C950"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F4CD11"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6BD833" w14:textId="77777777" w:rsidR="00C07D35" w:rsidRDefault="00C07D35">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51D9E4" w14:textId="77777777" w:rsidR="00C07D35" w:rsidRDefault="00C07D35">
            <w:pPr>
              <w:pStyle w:val="Normal8"/>
              <w:jc w:val="right"/>
              <w:rPr>
                <w:rFonts w:ascii="Calibri" w:eastAsia="Calibri" w:hAnsi="Calibri" w:cs="Calibri"/>
                <w:b/>
                <w:i/>
                <w:color w:val="000000"/>
                <w:sz w:val="18"/>
              </w:rPr>
            </w:pPr>
          </w:p>
        </w:tc>
      </w:tr>
      <w:tr w:rsidR="00C07D35" w14:paraId="6C7DE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AF3460"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E792E33"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69EE46DF"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21CBE0"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C973BAC"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D91385"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CEAD95"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E605EC" w14:textId="77777777" w:rsidR="00C07D35" w:rsidRDefault="00C07D35">
            <w:pPr>
              <w:pStyle w:val="Normal8"/>
              <w:rPr>
                <w:rFonts w:ascii="Calibri" w:eastAsia="Calibri" w:hAnsi="Calibri" w:cs="Calibri"/>
                <w:color w:val="000000"/>
                <w:sz w:val="18"/>
              </w:rPr>
            </w:pPr>
          </w:p>
        </w:tc>
      </w:tr>
      <w:tr w:rsidR="00C07D35" w14:paraId="1A1A5D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5C35320"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-593</w:t>
            </w:r>
          </w:p>
        </w:tc>
        <w:tc>
          <w:tcPr>
            <w:tcW w:w="2385" w:type="dxa"/>
            <w:tcBorders>
              <w:top w:val="nil"/>
              <w:left w:val="nil"/>
              <w:bottom w:val="nil"/>
              <w:right w:val="nil"/>
              <w:tl2br w:val="nil"/>
              <w:tr2bl w:val="nil"/>
            </w:tcBorders>
            <w:shd w:val="clear" w:color="auto" w:fill="auto"/>
            <w:tcMar>
              <w:left w:w="101" w:type="dxa"/>
              <w:right w:w="101" w:type="dxa"/>
            </w:tcMar>
          </w:tcPr>
          <w:p w14:paraId="2158BBAF"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Net Effect of Correction of an Error</w:t>
            </w:r>
          </w:p>
        </w:tc>
        <w:tc>
          <w:tcPr>
            <w:tcW w:w="1035" w:type="dxa"/>
            <w:tcBorders>
              <w:top w:val="nil"/>
              <w:left w:val="nil"/>
              <w:bottom w:val="nil"/>
              <w:right w:val="nil"/>
              <w:tl2br w:val="nil"/>
              <w:tr2bl w:val="nil"/>
            </w:tcBorders>
            <w:shd w:val="clear" w:color="FFFFFF" w:fill="FFFFFF"/>
            <w:noWrap/>
            <w:tcMar>
              <w:left w:w="101" w:type="dxa"/>
              <w:right w:w="101" w:type="dxa"/>
            </w:tcMar>
          </w:tcPr>
          <w:p w14:paraId="6424DFDF"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5AD49CC"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-593</w:t>
            </w:r>
          </w:p>
        </w:tc>
        <w:tc>
          <w:tcPr>
            <w:tcW w:w="600" w:type="dxa"/>
            <w:tcBorders>
              <w:top w:val="nil"/>
              <w:left w:val="nil"/>
              <w:bottom w:val="nil"/>
              <w:right w:val="nil"/>
              <w:tl2br w:val="nil"/>
              <w:tr2bl w:val="nil"/>
            </w:tcBorders>
            <w:shd w:val="clear" w:color="FFFFFF" w:fill="FFFFFF"/>
            <w:noWrap/>
            <w:tcMar>
              <w:left w:w="101" w:type="dxa"/>
              <w:right w:w="101" w:type="dxa"/>
            </w:tcMar>
          </w:tcPr>
          <w:p w14:paraId="13F50482"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9BAAA32"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noWrap/>
            <w:tcMar>
              <w:left w:w="101" w:type="dxa"/>
              <w:right w:w="101" w:type="dxa"/>
            </w:tcMar>
          </w:tcPr>
          <w:p w14:paraId="49201821"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noWrap/>
            <w:tcMar>
              <w:left w:w="101" w:type="dxa"/>
              <w:right w:w="101" w:type="dxa"/>
            </w:tcMar>
          </w:tcPr>
          <w:p w14:paraId="6F4A8D44"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-593</w:t>
            </w:r>
          </w:p>
        </w:tc>
      </w:tr>
      <w:tr w:rsidR="00C07D35" w14:paraId="3706C1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07DB08E"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-2,723</w:t>
            </w:r>
          </w:p>
        </w:tc>
        <w:tc>
          <w:tcPr>
            <w:tcW w:w="2385" w:type="dxa"/>
            <w:tcBorders>
              <w:top w:val="nil"/>
              <w:left w:val="nil"/>
              <w:bottom w:val="nil"/>
              <w:right w:val="nil"/>
              <w:tl2br w:val="nil"/>
              <w:tr2bl w:val="nil"/>
            </w:tcBorders>
            <w:shd w:val="clear" w:color="auto" w:fill="auto"/>
            <w:tcMar>
              <w:left w:w="101" w:type="dxa"/>
              <w:right w:w="101" w:type="dxa"/>
            </w:tcMar>
          </w:tcPr>
          <w:p w14:paraId="70EAE849"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DE3B44" w14:textId="67A5E55A"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-2,74</w:t>
            </w:r>
            <w:r w:rsidR="0080539F">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E94AA19"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-4,081</w:t>
            </w:r>
          </w:p>
        </w:tc>
        <w:tc>
          <w:tcPr>
            <w:tcW w:w="600" w:type="dxa"/>
            <w:tcBorders>
              <w:top w:val="nil"/>
              <w:left w:val="nil"/>
              <w:bottom w:val="nil"/>
              <w:right w:val="nil"/>
              <w:tl2br w:val="nil"/>
              <w:tr2bl w:val="nil"/>
            </w:tcBorders>
            <w:shd w:val="clear" w:color="FFFFFF" w:fill="FFFFFF"/>
            <w:noWrap/>
            <w:tcMar>
              <w:left w:w="101" w:type="dxa"/>
              <w:right w:w="101" w:type="dxa"/>
            </w:tcMar>
          </w:tcPr>
          <w:p w14:paraId="184E4771"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-49 </w:t>
            </w:r>
          </w:p>
        </w:tc>
        <w:tc>
          <w:tcPr>
            <w:tcW w:w="1035" w:type="dxa"/>
            <w:tcBorders>
              <w:top w:val="nil"/>
              <w:left w:val="nil"/>
              <w:bottom w:val="nil"/>
              <w:right w:val="nil"/>
              <w:tl2br w:val="nil"/>
              <w:tr2bl w:val="nil"/>
            </w:tcBorders>
            <w:shd w:val="clear" w:color="FFFFFF" w:fill="FFFFFF"/>
            <w:noWrap/>
            <w:tcMar>
              <w:left w:w="101" w:type="dxa"/>
              <w:right w:w="101" w:type="dxa"/>
            </w:tcMar>
          </w:tcPr>
          <w:p w14:paraId="0E178309"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-4,221</w:t>
            </w:r>
          </w:p>
        </w:tc>
        <w:tc>
          <w:tcPr>
            <w:tcW w:w="1035" w:type="dxa"/>
            <w:tcBorders>
              <w:top w:val="nil"/>
              <w:left w:val="nil"/>
              <w:bottom w:val="nil"/>
              <w:right w:val="nil"/>
              <w:tl2br w:val="nil"/>
              <w:tr2bl w:val="nil"/>
            </w:tcBorders>
            <w:shd w:val="clear" w:color="FFFFFF" w:fill="FFFFFF"/>
            <w:noWrap/>
            <w:tcMar>
              <w:left w:w="101" w:type="dxa"/>
              <w:right w:w="101" w:type="dxa"/>
            </w:tcMar>
          </w:tcPr>
          <w:p w14:paraId="370AA099"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-4,020</w:t>
            </w:r>
          </w:p>
        </w:tc>
        <w:tc>
          <w:tcPr>
            <w:tcW w:w="1035" w:type="dxa"/>
            <w:tcBorders>
              <w:top w:val="nil"/>
              <w:left w:val="nil"/>
              <w:bottom w:val="nil"/>
              <w:right w:val="nil"/>
              <w:tl2br w:val="nil"/>
              <w:tr2bl w:val="nil"/>
            </w:tcBorders>
            <w:shd w:val="clear" w:color="FFFFFF" w:fill="FFFFFF"/>
            <w:noWrap/>
            <w:tcMar>
              <w:left w:w="101" w:type="dxa"/>
              <w:right w:w="101" w:type="dxa"/>
            </w:tcMar>
          </w:tcPr>
          <w:p w14:paraId="2DBFED7E"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-4,063</w:t>
            </w:r>
          </w:p>
        </w:tc>
      </w:tr>
      <w:tr w:rsidR="00C07D35" w14:paraId="042ED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9377DD1"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229</w:t>
            </w:r>
          </w:p>
        </w:tc>
        <w:tc>
          <w:tcPr>
            <w:tcW w:w="2385" w:type="dxa"/>
            <w:tcBorders>
              <w:top w:val="nil"/>
              <w:left w:val="nil"/>
              <w:bottom w:val="nil"/>
              <w:right w:val="nil"/>
              <w:tl2br w:val="nil"/>
              <w:tr2bl w:val="nil"/>
            </w:tcBorders>
            <w:shd w:val="clear" w:color="auto" w:fill="auto"/>
            <w:tcMar>
              <w:left w:w="101" w:type="dxa"/>
              <w:right w:w="101" w:type="dxa"/>
            </w:tcMar>
          </w:tcPr>
          <w:p w14:paraId="00E28123"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Net Effect of Change in Accounting Policy - ARR</w:t>
            </w:r>
          </w:p>
        </w:tc>
        <w:tc>
          <w:tcPr>
            <w:tcW w:w="1035" w:type="dxa"/>
            <w:tcBorders>
              <w:top w:val="nil"/>
              <w:left w:val="nil"/>
              <w:bottom w:val="nil"/>
              <w:right w:val="nil"/>
              <w:tl2br w:val="nil"/>
              <w:tr2bl w:val="nil"/>
            </w:tcBorders>
            <w:shd w:val="clear" w:color="FFFFFF" w:fill="FFFFFF"/>
            <w:noWrap/>
            <w:tcMar>
              <w:left w:w="101" w:type="dxa"/>
              <w:right w:w="101" w:type="dxa"/>
            </w:tcMar>
          </w:tcPr>
          <w:p w14:paraId="0C80D6C3"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5BBAF69"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230</w:t>
            </w:r>
          </w:p>
        </w:tc>
        <w:tc>
          <w:tcPr>
            <w:tcW w:w="600" w:type="dxa"/>
            <w:tcBorders>
              <w:top w:val="nil"/>
              <w:left w:val="nil"/>
              <w:bottom w:val="nil"/>
              <w:right w:val="nil"/>
              <w:tl2br w:val="nil"/>
              <w:tr2bl w:val="nil"/>
            </w:tcBorders>
            <w:shd w:val="clear" w:color="FFFFFF" w:fill="FFFFFF"/>
            <w:noWrap/>
            <w:tcMar>
              <w:left w:w="101" w:type="dxa"/>
              <w:right w:w="101" w:type="dxa"/>
            </w:tcMar>
          </w:tcPr>
          <w:p w14:paraId="4C4539CE"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6C77027" w14:textId="625CAF18" w:rsidR="00C07D35" w:rsidRDefault="0080539F">
            <w:pPr>
              <w:pStyle w:val="Normal8"/>
              <w:jc w:val="right"/>
              <w:rPr>
                <w:rFonts w:ascii="Calibri" w:eastAsia="Calibri" w:hAnsi="Calibri" w:cs="Calibri"/>
                <w:color w:val="000000"/>
                <w:sz w:val="18"/>
              </w:rPr>
            </w:pPr>
            <w:r>
              <w:rPr>
                <w:rFonts w:ascii="Calibri" w:eastAsia="Calibri" w:hAnsi="Calibri" w:cs="Calibri"/>
                <w:color w:val="000000"/>
                <w:sz w:val="18"/>
              </w:rPr>
              <w:t>235</w:t>
            </w:r>
          </w:p>
        </w:tc>
        <w:tc>
          <w:tcPr>
            <w:tcW w:w="1035" w:type="dxa"/>
            <w:tcBorders>
              <w:top w:val="nil"/>
              <w:left w:val="nil"/>
              <w:bottom w:val="nil"/>
              <w:right w:val="nil"/>
              <w:tl2br w:val="nil"/>
              <w:tr2bl w:val="nil"/>
            </w:tcBorders>
            <w:shd w:val="clear" w:color="FFFFFF" w:fill="FFFFFF"/>
            <w:noWrap/>
            <w:tcMar>
              <w:left w:w="101" w:type="dxa"/>
              <w:right w:w="101" w:type="dxa"/>
            </w:tcMar>
          </w:tcPr>
          <w:p w14:paraId="7C263340" w14:textId="18B62029" w:rsidR="00C07D35" w:rsidRDefault="0080539F">
            <w:pPr>
              <w:pStyle w:val="Normal8"/>
              <w:jc w:val="right"/>
              <w:rPr>
                <w:rFonts w:ascii="Calibri" w:eastAsia="Calibri" w:hAnsi="Calibri" w:cs="Calibri"/>
                <w:color w:val="000000"/>
                <w:sz w:val="18"/>
              </w:rPr>
            </w:pPr>
            <w:r>
              <w:rPr>
                <w:rFonts w:ascii="Calibri" w:eastAsia="Calibri" w:hAnsi="Calibri" w:cs="Calibri"/>
                <w:color w:val="000000"/>
                <w:sz w:val="18"/>
              </w:rPr>
              <w:t>235</w:t>
            </w:r>
          </w:p>
        </w:tc>
        <w:tc>
          <w:tcPr>
            <w:tcW w:w="1035" w:type="dxa"/>
            <w:tcBorders>
              <w:top w:val="nil"/>
              <w:left w:val="nil"/>
              <w:bottom w:val="nil"/>
              <w:right w:val="nil"/>
              <w:tl2br w:val="nil"/>
              <w:tr2bl w:val="nil"/>
            </w:tcBorders>
            <w:shd w:val="clear" w:color="FFFFFF" w:fill="FFFFFF"/>
            <w:noWrap/>
            <w:tcMar>
              <w:left w:w="101" w:type="dxa"/>
              <w:right w:w="101" w:type="dxa"/>
            </w:tcMar>
          </w:tcPr>
          <w:p w14:paraId="60890919" w14:textId="1DFC82B6" w:rsidR="00C07D35" w:rsidRDefault="0080539F">
            <w:pPr>
              <w:pStyle w:val="Normal8"/>
              <w:jc w:val="right"/>
              <w:rPr>
                <w:rFonts w:ascii="Calibri" w:eastAsia="Calibri" w:hAnsi="Calibri" w:cs="Calibri"/>
                <w:color w:val="000000"/>
                <w:sz w:val="18"/>
              </w:rPr>
            </w:pPr>
            <w:r>
              <w:rPr>
                <w:rFonts w:ascii="Calibri" w:eastAsia="Calibri" w:hAnsi="Calibri" w:cs="Calibri"/>
                <w:color w:val="000000"/>
                <w:sz w:val="18"/>
              </w:rPr>
              <w:t>235</w:t>
            </w:r>
          </w:p>
        </w:tc>
      </w:tr>
      <w:tr w:rsidR="00C07D35" w14:paraId="41366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526F6DB"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D8FDDD" w14:textId="77777777" w:rsidR="00C07D35" w:rsidRDefault="00C07D35">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8FB3A5"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EB88CD"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EEBDB5E"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4B7625"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0050D7"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2A3B6B" w14:textId="77777777" w:rsidR="00C07D35" w:rsidRDefault="00C07D35">
            <w:pPr>
              <w:pStyle w:val="Normal8"/>
              <w:rPr>
                <w:rFonts w:ascii="Calibri" w:eastAsia="Calibri" w:hAnsi="Calibri" w:cs="Calibri"/>
                <w:color w:val="000000"/>
                <w:sz w:val="18"/>
              </w:rPr>
            </w:pPr>
          </w:p>
        </w:tc>
      </w:tr>
      <w:tr w:rsidR="00C07D35" w14:paraId="683ED5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F0E60A7"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-3,087</w:t>
            </w:r>
          </w:p>
        </w:tc>
        <w:tc>
          <w:tcPr>
            <w:tcW w:w="2385" w:type="dxa"/>
            <w:tcBorders>
              <w:top w:val="nil"/>
              <w:left w:val="nil"/>
              <w:bottom w:val="nil"/>
              <w:right w:val="nil"/>
              <w:tl2br w:val="nil"/>
              <w:tr2bl w:val="nil"/>
            </w:tcBorders>
            <w:shd w:val="clear" w:color="FFFFFF" w:fill="FFFFFF"/>
            <w:tcMar>
              <w:left w:w="101" w:type="dxa"/>
              <w:right w:w="101" w:type="dxa"/>
            </w:tcMar>
          </w:tcPr>
          <w:p w14:paraId="459EC407"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76D326D1" w14:textId="7B2F5455"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-2,74</w:t>
            </w:r>
            <w:r w:rsidR="0080539F">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1D851DCF"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-4,444</w:t>
            </w:r>
          </w:p>
        </w:tc>
        <w:tc>
          <w:tcPr>
            <w:tcW w:w="600" w:type="dxa"/>
            <w:tcBorders>
              <w:top w:val="nil"/>
              <w:left w:val="nil"/>
              <w:bottom w:val="nil"/>
              <w:right w:val="nil"/>
              <w:tl2br w:val="nil"/>
              <w:tr2bl w:val="nil"/>
            </w:tcBorders>
            <w:shd w:val="clear" w:color="FFFFFF" w:fill="FFFFFF"/>
            <w:noWrap/>
            <w:tcMar>
              <w:left w:w="101" w:type="dxa"/>
              <w:right w:w="101" w:type="dxa"/>
            </w:tcMar>
          </w:tcPr>
          <w:p w14:paraId="16D547AC"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-62 </w:t>
            </w:r>
          </w:p>
        </w:tc>
        <w:tc>
          <w:tcPr>
            <w:tcW w:w="1035" w:type="dxa"/>
            <w:tcBorders>
              <w:top w:val="nil"/>
              <w:left w:val="nil"/>
              <w:bottom w:val="nil"/>
              <w:right w:val="nil"/>
              <w:tl2br w:val="nil"/>
              <w:tr2bl w:val="nil"/>
            </w:tcBorders>
            <w:shd w:val="clear" w:color="FFFFFF" w:fill="FFFFFF"/>
            <w:noWrap/>
            <w:tcMar>
              <w:left w:w="101" w:type="dxa"/>
              <w:right w:w="101" w:type="dxa"/>
            </w:tcMar>
          </w:tcPr>
          <w:p w14:paraId="0F2B512D" w14:textId="61C34760"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-4,</w:t>
            </w:r>
            <w:r w:rsidR="0080539F">
              <w:rPr>
                <w:rFonts w:ascii="Calibri" w:eastAsia="Calibri" w:hAnsi="Calibri" w:cs="Calibri"/>
                <w:b/>
                <w:color w:val="000000"/>
                <w:sz w:val="18"/>
              </w:rPr>
              <w:t>579</w:t>
            </w:r>
          </w:p>
        </w:tc>
        <w:tc>
          <w:tcPr>
            <w:tcW w:w="1035" w:type="dxa"/>
            <w:tcBorders>
              <w:top w:val="nil"/>
              <w:left w:val="nil"/>
              <w:bottom w:val="nil"/>
              <w:right w:val="nil"/>
              <w:tl2br w:val="nil"/>
              <w:tr2bl w:val="nil"/>
            </w:tcBorders>
            <w:shd w:val="clear" w:color="FFFFFF" w:fill="FFFFFF"/>
            <w:noWrap/>
            <w:tcMar>
              <w:left w:w="101" w:type="dxa"/>
              <w:right w:w="101" w:type="dxa"/>
            </w:tcMar>
          </w:tcPr>
          <w:p w14:paraId="0BD5EDF6" w14:textId="1B960984"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w:t>
            </w:r>
            <w:r w:rsidR="0080539F">
              <w:rPr>
                <w:rFonts w:ascii="Calibri" w:eastAsia="Calibri" w:hAnsi="Calibri" w:cs="Calibri"/>
                <w:b/>
                <w:color w:val="000000"/>
                <w:sz w:val="18"/>
              </w:rPr>
              <w:t>4,378</w:t>
            </w:r>
          </w:p>
        </w:tc>
        <w:tc>
          <w:tcPr>
            <w:tcW w:w="1035" w:type="dxa"/>
            <w:tcBorders>
              <w:top w:val="nil"/>
              <w:left w:val="nil"/>
              <w:bottom w:val="nil"/>
              <w:right w:val="nil"/>
              <w:tl2br w:val="nil"/>
              <w:tr2bl w:val="nil"/>
            </w:tcBorders>
            <w:shd w:val="clear" w:color="FFFFFF" w:fill="FFFFFF"/>
            <w:noWrap/>
            <w:tcMar>
              <w:left w:w="101" w:type="dxa"/>
              <w:right w:w="101" w:type="dxa"/>
            </w:tcMar>
          </w:tcPr>
          <w:p w14:paraId="2916BC34" w14:textId="65F7C60C"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w:t>
            </w:r>
            <w:r w:rsidR="0080539F">
              <w:rPr>
                <w:rFonts w:ascii="Calibri" w:eastAsia="Calibri" w:hAnsi="Calibri" w:cs="Calibri"/>
                <w:b/>
                <w:color w:val="000000"/>
                <w:sz w:val="18"/>
              </w:rPr>
              <w:t>4,421</w:t>
            </w:r>
          </w:p>
        </w:tc>
      </w:tr>
      <w:tr w:rsidR="00C07D35" w14:paraId="1E9581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845C1F"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CECE67"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D127A7"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EAEA29"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E262572" w14:textId="77777777" w:rsidR="00C07D35" w:rsidRDefault="00C07D35">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777EAD"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437ADB"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CCEC64" w14:textId="77777777" w:rsidR="00C07D35" w:rsidRDefault="00C07D35">
            <w:pPr>
              <w:pStyle w:val="Normal8"/>
              <w:rPr>
                <w:rFonts w:ascii="Calibri" w:eastAsia="Calibri" w:hAnsi="Calibri" w:cs="Calibri"/>
                <w:color w:val="000000"/>
                <w:sz w:val="18"/>
              </w:rPr>
            </w:pPr>
          </w:p>
        </w:tc>
      </w:tr>
      <w:tr w:rsidR="00C07D35" w14:paraId="56C44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885EAC7" w14:textId="77777777" w:rsidR="00C07D35" w:rsidRDefault="00C07D35">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748CC090"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C07D35" w14:paraId="112B64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1E020AC"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5,277</w:t>
            </w:r>
          </w:p>
        </w:tc>
        <w:tc>
          <w:tcPr>
            <w:tcW w:w="2385" w:type="dxa"/>
            <w:tcBorders>
              <w:top w:val="nil"/>
              <w:left w:val="nil"/>
              <w:bottom w:val="nil"/>
              <w:right w:val="nil"/>
              <w:tl2br w:val="nil"/>
              <w:tr2bl w:val="nil"/>
            </w:tcBorders>
            <w:shd w:val="clear" w:color="FFFFFF" w:fill="FFFFFF"/>
            <w:tcMar>
              <w:left w:w="101" w:type="dxa"/>
              <w:right w:w="101" w:type="dxa"/>
            </w:tcMar>
          </w:tcPr>
          <w:p w14:paraId="4E524425"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450D1B3B"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3,126</w:t>
            </w:r>
          </w:p>
        </w:tc>
        <w:tc>
          <w:tcPr>
            <w:tcW w:w="1035" w:type="dxa"/>
            <w:tcBorders>
              <w:top w:val="nil"/>
              <w:left w:val="nil"/>
              <w:bottom w:val="nil"/>
              <w:right w:val="nil"/>
              <w:tl2br w:val="nil"/>
              <w:tr2bl w:val="nil"/>
            </w:tcBorders>
            <w:shd w:val="clear" w:color="FFFFFF" w:fill="FFFFFF"/>
            <w:noWrap/>
            <w:tcMar>
              <w:left w:w="101" w:type="dxa"/>
              <w:right w:w="101" w:type="dxa"/>
            </w:tcMar>
          </w:tcPr>
          <w:p w14:paraId="22DA6D78"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7,399</w:t>
            </w:r>
          </w:p>
        </w:tc>
        <w:tc>
          <w:tcPr>
            <w:tcW w:w="600" w:type="dxa"/>
            <w:tcBorders>
              <w:top w:val="nil"/>
              <w:left w:val="nil"/>
              <w:bottom w:val="nil"/>
              <w:right w:val="nil"/>
              <w:tl2br w:val="nil"/>
              <w:tr2bl w:val="nil"/>
            </w:tcBorders>
            <w:shd w:val="clear" w:color="FFFFFF" w:fill="FFFFFF"/>
            <w:noWrap/>
            <w:tcMar>
              <w:left w:w="101" w:type="dxa"/>
              <w:right w:w="101" w:type="dxa"/>
            </w:tcMar>
          </w:tcPr>
          <w:p w14:paraId="30A64F90"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137 </w:t>
            </w:r>
          </w:p>
        </w:tc>
        <w:tc>
          <w:tcPr>
            <w:tcW w:w="1035" w:type="dxa"/>
            <w:tcBorders>
              <w:top w:val="nil"/>
              <w:left w:val="nil"/>
              <w:bottom w:val="nil"/>
              <w:right w:val="nil"/>
              <w:tl2br w:val="nil"/>
              <w:tr2bl w:val="nil"/>
            </w:tcBorders>
            <w:shd w:val="clear" w:color="FFFFFF" w:fill="FFFFFF"/>
            <w:noWrap/>
            <w:tcMar>
              <w:left w:w="101" w:type="dxa"/>
              <w:right w:w="101" w:type="dxa"/>
            </w:tcMar>
          </w:tcPr>
          <w:p w14:paraId="77471F46"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448</w:t>
            </w:r>
          </w:p>
        </w:tc>
        <w:tc>
          <w:tcPr>
            <w:tcW w:w="1035" w:type="dxa"/>
            <w:tcBorders>
              <w:top w:val="nil"/>
              <w:left w:val="nil"/>
              <w:bottom w:val="nil"/>
              <w:right w:val="nil"/>
              <w:tl2br w:val="nil"/>
              <w:tr2bl w:val="nil"/>
            </w:tcBorders>
            <w:shd w:val="clear" w:color="FFFFFF" w:fill="FFFFFF"/>
            <w:noWrap/>
            <w:tcMar>
              <w:left w:w="101" w:type="dxa"/>
              <w:right w:w="101" w:type="dxa"/>
            </w:tcMar>
          </w:tcPr>
          <w:p w14:paraId="7E87CA12"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459</w:t>
            </w:r>
          </w:p>
        </w:tc>
        <w:tc>
          <w:tcPr>
            <w:tcW w:w="1035" w:type="dxa"/>
            <w:tcBorders>
              <w:top w:val="nil"/>
              <w:left w:val="nil"/>
              <w:bottom w:val="nil"/>
              <w:right w:val="nil"/>
              <w:tl2br w:val="nil"/>
              <w:tr2bl w:val="nil"/>
            </w:tcBorders>
            <w:shd w:val="clear" w:color="FFFFFF" w:fill="FFFFFF"/>
            <w:noWrap/>
            <w:tcMar>
              <w:left w:w="101" w:type="dxa"/>
              <w:right w:w="101" w:type="dxa"/>
            </w:tcMar>
          </w:tcPr>
          <w:p w14:paraId="3A60084E"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470</w:t>
            </w:r>
          </w:p>
        </w:tc>
      </w:tr>
      <w:tr w:rsidR="0080539F" w14:paraId="1A4618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CB73E67" w14:textId="0E17FBFC" w:rsidR="0080539F" w:rsidRDefault="0080539F">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7CE1D818" w14:textId="0F3A8682" w:rsidR="0080539F" w:rsidRDefault="002A7814">
            <w:pPr>
              <w:pStyle w:val="Normal8"/>
              <w:rPr>
                <w:rFonts w:ascii="Calibri" w:eastAsia="Calibri" w:hAnsi="Calibri" w:cs="Calibri"/>
                <w:color w:val="000000"/>
                <w:sz w:val="18"/>
              </w:rPr>
            </w:pPr>
            <w:r>
              <w:rPr>
                <w:rFonts w:ascii="Calibri" w:eastAsia="Calibri" w:hAnsi="Calibri" w:cs="Calibri"/>
                <w:color w:val="000000"/>
                <w:sz w:val="18"/>
              </w:rPr>
              <w:t>Inc/Dec in Net Assets due to Admin Restructure</w:t>
            </w:r>
          </w:p>
        </w:tc>
        <w:tc>
          <w:tcPr>
            <w:tcW w:w="1035" w:type="dxa"/>
            <w:tcBorders>
              <w:top w:val="nil"/>
              <w:left w:val="nil"/>
              <w:bottom w:val="nil"/>
              <w:right w:val="nil"/>
              <w:tl2br w:val="nil"/>
              <w:tr2bl w:val="nil"/>
            </w:tcBorders>
            <w:shd w:val="clear" w:color="FFFFFF" w:fill="FFFFFF"/>
            <w:noWrap/>
            <w:tcMar>
              <w:left w:w="101" w:type="dxa"/>
              <w:right w:w="101" w:type="dxa"/>
            </w:tcMar>
          </w:tcPr>
          <w:p w14:paraId="7F2C1962" w14:textId="56576029" w:rsidR="0080539F" w:rsidRDefault="002A7814">
            <w:pPr>
              <w:pStyle w:val="Normal8"/>
              <w:jc w:val="right"/>
              <w:rPr>
                <w:rFonts w:ascii="Calibri" w:eastAsia="Calibri" w:hAnsi="Calibri" w:cs="Calibri"/>
                <w:color w:val="000000"/>
                <w:sz w:val="18"/>
              </w:rPr>
            </w:pPr>
            <w:r>
              <w:rPr>
                <w:rFonts w:ascii="Calibri" w:eastAsia="Calibri" w:hAnsi="Calibri" w:cs="Calibri"/>
                <w:color w:val="000000"/>
                <w:sz w:val="18"/>
              </w:rPr>
              <w:t>10,267</w:t>
            </w:r>
          </w:p>
        </w:tc>
        <w:tc>
          <w:tcPr>
            <w:tcW w:w="1035" w:type="dxa"/>
            <w:tcBorders>
              <w:top w:val="nil"/>
              <w:left w:val="nil"/>
              <w:bottom w:val="nil"/>
              <w:right w:val="nil"/>
              <w:tl2br w:val="nil"/>
              <w:tr2bl w:val="nil"/>
            </w:tcBorders>
            <w:shd w:val="clear" w:color="FFFFFF" w:fill="FFFFFF"/>
            <w:noWrap/>
            <w:tcMar>
              <w:left w:w="101" w:type="dxa"/>
              <w:right w:w="101" w:type="dxa"/>
            </w:tcMar>
          </w:tcPr>
          <w:p w14:paraId="59D6D0CB" w14:textId="7110E22E" w:rsidR="0080539F" w:rsidRDefault="002A7814">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2114CFE5" w14:textId="5D458C91" w:rsidR="0080539F" w:rsidRDefault="002A7814">
            <w:pPr>
              <w:pStyle w:val="Normal8"/>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7836FE" w14:textId="3EE1B9D3" w:rsidR="0080539F" w:rsidRDefault="002A7814">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CE28DF5" w14:textId="74A2BAE7" w:rsidR="0080539F" w:rsidRDefault="002A7814">
            <w:pPr>
              <w:pStyle w:val="Normal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A6CC81E" w14:textId="21E9154C" w:rsidR="0080539F" w:rsidRDefault="002A7814">
            <w:pPr>
              <w:pStyle w:val="Normal8"/>
              <w:jc w:val="right"/>
              <w:rPr>
                <w:rFonts w:ascii="Calibri" w:eastAsia="Calibri" w:hAnsi="Calibri" w:cs="Calibri"/>
                <w:color w:val="000000"/>
                <w:sz w:val="18"/>
              </w:rPr>
            </w:pPr>
            <w:r>
              <w:rPr>
                <w:rFonts w:ascii="Calibri" w:eastAsia="Calibri" w:hAnsi="Calibri" w:cs="Calibri"/>
                <w:color w:val="000000"/>
                <w:sz w:val="18"/>
              </w:rPr>
              <w:t>0</w:t>
            </w:r>
          </w:p>
        </w:tc>
      </w:tr>
      <w:tr w:rsidR="00C07D35" w14:paraId="63BD13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8B15213"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5A67B8B"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DE58C3"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0025CD"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7B71825" w14:textId="77777777" w:rsidR="00C07D35" w:rsidRDefault="00C07D35">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2601C8"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1F344A"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25E488" w14:textId="77777777" w:rsidR="00C07D35" w:rsidRDefault="00C07D35">
            <w:pPr>
              <w:pStyle w:val="Normal8"/>
              <w:rPr>
                <w:rFonts w:ascii="Calibri" w:eastAsia="Calibri" w:hAnsi="Calibri" w:cs="Calibri"/>
                <w:color w:val="000000"/>
                <w:sz w:val="18"/>
              </w:rPr>
            </w:pPr>
          </w:p>
        </w:tc>
      </w:tr>
      <w:tr w:rsidR="00C07D35" w14:paraId="603D82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67A56E0E"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5,277</w:t>
            </w:r>
          </w:p>
        </w:tc>
        <w:tc>
          <w:tcPr>
            <w:tcW w:w="2385" w:type="dxa"/>
            <w:tcBorders>
              <w:top w:val="nil"/>
              <w:left w:val="nil"/>
              <w:bottom w:val="nil"/>
              <w:right w:val="nil"/>
              <w:tl2br w:val="nil"/>
              <w:tr2bl w:val="nil"/>
            </w:tcBorders>
            <w:shd w:val="clear" w:color="auto" w:fill="auto"/>
            <w:tcMar>
              <w:left w:w="101" w:type="dxa"/>
              <w:right w:w="101" w:type="dxa"/>
            </w:tcMar>
          </w:tcPr>
          <w:p w14:paraId="507C05FF"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0FEEB97"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13,393</w:t>
            </w:r>
          </w:p>
        </w:tc>
        <w:tc>
          <w:tcPr>
            <w:tcW w:w="1035" w:type="dxa"/>
            <w:tcBorders>
              <w:top w:val="nil"/>
              <w:left w:val="nil"/>
              <w:bottom w:val="nil"/>
              <w:right w:val="nil"/>
              <w:tl2br w:val="nil"/>
              <w:tr2bl w:val="nil"/>
            </w:tcBorders>
            <w:shd w:val="clear" w:color="FFFFFF" w:fill="FFFFFF"/>
            <w:noWrap/>
            <w:tcMar>
              <w:left w:w="101" w:type="dxa"/>
              <w:right w:w="101" w:type="dxa"/>
            </w:tcMar>
          </w:tcPr>
          <w:p w14:paraId="0EA0E589"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7,399</w:t>
            </w:r>
          </w:p>
        </w:tc>
        <w:tc>
          <w:tcPr>
            <w:tcW w:w="600" w:type="dxa"/>
            <w:tcBorders>
              <w:top w:val="nil"/>
              <w:left w:val="nil"/>
              <w:bottom w:val="nil"/>
              <w:right w:val="nil"/>
              <w:tl2br w:val="nil"/>
              <w:tr2bl w:val="nil"/>
            </w:tcBorders>
            <w:shd w:val="clear" w:color="FFFFFF" w:fill="FFFFFF"/>
            <w:noWrap/>
            <w:tcMar>
              <w:left w:w="101" w:type="dxa"/>
              <w:right w:w="101" w:type="dxa"/>
            </w:tcMar>
          </w:tcPr>
          <w:p w14:paraId="4D927EE7"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 xml:space="preserve">-45 </w:t>
            </w:r>
          </w:p>
        </w:tc>
        <w:tc>
          <w:tcPr>
            <w:tcW w:w="1035" w:type="dxa"/>
            <w:tcBorders>
              <w:top w:val="nil"/>
              <w:left w:val="nil"/>
              <w:bottom w:val="nil"/>
              <w:right w:val="nil"/>
              <w:tl2br w:val="nil"/>
              <w:tr2bl w:val="nil"/>
            </w:tcBorders>
            <w:shd w:val="clear" w:color="FFFFFF" w:fill="FFFFFF"/>
            <w:noWrap/>
            <w:tcMar>
              <w:left w:w="101" w:type="dxa"/>
              <w:right w:w="101" w:type="dxa"/>
            </w:tcMar>
          </w:tcPr>
          <w:p w14:paraId="081B3E5C"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448</w:t>
            </w:r>
          </w:p>
        </w:tc>
        <w:tc>
          <w:tcPr>
            <w:tcW w:w="1035" w:type="dxa"/>
            <w:tcBorders>
              <w:top w:val="nil"/>
              <w:left w:val="nil"/>
              <w:bottom w:val="nil"/>
              <w:right w:val="nil"/>
              <w:tl2br w:val="nil"/>
              <w:tr2bl w:val="nil"/>
            </w:tcBorders>
            <w:shd w:val="clear" w:color="FFFFFF" w:fill="FFFFFF"/>
            <w:noWrap/>
            <w:tcMar>
              <w:left w:w="101" w:type="dxa"/>
              <w:right w:w="101" w:type="dxa"/>
            </w:tcMar>
          </w:tcPr>
          <w:p w14:paraId="18340C1E"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459</w:t>
            </w:r>
          </w:p>
        </w:tc>
        <w:tc>
          <w:tcPr>
            <w:tcW w:w="1035" w:type="dxa"/>
            <w:tcBorders>
              <w:top w:val="nil"/>
              <w:left w:val="nil"/>
              <w:bottom w:val="nil"/>
              <w:right w:val="nil"/>
              <w:tl2br w:val="nil"/>
              <w:tr2bl w:val="nil"/>
            </w:tcBorders>
            <w:shd w:val="clear" w:color="FFFFFF" w:fill="FFFFFF"/>
            <w:noWrap/>
            <w:tcMar>
              <w:left w:w="101" w:type="dxa"/>
              <w:right w:w="101" w:type="dxa"/>
            </w:tcMar>
          </w:tcPr>
          <w:p w14:paraId="1FC19352"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470</w:t>
            </w:r>
          </w:p>
        </w:tc>
      </w:tr>
      <w:tr w:rsidR="00C07D35" w14:paraId="6168C2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2B18309"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EFCB0DB"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19B16E"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B883B5"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CA179D1" w14:textId="77777777" w:rsidR="00C07D35" w:rsidRDefault="00C07D35">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9CB1035"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398D75"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F490EE" w14:textId="77777777" w:rsidR="00C07D35" w:rsidRDefault="00C07D35">
            <w:pPr>
              <w:pStyle w:val="Normal8"/>
              <w:rPr>
                <w:rFonts w:ascii="Calibri" w:eastAsia="Calibri" w:hAnsi="Calibri" w:cs="Calibri"/>
                <w:color w:val="000000"/>
                <w:sz w:val="18"/>
              </w:rPr>
            </w:pPr>
          </w:p>
        </w:tc>
      </w:tr>
      <w:tr w:rsidR="00C07D35" w14:paraId="6BCA36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AFEFE2B"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73697822"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0329941"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2E117B"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2615E5F" w14:textId="77777777" w:rsidR="00C07D35" w:rsidRDefault="00C07D35">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6E2F51"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19F0DE"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3A6890" w14:textId="77777777" w:rsidR="00C07D35" w:rsidRDefault="00C07D35">
            <w:pPr>
              <w:pStyle w:val="Normal8"/>
              <w:rPr>
                <w:rFonts w:ascii="Calibri" w:eastAsia="Calibri" w:hAnsi="Calibri" w:cs="Calibri"/>
                <w:color w:val="000000"/>
                <w:sz w:val="18"/>
              </w:rPr>
            </w:pPr>
          </w:p>
        </w:tc>
      </w:tr>
      <w:tr w:rsidR="00C07D35" w14:paraId="26DAC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78C47D7"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58,066</w:t>
            </w:r>
          </w:p>
        </w:tc>
        <w:tc>
          <w:tcPr>
            <w:tcW w:w="2385" w:type="dxa"/>
            <w:tcBorders>
              <w:top w:val="nil"/>
              <w:left w:val="nil"/>
              <w:bottom w:val="nil"/>
              <w:right w:val="nil"/>
              <w:tl2br w:val="nil"/>
              <w:tr2bl w:val="nil"/>
            </w:tcBorders>
            <w:shd w:val="clear" w:color="auto" w:fill="auto"/>
            <w:tcMar>
              <w:left w:w="101" w:type="dxa"/>
              <w:right w:w="101" w:type="dxa"/>
            </w:tcMar>
          </w:tcPr>
          <w:p w14:paraId="6BACDCA4"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199821A"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66,757</w:t>
            </w:r>
          </w:p>
        </w:tc>
        <w:tc>
          <w:tcPr>
            <w:tcW w:w="1035" w:type="dxa"/>
            <w:tcBorders>
              <w:top w:val="nil"/>
              <w:left w:val="nil"/>
              <w:bottom w:val="nil"/>
              <w:right w:val="nil"/>
              <w:tl2br w:val="nil"/>
              <w:tr2bl w:val="nil"/>
            </w:tcBorders>
            <w:shd w:val="clear" w:color="FFFFFF" w:fill="FFFFFF"/>
            <w:noWrap/>
            <w:tcMar>
              <w:left w:w="101" w:type="dxa"/>
              <w:right w:w="101" w:type="dxa"/>
            </w:tcMar>
          </w:tcPr>
          <w:p w14:paraId="59210978"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69,482</w:t>
            </w:r>
          </w:p>
        </w:tc>
        <w:tc>
          <w:tcPr>
            <w:tcW w:w="600" w:type="dxa"/>
            <w:tcBorders>
              <w:top w:val="nil"/>
              <w:left w:val="nil"/>
              <w:bottom w:val="nil"/>
              <w:right w:val="nil"/>
              <w:tl2br w:val="nil"/>
              <w:tr2bl w:val="nil"/>
            </w:tcBorders>
            <w:shd w:val="clear" w:color="FFFFFF" w:fill="FFFFFF"/>
            <w:noWrap/>
            <w:tcMar>
              <w:left w:w="101" w:type="dxa"/>
              <w:right w:w="101" w:type="dxa"/>
            </w:tcMar>
          </w:tcPr>
          <w:p w14:paraId="63751B41"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1EA38493"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65,116</w:t>
            </w:r>
          </w:p>
        </w:tc>
        <w:tc>
          <w:tcPr>
            <w:tcW w:w="1035" w:type="dxa"/>
            <w:tcBorders>
              <w:top w:val="nil"/>
              <w:left w:val="nil"/>
              <w:bottom w:val="nil"/>
              <w:right w:val="nil"/>
              <w:tl2br w:val="nil"/>
              <w:tr2bl w:val="nil"/>
            </w:tcBorders>
            <w:shd w:val="clear" w:color="FFFFFF" w:fill="FFFFFF"/>
            <w:noWrap/>
            <w:tcMar>
              <w:left w:w="101" w:type="dxa"/>
              <w:right w:w="101" w:type="dxa"/>
            </w:tcMar>
          </w:tcPr>
          <w:p w14:paraId="0221CDD4"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60,962</w:t>
            </w:r>
          </w:p>
        </w:tc>
        <w:tc>
          <w:tcPr>
            <w:tcW w:w="1035" w:type="dxa"/>
            <w:tcBorders>
              <w:top w:val="nil"/>
              <w:left w:val="nil"/>
              <w:bottom w:val="nil"/>
              <w:right w:val="nil"/>
              <w:tl2br w:val="nil"/>
              <w:tr2bl w:val="nil"/>
            </w:tcBorders>
            <w:shd w:val="clear" w:color="FFFFFF" w:fill="FFFFFF"/>
            <w:noWrap/>
            <w:tcMar>
              <w:left w:w="101" w:type="dxa"/>
              <w:right w:w="101" w:type="dxa"/>
            </w:tcMar>
          </w:tcPr>
          <w:p w14:paraId="65E1E9FF"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56,776</w:t>
            </w:r>
          </w:p>
        </w:tc>
      </w:tr>
      <w:tr w:rsidR="00C07D35" w14:paraId="68F92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305E8BE"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4,193</w:t>
            </w:r>
          </w:p>
        </w:tc>
        <w:tc>
          <w:tcPr>
            <w:tcW w:w="2385" w:type="dxa"/>
            <w:tcBorders>
              <w:top w:val="nil"/>
              <w:left w:val="nil"/>
              <w:bottom w:val="nil"/>
              <w:right w:val="nil"/>
              <w:tl2br w:val="nil"/>
              <w:tr2bl w:val="nil"/>
            </w:tcBorders>
            <w:shd w:val="clear" w:color="auto" w:fill="auto"/>
            <w:tcMar>
              <w:left w:w="101" w:type="dxa"/>
              <w:right w:w="101" w:type="dxa"/>
            </w:tcMar>
          </w:tcPr>
          <w:p w14:paraId="04BE8716" w14:textId="77777777" w:rsidR="00C07D35" w:rsidRDefault="00A4668D">
            <w:pPr>
              <w:pStyle w:val="Normal8"/>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1C51041A" w14:textId="6D75A3EE"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3,96</w:t>
            </w:r>
            <w:r w:rsidR="0080539F">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6B171A42" w14:textId="551EDF0A"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4,19</w:t>
            </w:r>
            <w:r w:rsidR="0080539F">
              <w:rPr>
                <w:rFonts w:ascii="Calibri" w:eastAsia="Calibri" w:hAnsi="Calibri" w:cs="Calibri"/>
                <w:color w:val="000000"/>
                <w:sz w:val="18"/>
              </w:rPr>
              <w:t>3</w:t>
            </w:r>
          </w:p>
        </w:tc>
        <w:tc>
          <w:tcPr>
            <w:tcW w:w="600" w:type="dxa"/>
            <w:tcBorders>
              <w:top w:val="nil"/>
              <w:left w:val="nil"/>
              <w:bottom w:val="nil"/>
              <w:right w:val="nil"/>
              <w:tl2br w:val="nil"/>
              <w:tr2bl w:val="nil"/>
            </w:tcBorders>
            <w:shd w:val="clear" w:color="FFFFFF" w:fill="FFFFFF"/>
            <w:noWrap/>
            <w:tcMar>
              <w:left w:w="101" w:type="dxa"/>
              <w:right w:w="101" w:type="dxa"/>
            </w:tcMar>
          </w:tcPr>
          <w:p w14:paraId="70573462" w14:textId="77777777"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noWrap/>
            <w:tcMar>
              <w:left w:w="101" w:type="dxa"/>
              <w:right w:w="101" w:type="dxa"/>
            </w:tcMar>
          </w:tcPr>
          <w:p w14:paraId="5C818EB5" w14:textId="1C5F6CF5"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4,42</w:t>
            </w:r>
            <w:r w:rsidR="0080539F">
              <w:rPr>
                <w:rFonts w:ascii="Calibri" w:eastAsia="Calibri" w:hAnsi="Calibri" w:cs="Calibri"/>
                <w:color w:val="000000"/>
                <w:sz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714CA060" w14:textId="13E3C32E"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4,66</w:t>
            </w:r>
            <w:r w:rsidR="0080539F">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23B16EEC" w14:textId="23C37CD3" w:rsidR="00C07D35" w:rsidRDefault="00A4668D">
            <w:pPr>
              <w:pStyle w:val="Normal8"/>
              <w:jc w:val="right"/>
              <w:rPr>
                <w:rFonts w:ascii="Calibri" w:eastAsia="Calibri" w:hAnsi="Calibri" w:cs="Calibri"/>
                <w:color w:val="000000"/>
                <w:sz w:val="18"/>
              </w:rPr>
            </w:pPr>
            <w:r>
              <w:rPr>
                <w:rFonts w:ascii="Calibri" w:eastAsia="Calibri" w:hAnsi="Calibri" w:cs="Calibri"/>
                <w:color w:val="000000"/>
                <w:sz w:val="18"/>
              </w:rPr>
              <w:t>4,89</w:t>
            </w:r>
            <w:r w:rsidR="0080539F">
              <w:rPr>
                <w:rFonts w:ascii="Calibri" w:eastAsia="Calibri" w:hAnsi="Calibri" w:cs="Calibri"/>
                <w:color w:val="000000"/>
                <w:sz w:val="18"/>
              </w:rPr>
              <w:t>8</w:t>
            </w:r>
          </w:p>
        </w:tc>
      </w:tr>
      <w:tr w:rsidR="00C07D35" w14:paraId="36811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9EEB6BB" w14:textId="77777777" w:rsidR="00C07D35" w:rsidRDefault="00C07D35">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5E4F83B"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13B02D"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5A5F6C" w14:textId="77777777" w:rsidR="00C07D35" w:rsidRDefault="00C07D35">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80BB177" w14:textId="77777777" w:rsidR="00C07D35" w:rsidRDefault="00C07D35">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A3E60A"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BCF63C" w14:textId="77777777" w:rsidR="00C07D35" w:rsidRDefault="00C07D35">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3F2526" w14:textId="77777777" w:rsidR="00C07D35" w:rsidRDefault="00C07D35">
            <w:pPr>
              <w:pStyle w:val="Normal8"/>
              <w:rPr>
                <w:rFonts w:ascii="Calibri" w:eastAsia="Calibri" w:hAnsi="Calibri" w:cs="Calibri"/>
                <w:color w:val="000000"/>
                <w:sz w:val="18"/>
              </w:rPr>
            </w:pPr>
          </w:p>
        </w:tc>
      </w:tr>
      <w:tr w:rsidR="00C07D35" w14:paraId="35218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22900E9"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62,259</w:t>
            </w:r>
          </w:p>
        </w:tc>
        <w:tc>
          <w:tcPr>
            <w:tcW w:w="2385" w:type="dxa"/>
            <w:tcBorders>
              <w:top w:val="nil"/>
              <w:left w:val="nil"/>
              <w:bottom w:val="nil"/>
              <w:right w:val="nil"/>
              <w:tl2br w:val="nil"/>
              <w:tr2bl w:val="nil"/>
            </w:tcBorders>
            <w:shd w:val="clear" w:color="FFFFFF" w:fill="FFFFFF"/>
            <w:tcMar>
              <w:left w:w="101" w:type="dxa"/>
              <w:right w:w="101" w:type="dxa"/>
            </w:tcMar>
          </w:tcPr>
          <w:p w14:paraId="4A14B32D" w14:textId="77777777" w:rsidR="00C07D35" w:rsidRDefault="00A4668D">
            <w:pPr>
              <w:pStyle w:val="Normal8"/>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72A9899" w14:textId="1D987E93"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70,72</w:t>
            </w:r>
            <w:r w:rsidR="0080539F">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82CD17D" w14:textId="7E3C91A9"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73,67</w:t>
            </w:r>
            <w:r w:rsidR="002A7814">
              <w:rPr>
                <w:rFonts w:ascii="Calibri" w:eastAsia="Calibri" w:hAnsi="Calibri" w:cs="Calibri"/>
                <w:b/>
                <w:color w:val="000000"/>
                <w:sz w:val="18"/>
              </w:rPr>
              <w:t>5</w:t>
            </w:r>
          </w:p>
        </w:tc>
        <w:tc>
          <w:tcPr>
            <w:tcW w:w="600" w:type="dxa"/>
            <w:tcBorders>
              <w:top w:val="nil"/>
              <w:left w:val="nil"/>
              <w:bottom w:val="nil"/>
              <w:right w:val="nil"/>
              <w:tl2br w:val="nil"/>
              <w:tr2bl w:val="nil"/>
            </w:tcBorders>
            <w:shd w:val="clear" w:color="FFFFFF" w:fill="FFFFFF"/>
            <w:noWrap/>
            <w:tcMar>
              <w:left w:w="101" w:type="dxa"/>
              <w:right w:w="101" w:type="dxa"/>
            </w:tcMar>
          </w:tcPr>
          <w:p w14:paraId="4A6D932F" w14:textId="77777777"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68B445B1" w14:textId="74ACEC70"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69,54</w:t>
            </w:r>
            <w:r w:rsidR="002A7814">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66E28C69" w14:textId="28F78232"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65,62</w:t>
            </w:r>
            <w:r w:rsidR="002A7814">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1C3194AE" w14:textId="3A4A753B" w:rsidR="00C07D35" w:rsidRDefault="00A4668D">
            <w:pPr>
              <w:pStyle w:val="Normal8"/>
              <w:jc w:val="right"/>
              <w:rPr>
                <w:rFonts w:ascii="Calibri" w:eastAsia="Calibri" w:hAnsi="Calibri" w:cs="Calibri"/>
                <w:b/>
                <w:color w:val="000000"/>
                <w:sz w:val="18"/>
              </w:rPr>
            </w:pPr>
            <w:r>
              <w:rPr>
                <w:rFonts w:ascii="Calibri" w:eastAsia="Calibri" w:hAnsi="Calibri" w:cs="Calibri"/>
                <w:b/>
                <w:color w:val="000000"/>
                <w:sz w:val="18"/>
              </w:rPr>
              <w:t>61,67</w:t>
            </w:r>
            <w:r w:rsidR="002A7814">
              <w:rPr>
                <w:rFonts w:ascii="Calibri" w:eastAsia="Calibri" w:hAnsi="Calibri" w:cs="Calibri"/>
                <w:b/>
                <w:color w:val="000000"/>
                <w:sz w:val="18"/>
              </w:rPr>
              <w:t>4</w:t>
            </w:r>
          </w:p>
        </w:tc>
      </w:tr>
      <w:tr w:rsidR="00C07D35" w14:paraId="139B39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22B9B1C" w14:textId="77777777" w:rsidR="00C07D35" w:rsidRDefault="00C07D35">
            <w:pPr>
              <w:pStyle w:val="Normal8"/>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3DEA6367" w14:textId="77777777" w:rsidR="00C07D35" w:rsidRDefault="00C07D35">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3F44546" w14:textId="77777777" w:rsidR="00C07D35" w:rsidRDefault="00C07D35">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D128CFC" w14:textId="77777777" w:rsidR="00C07D35" w:rsidRDefault="00C07D35">
            <w:pPr>
              <w:pStyle w:val="Normal8"/>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BB7715F" w14:textId="77777777" w:rsidR="00C07D35" w:rsidRDefault="00C07D35">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7850A7A" w14:textId="77777777" w:rsidR="00C07D35" w:rsidRDefault="00C07D35">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5EFB04E" w14:textId="77777777" w:rsidR="00C07D35" w:rsidRDefault="00C07D35">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74B6CD7" w14:textId="77777777" w:rsidR="00C07D35" w:rsidRDefault="00C07D35">
            <w:pPr>
              <w:pStyle w:val="Normal8"/>
              <w:rPr>
                <w:rFonts w:ascii="Calibri" w:eastAsia="Calibri" w:hAnsi="Calibri" w:cs="Calibri"/>
                <w:color w:val="000000"/>
                <w:sz w:val="18"/>
              </w:rPr>
            </w:pPr>
          </w:p>
        </w:tc>
      </w:tr>
    </w:tbl>
    <w:p w14:paraId="44E812AB" w14:textId="2A99EA88" w:rsidR="00A4668D" w:rsidRDefault="00A4668D" w:rsidP="00A4668D">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26</w:t>
      </w:r>
      <w:r>
        <w:rPr>
          <w:noProof/>
          <w:bdr w:val="nil"/>
        </w:rPr>
        <w:fldChar w:fldCharType="end"/>
      </w:r>
      <w:r>
        <w:rPr>
          <w:bdr w:val="nil"/>
        </w:rPr>
        <w:t xml:space="preserve">: Community Services Directorate: Cash Flow Statement </w:t>
      </w:r>
    </w:p>
    <w:tbl>
      <w:tblPr>
        <w:tblStyle w:val="CDMRange12"/>
        <w:tblW w:w="9210" w:type="dxa"/>
        <w:tblLayout w:type="fixed"/>
        <w:tblLook w:val="0600" w:firstRow="0" w:lastRow="0" w:firstColumn="0" w:lastColumn="0" w:noHBand="1" w:noVBand="1"/>
      </w:tblPr>
      <w:tblGrid>
        <w:gridCol w:w="1035"/>
        <w:gridCol w:w="2700"/>
        <w:gridCol w:w="1035"/>
        <w:gridCol w:w="960"/>
        <w:gridCol w:w="600"/>
        <w:gridCol w:w="960"/>
        <w:gridCol w:w="960"/>
        <w:gridCol w:w="960"/>
      </w:tblGrid>
      <w:tr w:rsidR="00C07D35" w14:paraId="3F988C22" w14:textId="77777777" w:rsidTr="009F7F5A">
        <w:trPr>
          <w:trHeight w:val="980"/>
          <w:tblHeader/>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621026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0B6568C2" w14:textId="77777777" w:rsidR="00C07D35" w:rsidRDefault="00C07D35">
            <w:pPr>
              <w:pStyle w:val="Normal9"/>
              <w:jc w:val="right"/>
              <w:rPr>
                <w:rFonts w:ascii="Calibri" w:eastAsia="Calibri" w:hAnsi="Calibri" w:cs="Calibri"/>
                <w:b/>
                <w:color w:val="000000"/>
                <w:sz w:val="18"/>
              </w:rPr>
            </w:pPr>
          </w:p>
          <w:p w14:paraId="4C709751"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70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669EB26" w14:textId="77777777" w:rsidR="00C07D35" w:rsidRDefault="00C07D35">
            <w:pPr>
              <w:pStyle w:val="Normal9"/>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86ED9C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FA5CAB6"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65E881A" w14:textId="77777777" w:rsidR="00C07D35" w:rsidRDefault="00C07D35">
            <w:pPr>
              <w:pStyle w:val="Normal9"/>
              <w:jc w:val="right"/>
              <w:rPr>
                <w:rFonts w:ascii="Calibri" w:eastAsia="Calibri" w:hAnsi="Calibri" w:cs="Calibri"/>
                <w:b/>
                <w:color w:val="000000"/>
                <w:sz w:val="18"/>
              </w:rPr>
            </w:pPr>
          </w:p>
          <w:p w14:paraId="13981B13"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D536245"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Var </w:t>
            </w:r>
          </w:p>
          <w:p w14:paraId="12EDDE0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6AF6FA"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04919F27" w14:textId="77777777" w:rsidR="00C07D35" w:rsidRDefault="00C07D35">
            <w:pPr>
              <w:pStyle w:val="Normal9"/>
              <w:jc w:val="right"/>
              <w:rPr>
                <w:rFonts w:ascii="Calibri" w:eastAsia="Calibri" w:hAnsi="Calibri" w:cs="Calibri"/>
                <w:b/>
                <w:color w:val="000000"/>
                <w:sz w:val="18"/>
              </w:rPr>
            </w:pPr>
          </w:p>
          <w:p w14:paraId="619355D6"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C50D532"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740FD2ED" w14:textId="77777777" w:rsidR="00C07D35" w:rsidRDefault="00C07D35">
            <w:pPr>
              <w:pStyle w:val="Normal9"/>
              <w:jc w:val="right"/>
              <w:rPr>
                <w:rFonts w:ascii="Calibri" w:eastAsia="Calibri" w:hAnsi="Calibri" w:cs="Calibri"/>
                <w:b/>
                <w:color w:val="000000"/>
                <w:sz w:val="18"/>
              </w:rPr>
            </w:pPr>
          </w:p>
          <w:p w14:paraId="1E1BC05E"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AF89C7"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4E45508A" w14:textId="77777777" w:rsidR="00C07D35" w:rsidRDefault="00C07D35">
            <w:pPr>
              <w:pStyle w:val="Normal9"/>
              <w:jc w:val="right"/>
              <w:rPr>
                <w:rFonts w:ascii="Calibri" w:eastAsia="Calibri" w:hAnsi="Calibri" w:cs="Calibri"/>
                <w:b/>
                <w:color w:val="000000"/>
                <w:sz w:val="18"/>
              </w:rPr>
            </w:pPr>
          </w:p>
          <w:p w14:paraId="542F8F47"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07D35" w14:paraId="0C49F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A44B90F" w14:textId="77777777" w:rsidR="00C07D35" w:rsidRDefault="00C07D35">
            <w:pPr>
              <w:pStyle w:val="Normal9"/>
              <w:jc w:val="right"/>
              <w:rPr>
                <w:rFonts w:ascii="Calibri" w:eastAsia="Calibri" w:hAnsi="Calibri" w:cs="Calibri"/>
                <w:b/>
                <w:i/>
                <w:color w:val="000000"/>
                <w:sz w:val="18"/>
              </w:rPr>
            </w:pPr>
          </w:p>
        </w:tc>
        <w:tc>
          <w:tcPr>
            <w:tcW w:w="2700" w:type="dxa"/>
            <w:tcBorders>
              <w:top w:val="single" w:sz="12" w:space="0" w:color="000000"/>
              <w:left w:val="nil"/>
              <w:bottom w:val="nil"/>
              <w:right w:val="nil"/>
              <w:tl2br w:val="nil"/>
              <w:tr2bl w:val="nil"/>
            </w:tcBorders>
            <w:shd w:val="clear" w:color="FFFFFF" w:fill="FFFFFF"/>
            <w:tcMar>
              <w:left w:w="0" w:type="dxa"/>
              <w:right w:w="0" w:type="dxa"/>
            </w:tcMar>
          </w:tcPr>
          <w:p w14:paraId="197C63F2" w14:textId="77777777" w:rsidR="00C07D35" w:rsidRDefault="00C07D35">
            <w:pPr>
              <w:pStyle w:val="Normal9"/>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412F92E" w14:textId="77777777" w:rsidR="00C07D35" w:rsidRDefault="00C07D35">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76EE3160" w14:textId="77777777" w:rsidR="00C07D35" w:rsidRDefault="00C07D35">
            <w:pPr>
              <w:pStyle w:val="Normal9"/>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2AE91DA6" w14:textId="77777777" w:rsidR="00C07D35" w:rsidRDefault="00C07D35">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4C2320D3" w14:textId="77777777" w:rsidR="00C07D35" w:rsidRDefault="00C07D35">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7AAF2F57" w14:textId="77777777" w:rsidR="00C07D35" w:rsidRDefault="00C07D35">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2DB82401" w14:textId="77777777" w:rsidR="00C07D35" w:rsidRDefault="00C07D35">
            <w:pPr>
              <w:pStyle w:val="Normal9"/>
              <w:jc w:val="right"/>
              <w:rPr>
                <w:rFonts w:ascii="Calibri" w:eastAsia="Calibri" w:hAnsi="Calibri" w:cs="Calibri"/>
                <w:b/>
                <w:i/>
                <w:color w:val="000000"/>
                <w:sz w:val="18"/>
              </w:rPr>
            </w:pPr>
          </w:p>
        </w:tc>
      </w:tr>
      <w:tr w:rsidR="00C07D35" w14:paraId="703830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0C8393C7" w14:textId="77777777" w:rsidR="00C07D35" w:rsidRDefault="00C07D35">
            <w:pPr>
              <w:pStyle w:val="Normal9"/>
              <w:rPr>
                <w:rFonts w:ascii="Calibri" w:eastAsia="Calibri" w:hAnsi="Calibri" w:cs="Calibri"/>
                <w:color w:val="000000"/>
                <w:sz w:val="18"/>
              </w:rPr>
            </w:pPr>
          </w:p>
        </w:tc>
        <w:tc>
          <w:tcPr>
            <w:tcW w:w="8175" w:type="dxa"/>
            <w:gridSpan w:val="7"/>
            <w:tcBorders>
              <w:top w:val="nil"/>
              <w:left w:val="nil"/>
              <w:bottom w:val="nil"/>
              <w:right w:val="nil"/>
              <w:tl2br w:val="nil"/>
              <w:tr2bl w:val="nil"/>
            </w:tcBorders>
            <w:shd w:val="clear" w:color="auto" w:fill="auto"/>
            <w:tcMar>
              <w:left w:w="101" w:type="dxa"/>
              <w:right w:w="101" w:type="dxa"/>
            </w:tcMar>
            <w:vAlign w:val="bottom"/>
          </w:tcPr>
          <w:p w14:paraId="2EC90100"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C07D35" w14:paraId="50FAF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A29308"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15EF5A46"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A66E408"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846CE03"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5A3164"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2259D2C"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80B84A5"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CEC5162" w14:textId="77777777" w:rsidR="00C07D35" w:rsidRDefault="00C07D35">
            <w:pPr>
              <w:pStyle w:val="Normal9"/>
              <w:rPr>
                <w:rFonts w:ascii="Calibri" w:eastAsia="Calibri" w:hAnsi="Calibri" w:cs="Calibri"/>
                <w:color w:val="000000"/>
                <w:sz w:val="18"/>
              </w:rPr>
            </w:pPr>
          </w:p>
        </w:tc>
      </w:tr>
      <w:tr w:rsidR="00C07D35" w14:paraId="49AB6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51844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212,740</w:t>
            </w:r>
          </w:p>
        </w:tc>
        <w:tc>
          <w:tcPr>
            <w:tcW w:w="2700" w:type="dxa"/>
            <w:tcBorders>
              <w:top w:val="nil"/>
              <w:left w:val="nil"/>
              <w:bottom w:val="nil"/>
              <w:right w:val="nil"/>
              <w:tl2br w:val="nil"/>
              <w:tr2bl w:val="nil"/>
            </w:tcBorders>
            <w:shd w:val="clear" w:color="auto" w:fill="auto"/>
            <w:noWrap/>
            <w:tcMar>
              <w:left w:w="101" w:type="dxa"/>
              <w:right w:w="101" w:type="dxa"/>
            </w:tcMar>
          </w:tcPr>
          <w:p w14:paraId="404CAF4C"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8EDDB1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207,247</w:t>
            </w:r>
          </w:p>
        </w:tc>
        <w:tc>
          <w:tcPr>
            <w:tcW w:w="960" w:type="dxa"/>
            <w:tcBorders>
              <w:top w:val="nil"/>
              <w:left w:val="nil"/>
              <w:bottom w:val="nil"/>
              <w:right w:val="nil"/>
              <w:tl2br w:val="nil"/>
              <w:tr2bl w:val="nil"/>
            </w:tcBorders>
            <w:shd w:val="clear" w:color="FFFFFF" w:fill="FFFFFF"/>
            <w:tcMar>
              <w:left w:w="101" w:type="dxa"/>
              <w:right w:w="101" w:type="dxa"/>
            </w:tcMar>
          </w:tcPr>
          <w:p w14:paraId="37FACB1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219,628</w:t>
            </w:r>
          </w:p>
        </w:tc>
        <w:tc>
          <w:tcPr>
            <w:tcW w:w="600" w:type="dxa"/>
            <w:tcBorders>
              <w:top w:val="nil"/>
              <w:left w:val="nil"/>
              <w:bottom w:val="nil"/>
              <w:right w:val="nil"/>
              <w:tl2br w:val="nil"/>
              <w:tr2bl w:val="nil"/>
            </w:tcBorders>
            <w:shd w:val="clear" w:color="FFFFFF" w:fill="FFFFFF"/>
            <w:tcMar>
              <w:left w:w="101" w:type="dxa"/>
              <w:right w:w="101" w:type="dxa"/>
            </w:tcMar>
          </w:tcPr>
          <w:p w14:paraId="2B4DDAA4"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960" w:type="dxa"/>
            <w:tcBorders>
              <w:top w:val="nil"/>
              <w:left w:val="nil"/>
              <w:bottom w:val="nil"/>
              <w:right w:val="nil"/>
              <w:tl2br w:val="nil"/>
              <w:tr2bl w:val="nil"/>
            </w:tcBorders>
            <w:shd w:val="clear" w:color="FFFFFF" w:fill="FFFFFF"/>
            <w:tcMar>
              <w:left w:w="101" w:type="dxa"/>
              <w:right w:w="101" w:type="dxa"/>
            </w:tcMar>
          </w:tcPr>
          <w:p w14:paraId="64C9A2A3"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201,912</w:t>
            </w:r>
          </w:p>
        </w:tc>
        <w:tc>
          <w:tcPr>
            <w:tcW w:w="960" w:type="dxa"/>
            <w:tcBorders>
              <w:top w:val="nil"/>
              <w:left w:val="nil"/>
              <w:bottom w:val="nil"/>
              <w:right w:val="nil"/>
              <w:tl2br w:val="nil"/>
              <w:tr2bl w:val="nil"/>
            </w:tcBorders>
            <w:shd w:val="clear" w:color="FFFFFF" w:fill="FFFFFF"/>
            <w:tcMar>
              <w:left w:w="101" w:type="dxa"/>
              <w:right w:w="101" w:type="dxa"/>
            </w:tcMar>
          </w:tcPr>
          <w:p w14:paraId="267137F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200,055</w:t>
            </w:r>
          </w:p>
        </w:tc>
        <w:tc>
          <w:tcPr>
            <w:tcW w:w="960" w:type="dxa"/>
            <w:tcBorders>
              <w:top w:val="nil"/>
              <w:left w:val="nil"/>
              <w:bottom w:val="nil"/>
              <w:right w:val="nil"/>
              <w:tl2br w:val="nil"/>
              <w:tr2bl w:val="nil"/>
            </w:tcBorders>
            <w:shd w:val="clear" w:color="FFFFFF" w:fill="FFFFFF"/>
            <w:tcMar>
              <w:left w:w="101" w:type="dxa"/>
              <w:right w:w="101" w:type="dxa"/>
            </w:tcMar>
          </w:tcPr>
          <w:p w14:paraId="607D802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202,055</w:t>
            </w:r>
          </w:p>
        </w:tc>
      </w:tr>
      <w:tr w:rsidR="00C07D35" w14:paraId="71CB77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F7AEE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1,296</w:t>
            </w:r>
          </w:p>
        </w:tc>
        <w:tc>
          <w:tcPr>
            <w:tcW w:w="2700" w:type="dxa"/>
            <w:tcBorders>
              <w:top w:val="nil"/>
              <w:left w:val="nil"/>
              <w:bottom w:val="nil"/>
              <w:right w:val="nil"/>
              <w:tl2br w:val="nil"/>
              <w:tr2bl w:val="nil"/>
            </w:tcBorders>
            <w:shd w:val="clear" w:color="auto" w:fill="auto"/>
            <w:noWrap/>
            <w:tcMar>
              <w:left w:w="101" w:type="dxa"/>
              <w:right w:w="101" w:type="dxa"/>
            </w:tcMar>
          </w:tcPr>
          <w:p w14:paraId="6BFE5C0A"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181DD057"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2,485</w:t>
            </w:r>
          </w:p>
        </w:tc>
        <w:tc>
          <w:tcPr>
            <w:tcW w:w="960" w:type="dxa"/>
            <w:tcBorders>
              <w:top w:val="nil"/>
              <w:left w:val="nil"/>
              <w:bottom w:val="nil"/>
              <w:right w:val="nil"/>
              <w:tl2br w:val="nil"/>
              <w:tr2bl w:val="nil"/>
            </w:tcBorders>
            <w:shd w:val="clear" w:color="FFFFFF" w:fill="FFFFFF"/>
            <w:tcMar>
              <w:left w:w="101" w:type="dxa"/>
              <w:right w:w="101" w:type="dxa"/>
            </w:tcMar>
          </w:tcPr>
          <w:p w14:paraId="4ACE51E0"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2,001</w:t>
            </w:r>
          </w:p>
        </w:tc>
        <w:tc>
          <w:tcPr>
            <w:tcW w:w="600" w:type="dxa"/>
            <w:tcBorders>
              <w:top w:val="nil"/>
              <w:left w:val="nil"/>
              <w:bottom w:val="nil"/>
              <w:right w:val="nil"/>
              <w:tl2br w:val="nil"/>
              <w:tr2bl w:val="nil"/>
            </w:tcBorders>
            <w:shd w:val="clear" w:color="FFFFFF" w:fill="FFFFFF"/>
            <w:tcMar>
              <w:left w:w="101" w:type="dxa"/>
              <w:right w:w="101" w:type="dxa"/>
            </w:tcMar>
          </w:tcPr>
          <w:p w14:paraId="6827E80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-19 </w:t>
            </w:r>
          </w:p>
        </w:tc>
        <w:tc>
          <w:tcPr>
            <w:tcW w:w="960" w:type="dxa"/>
            <w:tcBorders>
              <w:top w:val="nil"/>
              <w:left w:val="nil"/>
              <w:bottom w:val="nil"/>
              <w:right w:val="nil"/>
              <w:tl2br w:val="nil"/>
              <w:tr2bl w:val="nil"/>
            </w:tcBorders>
            <w:shd w:val="clear" w:color="FFFFFF" w:fill="FFFFFF"/>
            <w:tcMar>
              <w:left w:w="101" w:type="dxa"/>
              <w:right w:w="101" w:type="dxa"/>
            </w:tcMar>
          </w:tcPr>
          <w:p w14:paraId="5DFD0C5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1,445</w:t>
            </w:r>
          </w:p>
        </w:tc>
        <w:tc>
          <w:tcPr>
            <w:tcW w:w="960" w:type="dxa"/>
            <w:tcBorders>
              <w:top w:val="nil"/>
              <w:left w:val="nil"/>
              <w:bottom w:val="nil"/>
              <w:right w:val="nil"/>
              <w:tl2br w:val="nil"/>
              <w:tr2bl w:val="nil"/>
            </w:tcBorders>
            <w:shd w:val="clear" w:color="FFFFFF" w:fill="FFFFFF"/>
            <w:tcMar>
              <w:left w:w="101" w:type="dxa"/>
              <w:right w:w="101" w:type="dxa"/>
            </w:tcMar>
          </w:tcPr>
          <w:p w14:paraId="4FD031F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1,296</w:t>
            </w:r>
          </w:p>
        </w:tc>
        <w:tc>
          <w:tcPr>
            <w:tcW w:w="960" w:type="dxa"/>
            <w:tcBorders>
              <w:top w:val="nil"/>
              <w:left w:val="nil"/>
              <w:bottom w:val="nil"/>
              <w:right w:val="nil"/>
              <w:tl2br w:val="nil"/>
              <w:tr2bl w:val="nil"/>
            </w:tcBorders>
            <w:shd w:val="clear" w:color="FFFFFF" w:fill="FFFFFF"/>
            <w:tcMar>
              <w:left w:w="101" w:type="dxa"/>
              <w:right w:w="101" w:type="dxa"/>
            </w:tcMar>
          </w:tcPr>
          <w:p w14:paraId="011A877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1,302</w:t>
            </w:r>
          </w:p>
        </w:tc>
      </w:tr>
      <w:tr w:rsidR="00C07D35" w14:paraId="363137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B2A92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700" w:type="dxa"/>
            <w:tcBorders>
              <w:top w:val="nil"/>
              <w:left w:val="nil"/>
              <w:bottom w:val="nil"/>
              <w:right w:val="nil"/>
              <w:tl2br w:val="nil"/>
              <w:tr2bl w:val="nil"/>
            </w:tcBorders>
            <w:shd w:val="clear" w:color="auto" w:fill="auto"/>
            <w:noWrap/>
            <w:tcMar>
              <w:left w:w="101" w:type="dxa"/>
              <w:right w:w="101" w:type="dxa"/>
            </w:tcMar>
          </w:tcPr>
          <w:p w14:paraId="521141D2"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Goods and Services Tax Input Tax Credits from the Australian Taxation Office</w:t>
            </w:r>
          </w:p>
        </w:tc>
        <w:tc>
          <w:tcPr>
            <w:tcW w:w="1035" w:type="dxa"/>
            <w:tcBorders>
              <w:top w:val="nil"/>
              <w:left w:val="nil"/>
              <w:bottom w:val="nil"/>
              <w:right w:val="nil"/>
              <w:tl2br w:val="nil"/>
              <w:tr2bl w:val="nil"/>
            </w:tcBorders>
            <w:shd w:val="clear" w:color="FFFFFF" w:fill="FFFFFF"/>
            <w:tcMar>
              <w:left w:w="101" w:type="dxa"/>
              <w:right w:w="101" w:type="dxa"/>
            </w:tcMar>
          </w:tcPr>
          <w:p w14:paraId="7B16F5A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11,144</w:t>
            </w:r>
          </w:p>
        </w:tc>
        <w:tc>
          <w:tcPr>
            <w:tcW w:w="960" w:type="dxa"/>
            <w:tcBorders>
              <w:top w:val="nil"/>
              <w:left w:val="nil"/>
              <w:bottom w:val="nil"/>
              <w:right w:val="nil"/>
              <w:tl2br w:val="nil"/>
              <w:tr2bl w:val="nil"/>
            </w:tcBorders>
            <w:shd w:val="clear" w:color="FFFFFF" w:fill="FFFFFF"/>
            <w:tcMar>
              <w:left w:w="101" w:type="dxa"/>
              <w:right w:w="101" w:type="dxa"/>
            </w:tcMar>
          </w:tcPr>
          <w:p w14:paraId="3ADAAB6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11,617</w:t>
            </w:r>
          </w:p>
        </w:tc>
        <w:tc>
          <w:tcPr>
            <w:tcW w:w="600" w:type="dxa"/>
            <w:tcBorders>
              <w:top w:val="nil"/>
              <w:left w:val="nil"/>
              <w:bottom w:val="nil"/>
              <w:right w:val="nil"/>
              <w:tl2br w:val="nil"/>
              <w:tr2bl w:val="nil"/>
            </w:tcBorders>
            <w:shd w:val="clear" w:color="FFFFFF" w:fill="FFFFFF"/>
            <w:tcMar>
              <w:left w:w="101" w:type="dxa"/>
              <w:right w:w="101" w:type="dxa"/>
            </w:tcMar>
          </w:tcPr>
          <w:p w14:paraId="71EEA758"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960" w:type="dxa"/>
            <w:tcBorders>
              <w:top w:val="nil"/>
              <w:left w:val="nil"/>
              <w:bottom w:val="nil"/>
              <w:right w:val="nil"/>
              <w:tl2br w:val="nil"/>
              <w:tr2bl w:val="nil"/>
            </w:tcBorders>
            <w:shd w:val="clear" w:color="FFFFFF" w:fill="FFFFFF"/>
            <w:tcMar>
              <w:left w:w="101" w:type="dxa"/>
              <w:right w:w="101" w:type="dxa"/>
            </w:tcMar>
          </w:tcPr>
          <w:p w14:paraId="6B96D0C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13,925</w:t>
            </w:r>
          </w:p>
        </w:tc>
        <w:tc>
          <w:tcPr>
            <w:tcW w:w="960" w:type="dxa"/>
            <w:tcBorders>
              <w:top w:val="nil"/>
              <w:left w:val="nil"/>
              <w:bottom w:val="nil"/>
              <w:right w:val="nil"/>
              <w:tl2br w:val="nil"/>
              <w:tr2bl w:val="nil"/>
            </w:tcBorders>
            <w:shd w:val="clear" w:color="FFFFFF" w:fill="FFFFFF"/>
            <w:tcMar>
              <w:left w:w="101" w:type="dxa"/>
              <w:right w:w="101" w:type="dxa"/>
            </w:tcMar>
          </w:tcPr>
          <w:p w14:paraId="13D36AA3"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13,925</w:t>
            </w:r>
          </w:p>
        </w:tc>
        <w:tc>
          <w:tcPr>
            <w:tcW w:w="960" w:type="dxa"/>
            <w:tcBorders>
              <w:top w:val="nil"/>
              <w:left w:val="nil"/>
              <w:bottom w:val="nil"/>
              <w:right w:val="nil"/>
              <w:tl2br w:val="nil"/>
              <w:tr2bl w:val="nil"/>
            </w:tcBorders>
            <w:shd w:val="clear" w:color="FFFFFF" w:fill="FFFFFF"/>
            <w:tcMar>
              <w:left w:w="101" w:type="dxa"/>
              <w:right w:w="101" w:type="dxa"/>
            </w:tcMar>
          </w:tcPr>
          <w:p w14:paraId="30AE9FB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13,925</w:t>
            </w:r>
          </w:p>
        </w:tc>
      </w:tr>
      <w:tr w:rsidR="00C07D35" w14:paraId="18C420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1D6B3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700" w:type="dxa"/>
            <w:tcBorders>
              <w:top w:val="nil"/>
              <w:left w:val="nil"/>
              <w:bottom w:val="nil"/>
              <w:right w:val="nil"/>
              <w:tl2br w:val="nil"/>
              <w:tr2bl w:val="nil"/>
            </w:tcBorders>
            <w:shd w:val="clear" w:color="auto" w:fill="auto"/>
            <w:noWrap/>
            <w:tcMar>
              <w:left w:w="101" w:type="dxa"/>
              <w:right w:w="101" w:type="dxa"/>
            </w:tcMar>
          </w:tcPr>
          <w:p w14:paraId="18A728F3"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Goods and Services Tax Collected from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FDAB17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102</w:t>
            </w:r>
          </w:p>
        </w:tc>
        <w:tc>
          <w:tcPr>
            <w:tcW w:w="960" w:type="dxa"/>
            <w:tcBorders>
              <w:top w:val="nil"/>
              <w:left w:val="nil"/>
              <w:bottom w:val="nil"/>
              <w:right w:val="nil"/>
              <w:tl2br w:val="nil"/>
              <w:tr2bl w:val="nil"/>
            </w:tcBorders>
            <w:shd w:val="clear" w:color="FFFFFF" w:fill="FFFFFF"/>
            <w:tcMar>
              <w:left w:w="101" w:type="dxa"/>
              <w:right w:w="101" w:type="dxa"/>
            </w:tcMar>
          </w:tcPr>
          <w:p w14:paraId="63D61A9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46</w:t>
            </w:r>
          </w:p>
        </w:tc>
        <w:tc>
          <w:tcPr>
            <w:tcW w:w="600" w:type="dxa"/>
            <w:tcBorders>
              <w:top w:val="nil"/>
              <w:left w:val="nil"/>
              <w:bottom w:val="nil"/>
              <w:right w:val="nil"/>
              <w:tl2br w:val="nil"/>
              <w:tr2bl w:val="nil"/>
            </w:tcBorders>
            <w:shd w:val="clear" w:color="FFFFFF" w:fill="FFFFFF"/>
            <w:tcMar>
              <w:left w:w="101" w:type="dxa"/>
              <w:right w:w="101" w:type="dxa"/>
            </w:tcMar>
          </w:tcPr>
          <w:p w14:paraId="27C7B55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-55 </w:t>
            </w:r>
          </w:p>
        </w:tc>
        <w:tc>
          <w:tcPr>
            <w:tcW w:w="960" w:type="dxa"/>
            <w:tcBorders>
              <w:top w:val="nil"/>
              <w:left w:val="nil"/>
              <w:bottom w:val="nil"/>
              <w:right w:val="nil"/>
              <w:tl2br w:val="nil"/>
              <w:tr2bl w:val="nil"/>
            </w:tcBorders>
            <w:shd w:val="clear" w:color="FFFFFF" w:fill="FFFFFF"/>
            <w:tcMar>
              <w:left w:w="101" w:type="dxa"/>
              <w:right w:w="101" w:type="dxa"/>
            </w:tcMar>
          </w:tcPr>
          <w:p w14:paraId="3385200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15</w:t>
            </w:r>
          </w:p>
        </w:tc>
        <w:tc>
          <w:tcPr>
            <w:tcW w:w="960" w:type="dxa"/>
            <w:tcBorders>
              <w:top w:val="nil"/>
              <w:left w:val="nil"/>
              <w:bottom w:val="nil"/>
              <w:right w:val="nil"/>
              <w:tl2br w:val="nil"/>
              <w:tr2bl w:val="nil"/>
            </w:tcBorders>
            <w:shd w:val="clear" w:color="FFFFFF" w:fill="FFFFFF"/>
            <w:tcMar>
              <w:left w:w="101" w:type="dxa"/>
              <w:right w:w="101" w:type="dxa"/>
            </w:tcMar>
          </w:tcPr>
          <w:p w14:paraId="152985D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15</w:t>
            </w:r>
          </w:p>
        </w:tc>
        <w:tc>
          <w:tcPr>
            <w:tcW w:w="960" w:type="dxa"/>
            <w:tcBorders>
              <w:top w:val="nil"/>
              <w:left w:val="nil"/>
              <w:bottom w:val="nil"/>
              <w:right w:val="nil"/>
              <w:tl2br w:val="nil"/>
              <w:tr2bl w:val="nil"/>
            </w:tcBorders>
            <w:shd w:val="clear" w:color="FFFFFF" w:fill="FFFFFF"/>
            <w:tcMar>
              <w:left w:w="101" w:type="dxa"/>
              <w:right w:w="101" w:type="dxa"/>
            </w:tcMar>
          </w:tcPr>
          <w:p w14:paraId="74FFEA1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15</w:t>
            </w:r>
          </w:p>
        </w:tc>
      </w:tr>
      <w:tr w:rsidR="00C07D35" w14:paraId="3BB6D9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13B55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13,940</w:t>
            </w:r>
          </w:p>
        </w:tc>
        <w:tc>
          <w:tcPr>
            <w:tcW w:w="2700" w:type="dxa"/>
            <w:tcBorders>
              <w:top w:val="nil"/>
              <w:left w:val="nil"/>
              <w:bottom w:val="nil"/>
              <w:right w:val="nil"/>
              <w:tl2br w:val="nil"/>
              <w:tr2bl w:val="nil"/>
            </w:tcBorders>
            <w:shd w:val="clear" w:color="auto" w:fill="auto"/>
            <w:noWrap/>
            <w:tcMar>
              <w:left w:w="101" w:type="dxa"/>
              <w:right w:w="101" w:type="dxa"/>
            </w:tcMar>
          </w:tcPr>
          <w:p w14:paraId="0A1FC324"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F8DDFF7"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1,910</w:t>
            </w:r>
          </w:p>
        </w:tc>
        <w:tc>
          <w:tcPr>
            <w:tcW w:w="960" w:type="dxa"/>
            <w:tcBorders>
              <w:top w:val="nil"/>
              <w:left w:val="nil"/>
              <w:bottom w:val="nil"/>
              <w:right w:val="nil"/>
              <w:tl2br w:val="nil"/>
              <w:tr2bl w:val="nil"/>
            </w:tcBorders>
            <w:shd w:val="clear" w:color="FFFFFF" w:fill="FFFFFF"/>
            <w:tcMar>
              <w:left w:w="101" w:type="dxa"/>
              <w:right w:w="101" w:type="dxa"/>
            </w:tcMar>
          </w:tcPr>
          <w:p w14:paraId="00D6072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2,277</w:t>
            </w:r>
          </w:p>
        </w:tc>
        <w:tc>
          <w:tcPr>
            <w:tcW w:w="600" w:type="dxa"/>
            <w:tcBorders>
              <w:top w:val="nil"/>
              <w:left w:val="nil"/>
              <w:bottom w:val="nil"/>
              <w:right w:val="nil"/>
              <w:tl2br w:val="nil"/>
              <w:tr2bl w:val="nil"/>
            </w:tcBorders>
            <w:shd w:val="clear" w:color="FFFFFF" w:fill="FFFFFF"/>
            <w:tcMar>
              <w:left w:w="101" w:type="dxa"/>
              <w:right w:w="101" w:type="dxa"/>
            </w:tcMar>
          </w:tcPr>
          <w:p w14:paraId="2DDD704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19 </w:t>
            </w:r>
          </w:p>
        </w:tc>
        <w:tc>
          <w:tcPr>
            <w:tcW w:w="960" w:type="dxa"/>
            <w:tcBorders>
              <w:top w:val="nil"/>
              <w:left w:val="nil"/>
              <w:bottom w:val="nil"/>
              <w:right w:val="nil"/>
              <w:tl2br w:val="nil"/>
              <w:tr2bl w:val="nil"/>
            </w:tcBorders>
            <w:shd w:val="clear" w:color="FFFFFF" w:fill="FFFFFF"/>
            <w:tcMar>
              <w:left w:w="101" w:type="dxa"/>
              <w:right w:w="101" w:type="dxa"/>
            </w:tcMar>
          </w:tcPr>
          <w:p w14:paraId="23286EF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6134E628"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456E837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12</w:t>
            </w:r>
          </w:p>
        </w:tc>
      </w:tr>
      <w:tr w:rsidR="00C07D35" w14:paraId="026C30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D2530C"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227,976</w:t>
            </w:r>
          </w:p>
        </w:tc>
        <w:tc>
          <w:tcPr>
            <w:tcW w:w="2700" w:type="dxa"/>
            <w:tcBorders>
              <w:top w:val="nil"/>
              <w:left w:val="nil"/>
              <w:bottom w:val="nil"/>
              <w:right w:val="nil"/>
              <w:tl2br w:val="nil"/>
              <w:tr2bl w:val="nil"/>
            </w:tcBorders>
            <w:shd w:val="clear" w:color="FFFFFF" w:fill="FFFFFF"/>
            <w:tcMar>
              <w:left w:w="101" w:type="dxa"/>
              <w:right w:w="101" w:type="dxa"/>
            </w:tcMar>
          </w:tcPr>
          <w:p w14:paraId="4FC8F549"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B76CA2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222,888</w:t>
            </w:r>
          </w:p>
        </w:tc>
        <w:tc>
          <w:tcPr>
            <w:tcW w:w="960" w:type="dxa"/>
            <w:tcBorders>
              <w:top w:val="nil"/>
              <w:left w:val="nil"/>
              <w:bottom w:val="nil"/>
              <w:right w:val="nil"/>
              <w:tl2br w:val="nil"/>
              <w:tr2bl w:val="nil"/>
            </w:tcBorders>
            <w:shd w:val="clear" w:color="FFFFFF" w:fill="FFFFFF"/>
            <w:tcMar>
              <w:left w:w="101" w:type="dxa"/>
              <w:right w:w="101" w:type="dxa"/>
            </w:tcMar>
          </w:tcPr>
          <w:p w14:paraId="47365C2A"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235,569</w:t>
            </w:r>
          </w:p>
        </w:tc>
        <w:tc>
          <w:tcPr>
            <w:tcW w:w="600" w:type="dxa"/>
            <w:tcBorders>
              <w:top w:val="nil"/>
              <w:left w:val="nil"/>
              <w:bottom w:val="nil"/>
              <w:right w:val="nil"/>
              <w:tl2br w:val="nil"/>
              <w:tr2bl w:val="nil"/>
            </w:tcBorders>
            <w:shd w:val="clear" w:color="FFFFFF" w:fill="FFFFFF"/>
            <w:tcMar>
              <w:left w:w="101" w:type="dxa"/>
              <w:right w:w="101" w:type="dxa"/>
            </w:tcMar>
          </w:tcPr>
          <w:p w14:paraId="0B7A8603"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960" w:type="dxa"/>
            <w:tcBorders>
              <w:top w:val="nil"/>
              <w:left w:val="nil"/>
              <w:bottom w:val="nil"/>
              <w:right w:val="nil"/>
              <w:tl2br w:val="nil"/>
              <w:tr2bl w:val="nil"/>
            </w:tcBorders>
            <w:shd w:val="clear" w:color="FFFFFF" w:fill="FFFFFF"/>
            <w:tcMar>
              <w:left w:w="101" w:type="dxa"/>
              <w:right w:w="101" w:type="dxa"/>
            </w:tcMar>
          </w:tcPr>
          <w:p w14:paraId="7673D0E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217,297</w:t>
            </w:r>
          </w:p>
        </w:tc>
        <w:tc>
          <w:tcPr>
            <w:tcW w:w="960" w:type="dxa"/>
            <w:tcBorders>
              <w:top w:val="nil"/>
              <w:left w:val="nil"/>
              <w:bottom w:val="nil"/>
              <w:right w:val="nil"/>
              <w:tl2br w:val="nil"/>
              <w:tr2bl w:val="nil"/>
            </w:tcBorders>
            <w:shd w:val="clear" w:color="FFFFFF" w:fill="FFFFFF"/>
            <w:tcMar>
              <w:left w:w="101" w:type="dxa"/>
              <w:right w:w="101" w:type="dxa"/>
            </w:tcMar>
          </w:tcPr>
          <w:p w14:paraId="5421B6A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215,291</w:t>
            </w:r>
          </w:p>
        </w:tc>
        <w:tc>
          <w:tcPr>
            <w:tcW w:w="960" w:type="dxa"/>
            <w:tcBorders>
              <w:top w:val="nil"/>
              <w:left w:val="nil"/>
              <w:bottom w:val="nil"/>
              <w:right w:val="nil"/>
              <w:tl2br w:val="nil"/>
              <w:tr2bl w:val="nil"/>
            </w:tcBorders>
            <w:shd w:val="clear" w:color="FFFFFF" w:fill="FFFFFF"/>
            <w:tcMar>
              <w:left w:w="101" w:type="dxa"/>
              <w:right w:w="101" w:type="dxa"/>
            </w:tcMar>
          </w:tcPr>
          <w:p w14:paraId="2C6A3B2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217,309</w:t>
            </w:r>
          </w:p>
        </w:tc>
      </w:tr>
      <w:tr w:rsidR="00C07D35" w14:paraId="117052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B8860E4"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09F9BD09" w14:textId="77777777" w:rsidR="00C07D35" w:rsidRDefault="00C07D35">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D5C13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F61A24A"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9BBEE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4F6C150"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962F266"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3FA392D" w14:textId="77777777" w:rsidR="00C07D35" w:rsidRDefault="00C07D35">
            <w:pPr>
              <w:pStyle w:val="Normal9"/>
              <w:rPr>
                <w:rFonts w:ascii="Calibri" w:eastAsia="Calibri" w:hAnsi="Calibri" w:cs="Calibri"/>
                <w:color w:val="000000"/>
                <w:sz w:val="18"/>
              </w:rPr>
            </w:pPr>
          </w:p>
        </w:tc>
      </w:tr>
      <w:tr w:rsidR="00C07D35" w14:paraId="48F071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1CF2CD"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7A9B5FB0"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5B2CC2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74E3574"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657BB4"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6479D0F"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460F4E1"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69F50EE" w14:textId="77777777" w:rsidR="00C07D35" w:rsidRDefault="00C07D35">
            <w:pPr>
              <w:pStyle w:val="Normal9"/>
              <w:rPr>
                <w:rFonts w:ascii="Calibri" w:eastAsia="Calibri" w:hAnsi="Calibri" w:cs="Calibri"/>
                <w:color w:val="000000"/>
                <w:sz w:val="18"/>
              </w:rPr>
            </w:pPr>
          </w:p>
        </w:tc>
      </w:tr>
      <w:tr w:rsidR="00C07D35" w14:paraId="53E1A7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34DC2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76,849</w:t>
            </w:r>
          </w:p>
        </w:tc>
        <w:tc>
          <w:tcPr>
            <w:tcW w:w="2700" w:type="dxa"/>
            <w:tcBorders>
              <w:top w:val="nil"/>
              <w:left w:val="nil"/>
              <w:bottom w:val="nil"/>
              <w:right w:val="nil"/>
              <w:tl2br w:val="nil"/>
              <w:tr2bl w:val="nil"/>
            </w:tcBorders>
            <w:shd w:val="clear" w:color="FFFFFF" w:fill="FFFFFF"/>
            <w:noWrap/>
            <w:tcMar>
              <w:left w:w="101" w:type="dxa"/>
              <w:right w:w="101" w:type="dxa"/>
            </w:tcMar>
          </w:tcPr>
          <w:p w14:paraId="45EF4180"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06B0AA37"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75,119</w:t>
            </w:r>
          </w:p>
        </w:tc>
        <w:tc>
          <w:tcPr>
            <w:tcW w:w="960" w:type="dxa"/>
            <w:tcBorders>
              <w:top w:val="nil"/>
              <w:left w:val="nil"/>
              <w:bottom w:val="nil"/>
              <w:right w:val="nil"/>
              <w:tl2br w:val="nil"/>
              <w:tr2bl w:val="nil"/>
            </w:tcBorders>
            <w:shd w:val="clear" w:color="FFFFFF" w:fill="FFFFFF"/>
            <w:tcMar>
              <w:left w:w="101" w:type="dxa"/>
              <w:right w:w="101" w:type="dxa"/>
            </w:tcMar>
          </w:tcPr>
          <w:p w14:paraId="427EA3D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81,294</w:t>
            </w:r>
          </w:p>
        </w:tc>
        <w:tc>
          <w:tcPr>
            <w:tcW w:w="600" w:type="dxa"/>
            <w:tcBorders>
              <w:top w:val="nil"/>
              <w:left w:val="nil"/>
              <w:bottom w:val="nil"/>
              <w:right w:val="nil"/>
              <w:tl2br w:val="nil"/>
              <w:tr2bl w:val="nil"/>
            </w:tcBorders>
            <w:shd w:val="clear" w:color="FFFFFF" w:fill="FFFFFF"/>
            <w:tcMar>
              <w:left w:w="101" w:type="dxa"/>
              <w:right w:w="101" w:type="dxa"/>
            </w:tcMar>
          </w:tcPr>
          <w:p w14:paraId="0F617C14"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960" w:type="dxa"/>
            <w:tcBorders>
              <w:top w:val="nil"/>
              <w:left w:val="nil"/>
              <w:bottom w:val="nil"/>
              <w:right w:val="nil"/>
              <w:tl2br w:val="nil"/>
              <w:tr2bl w:val="nil"/>
            </w:tcBorders>
            <w:shd w:val="clear" w:color="FFFFFF" w:fill="FFFFFF"/>
            <w:tcMar>
              <w:left w:w="101" w:type="dxa"/>
              <w:right w:w="101" w:type="dxa"/>
            </w:tcMar>
          </w:tcPr>
          <w:p w14:paraId="29E1CB7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81,884</w:t>
            </w:r>
          </w:p>
        </w:tc>
        <w:tc>
          <w:tcPr>
            <w:tcW w:w="960" w:type="dxa"/>
            <w:tcBorders>
              <w:top w:val="nil"/>
              <w:left w:val="nil"/>
              <w:bottom w:val="nil"/>
              <w:right w:val="nil"/>
              <w:tl2br w:val="nil"/>
              <w:tr2bl w:val="nil"/>
            </w:tcBorders>
            <w:shd w:val="clear" w:color="FFFFFF" w:fill="FFFFFF"/>
            <w:tcMar>
              <w:left w:w="101" w:type="dxa"/>
              <w:right w:w="101" w:type="dxa"/>
            </w:tcMar>
          </w:tcPr>
          <w:p w14:paraId="5647FAB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80,914</w:t>
            </w:r>
          </w:p>
        </w:tc>
        <w:tc>
          <w:tcPr>
            <w:tcW w:w="960" w:type="dxa"/>
            <w:tcBorders>
              <w:top w:val="nil"/>
              <w:left w:val="nil"/>
              <w:bottom w:val="nil"/>
              <w:right w:val="nil"/>
              <w:tl2br w:val="nil"/>
              <w:tr2bl w:val="nil"/>
            </w:tcBorders>
            <w:shd w:val="clear" w:color="FFFFFF" w:fill="FFFFFF"/>
            <w:tcMar>
              <w:left w:w="101" w:type="dxa"/>
              <w:right w:w="101" w:type="dxa"/>
            </w:tcMar>
          </w:tcPr>
          <w:p w14:paraId="2269E778"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81,438</w:t>
            </w:r>
          </w:p>
        </w:tc>
      </w:tr>
      <w:tr w:rsidR="00C07D35" w14:paraId="67266A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EE7E8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11,848</w:t>
            </w:r>
          </w:p>
        </w:tc>
        <w:tc>
          <w:tcPr>
            <w:tcW w:w="2700" w:type="dxa"/>
            <w:tcBorders>
              <w:top w:val="nil"/>
              <w:left w:val="nil"/>
              <w:bottom w:val="nil"/>
              <w:right w:val="nil"/>
              <w:tl2br w:val="nil"/>
              <w:tr2bl w:val="nil"/>
            </w:tcBorders>
            <w:shd w:val="clear" w:color="FFFFFF" w:fill="FFFFFF"/>
            <w:noWrap/>
            <w:tcMar>
              <w:left w:w="101" w:type="dxa"/>
              <w:right w:w="101" w:type="dxa"/>
            </w:tcMar>
          </w:tcPr>
          <w:p w14:paraId="627980FF"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6A56A30E"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11,580</w:t>
            </w:r>
          </w:p>
        </w:tc>
        <w:tc>
          <w:tcPr>
            <w:tcW w:w="960" w:type="dxa"/>
            <w:tcBorders>
              <w:top w:val="nil"/>
              <w:left w:val="nil"/>
              <w:bottom w:val="nil"/>
              <w:right w:val="nil"/>
              <w:tl2br w:val="nil"/>
              <w:tr2bl w:val="nil"/>
            </w:tcBorders>
            <w:shd w:val="clear" w:color="FFFFFF" w:fill="FFFFFF"/>
            <w:tcMar>
              <w:left w:w="101" w:type="dxa"/>
              <w:right w:w="101" w:type="dxa"/>
            </w:tcMar>
          </w:tcPr>
          <w:p w14:paraId="18BA49E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13,459</w:t>
            </w:r>
          </w:p>
        </w:tc>
        <w:tc>
          <w:tcPr>
            <w:tcW w:w="600" w:type="dxa"/>
            <w:tcBorders>
              <w:top w:val="nil"/>
              <w:left w:val="nil"/>
              <w:bottom w:val="nil"/>
              <w:right w:val="nil"/>
              <w:tl2br w:val="nil"/>
              <w:tr2bl w:val="nil"/>
            </w:tcBorders>
            <w:shd w:val="clear" w:color="FFFFFF" w:fill="FFFFFF"/>
            <w:tcMar>
              <w:left w:w="101" w:type="dxa"/>
              <w:right w:w="101" w:type="dxa"/>
            </w:tcMar>
          </w:tcPr>
          <w:p w14:paraId="3DB2A38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960" w:type="dxa"/>
            <w:tcBorders>
              <w:top w:val="nil"/>
              <w:left w:val="nil"/>
              <w:bottom w:val="nil"/>
              <w:right w:val="nil"/>
              <w:tl2br w:val="nil"/>
              <w:tr2bl w:val="nil"/>
            </w:tcBorders>
            <w:shd w:val="clear" w:color="FFFFFF" w:fill="FFFFFF"/>
            <w:tcMar>
              <w:left w:w="101" w:type="dxa"/>
              <w:right w:w="101" w:type="dxa"/>
            </w:tcMar>
          </w:tcPr>
          <w:p w14:paraId="0939104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13,511</w:t>
            </w:r>
          </w:p>
        </w:tc>
        <w:tc>
          <w:tcPr>
            <w:tcW w:w="960" w:type="dxa"/>
            <w:tcBorders>
              <w:top w:val="nil"/>
              <w:left w:val="nil"/>
              <w:bottom w:val="nil"/>
              <w:right w:val="nil"/>
              <w:tl2br w:val="nil"/>
              <w:tr2bl w:val="nil"/>
            </w:tcBorders>
            <w:shd w:val="clear" w:color="FFFFFF" w:fill="FFFFFF"/>
            <w:tcMar>
              <w:left w:w="101" w:type="dxa"/>
              <w:right w:w="101" w:type="dxa"/>
            </w:tcMar>
          </w:tcPr>
          <w:p w14:paraId="6D31FBC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13,446</w:t>
            </w:r>
          </w:p>
        </w:tc>
        <w:tc>
          <w:tcPr>
            <w:tcW w:w="960" w:type="dxa"/>
            <w:tcBorders>
              <w:top w:val="nil"/>
              <w:left w:val="nil"/>
              <w:bottom w:val="nil"/>
              <w:right w:val="nil"/>
              <w:tl2br w:val="nil"/>
              <w:tr2bl w:val="nil"/>
            </w:tcBorders>
            <w:shd w:val="clear" w:color="FFFFFF" w:fill="FFFFFF"/>
            <w:tcMar>
              <w:left w:w="101" w:type="dxa"/>
              <w:right w:w="101" w:type="dxa"/>
            </w:tcMar>
          </w:tcPr>
          <w:p w14:paraId="31961EC0"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13,548</w:t>
            </w:r>
          </w:p>
        </w:tc>
      </w:tr>
      <w:tr w:rsidR="00C07D35" w14:paraId="6F1257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D4F21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27,005</w:t>
            </w:r>
          </w:p>
        </w:tc>
        <w:tc>
          <w:tcPr>
            <w:tcW w:w="2700" w:type="dxa"/>
            <w:tcBorders>
              <w:top w:val="nil"/>
              <w:left w:val="nil"/>
              <w:bottom w:val="nil"/>
              <w:right w:val="nil"/>
              <w:tl2br w:val="nil"/>
              <w:tr2bl w:val="nil"/>
            </w:tcBorders>
            <w:shd w:val="clear" w:color="FFFFFF" w:fill="FFFFFF"/>
            <w:noWrap/>
            <w:tcMar>
              <w:left w:w="101" w:type="dxa"/>
              <w:right w:w="101" w:type="dxa"/>
            </w:tcMar>
          </w:tcPr>
          <w:p w14:paraId="4F5802CB"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E70068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25,126</w:t>
            </w:r>
          </w:p>
        </w:tc>
        <w:tc>
          <w:tcPr>
            <w:tcW w:w="960" w:type="dxa"/>
            <w:tcBorders>
              <w:top w:val="nil"/>
              <w:left w:val="nil"/>
              <w:bottom w:val="nil"/>
              <w:right w:val="nil"/>
              <w:tl2br w:val="nil"/>
              <w:tr2bl w:val="nil"/>
            </w:tcBorders>
            <w:shd w:val="clear" w:color="FFFFFF" w:fill="FFFFFF"/>
            <w:tcMar>
              <w:left w:w="101" w:type="dxa"/>
              <w:right w:w="101" w:type="dxa"/>
            </w:tcMar>
          </w:tcPr>
          <w:p w14:paraId="2AB84323"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30,088</w:t>
            </w:r>
          </w:p>
        </w:tc>
        <w:tc>
          <w:tcPr>
            <w:tcW w:w="600" w:type="dxa"/>
            <w:tcBorders>
              <w:top w:val="nil"/>
              <w:left w:val="nil"/>
              <w:bottom w:val="nil"/>
              <w:right w:val="nil"/>
              <w:tl2br w:val="nil"/>
              <w:tr2bl w:val="nil"/>
            </w:tcBorders>
            <w:shd w:val="clear" w:color="FFFFFF" w:fill="FFFFFF"/>
            <w:tcMar>
              <w:left w:w="101" w:type="dxa"/>
              <w:right w:w="101" w:type="dxa"/>
            </w:tcMar>
          </w:tcPr>
          <w:p w14:paraId="79F46F8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960" w:type="dxa"/>
            <w:tcBorders>
              <w:top w:val="nil"/>
              <w:left w:val="nil"/>
              <w:bottom w:val="nil"/>
              <w:right w:val="nil"/>
              <w:tl2br w:val="nil"/>
              <w:tr2bl w:val="nil"/>
            </w:tcBorders>
            <w:shd w:val="clear" w:color="FFFFFF" w:fill="FFFFFF"/>
            <w:tcMar>
              <w:left w:w="101" w:type="dxa"/>
              <w:right w:w="101" w:type="dxa"/>
            </w:tcMar>
          </w:tcPr>
          <w:p w14:paraId="31686C4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28,352</w:t>
            </w:r>
          </w:p>
        </w:tc>
        <w:tc>
          <w:tcPr>
            <w:tcW w:w="960" w:type="dxa"/>
            <w:tcBorders>
              <w:top w:val="nil"/>
              <w:left w:val="nil"/>
              <w:bottom w:val="nil"/>
              <w:right w:val="nil"/>
              <w:tl2br w:val="nil"/>
              <w:tr2bl w:val="nil"/>
            </w:tcBorders>
            <w:shd w:val="clear" w:color="FFFFFF" w:fill="FFFFFF"/>
            <w:tcMar>
              <w:left w:w="101" w:type="dxa"/>
              <w:right w:w="101" w:type="dxa"/>
            </w:tcMar>
          </w:tcPr>
          <w:p w14:paraId="0E0DF98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27,549</w:t>
            </w:r>
          </w:p>
        </w:tc>
        <w:tc>
          <w:tcPr>
            <w:tcW w:w="960" w:type="dxa"/>
            <w:tcBorders>
              <w:top w:val="nil"/>
              <w:left w:val="nil"/>
              <w:bottom w:val="nil"/>
              <w:right w:val="nil"/>
              <w:tl2br w:val="nil"/>
              <w:tr2bl w:val="nil"/>
            </w:tcBorders>
            <w:shd w:val="clear" w:color="FFFFFF" w:fill="FFFFFF"/>
            <w:tcMar>
              <w:left w:w="101" w:type="dxa"/>
              <w:right w:w="101" w:type="dxa"/>
            </w:tcMar>
          </w:tcPr>
          <w:p w14:paraId="492A191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27,822</w:t>
            </w:r>
          </w:p>
        </w:tc>
      </w:tr>
      <w:tr w:rsidR="00C07D35" w14:paraId="37491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B023D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98,279</w:t>
            </w:r>
          </w:p>
        </w:tc>
        <w:tc>
          <w:tcPr>
            <w:tcW w:w="2700" w:type="dxa"/>
            <w:tcBorders>
              <w:top w:val="nil"/>
              <w:left w:val="nil"/>
              <w:bottom w:val="nil"/>
              <w:right w:val="nil"/>
              <w:tl2br w:val="nil"/>
              <w:tr2bl w:val="nil"/>
            </w:tcBorders>
            <w:shd w:val="clear" w:color="FFFFFF" w:fill="FFFFFF"/>
            <w:noWrap/>
            <w:tcMar>
              <w:left w:w="101" w:type="dxa"/>
              <w:right w:w="101" w:type="dxa"/>
            </w:tcMar>
          </w:tcPr>
          <w:p w14:paraId="595CFBD9"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F36ABDE"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98,159</w:t>
            </w:r>
          </w:p>
        </w:tc>
        <w:tc>
          <w:tcPr>
            <w:tcW w:w="960" w:type="dxa"/>
            <w:tcBorders>
              <w:top w:val="nil"/>
              <w:left w:val="nil"/>
              <w:bottom w:val="nil"/>
              <w:right w:val="nil"/>
              <w:tl2br w:val="nil"/>
              <w:tr2bl w:val="nil"/>
            </w:tcBorders>
            <w:shd w:val="clear" w:color="FFFFFF" w:fill="FFFFFF"/>
            <w:tcMar>
              <w:left w:w="101" w:type="dxa"/>
              <w:right w:w="101" w:type="dxa"/>
            </w:tcMar>
          </w:tcPr>
          <w:p w14:paraId="4F6C3D0A"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96,734</w:t>
            </w:r>
          </w:p>
        </w:tc>
        <w:tc>
          <w:tcPr>
            <w:tcW w:w="600" w:type="dxa"/>
            <w:tcBorders>
              <w:top w:val="nil"/>
              <w:left w:val="nil"/>
              <w:bottom w:val="nil"/>
              <w:right w:val="nil"/>
              <w:tl2br w:val="nil"/>
              <w:tr2bl w:val="nil"/>
            </w:tcBorders>
            <w:shd w:val="clear" w:color="FFFFFF" w:fill="FFFFFF"/>
            <w:tcMar>
              <w:left w:w="101" w:type="dxa"/>
              <w:right w:w="101" w:type="dxa"/>
            </w:tcMar>
          </w:tcPr>
          <w:p w14:paraId="066E76D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960" w:type="dxa"/>
            <w:tcBorders>
              <w:top w:val="nil"/>
              <w:left w:val="nil"/>
              <w:bottom w:val="nil"/>
              <w:right w:val="nil"/>
              <w:tl2br w:val="nil"/>
              <w:tr2bl w:val="nil"/>
            </w:tcBorders>
            <w:shd w:val="clear" w:color="FFFFFF" w:fill="FFFFFF"/>
            <w:tcMar>
              <w:left w:w="101" w:type="dxa"/>
              <w:right w:w="101" w:type="dxa"/>
            </w:tcMar>
          </w:tcPr>
          <w:p w14:paraId="56D2A1A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79,562</w:t>
            </w:r>
          </w:p>
        </w:tc>
        <w:tc>
          <w:tcPr>
            <w:tcW w:w="960" w:type="dxa"/>
            <w:tcBorders>
              <w:top w:val="nil"/>
              <w:left w:val="nil"/>
              <w:bottom w:val="nil"/>
              <w:right w:val="nil"/>
              <w:tl2br w:val="nil"/>
              <w:tr2bl w:val="nil"/>
            </w:tcBorders>
            <w:shd w:val="clear" w:color="FFFFFF" w:fill="FFFFFF"/>
            <w:tcMar>
              <w:left w:w="101" w:type="dxa"/>
              <w:right w:w="101" w:type="dxa"/>
            </w:tcMar>
          </w:tcPr>
          <w:p w14:paraId="699135D3"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79,392</w:t>
            </w:r>
          </w:p>
        </w:tc>
        <w:tc>
          <w:tcPr>
            <w:tcW w:w="960" w:type="dxa"/>
            <w:tcBorders>
              <w:top w:val="nil"/>
              <w:left w:val="nil"/>
              <w:bottom w:val="nil"/>
              <w:right w:val="nil"/>
              <w:tl2br w:val="nil"/>
              <w:tr2bl w:val="nil"/>
            </w:tcBorders>
            <w:shd w:val="clear" w:color="FFFFFF" w:fill="FFFFFF"/>
            <w:tcMar>
              <w:left w:w="101" w:type="dxa"/>
              <w:right w:w="101" w:type="dxa"/>
            </w:tcMar>
          </w:tcPr>
          <w:p w14:paraId="02CAC08A"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80,509</w:t>
            </w:r>
          </w:p>
        </w:tc>
      </w:tr>
      <w:tr w:rsidR="00C07D35" w14:paraId="0D5307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CF1888"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18</w:t>
            </w:r>
          </w:p>
        </w:tc>
        <w:tc>
          <w:tcPr>
            <w:tcW w:w="2700" w:type="dxa"/>
            <w:tcBorders>
              <w:top w:val="nil"/>
              <w:left w:val="nil"/>
              <w:bottom w:val="nil"/>
              <w:right w:val="nil"/>
              <w:tl2br w:val="nil"/>
              <w:tr2bl w:val="nil"/>
            </w:tcBorders>
            <w:shd w:val="clear" w:color="FFFFFF" w:fill="FFFFFF"/>
            <w:noWrap/>
            <w:tcMar>
              <w:left w:w="101" w:type="dxa"/>
              <w:right w:w="101" w:type="dxa"/>
            </w:tcMar>
          </w:tcPr>
          <w:p w14:paraId="45ECD520"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29B8FD8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28</w:t>
            </w:r>
          </w:p>
        </w:tc>
        <w:tc>
          <w:tcPr>
            <w:tcW w:w="960" w:type="dxa"/>
            <w:tcBorders>
              <w:top w:val="nil"/>
              <w:left w:val="nil"/>
              <w:bottom w:val="nil"/>
              <w:right w:val="nil"/>
              <w:tl2br w:val="nil"/>
              <w:tr2bl w:val="nil"/>
            </w:tcBorders>
            <w:shd w:val="clear" w:color="FFFFFF" w:fill="FFFFFF"/>
            <w:tcMar>
              <w:left w:w="101" w:type="dxa"/>
              <w:right w:w="101" w:type="dxa"/>
            </w:tcMar>
          </w:tcPr>
          <w:p w14:paraId="38E3C44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14EE425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-36 </w:t>
            </w:r>
          </w:p>
        </w:tc>
        <w:tc>
          <w:tcPr>
            <w:tcW w:w="960" w:type="dxa"/>
            <w:tcBorders>
              <w:top w:val="nil"/>
              <w:left w:val="nil"/>
              <w:bottom w:val="nil"/>
              <w:right w:val="nil"/>
              <w:tl2br w:val="nil"/>
              <w:tr2bl w:val="nil"/>
            </w:tcBorders>
            <w:shd w:val="clear" w:color="FFFFFF" w:fill="FFFFFF"/>
            <w:tcMar>
              <w:left w:w="101" w:type="dxa"/>
              <w:right w:w="101" w:type="dxa"/>
            </w:tcMar>
          </w:tcPr>
          <w:p w14:paraId="13730BC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w:t>
            </w:r>
          </w:p>
        </w:tc>
        <w:tc>
          <w:tcPr>
            <w:tcW w:w="960" w:type="dxa"/>
            <w:tcBorders>
              <w:top w:val="nil"/>
              <w:left w:val="nil"/>
              <w:bottom w:val="nil"/>
              <w:right w:val="nil"/>
              <w:tl2br w:val="nil"/>
              <w:tr2bl w:val="nil"/>
            </w:tcBorders>
            <w:shd w:val="clear" w:color="FFFFFF" w:fill="FFFFFF"/>
            <w:tcMar>
              <w:left w:w="101" w:type="dxa"/>
              <w:right w:w="101" w:type="dxa"/>
            </w:tcMar>
          </w:tcPr>
          <w:p w14:paraId="3F9859F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w:t>
            </w:r>
          </w:p>
        </w:tc>
        <w:tc>
          <w:tcPr>
            <w:tcW w:w="960" w:type="dxa"/>
            <w:tcBorders>
              <w:top w:val="nil"/>
              <w:left w:val="nil"/>
              <w:bottom w:val="nil"/>
              <w:right w:val="nil"/>
              <w:tl2br w:val="nil"/>
              <w:tr2bl w:val="nil"/>
            </w:tcBorders>
            <w:shd w:val="clear" w:color="FFFFFF" w:fill="FFFFFF"/>
            <w:tcMar>
              <w:left w:w="101" w:type="dxa"/>
              <w:right w:w="101" w:type="dxa"/>
            </w:tcMar>
          </w:tcPr>
          <w:p w14:paraId="52BF3B4E"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w:t>
            </w:r>
          </w:p>
        </w:tc>
      </w:tr>
      <w:tr w:rsidR="00C07D35" w14:paraId="504146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530C5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13,955</w:t>
            </w:r>
          </w:p>
        </w:tc>
        <w:tc>
          <w:tcPr>
            <w:tcW w:w="2700" w:type="dxa"/>
            <w:tcBorders>
              <w:top w:val="nil"/>
              <w:left w:val="nil"/>
              <w:bottom w:val="nil"/>
              <w:right w:val="nil"/>
              <w:tl2br w:val="nil"/>
              <w:tr2bl w:val="nil"/>
            </w:tcBorders>
            <w:shd w:val="clear" w:color="FFFFFF" w:fill="FFFFFF"/>
            <w:noWrap/>
            <w:tcMar>
              <w:left w:w="101" w:type="dxa"/>
              <w:right w:w="101" w:type="dxa"/>
            </w:tcMar>
          </w:tcPr>
          <w:p w14:paraId="1E0C6B53"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D7E183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11,521</w:t>
            </w:r>
          </w:p>
        </w:tc>
        <w:tc>
          <w:tcPr>
            <w:tcW w:w="960" w:type="dxa"/>
            <w:tcBorders>
              <w:top w:val="nil"/>
              <w:left w:val="nil"/>
              <w:bottom w:val="nil"/>
              <w:right w:val="nil"/>
              <w:tl2br w:val="nil"/>
              <w:tr2bl w:val="nil"/>
            </w:tcBorders>
            <w:shd w:val="clear" w:color="FFFFFF" w:fill="FFFFFF"/>
            <w:tcMar>
              <w:left w:w="101" w:type="dxa"/>
              <w:right w:w="101" w:type="dxa"/>
            </w:tcMar>
          </w:tcPr>
          <w:p w14:paraId="497386EA"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13,954</w:t>
            </w:r>
          </w:p>
        </w:tc>
        <w:tc>
          <w:tcPr>
            <w:tcW w:w="600" w:type="dxa"/>
            <w:tcBorders>
              <w:top w:val="nil"/>
              <w:left w:val="nil"/>
              <w:bottom w:val="nil"/>
              <w:right w:val="nil"/>
              <w:tl2br w:val="nil"/>
              <w:tr2bl w:val="nil"/>
            </w:tcBorders>
            <w:shd w:val="clear" w:color="FFFFFF" w:fill="FFFFFF"/>
            <w:tcMar>
              <w:left w:w="101" w:type="dxa"/>
              <w:right w:w="101" w:type="dxa"/>
            </w:tcMar>
          </w:tcPr>
          <w:p w14:paraId="700B9AC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21 </w:t>
            </w:r>
          </w:p>
        </w:tc>
        <w:tc>
          <w:tcPr>
            <w:tcW w:w="960" w:type="dxa"/>
            <w:tcBorders>
              <w:top w:val="nil"/>
              <w:left w:val="nil"/>
              <w:bottom w:val="nil"/>
              <w:right w:val="nil"/>
              <w:tl2br w:val="nil"/>
              <w:tr2bl w:val="nil"/>
            </w:tcBorders>
            <w:shd w:val="clear" w:color="FFFFFF" w:fill="FFFFFF"/>
            <w:tcMar>
              <w:left w:w="101" w:type="dxa"/>
              <w:right w:w="101" w:type="dxa"/>
            </w:tcMar>
          </w:tcPr>
          <w:p w14:paraId="083E4B2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13,953</w:t>
            </w:r>
          </w:p>
        </w:tc>
        <w:tc>
          <w:tcPr>
            <w:tcW w:w="960" w:type="dxa"/>
            <w:tcBorders>
              <w:top w:val="nil"/>
              <w:left w:val="nil"/>
              <w:bottom w:val="nil"/>
              <w:right w:val="nil"/>
              <w:tl2br w:val="nil"/>
              <w:tr2bl w:val="nil"/>
            </w:tcBorders>
            <w:shd w:val="clear" w:color="FFFFFF" w:fill="FFFFFF"/>
            <w:tcMar>
              <w:left w:w="101" w:type="dxa"/>
              <w:right w:w="101" w:type="dxa"/>
            </w:tcMar>
          </w:tcPr>
          <w:p w14:paraId="58D5856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13,955</w:t>
            </w:r>
          </w:p>
        </w:tc>
        <w:tc>
          <w:tcPr>
            <w:tcW w:w="960" w:type="dxa"/>
            <w:tcBorders>
              <w:top w:val="nil"/>
              <w:left w:val="nil"/>
              <w:bottom w:val="nil"/>
              <w:right w:val="nil"/>
              <w:tl2br w:val="nil"/>
              <w:tr2bl w:val="nil"/>
            </w:tcBorders>
            <w:shd w:val="clear" w:color="FFFFFF" w:fill="FFFFFF"/>
            <w:tcMar>
              <w:left w:w="101" w:type="dxa"/>
              <w:right w:w="101" w:type="dxa"/>
            </w:tcMar>
          </w:tcPr>
          <w:p w14:paraId="126BE51D"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13,957</w:t>
            </w:r>
          </w:p>
        </w:tc>
      </w:tr>
      <w:tr w:rsidR="00C07D35" w14:paraId="5518F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389D77"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227,954</w:t>
            </w:r>
          </w:p>
        </w:tc>
        <w:tc>
          <w:tcPr>
            <w:tcW w:w="2700" w:type="dxa"/>
            <w:tcBorders>
              <w:top w:val="nil"/>
              <w:left w:val="nil"/>
              <w:bottom w:val="nil"/>
              <w:right w:val="nil"/>
              <w:tl2br w:val="nil"/>
              <w:tr2bl w:val="nil"/>
            </w:tcBorders>
            <w:shd w:val="clear" w:color="FFFFFF" w:fill="FFFFFF"/>
            <w:tcMar>
              <w:left w:w="101" w:type="dxa"/>
              <w:right w:w="101" w:type="dxa"/>
            </w:tcMar>
          </w:tcPr>
          <w:p w14:paraId="5DFDC974"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C263E4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221,533</w:t>
            </w:r>
          </w:p>
        </w:tc>
        <w:tc>
          <w:tcPr>
            <w:tcW w:w="960" w:type="dxa"/>
            <w:tcBorders>
              <w:top w:val="nil"/>
              <w:left w:val="nil"/>
              <w:bottom w:val="nil"/>
              <w:right w:val="nil"/>
              <w:tl2br w:val="nil"/>
              <w:tr2bl w:val="nil"/>
            </w:tcBorders>
            <w:shd w:val="clear" w:color="FFFFFF" w:fill="FFFFFF"/>
            <w:tcMar>
              <w:left w:w="101" w:type="dxa"/>
              <w:right w:w="101" w:type="dxa"/>
            </w:tcMar>
          </w:tcPr>
          <w:p w14:paraId="1230338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235,547</w:t>
            </w:r>
          </w:p>
        </w:tc>
        <w:tc>
          <w:tcPr>
            <w:tcW w:w="600" w:type="dxa"/>
            <w:tcBorders>
              <w:top w:val="nil"/>
              <w:left w:val="nil"/>
              <w:bottom w:val="nil"/>
              <w:right w:val="nil"/>
              <w:tl2br w:val="nil"/>
              <w:tr2bl w:val="nil"/>
            </w:tcBorders>
            <w:shd w:val="clear" w:color="FFFFFF" w:fill="FFFFFF"/>
            <w:tcMar>
              <w:left w:w="101" w:type="dxa"/>
              <w:right w:w="101" w:type="dxa"/>
            </w:tcMar>
          </w:tcPr>
          <w:p w14:paraId="5E34FD0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960" w:type="dxa"/>
            <w:tcBorders>
              <w:top w:val="nil"/>
              <w:left w:val="nil"/>
              <w:bottom w:val="nil"/>
              <w:right w:val="nil"/>
              <w:tl2br w:val="nil"/>
              <w:tr2bl w:val="nil"/>
            </w:tcBorders>
            <w:shd w:val="clear" w:color="FFFFFF" w:fill="FFFFFF"/>
            <w:tcMar>
              <w:left w:w="101" w:type="dxa"/>
              <w:right w:w="101" w:type="dxa"/>
            </w:tcMar>
          </w:tcPr>
          <w:p w14:paraId="31DC10F2"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217,275</w:t>
            </w:r>
          </w:p>
        </w:tc>
        <w:tc>
          <w:tcPr>
            <w:tcW w:w="960" w:type="dxa"/>
            <w:tcBorders>
              <w:top w:val="nil"/>
              <w:left w:val="nil"/>
              <w:bottom w:val="nil"/>
              <w:right w:val="nil"/>
              <w:tl2br w:val="nil"/>
              <w:tr2bl w:val="nil"/>
            </w:tcBorders>
            <w:shd w:val="clear" w:color="FFFFFF" w:fill="FFFFFF"/>
            <w:tcMar>
              <w:left w:w="101" w:type="dxa"/>
              <w:right w:w="101" w:type="dxa"/>
            </w:tcMar>
          </w:tcPr>
          <w:p w14:paraId="6282E31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215,269</w:t>
            </w:r>
          </w:p>
        </w:tc>
        <w:tc>
          <w:tcPr>
            <w:tcW w:w="960" w:type="dxa"/>
            <w:tcBorders>
              <w:top w:val="nil"/>
              <w:left w:val="nil"/>
              <w:bottom w:val="nil"/>
              <w:right w:val="nil"/>
              <w:tl2br w:val="nil"/>
              <w:tr2bl w:val="nil"/>
            </w:tcBorders>
            <w:shd w:val="clear" w:color="FFFFFF" w:fill="FFFFFF"/>
            <w:tcMar>
              <w:left w:w="101" w:type="dxa"/>
              <w:right w:w="101" w:type="dxa"/>
            </w:tcMar>
          </w:tcPr>
          <w:p w14:paraId="524FA926"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217,287</w:t>
            </w:r>
          </w:p>
        </w:tc>
      </w:tr>
      <w:tr w:rsidR="00C07D35" w14:paraId="66C242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A392B94"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3E4999DE" w14:textId="77777777" w:rsidR="00C07D35" w:rsidRDefault="00C07D35">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A0AFF8"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78B7A29"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DA5227"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E8EAB8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256987C"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F2482FE" w14:textId="77777777" w:rsidR="00C07D35" w:rsidRDefault="00C07D35">
            <w:pPr>
              <w:pStyle w:val="Normal9"/>
              <w:rPr>
                <w:rFonts w:ascii="Calibri" w:eastAsia="Calibri" w:hAnsi="Calibri" w:cs="Calibri"/>
                <w:color w:val="000000"/>
                <w:sz w:val="18"/>
              </w:rPr>
            </w:pPr>
          </w:p>
        </w:tc>
      </w:tr>
      <w:tr w:rsidR="00C07D35" w14:paraId="58269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6E0A8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w:t>
            </w:r>
          </w:p>
        </w:tc>
        <w:tc>
          <w:tcPr>
            <w:tcW w:w="2700" w:type="dxa"/>
            <w:tcBorders>
              <w:top w:val="nil"/>
              <w:left w:val="nil"/>
              <w:bottom w:val="nil"/>
              <w:right w:val="nil"/>
              <w:tl2br w:val="nil"/>
              <w:tr2bl w:val="nil"/>
            </w:tcBorders>
            <w:shd w:val="clear" w:color="FFFFFF" w:fill="FFFFFF"/>
            <w:noWrap/>
            <w:tcMar>
              <w:left w:w="101" w:type="dxa"/>
              <w:right w:w="101" w:type="dxa"/>
            </w:tcMar>
          </w:tcPr>
          <w:p w14:paraId="2997A4C8"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999532A"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1,355</w:t>
            </w:r>
          </w:p>
        </w:tc>
        <w:tc>
          <w:tcPr>
            <w:tcW w:w="960" w:type="dxa"/>
            <w:tcBorders>
              <w:top w:val="nil"/>
              <w:left w:val="nil"/>
              <w:bottom w:val="nil"/>
              <w:right w:val="nil"/>
              <w:tl2br w:val="nil"/>
              <w:tr2bl w:val="nil"/>
            </w:tcBorders>
            <w:shd w:val="clear" w:color="FFFFFF" w:fill="FFFFFF"/>
            <w:tcMar>
              <w:left w:w="101" w:type="dxa"/>
              <w:right w:w="101" w:type="dxa"/>
            </w:tcMar>
          </w:tcPr>
          <w:p w14:paraId="4A18492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w:t>
            </w:r>
          </w:p>
        </w:tc>
        <w:tc>
          <w:tcPr>
            <w:tcW w:w="600" w:type="dxa"/>
            <w:tcBorders>
              <w:top w:val="nil"/>
              <w:left w:val="nil"/>
              <w:bottom w:val="nil"/>
              <w:right w:val="nil"/>
              <w:tl2br w:val="nil"/>
              <w:tr2bl w:val="nil"/>
            </w:tcBorders>
            <w:shd w:val="clear" w:color="FFFFFF" w:fill="FFFFFF"/>
            <w:tcMar>
              <w:left w:w="101" w:type="dxa"/>
              <w:right w:w="101" w:type="dxa"/>
            </w:tcMar>
          </w:tcPr>
          <w:p w14:paraId="20BC11C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-98 </w:t>
            </w:r>
          </w:p>
        </w:tc>
        <w:tc>
          <w:tcPr>
            <w:tcW w:w="960" w:type="dxa"/>
            <w:tcBorders>
              <w:top w:val="nil"/>
              <w:left w:val="nil"/>
              <w:bottom w:val="nil"/>
              <w:right w:val="nil"/>
              <w:tl2br w:val="nil"/>
              <w:tr2bl w:val="nil"/>
            </w:tcBorders>
            <w:shd w:val="clear" w:color="FFFFFF" w:fill="FFFFFF"/>
            <w:tcMar>
              <w:left w:w="101" w:type="dxa"/>
              <w:right w:w="101" w:type="dxa"/>
            </w:tcMar>
          </w:tcPr>
          <w:p w14:paraId="6A039FC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w:t>
            </w:r>
          </w:p>
        </w:tc>
        <w:tc>
          <w:tcPr>
            <w:tcW w:w="960" w:type="dxa"/>
            <w:tcBorders>
              <w:top w:val="nil"/>
              <w:left w:val="nil"/>
              <w:bottom w:val="nil"/>
              <w:right w:val="nil"/>
              <w:tl2br w:val="nil"/>
              <w:tr2bl w:val="nil"/>
            </w:tcBorders>
            <w:shd w:val="clear" w:color="FFFFFF" w:fill="FFFFFF"/>
            <w:tcMar>
              <w:left w:w="101" w:type="dxa"/>
              <w:right w:w="101" w:type="dxa"/>
            </w:tcMar>
          </w:tcPr>
          <w:p w14:paraId="2815082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w:t>
            </w:r>
          </w:p>
        </w:tc>
        <w:tc>
          <w:tcPr>
            <w:tcW w:w="960" w:type="dxa"/>
            <w:tcBorders>
              <w:top w:val="nil"/>
              <w:left w:val="nil"/>
              <w:bottom w:val="nil"/>
              <w:right w:val="nil"/>
              <w:tl2br w:val="nil"/>
              <w:tr2bl w:val="nil"/>
            </w:tcBorders>
            <w:shd w:val="clear" w:color="FFFFFF" w:fill="FFFFFF"/>
            <w:tcMar>
              <w:left w:w="101" w:type="dxa"/>
              <w:right w:w="101" w:type="dxa"/>
            </w:tcMar>
          </w:tcPr>
          <w:p w14:paraId="49E7AEB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22</w:t>
            </w:r>
          </w:p>
        </w:tc>
      </w:tr>
      <w:tr w:rsidR="00C07D35" w14:paraId="4D11B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5ADA80A9" w14:textId="77777777" w:rsidR="00C07D35" w:rsidRDefault="00C07D35">
            <w:pPr>
              <w:pStyle w:val="Normal9"/>
              <w:rPr>
                <w:rFonts w:ascii="Calibri" w:eastAsia="Calibri" w:hAnsi="Calibri" w:cs="Calibri"/>
                <w:color w:val="000000"/>
                <w:sz w:val="18"/>
              </w:rPr>
            </w:pPr>
          </w:p>
        </w:tc>
        <w:tc>
          <w:tcPr>
            <w:tcW w:w="8175" w:type="dxa"/>
            <w:gridSpan w:val="7"/>
            <w:tcBorders>
              <w:top w:val="nil"/>
              <w:left w:val="nil"/>
              <w:bottom w:val="nil"/>
              <w:right w:val="nil"/>
              <w:tl2br w:val="nil"/>
              <w:tr2bl w:val="nil"/>
            </w:tcBorders>
            <w:shd w:val="clear" w:color="auto" w:fill="auto"/>
            <w:tcMar>
              <w:left w:w="101" w:type="dxa"/>
              <w:right w:w="101" w:type="dxa"/>
            </w:tcMar>
            <w:vAlign w:val="bottom"/>
          </w:tcPr>
          <w:p w14:paraId="0B86CA76"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C07D35" w14:paraId="652CC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812E58"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65DBACD9"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782FA97"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6D45310"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836F59"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F535756"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B4A6C4F"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12A0C76" w14:textId="77777777" w:rsidR="00C07D35" w:rsidRDefault="00C07D35">
            <w:pPr>
              <w:pStyle w:val="Normal9"/>
              <w:rPr>
                <w:rFonts w:ascii="Calibri" w:eastAsia="Calibri" w:hAnsi="Calibri" w:cs="Calibri"/>
                <w:color w:val="000000"/>
                <w:sz w:val="18"/>
              </w:rPr>
            </w:pPr>
          </w:p>
        </w:tc>
      </w:tr>
      <w:tr w:rsidR="00C07D35" w14:paraId="14822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863C8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700" w:type="dxa"/>
            <w:tcBorders>
              <w:top w:val="nil"/>
              <w:left w:val="nil"/>
              <w:bottom w:val="nil"/>
              <w:right w:val="nil"/>
              <w:tl2br w:val="nil"/>
              <w:tr2bl w:val="nil"/>
            </w:tcBorders>
            <w:shd w:val="clear" w:color="FFFFFF" w:fill="FFFFFF"/>
            <w:noWrap/>
            <w:tcMar>
              <w:left w:w="101" w:type="dxa"/>
              <w:right w:w="101" w:type="dxa"/>
            </w:tcMar>
          </w:tcPr>
          <w:p w14:paraId="15CC8A91"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62ECA4C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20</w:t>
            </w:r>
          </w:p>
        </w:tc>
        <w:tc>
          <w:tcPr>
            <w:tcW w:w="960" w:type="dxa"/>
            <w:tcBorders>
              <w:top w:val="nil"/>
              <w:left w:val="nil"/>
              <w:bottom w:val="nil"/>
              <w:right w:val="nil"/>
              <w:tl2br w:val="nil"/>
              <w:tr2bl w:val="nil"/>
            </w:tcBorders>
            <w:shd w:val="clear" w:color="FFFFFF" w:fill="FFFFFF"/>
            <w:tcMar>
              <w:left w:w="101" w:type="dxa"/>
              <w:right w:w="101" w:type="dxa"/>
            </w:tcMar>
          </w:tcPr>
          <w:p w14:paraId="2B7981C7"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F74829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960" w:type="dxa"/>
            <w:tcBorders>
              <w:top w:val="nil"/>
              <w:left w:val="nil"/>
              <w:bottom w:val="nil"/>
              <w:right w:val="nil"/>
              <w:tl2br w:val="nil"/>
              <w:tr2bl w:val="nil"/>
            </w:tcBorders>
            <w:shd w:val="clear" w:color="FFFFFF" w:fill="FFFFFF"/>
            <w:tcMar>
              <w:left w:w="101" w:type="dxa"/>
              <w:right w:w="101" w:type="dxa"/>
            </w:tcMar>
          </w:tcPr>
          <w:p w14:paraId="63C39A46"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62025628"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0EB0177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C07D35" w14:paraId="0582DB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9B74D2"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700" w:type="dxa"/>
            <w:tcBorders>
              <w:top w:val="nil"/>
              <w:left w:val="nil"/>
              <w:bottom w:val="nil"/>
              <w:right w:val="nil"/>
              <w:tl2br w:val="nil"/>
              <w:tr2bl w:val="nil"/>
            </w:tcBorders>
            <w:shd w:val="clear" w:color="FFFFFF" w:fill="FFFFFF"/>
            <w:tcMar>
              <w:left w:w="101" w:type="dxa"/>
              <w:right w:w="101" w:type="dxa"/>
            </w:tcMar>
          </w:tcPr>
          <w:p w14:paraId="46DD967F"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DE369CB"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20</w:t>
            </w:r>
          </w:p>
        </w:tc>
        <w:tc>
          <w:tcPr>
            <w:tcW w:w="960" w:type="dxa"/>
            <w:tcBorders>
              <w:top w:val="nil"/>
              <w:left w:val="nil"/>
              <w:bottom w:val="nil"/>
              <w:right w:val="nil"/>
              <w:tl2br w:val="nil"/>
              <w:tr2bl w:val="nil"/>
            </w:tcBorders>
            <w:shd w:val="clear" w:color="FFFFFF" w:fill="FFFFFF"/>
            <w:tcMar>
              <w:left w:w="101" w:type="dxa"/>
              <w:right w:w="101" w:type="dxa"/>
            </w:tcMar>
          </w:tcPr>
          <w:p w14:paraId="585E5A8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6C4A9D7"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960" w:type="dxa"/>
            <w:tcBorders>
              <w:top w:val="nil"/>
              <w:left w:val="nil"/>
              <w:bottom w:val="nil"/>
              <w:right w:val="nil"/>
              <w:tl2br w:val="nil"/>
              <w:tr2bl w:val="nil"/>
            </w:tcBorders>
            <w:shd w:val="clear" w:color="FFFFFF" w:fill="FFFFFF"/>
            <w:tcMar>
              <w:left w:w="101" w:type="dxa"/>
              <w:right w:w="101" w:type="dxa"/>
            </w:tcMar>
          </w:tcPr>
          <w:p w14:paraId="31B4760C"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73217523"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6597A431"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7F3A3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83D8FB7"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3CBF120F"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24943B"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B57598C"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133FF4" w14:textId="77777777" w:rsidR="00C07D35" w:rsidRDefault="00C07D35">
            <w:pPr>
              <w:pStyle w:val="Normal9"/>
              <w:jc w:val="right"/>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A89434B"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EE74AF2"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A32F052" w14:textId="77777777" w:rsidR="00C07D35" w:rsidRDefault="00C07D35">
            <w:pPr>
              <w:pStyle w:val="Normal9"/>
              <w:rPr>
                <w:rFonts w:ascii="Calibri" w:eastAsia="Calibri" w:hAnsi="Calibri" w:cs="Calibri"/>
                <w:color w:val="000000"/>
                <w:sz w:val="18"/>
              </w:rPr>
            </w:pPr>
          </w:p>
        </w:tc>
      </w:tr>
      <w:tr w:rsidR="00C07D35" w14:paraId="20C01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06A2EE"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31A578AD"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413543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491E9B7"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BFEC5E" w14:textId="77777777" w:rsidR="00C07D35" w:rsidRDefault="00C07D35">
            <w:pPr>
              <w:pStyle w:val="Normal9"/>
              <w:jc w:val="right"/>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9DBB8A6"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D47A4B9"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087471E" w14:textId="77777777" w:rsidR="00C07D35" w:rsidRDefault="00C07D35">
            <w:pPr>
              <w:pStyle w:val="Normal9"/>
              <w:rPr>
                <w:rFonts w:ascii="Calibri" w:eastAsia="Calibri" w:hAnsi="Calibri" w:cs="Calibri"/>
                <w:color w:val="000000"/>
                <w:sz w:val="18"/>
              </w:rPr>
            </w:pPr>
          </w:p>
        </w:tc>
      </w:tr>
      <w:tr w:rsidR="00C07D35" w14:paraId="4D684A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75FA60"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5,277</w:t>
            </w:r>
          </w:p>
        </w:tc>
        <w:tc>
          <w:tcPr>
            <w:tcW w:w="2700" w:type="dxa"/>
            <w:tcBorders>
              <w:top w:val="nil"/>
              <w:left w:val="nil"/>
              <w:bottom w:val="nil"/>
              <w:right w:val="nil"/>
              <w:tl2br w:val="nil"/>
              <w:tr2bl w:val="nil"/>
            </w:tcBorders>
            <w:shd w:val="clear" w:color="FFFFFF" w:fill="FFFFFF"/>
            <w:noWrap/>
            <w:tcMar>
              <w:left w:w="101" w:type="dxa"/>
              <w:right w:w="101" w:type="dxa"/>
            </w:tcMar>
          </w:tcPr>
          <w:p w14:paraId="6012DF82"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F1565A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2,772</w:t>
            </w:r>
          </w:p>
        </w:tc>
        <w:tc>
          <w:tcPr>
            <w:tcW w:w="960" w:type="dxa"/>
            <w:tcBorders>
              <w:top w:val="nil"/>
              <w:left w:val="nil"/>
              <w:bottom w:val="nil"/>
              <w:right w:val="nil"/>
              <w:tl2br w:val="nil"/>
              <w:tr2bl w:val="nil"/>
            </w:tcBorders>
            <w:shd w:val="clear" w:color="FFFFFF" w:fill="FFFFFF"/>
            <w:tcMar>
              <w:left w:w="101" w:type="dxa"/>
              <w:right w:w="101" w:type="dxa"/>
            </w:tcMar>
          </w:tcPr>
          <w:p w14:paraId="02E89E7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7,399</w:t>
            </w:r>
          </w:p>
        </w:tc>
        <w:tc>
          <w:tcPr>
            <w:tcW w:w="600" w:type="dxa"/>
            <w:tcBorders>
              <w:top w:val="nil"/>
              <w:left w:val="nil"/>
              <w:bottom w:val="nil"/>
              <w:right w:val="nil"/>
              <w:tl2br w:val="nil"/>
              <w:tr2bl w:val="nil"/>
            </w:tcBorders>
            <w:shd w:val="clear" w:color="FFFFFF" w:fill="FFFFFF"/>
            <w:tcMar>
              <w:left w:w="101" w:type="dxa"/>
              <w:right w:w="101" w:type="dxa"/>
            </w:tcMar>
          </w:tcPr>
          <w:p w14:paraId="31131D6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167 </w:t>
            </w:r>
          </w:p>
        </w:tc>
        <w:tc>
          <w:tcPr>
            <w:tcW w:w="960" w:type="dxa"/>
            <w:tcBorders>
              <w:top w:val="nil"/>
              <w:left w:val="nil"/>
              <w:bottom w:val="nil"/>
              <w:right w:val="nil"/>
              <w:tl2br w:val="nil"/>
              <w:tr2bl w:val="nil"/>
            </w:tcBorders>
            <w:shd w:val="clear" w:color="FFFFFF" w:fill="FFFFFF"/>
            <w:tcMar>
              <w:left w:w="101" w:type="dxa"/>
              <w:right w:w="101" w:type="dxa"/>
            </w:tcMar>
          </w:tcPr>
          <w:p w14:paraId="455CF0A3"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1988685F"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459</w:t>
            </w:r>
          </w:p>
        </w:tc>
        <w:tc>
          <w:tcPr>
            <w:tcW w:w="960" w:type="dxa"/>
            <w:tcBorders>
              <w:top w:val="nil"/>
              <w:left w:val="nil"/>
              <w:bottom w:val="nil"/>
              <w:right w:val="nil"/>
              <w:tl2br w:val="nil"/>
              <w:tr2bl w:val="nil"/>
            </w:tcBorders>
            <w:shd w:val="clear" w:color="FFFFFF" w:fill="FFFFFF"/>
            <w:tcMar>
              <w:left w:w="101" w:type="dxa"/>
              <w:right w:w="101" w:type="dxa"/>
            </w:tcMar>
          </w:tcPr>
          <w:p w14:paraId="2118BF1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470</w:t>
            </w:r>
          </w:p>
        </w:tc>
      </w:tr>
      <w:tr w:rsidR="00C07D35" w14:paraId="0BB1F0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F7172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700" w:type="dxa"/>
            <w:tcBorders>
              <w:top w:val="nil"/>
              <w:left w:val="nil"/>
              <w:bottom w:val="nil"/>
              <w:right w:val="nil"/>
              <w:tl2br w:val="nil"/>
              <w:tr2bl w:val="nil"/>
            </w:tcBorders>
            <w:shd w:val="clear" w:color="FFFFFF" w:fill="FFFFFF"/>
            <w:noWrap/>
            <w:tcMar>
              <w:left w:w="101" w:type="dxa"/>
              <w:right w:w="101" w:type="dxa"/>
            </w:tcMar>
          </w:tcPr>
          <w:p w14:paraId="063F3ECF"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43593B4E"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486</w:t>
            </w:r>
          </w:p>
        </w:tc>
        <w:tc>
          <w:tcPr>
            <w:tcW w:w="960" w:type="dxa"/>
            <w:tcBorders>
              <w:top w:val="nil"/>
              <w:left w:val="nil"/>
              <w:bottom w:val="nil"/>
              <w:right w:val="nil"/>
              <w:tl2br w:val="nil"/>
              <w:tr2bl w:val="nil"/>
            </w:tcBorders>
            <w:shd w:val="clear" w:color="FFFFFF" w:fill="FFFFFF"/>
            <w:tcMar>
              <w:left w:w="101" w:type="dxa"/>
              <w:right w:w="101" w:type="dxa"/>
            </w:tcMar>
          </w:tcPr>
          <w:p w14:paraId="5144EA57"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BDEDEA0"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960" w:type="dxa"/>
            <w:tcBorders>
              <w:top w:val="nil"/>
              <w:left w:val="nil"/>
              <w:bottom w:val="nil"/>
              <w:right w:val="nil"/>
              <w:tl2br w:val="nil"/>
              <w:tr2bl w:val="nil"/>
            </w:tcBorders>
            <w:shd w:val="clear" w:color="FFFFFF" w:fill="FFFFFF"/>
            <w:tcMar>
              <w:left w:w="101" w:type="dxa"/>
              <w:right w:w="101" w:type="dxa"/>
            </w:tcMar>
          </w:tcPr>
          <w:p w14:paraId="100F83D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3E42395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0D9E446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C07D35" w14:paraId="0C94C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584F0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5,277</w:t>
            </w:r>
          </w:p>
        </w:tc>
        <w:tc>
          <w:tcPr>
            <w:tcW w:w="2700" w:type="dxa"/>
            <w:tcBorders>
              <w:top w:val="nil"/>
              <w:left w:val="nil"/>
              <w:bottom w:val="nil"/>
              <w:right w:val="nil"/>
              <w:tl2br w:val="nil"/>
              <w:tr2bl w:val="nil"/>
            </w:tcBorders>
            <w:shd w:val="clear" w:color="FFFFFF" w:fill="FFFFFF"/>
            <w:tcMar>
              <w:left w:w="101" w:type="dxa"/>
              <w:right w:w="101" w:type="dxa"/>
            </w:tcMar>
          </w:tcPr>
          <w:p w14:paraId="0ADDC254"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874B5C0"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3,258</w:t>
            </w:r>
          </w:p>
        </w:tc>
        <w:tc>
          <w:tcPr>
            <w:tcW w:w="960" w:type="dxa"/>
            <w:tcBorders>
              <w:top w:val="nil"/>
              <w:left w:val="nil"/>
              <w:bottom w:val="nil"/>
              <w:right w:val="nil"/>
              <w:tl2br w:val="nil"/>
              <w:tr2bl w:val="nil"/>
            </w:tcBorders>
            <w:shd w:val="clear" w:color="FFFFFF" w:fill="FFFFFF"/>
            <w:tcMar>
              <w:left w:w="101" w:type="dxa"/>
              <w:right w:w="101" w:type="dxa"/>
            </w:tcMar>
          </w:tcPr>
          <w:p w14:paraId="306D9185"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7,399</w:t>
            </w:r>
          </w:p>
        </w:tc>
        <w:tc>
          <w:tcPr>
            <w:tcW w:w="600" w:type="dxa"/>
            <w:tcBorders>
              <w:top w:val="nil"/>
              <w:left w:val="nil"/>
              <w:bottom w:val="nil"/>
              <w:right w:val="nil"/>
              <w:tl2br w:val="nil"/>
              <w:tr2bl w:val="nil"/>
            </w:tcBorders>
            <w:shd w:val="clear" w:color="FFFFFF" w:fill="FFFFFF"/>
            <w:tcMar>
              <w:left w:w="101" w:type="dxa"/>
              <w:right w:w="101" w:type="dxa"/>
            </w:tcMar>
          </w:tcPr>
          <w:p w14:paraId="76745E13"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127 </w:t>
            </w:r>
          </w:p>
        </w:tc>
        <w:tc>
          <w:tcPr>
            <w:tcW w:w="960" w:type="dxa"/>
            <w:tcBorders>
              <w:top w:val="nil"/>
              <w:left w:val="nil"/>
              <w:bottom w:val="nil"/>
              <w:right w:val="nil"/>
              <w:tl2br w:val="nil"/>
              <w:tr2bl w:val="nil"/>
            </w:tcBorders>
            <w:shd w:val="clear" w:color="FFFFFF" w:fill="FFFFFF"/>
            <w:tcMar>
              <w:left w:w="101" w:type="dxa"/>
              <w:right w:w="101" w:type="dxa"/>
            </w:tcMar>
          </w:tcPr>
          <w:p w14:paraId="6949F909"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55E3AB1B"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459</w:t>
            </w:r>
          </w:p>
        </w:tc>
        <w:tc>
          <w:tcPr>
            <w:tcW w:w="960" w:type="dxa"/>
            <w:tcBorders>
              <w:top w:val="nil"/>
              <w:left w:val="nil"/>
              <w:bottom w:val="nil"/>
              <w:right w:val="nil"/>
              <w:tl2br w:val="nil"/>
              <w:tr2bl w:val="nil"/>
            </w:tcBorders>
            <w:shd w:val="clear" w:color="FFFFFF" w:fill="FFFFFF"/>
            <w:tcMar>
              <w:left w:w="101" w:type="dxa"/>
              <w:right w:w="101" w:type="dxa"/>
            </w:tcMar>
          </w:tcPr>
          <w:p w14:paraId="1A2806AC"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470</w:t>
            </w:r>
          </w:p>
        </w:tc>
      </w:tr>
      <w:tr w:rsidR="00C07D35" w14:paraId="10B792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1F5EC42"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12757852"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959B2F"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96F3928"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F0A0A0"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C4F05F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EA3FD70"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43E9A70" w14:textId="77777777" w:rsidR="00C07D35" w:rsidRDefault="00C07D35">
            <w:pPr>
              <w:pStyle w:val="Normal9"/>
              <w:rPr>
                <w:rFonts w:ascii="Calibri" w:eastAsia="Calibri" w:hAnsi="Calibri" w:cs="Calibri"/>
                <w:color w:val="000000"/>
                <w:sz w:val="18"/>
              </w:rPr>
            </w:pPr>
          </w:p>
        </w:tc>
      </w:tr>
      <w:tr w:rsidR="00C07D35" w14:paraId="2D9A33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6DD4DA"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-5,277</w:t>
            </w:r>
          </w:p>
        </w:tc>
        <w:tc>
          <w:tcPr>
            <w:tcW w:w="2700" w:type="dxa"/>
            <w:tcBorders>
              <w:top w:val="nil"/>
              <w:left w:val="nil"/>
              <w:bottom w:val="nil"/>
              <w:right w:val="nil"/>
              <w:tl2br w:val="nil"/>
              <w:tr2bl w:val="nil"/>
            </w:tcBorders>
            <w:shd w:val="clear" w:color="FFFFFF" w:fill="FFFFFF"/>
            <w:noWrap/>
            <w:tcMar>
              <w:left w:w="101" w:type="dxa"/>
              <w:right w:w="101" w:type="dxa"/>
            </w:tcMar>
          </w:tcPr>
          <w:p w14:paraId="298B995F"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B8793D2"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-3,238</w:t>
            </w:r>
          </w:p>
        </w:tc>
        <w:tc>
          <w:tcPr>
            <w:tcW w:w="960" w:type="dxa"/>
            <w:tcBorders>
              <w:top w:val="nil"/>
              <w:left w:val="nil"/>
              <w:bottom w:val="nil"/>
              <w:right w:val="nil"/>
              <w:tl2br w:val="nil"/>
              <w:tr2bl w:val="nil"/>
            </w:tcBorders>
            <w:shd w:val="clear" w:color="FFFFFF" w:fill="FFFFFF"/>
            <w:tcMar>
              <w:left w:w="101" w:type="dxa"/>
              <w:right w:w="101" w:type="dxa"/>
            </w:tcMar>
          </w:tcPr>
          <w:p w14:paraId="4B3ED5FA"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-7,399</w:t>
            </w:r>
          </w:p>
        </w:tc>
        <w:tc>
          <w:tcPr>
            <w:tcW w:w="600" w:type="dxa"/>
            <w:tcBorders>
              <w:top w:val="nil"/>
              <w:left w:val="nil"/>
              <w:bottom w:val="nil"/>
              <w:right w:val="nil"/>
              <w:tl2br w:val="nil"/>
              <w:tr2bl w:val="nil"/>
            </w:tcBorders>
            <w:shd w:val="clear" w:color="FFFFFF" w:fill="FFFFFF"/>
            <w:tcMar>
              <w:left w:w="101" w:type="dxa"/>
              <w:right w:w="101" w:type="dxa"/>
            </w:tcMar>
          </w:tcPr>
          <w:p w14:paraId="44A3A6D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-129 </w:t>
            </w:r>
          </w:p>
        </w:tc>
        <w:tc>
          <w:tcPr>
            <w:tcW w:w="960" w:type="dxa"/>
            <w:tcBorders>
              <w:top w:val="nil"/>
              <w:left w:val="nil"/>
              <w:bottom w:val="nil"/>
              <w:right w:val="nil"/>
              <w:tl2br w:val="nil"/>
              <w:tr2bl w:val="nil"/>
            </w:tcBorders>
            <w:shd w:val="clear" w:color="FFFFFF" w:fill="FFFFFF"/>
            <w:tcMar>
              <w:left w:w="101" w:type="dxa"/>
              <w:right w:w="101" w:type="dxa"/>
            </w:tcMar>
          </w:tcPr>
          <w:p w14:paraId="554584B0"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67003F4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-459</w:t>
            </w:r>
          </w:p>
        </w:tc>
        <w:tc>
          <w:tcPr>
            <w:tcW w:w="960" w:type="dxa"/>
            <w:tcBorders>
              <w:top w:val="nil"/>
              <w:left w:val="nil"/>
              <w:bottom w:val="nil"/>
              <w:right w:val="nil"/>
              <w:tl2br w:val="nil"/>
              <w:tr2bl w:val="nil"/>
            </w:tcBorders>
            <w:shd w:val="clear" w:color="FFFFFF" w:fill="FFFFFF"/>
            <w:tcMar>
              <w:left w:w="101" w:type="dxa"/>
              <w:right w:w="101" w:type="dxa"/>
            </w:tcMar>
          </w:tcPr>
          <w:p w14:paraId="0F899EB5"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-470</w:t>
            </w:r>
          </w:p>
        </w:tc>
      </w:tr>
      <w:tr w:rsidR="00C07D35" w14:paraId="2BDFA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0FB7E7F0" w14:textId="77777777" w:rsidR="00C07D35" w:rsidRDefault="00C07D35">
            <w:pPr>
              <w:pStyle w:val="Normal9"/>
              <w:rPr>
                <w:rFonts w:ascii="Calibri" w:eastAsia="Calibri" w:hAnsi="Calibri" w:cs="Calibri"/>
                <w:color w:val="000000"/>
                <w:sz w:val="18"/>
              </w:rPr>
            </w:pPr>
          </w:p>
        </w:tc>
        <w:tc>
          <w:tcPr>
            <w:tcW w:w="8175" w:type="dxa"/>
            <w:gridSpan w:val="7"/>
            <w:tcBorders>
              <w:top w:val="nil"/>
              <w:left w:val="nil"/>
              <w:bottom w:val="nil"/>
              <w:right w:val="nil"/>
              <w:tl2br w:val="nil"/>
              <w:tr2bl w:val="nil"/>
            </w:tcBorders>
            <w:shd w:val="clear" w:color="auto" w:fill="auto"/>
            <w:tcMar>
              <w:left w:w="101" w:type="dxa"/>
              <w:right w:w="101" w:type="dxa"/>
            </w:tcMar>
            <w:vAlign w:val="bottom"/>
          </w:tcPr>
          <w:p w14:paraId="1D499B83"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C07D35" w14:paraId="10C37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63D4D3"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39E867BD"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23E08345"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718BE16"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4151E6"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3EF9A6D"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A043870"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EF60FA9" w14:textId="77777777" w:rsidR="00C07D35" w:rsidRDefault="00C07D35">
            <w:pPr>
              <w:pStyle w:val="Normal9"/>
              <w:rPr>
                <w:rFonts w:ascii="Calibri" w:eastAsia="Calibri" w:hAnsi="Calibri" w:cs="Calibri"/>
                <w:color w:val="000000"/>
                <w:sz w:val="18"/>
              </w:rPr>
            </w:pPr>
          </w:p>
        </w:tc>
      </w:tr>
      <w:tr w:rsidR="00C07D35" w14:paraId="0FE909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3870E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5,277</w:t>
            </w:r>
          </w:p>
        </w:tc>
        <w:tc>
          <w:tcPr>
            <w:tcW w:w="2700" w:type="dxa"/>
            <w:tcBorders>
              <w:top w:val="nil"/>
              <w:left w:val="nil"/>
              <w:bottom w:val="nil"/>
              <w:right w:val="nil"/>
              <w:tl2br w:val="nil"/>
              <w:tr2bl w:val="nil"/>
            </w:tcBorders>
            <w:shd w:val="clear" w:color="FFFFFF" w:fill="FFFFFF"/>
            <w:noWrap/>
            <w:tcMar>
              <w:left w:w="101" w:type="dxa"/>
              <w:right w:w="101" w:type="dxa"/>
            </w:tcMar>
          </w:tcPr>
          <w:p w14:paraId="2E505B4F"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5BCBB62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3,126</w:t>
            </w:r>
          </w:p>
        </w:tc>
        <w:tc>
          <w:tcPr>
            <w:tcW w:w="960" w:type="dxa"/>
            <w:tcBorders>
              <w:top w:val="nil"/>
              <w:left w:val="nil"/>
              <w:bottom w:val="nil"/>
              <w:right w:val="nil"/>
              <w:tl2br w:val="nil"/>
              <w:tr2bl w:val="nil"/>
            </w:tcBorders>
            <w:shd w:val="clear" w:color="FFFFFF" w:fill="FFFFFF"/>
            <w:tcMar>
              <w:left w:w="101" w:type="dxa"/>
              <w:right w:w="101" w:type="dxa"/>
            </w:tcMar>
          </w:tcPr>
          <w:p w14:paraId="311892F9"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7,399</w:t>
            </w:r>
          </w:p>
        </w:tc>
        <w:tc>
          <w:tcPr>
            <w:tcW w:w="600" w:type="dxa"/>
            <w:tcBorders>
              <w:top w:val="nil"/>
              <w:left w:val="nil"/>
              <w:bottom w:val="nil"/>
              <w:right w:val="nil"/>
              <w:tl2br w:val="nil"/>
              <w:tr2bl w:val="nil"/>
            </w:tcBorders>
            <w:shd w:val="clear" w:color="FFFFFF" w:fill="FFFFFF"/>
            <w:tcMar>
              <w:left w:w="101" w:type="dxa"/>
              <w:right w:w="101" w:type="dxa"/>
            </w:tcMar>
          </w:tcPr>
          <w:p w14:paraId="16CB1DE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137 </w:t>
            </w:r>
          </w:p>
        </w:tc>
        <w:tc>
          <w:tcPr>
            <w:tcW w:w="960" w:type="dxa"/>
            <w:tcBorders>
              <w:top w:val="nil"/>
              <w:left w:val="nil"/>
              <w:bottom w:val="nil"/>
              <w:right w:val="nil"/>
              <w:tl2br w:val="nil"/>
              <w:tr2bl w:val="nil"/>
            </w:tcBorders>
            <w:shd w:val="clear" w:color="FFFFFF" w:fill="FFFFFF"/>
            <w:tcMar>
              <w:left w:w="101" w:type="dxa"/>
              <w:right w:w="101" w:type="dxa"/>
            </w:tcMar>
          </w:tcPr>
          <w:p w14:paraId="09469FF4"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75730B3C"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459</w:t>
            </w:r>
          </w:p>
        </w:tc>
        <w:tc>
          <w:tcPr>
            <w:tcW w:w="960" w:type="dxa"/>
            <w:tcBorders>
              <w:top w:val="nil"/>
              <w:left w:val="nil"/>
              <w:bottom w:val="nil"/>
              <w:right w:val="nil"/>
              <w:tl2br w:val="nil"/>
              <w:tr2bl w:val="nil"/>
            </w:tcBorders>
            <w:shd w:val="clear" w:color="FFFFFF" w:fill="FFFFFF"/>
            <w:tcMar>
              <w:left w:w="101" w:type="dxa"/>
              <w:right w:w="101" w:type="dxa"/>
            </w:tcMar>
          </w:tcPr>
          <w:p w14:paraId="5982F475"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470</w:t>
            </w:r>
          </w:p>
        </w:tc>
      </w:tr>
      <w:tr w:rsidR="00C07D35" w14:paraId="4B96F9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1DEA35"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5,277</w:t>
            </w:r>
          </w:p>
        </w:tc>
        <w:tc>
          <w:tcPr>
            <w:tcW w:w="2700" w:type="dxa"/>
            <w:tcBorders>
              <w:top w:val="nil"/>
              <w:left w:val="nil"/>
              <w:bottom w:val="nil"/>
              <w:right w:val="nil"/>
              <w:tl2br w:val="nil"/>
              <w:tr2bl w:val="nil"/>
            </w:tcBorders>
            <w:shd w:val="clear" w:color="FFFFFF" w:fill="FFFFFF"/>
            <w:tcMar>
              <w:left w:w="101" w:type="dxa"/>
              <w:right w:w="101" w:type="dxa"/>
            </w:tcMar>
          </w:tcPr>
          <w:p w14:paraId="68AEDF60"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7BC43EA"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3,126</w:t>
            </w:r>
          </w:p>
        </w:tc>
        <w:tc>
          <w:tcPr>
            <w:tcW w:w="960" w:type="dxa"/>
            <w:tcBorders>
              <w:top w:val="nil"/>
              <w:left w:val="nil"/>
              <w:bottom w:val="nil"/>
              <w:right w:val="nil"/>
              <w:tl2br w:val="nil"/>
              <w:tr2bl w:val="nil"/>
            </w:tcBorders>
            <w:shd w:val="clear" w:color="FFFFFF" w:fill="FFFFFF"/>
            <w:tcMar>
              <w:left w:w="101" w:type="dxa"/>
              <w:right w:w="101" w:type="dxa"/>
            </w:tcMar>
          </w:tcPr>
          <w:p w14:paraId="2C8619E9"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7,399</w:t>
            </w:r>
          </w:p>
        </w:tc>
        <w:tc>
          <w:tcPr>
            <w:tcW w:w="600" w:type="dxa"/>
            <w:tcBorders>
              <w:top w:val="nil"/>
              <w:left w:val="nil"/>
              <w:bottom w:val="nil"/>
              <w:right w:val="nil"/>
              <w:tl2br w:val="nil"/>
              <w:tr2bl w:val="nil"/>
            </w:tcBorders>
            <w:shd w:val="clear" w:color="FFFFFF" w:fill="FFFFFF"/>
            <w:tcMar>
              <w:left w:w="101" w:type="dxa"/>
              <w:right w:w="101" w:type="dxa"/>
            </w:tcMar>
          </w:tcPr>
          <w:p w14:paraId="2F9CD870"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137 </w:t>
            </w:r>
          </w:p>
        </w:tc>
        <w:tc>
          <w:tcPr>
            <w:tcW w:w="960" w:type="dxa"/>
            <w:tcBorders>
              <w:top w:val="nil"/>
              <w:left w:val="nil"/>
              <w:bottom w:val="nil"/>
              <w:right w:val="nil"/>
              <w:tl2br w:val="nil"/>
              <w:tr2bl w:val="nil"/>
            </w:tcBorders>
            <w:shd w:val="clear" w:color="FFFFFF" w:fill="FFFFFF"/>
            <w:tcMar>
              <w:left w:w="101" w:type="dxa"/>
              <w:right w:w="101" w:type="dxa"/>
            </w:tcMar>
          </w:tcPr>
          <w:p w14:paraId="2F27FD8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2C3610C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459</w:t>
            </w:r>
          </w:p>
        </w:tc>
        <w:tc>
          <w:tcPr>
            <w:tcW w:w="960" w:type="dxa"/>
            <w:tcBorders>
              <w:top w:val="nil"/>
              <w:left w:val="nil"/>
              <w:bottom w:val="nil"/>
              <w:right w:val="nil"/>
              <w:tl2br w:val="nil"/>
              <w:tr2bl w:val="nil"/>
            </w:tcBorders>
            <w:shd w:val="clear" w:color="FFFFFF" w:fill="FFFFFF"/>
            <w:tcMar>
              <w:left w:w="101" w:type="dxa"/>
              <w:right w:w="101" w:type="dxa"/>
            </w:tcMar>
          </w:tcPr>
          <w:p w14:paraId="312DF82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470</w:t>
            </w:r>
          </w:p>
        </w:tc>
      </w:tr>
      <w:tr w:rsidR="00C07D35" w14:paraId="3C06F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9F8B41C"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55228331"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0FD3BB"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23A7A1D"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6B6176"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A86A4D0"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A6DB234"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D5A4B48" w14:textId="77777777" w:rsidR="00C07D35" w:rsidRDefault="00C07D35">
            <w:pPr>
              <w:pStyle w:val="Normal9"/>
              <w:rPr>
                <w:rFonts w:ascii="Calibri" w:eastAsia="Calibri" w:hAnsi="Calibri" w:cs="Calibri"/>
                <w:color w:val="000000"/>
                <w:sz w:val="18"/>
              </w:rPr>
            </w:pPr>
          </w:p>
        </w:tc>
      </w:tr>
      <w:tr w:rsidR="00C07D35" w14:paraId="466098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BA65BA"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16DD73EE"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48B51F8B"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787E62B"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95F52F"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AEBE5B1"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6D77412"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28C95ED" w14:textId="77777777" w:rsidR="00C07D35" w:rsidRDefault="00C07D35">
            <w:pPr>
              <w:pStyle w:val="Normal9"/>
              <w:rPr>
                <w:rFonts w:ascii="Calibri" w:eastAsia="Calibri" w:hAnsi="Calibri" w:cs="Calibri"/>
                <w:color w:val="000000"/>
                <w:sz w:val="18"/>
              </w:rPr>
            </w:pPr>
          </w:p>
        </w:tc>
      </w:tr>
      <w:tr w:rsidR="00C07D35" w14:paraId="5DA71D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C9A2A2"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330</w:t>
            </w:r>
          </w:p>
        </w:tc>
        <w:tc>
          <w:tcPr>
            <w:tcW w:w="2700" w:type="dxa"/>
            <w:tcBorders>
              <w:top w:val="nil"/>
              <w:left w:val="nil"/>
              <w:bottom w:val="nil"/>
              <w:right w:val="nil"/>
              <w:tl2br w:val="nil"/>
              <w:tr2bl w:val="nil"/>
            </w:tcBorders>
            <w:shd w:val="clear" w:color="FFFFFF" w:fill="FFFFFF"/>
            <w:noWrap/>
            <w:tcMar>
              <w:left w:w="101" w:type="dxa"/>
              <w:right w:w="101" w:type="dxa"/>
            </w:tcMar>
          </w:tcPr>
          <w:p w14:paraId="0C70DDEC" w14:textId="77777777" w:rsidR="00C07D35" w:rsidRDefault="00A4668D">
            <w:pPr>
              <w:pStyle w:val="Normal9"/>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60FE5BA2" w14:textId="349FD37C"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44</w:t>
            </w:r>
            <w:r w:rsidR="000D1F50">
              <w:rPr>
                <w:rFonts w:ascii="Calibri" w:eastAsia="Calibri" w:hAnsi="Calibri" w:cs="Calibri"/>
                <w:color w:val="000000"/>
                <w:sz w:val="18"/>
              </w:rPr>
              <w:t>8</w:t>
            </w:r>
          </w:p>
        </w:tc>
        <w:tc>
          <w:tcPr>
            <w:tcW w:w="960" w:type="dxa"/>
            <w:tcBorders>
              <w:top w:val="nil"/>
              <w:left w:val="nil"/>
              <w:bottom w:val="nil"/>
              <w:right w:val="nil"/>
              <w:tl2br w:val="nil"/>
              <w:tr2bl w:val="nil"/>
            </w:tcBorders>
            <w:shd w:val="clear" w:color="FFFFFF" w:fill="FFFFFF"/>
            <w:tcMar>
              <w:left w:w="101" w:type="dxa"/>
              <w:right w:w="101" w:type="dxa"/>
            </w:tcMar>
          </w:tcPr>
          <w:p w14:paraId="190E4FD4"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330</w:t>
            </w:r>
          </w:p>
        </w:tc>
        <w:tc>
          <w:tcPr>
            <w:tcW w:w="600" w:type="dxa"/>
            <w:tcBorders>
              <w:top w:val="nil"/>
              <w:left w:val="nil"/>
              <w:bottom w:val="nil"/>
              <w:right w:val="nil"/>
              <w:tl2br w:val="nil"/>
              <w:tr2bl w:val="nil"/>
            </w:tcBorders>
            <w:shd w:val="clear" w:color="FFFFFF" w:fill="FFFFFF"/>
            <w:tcMar>
              <w:left w:w="101" w:type="dxa"/>
              <w:right w:w="101" w:type="dxa"/>
            </w:tcMar>
          </w:tcPr>
          <w:p w14:paraId="5519377B"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 xml:space="preserve">-26 </w:t>
            </w:r>
          </w:p>
        </w:tc>
        <w:tc>
          <w:tcPr>
            <w:tcW w:w="960" w:type="dxa"/>
            <w:tcBorders>
              <w:top w:val="nil"/>
              <w:left w:val="nil"/>
              <w:bottom w:val="nil"/>
              <w:right w:val="nil"/>
              <w:tl2br w:val="nil"/>
              <w:tr2bl w:val="nil"/>
            </w:tcBorders>
            <w:shd w:val="clear" w:color="FFFFFF" w:fill="FFFFFF"/>
            <w:tcMar>
              <w:left w:w="101" w:type="dxa"/>
              <w:right w:w="101" w:type="dxa"/>
            </w:tcMar>
          </w:tcPr>
          <w:p w14:paraId="43723DC1"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10B7E750"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7A31A580" w14:textId="77777777" w:rsidR="00C07D35" w:rsidRDefault="00A4668D">
            <w:pPr>
              <w:pStyle w:val="Normal9"/>
              <w:jc w:val="right"/>
              <w:rPr>
                <w:rFonts w:ascii="Calibri" w:eastAsia="Calibri" w:hAnsi="Calibri" w:cs="Calibri"/>
                <w:color w:val="000000"/>
                <w:sz w:val="18"/>
              </w:rPr>
            </w:pPr>
            <w:r>
              <w:rPr>
                <w:rFonts w:ascii="Calibri" w:eastAsia="Calibri" w:hAnsi="Calibri" w:cs="Calibri"/>
                <w:color w:val="000000"/>
                <w:sz w:val="18"/>
              </w:rPr>
              <w:t>330</w:t>
            </w:r>
          </w:p>
        </w:tc>
      </w:tr>
      <w:tr w:rsidR="00C07D35" w14:paraId="7DC3B8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2791C2"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330</w:t>
            </w:r>
          </w:p>
        </w:tc>
        <w:tc>
          <w:tcPr>
            <w:tcW w:w="2700" w:type="dxa"/>
            <w:tcBorders>
              <w:top w:val="nil"/>
              <w:left w:val="nil"/>
              <w:bottom w:val="nil"/>
              <w:right w:val="nil"/>
              <w:tl2br w:val="nil"/>
              <w:tr2bl w:val="nil"/>
            </w:tcBorders>
            <w:shd w:val="clear" w:color="FFFFFF" w:fill="FFFFFF"/>
            <w:tcMar>
              <w:left w:w="101" w:type="dxa"/>
              <w:right w:w="101" w:type="dxa"/>
            </w:tcMar>
          </w:tcPr>
          <w:p w14:paraId="5C0FA022"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E7F1E7A" w14:textId="728107DF"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44</w:t>
            </w:r>
            <w:r w:rsidR="000D1F50">
              <w:rPr>
                <w:rFonts w:ascii="Calibri" w:eastAsia="Calibri" w:hAnsi="Calibri" w:cs="Calibri"/>
                <w:b/>
                <w:color w:val="000000"/>
                <w:sz w:val="18"/>
              </w:rPr>
              <w:t>8</w:t>
            </w:r>
          </w:p>
        </w:tc>
        <w:tc>
          <w:tcPr>
            <w:tcW w:w="960" w:type="dxa"/>
            <w:tcBorders>
              <w:top w:val="nil"/>
              <w:left w:val="nil"/>
              <w:bottom w:val="nil"/>
              <w:right w:val="nil"/>
              <w:tl2br w:val="nil"/>
              <w:tr2bl w:val="nil"/>
            </w:tcBorders>
            <w:shd w:val="clear" w:color="FFFFFF" w:fill="FFFFFF"/>
            <w:tcMar>
              <w:left w:w="101" w:type="dxa"/>
              <w:right w:w="101" w:type="dxa"/>
            </w:tcMar>
          </w:tcPr>
          <w:p w14:paraId="4DC11E43"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330</w:t>
            </w:r>
          </w:p>
        </w:tc>
        <w:tc>
          <w:tcPr>
            <w:tcW w:w="600" w:type="dxa"/>
            <w:tcBorders>
              <w:top w:val="nil"/>
              <w:left w:val="nil"/>
              <w:bottom w:val="nil"/>
              <w:right w:val="nil"/>
              <w:tl2br w:val="nil"/>
              <w:tr2bl w:val="nil"/>
            </w:tcBorders>
            <w:shd w:val="clear" w:color="FFFFFF" w:fill="FFFFFF"/>
            <w:tcMar>
              <w:left w:w="101" w:type="dxa"/>
              <w:right w:w="101" w:type="dxa"/>
            </w:tcMar>
          </w:tcPr>
          <w:p w14:paraId="04B2D86B"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-26 </w:t>
            </w:r>
          </w:p>
        </w:tc>
        <w:tc>
          <w:tcPr>
            <w:tcW w:w="960" w:type="dxa"/>
            <w:tcBorders>
              <w:top w:val="nil"/>
              <w:left w:val="nil"/>
              <w:bottom w:val="nil"/>
              <w:right w:val="nil"/>
              <w:tl2br w:val="nil"/>
              <w:tr2bl w:val="nil"/>
            </w:tcBorders>
            <w:shd w:val="clear" w:color="FFFFFF" w:fill="FFFFFF"/>
            <w:tcMar>
              <w:left w:w="101" w:type="dxa"/>
              <w:right w:w="101" w:type="dxa"/>
            </w:tcMar>
          </w:tcPr>
          <w:p w14:paraId="5C253FCF"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1C0DD83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5A2CA506"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330</w:t>
            </w:r>
          </w:p>
        </w:tc>
      </w:tr>
      <w:tr w:rsidR="00C07D35" w14:paraId="0EAE8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88491D0"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70DAC415"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A14C92"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E034918"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17DF35"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1DAC4A6"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0B710B0"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A07F77F" w14:textId="77777777" w:rsidR="00C07D35" w:rsidRDefault="00C07D35">
            <w:pPr>
              <w:pStyle w:val="Normal9"/>
              <w:rPr>
                <w:rFonts w:ascii="Calibri" w:eastAsia="Calibri" w:hAnsi="Calibri" w:cs="Calibri"/>
                <w:color w:val="000000"/>
                <w:sz w:val="18"/>
              </w:rPr>
            </w:pPr>
          </w:p>
        </w:tc>
      </w:tr>
      <w:tr w:rsidR="00C07D35" w14:paraId="6D713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B837CC"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4,947</w:t>
            </w:r>
          </w:p>
        </w:tc>
        <w:tc>
          <w:tcPr>
            <w:tcW w:w="2700" w:type="dxa"/>
            <w:tcBorders>
              <w:top w:val="nil"/>
              <w:left w:val="nil"/>
              <w:bottom w:val="nil"/>
              <w:right w:val="nil"/>
              <w:tl2br w:val="nil"/>
              <w:tr2bl w:val="nil"/>
            </w:tcBorders>
            <w:shd w:val="clear" w:color="FFFFFF" w:fill="FFFFFF"/>
            <w:noWrap/>
            <w:tcMar>
              <w:left w:w="101" w:type="dxa"/>
              <w:right w:w="101" w:type="dxa"/>
            </w:tcMar>
          </w:tcPr>
          <w:p w14:paraId="2E417303"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FE61521" w14:textId="5B17EF52"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2,67</w:t>
            </w:r>
            <w:r w:rsidR="000D1F50">
              <w:rPr>
                <w:rFonts w:ascii="Calibri" w:eastAsia="Calibri" w:hAnsi="Calibri" w:cs="Calibri"/>
                <w:b/>
                <w:color w:val="000000"/>
                <w:sz w:val="18"/>
              </w:rPr>
              <w:t>8</w:t>
            </w:r>
          </w:p>
        </w:tc>
        <w:tc>
          <w:tcPr>
            <w:tcW w:w="960" w:type="dxa"/>
            <w:tcBorders>
              <w:top w:val="nil"/>
              <w:left w:val="nil"/>
              <w:bottom w:val="nil"/>
              <w:right w:val="nil"/>
              <w:tl2br w:val="nil"/>
              <w:tr2bl w:val="nil"/>
            </w:tcBorders>
            <w:shd w:val="clear" w:color="FFFFFF" w:fill="FFFFFF"/>
            <w:tcMar>
              <w:left w:w="101" w:type="dxa"/>
              <w:right w:w="101" w:type="dxa"/>
            </w:tcMar>
          </w:tcPr>
          <w:p w14:paraId="58C56110"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7,069</w:t>
            </w:r>
          </w:p>
        </w:tc>
        <w:tc>
          <w:tcPr>
            <w:tcW w:w="600" w:type="dxa"/>
            <w:tcBorders>
              <w:top w:val="nil"/>
              <w:left w:val="nil"/>
              <w:bottom w:val="nil"/>
              <w:right w:val="nil"/>
              <w:tl2br w:val="nil"/>
              <w:tr2bl w:val="nil"/>
            </w:tcBorders>
            <w:shd w:val="clear" w:color="FFFFFF" w:fill="FFFFFF"/>
            <w:tcMar>
              <w:left w:w="101" w:type="dxa"/>
              <w:right w:w="101" w:type="dxa"/>
            </w:tcMar>
          </w:tcPr>
          <w:p w14:paraId="272986FE"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164 </w:t>
            </w:r>
          </w:p>
        </w:tc>
        <w:tc>
          <w:tcPr>
            <w:tcW w:w="960" w:type="dxa"/>
            <w:tcBorders>
              <w:top w:val="nil"/>
              <w:left w:val="nil"/>
              <w:bottom w:val="nil"/>
              <w:right w:val="nil"/>
              <w:tl2br w:val="nil"/>
              <w:tr2bl w:val="nil"/>
            </w:tcBorders>
            <w:shd w:val="clear" w:color="FFFFFF" w:fill="FFFFFF"/>
            <w:tcMar>
              <w:left w:w="101" w:type="dxa"/>
              <w:right w:w="101" w:type="dxa"/>
            </w:tcMar>
          </w:tcPr>
          <w:p w14:paraId="7F2C927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118</w:t>
            </w:r>
          </w:p>
        </w:tc>
        <w:tc>
          <w:tcPr>
            <w:tcW w:w="960" w:type="dxa"/>
            <w:tcBorders>
              <w:top w:val="nil"/>
              <w:left w:val="nil"/>
              <w:bottom w:val="nil"/>
              <w:right w:val="nil"/>
              <w:tl2br w:val="nil"/>
              <w:tr2bl w:val="nil"/>
            </w:tcBorders>
            <w:shd w:val="clear" w:color="FFFFFF" w:fill="FFFFFF"/>
            <w:tcMar>
              <w:left w:w="101" w:type="dxa"/>
              <w:right w:w="101" w:type="dxa"/>
            </w:tcMar>
          </w:tcPr>
          <w:p w14:paraId="6BFCCBE7"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129</w:t>
            </w:r>
          </w:p>
        </w:tc>
        <w:tc>
          <w:tcPr>
            <w:tcW w:w="960" w:type="dxa"/>
            <w:tcBorders>
              <w:top w:val="nil"/>
              <w:left w:val="nil"/>
              <w:bottom w:val="nil"/>
              <w:right w:val="nil"/>
              <w:tl2br w:val="nil"/>
              <w:tr2bl w:val="nil"/>
            </w:tcBorders>
            <w:shd w:val="clear" w:color="FFFFFF" w:fill="FFFFFF"/>
            <w:tcMar>
              <w:left w:w="101" w:type="dxa"/>
              <w:right w:w="101" w:type="dxa"/>
            </w:tcMar>
          </w:tcPr>
          <w:p w14:paraId="5C275EEB"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140</w:t>
            </w:r>
          </w:p>
        </w:tc>
      </w:tr>
      <w:tr w:rsidR="00C07D35" w14:paraId="6A4D8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3A5A76"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55AD341D"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B50ECE"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D05DF9B"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60375F"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738E6F1"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D008491"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7EA806D" w14:textId="77777777" w:rsidR="00C07D35" w:rsidRDefault="00C07D35">
            <w:pPr>
              <w:pStyle w:val="Normal9"/>
              <w:rPr>
                <w:rFonts w:ascii="Calibri" w:eastAsia="Calibri" w:hAnsi="Calibri" w:cs="Calibri"/>
                <w:color w:val="000000"/>
                <w:sz w:val="18"/>
              </w:rPr>
            </w:pPr>
          </w:p>
        </w:tc>
      </w:tr>
      <w:tr w:rsidR="00C07D35" w14:paraId="4962B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8A8453"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lastRenderedPageBreak/>
              <w:t>-308</w:t>
            </w:r>
          </w:p>
        </w:tc>
        <w:tc>
          <w:tcPr>
            <w:tcW w:w="2700" w:type="dxa"/>
            <w:tcBorders>
              <w:top w:val="nil"/>
              <w:left w:val="nil"/>
              <w:bottom w:val="nil"/>
              <w:right w:val="nil"/>
              <w:tl2br w:val="nil"/>
              <w:tr2bl w:val="nil"/>
            </w:tcBorders>
            <w:shd w:val="clear" w:color="FFFFFF" w:fill="FFFFFF"/>
            <w:noWrap/>
            <w:tcMar>
              <w:left w:w="101" w:type="dxa"/>
              <w:right w:w="101" w:type="dxa"/>
            </w:tcMar>
          </w:tcPr>
          <w:p w14:paraId="29033048"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A60029C" w14:textId="4044F9A0"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79</w:t>
            </w:r>
            <w:r w:rsidR="000D1F50">
              <w:rPr>
                <w:rFonts w:ascii="Calibri" w:eastAsia="Calibri" w:hAnsi="Calibri" w:cs="Calibri"/>
                <w:b/>
                <w:color w:val="000000"/>
                <w:sz w:val="18"/>
              </w:rPr>
              <w:t>5</w:t>
            </w:r>
          </w:p>
        </w:tc>
        <w:tc>
          <w:tcPr>
            <w:tcW w:w="960" w:type="dxa"/>
            <w:tcBorders>
              <w:top w:val="nil"/>
              <w:left w:val="nil"/>
              <w:bottom w:val="nil"/>
              <w:right w:val="nil"/>
              <w:tl2br w:val="nil"/>
              <w:tr2bl w:val="nil"/>
            </w:tcBorders>
            <w:shd w:val="clear" w:color="FFFFFF" w:fill="FFFFFF"/>
            <w:tcMar>
              <w:left w:w="101" w:type="dxa"/>
              <w:right w:w="101" w:type="dxa"/>
            </w:tcMar>
          </w:tcPr>
          <w:p w14:paraId="50510D50"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-308</w:t>
            </w:r>
          </w:p>
        </w:tc>
        <w:tc>
          <w:tcPr>
            <w:tcW w:w="600" w:type="dxa"/>
            <w:tcBorders>
              <w:top w:val="nil"/>
              <w:left w:val="nil"/>
              <w:bottom w:val="nil"/>
              <w:right w:val="nil"/>
              <w:tl2br w:val="nil"/>
              <w:tr2bl w:val="nil"/>
            </w:tcBorders>
            <w:shd w:val="clear" w:color="FFFFFF" w:fill="FFFFFF"/>
            <w:tcMar>
              <w:left w:w="101" w:type="dxa"/>
              <w:right w:w="101" w:type="dxa"/>
            </w:tcMar>
          </w:tcPr>
          <w:p w14:paraId="50788C9B"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-139 </w:t>
            </w:r>
          </w:p>
        </w:tc>
        <w:tc>
          <w:tcPr>
            <w:tcW w:w="960" w:type="dxa"/>
            <w:tcBorders>
              <w:top w:val="nil"/>
              <w:left w:val="nil"/>
              <w:bottom w:val="nil"/>
              <w:right w:val="nil"/>
              <w:tl2br w:val="nil"/>
              <w:tr2bl w:val="nil"/>
            </w:tcBorders>
            <w:shd w:val="clear" w:color="FFFFFF" w:fill="FFFFFF"/>
            <w:tcMar>
              <w:left w:w="101" w:type="dxa"/>
              <w:right w:w="101" w:type="dxa"/>
            </w:tcMar>
          </w:tcPr>
          <w:p w14:paraId="3BB6E848"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-308</w:t>
            </w:r>
          </w:p>
        </w:tc>
        <w:tc>
          <w:tcPr>
            <w:tcW w:w="960" w:type="dxa"/>
            <w:tcBorders>
              <w:top w:val="nil"/>
              <w:left w:val="nil"/>
              <w:bottom w:val="nil"/>
              <w:right w:val="nil"/>
              <w:tl2br w:val="nil"/>
              <w:tr2bl w:val="nil"/>
            </w:tcBorders>
            <w:shd w:val="clear" w:color="FFFFFF" w:fill="FFFFFF"/>
            <w:tcMar>
              <w:left w:w="101" w:type="dxa"/>
              <w:right w:w="101" w:type="dxa"/>
            </w:tcMar>
          </w:tcPr>
          <w:p w14:paraId="72F9E10E"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-308</w:t>
            </w:r>
          </w:p>
        </w:tc>
        <w:tc>
          <w:tcPr>
            <w:tcW w:w="960" w:type="dxa"/>
            <w:tcBorders>
              <w:top w:val="nil"/>
              <w:left w:val="nil"/>
              <w:bottom w:val="nil"/>
              <w:right w:val="nil"/>
              <w:tl2br w:val="nil"/>
              <w:tr2bl w:val="nil"/>
            </w:tcBorders>
            <w:shd w:val="clear" w:color="FFFFFF" w:fill="FFFFFF"/>
            <w:tcMar>
              <w:left w:w="101" w:type="dxa"/>
              <w:right w:w="101" w:type="dxa"/>
            </w:tcMar>
          </w:tcPr>
          <w:p w14:paraId="773BBA30"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-308</w:t>
            </w:r>
          </w:p>
        </w:tc>
      </w:tr>
      <w:tr w:rsidR="00C07D35" w14:paraId="54D851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15520D"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2BF99EE1"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50F5C8"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6F1BD8B"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0146B3"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3022C9F"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576C9AC"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9239358" w14:textId="77777777" w:rsidR="00C07D35" w:rsidRDefault="00C07D35">
            <w:pPr>
              <w:pStyle w:val="Normal9"/>
              <w:rPr>
                <w:rFonts w:ascii="Calibri" w:eastAsia="Calibri" w:hAnsi="Calibri" w:cs="Calibri"/>
                <w:color w:val="000000"/>
                <w:sz w:val="18"/>
              </w:rPr>
            </w:pPr>
          </w:p>
        </w:tc>
      </w:tr>
      <w:tr w:rsidR="00C07D35" w14:paraId="5D9620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C95C49"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6,900</w:t>
            </w:r>
          </w:p>
        </w:tc>
        <w:tc>
          <w:tcPr>
            <w:tcW w:w="2700" w:type="dxa"/>
            <w:tcBorders>
              <w:top w:val="nil"/>
              <w:left w:val="nil"/>
              <w:bottom w:val="nil"/>
              <w:right w:val="nil"/>
              <w:tl2br w:val="nil"/>
              <w:tr2bl w:val="nil"/>
            </w:tcBorders>
            <w:shd w:val="clear" w:color="auto" w:fill="auto"/>
            <w:noWrap/>
            <w:tcMar>
              <w:left w:w="101" w:type="dxa"/>
              <w:right w:w="101" w:type="dxa"/>
            </w:tcMar>
          </w:tcPr>
          <w:p w14:paraId="0CE61D90" w14:textId="77777777" w:rsidR="00C07D35" w:rsidRDefault="00A4668D">
            <w:pPr>
              <w:pStyle w:val="Normal9"/>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308C3E6" w14:textId="31294AFD"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6</w:t>
            </w:r>
            <w:r w:rsidR="000D1F50">
              <w:rPr>
                <w:rFonts w:ascii="Calibri" w:eastAsia="Calibri" w:hAnsi="Calibri" w:cs="Calibri"/>
                <w:b/>
                <w:color w:val="000000"/>
                <w:sz w:val="18"/>
              </w:rPr>
              <w:t>,900</w:t>
            </w:r>
          </w:p>
        </w:tc>
        <w:tc>
          <w:tcPr>
            <w:tcW w:w="960" w:type="dxa"/>
            <w:tcBorders>
              <w:top w:val="nil"/>
              <w:left w:val="nil"/>
              <w:bottom w:val="nil"/>
              <w:right w:val="nil"/>
              <w:tl2br w:val="nil"/>
              <w:tr2bl w:val="nil"/>
            </w:tcBorders>
            <w:shd w:val="clear" w:color="FFFFFF" w:fill="FFFFFF"/>
            <w:tcMar>
              <w:left w:w="101" w:type="dxa"/>
              <w:right w:w="101" w:type="dxa"/>
            </w:tcMar>
          </w:tcPr>
          <w:p w14:paraId="32503D4D"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7,695</w:t>
            </w:r>
          </w:p>
        </w:tc>
        <w:tc>
          <w:tcPr>
            <w:tcW w:w="600" w:type="dxa"/>
            <w:tcBorders>
              <w:top w:val="nil"/>
              <w:left w:val="nil"/>
              <w:bottom w:val="nil"/>
              <w:right w:val="nil"/>
              <w:tl2br w:val="nil"/>
              <w:tr2bl w:val="nil"/>
            </w:tcBorders>
            <w:shd w:val="clear" w:color="FFFFFF" w:fill="FFFFFF"/>
            <w:tcMar>
              <w:left w:w="101" w:type="dxa"/>
              <w:right w:w="101" w:type="dxa"/>
            </w:tcMar>
          </w:tcPr>
          <w:p w14:paraId="4B4C786E"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12 </w:t>
            </w:r>
          </w:p>
        </w:tc>
        <w:tc>
          <w:tcPr>
            <w:tcW w:w="960" w:type="dxa"/>
            <w:tcBorders>
              <w:top w:val="nil"/>
              <w:left w:val="nil"/>
              <w:bottom w:val="nil"/>
              <w:right w:val="nil"/>
              <w:tl2br w:val="nil"/>
              <w:tr2bl w:val="nil"/>
            </w:tcBorders>
            <w:shd w:val="clear" w:color="FFFFFF" w:fill="FFFFFF"/>
            <w:tcMar>
              <w:left w:w="101" w:type="dxa"/>
              <w:right w:w="101" w:type="dxa"/>
            </w:tcMar>
          </w:tcPr>
          <w:p w14:paraId="4FB4FC69"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7,387</w:t>
            </w:r>
          </w:p>
        </w:tc>
        <w:tc>
          <w:tcPr>
            <w:tcW w:w="960" w:type="dxa"/>
            <w:tcBorders>
              <w:top w:val="nil"/>
              <w:left w:val="nil"/>
              <w:bottom w:val="nil"/>
              <w:right w:val="nil"/>
              <w:tl2br w:val="nil"/>
              <w:tr2bl w:val="nil"/>
            </w:tcBorders>
            <w:shd w:val="clear" w:color="FFFFFF" w:fill="FFFFFF"/>
            <w:tcMar>
              <w:left w:w="101" w:type="dxa"/>
              <w:right w:w="101" w:type="dxa"/>
            </w:tcMar>
          </w:tcPr>
          <w:p w14:paraId="6D4429EC"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7,079</w:t>
            </w:r>
          </w:p>
        </w:tc>
        <w:tc>
          <w:tcPr>
            <w:tcW w:w="960" w:type="dxa"/>
            <w:tcBorders>
              <w:top w:val="nil"/>
              <w:left w:val="nil"/>
              <w:bottom w:val="nil"/>
              <w:right w:val="nil"/>
              <w:tl2br w:val="nil"/>
              <w:tr2bl w:val="nil"/>
            </w:tcBorders>
            <w:shd w:val="clear" w:color="FFFFFF" w:fill="FFFFFF"/>
            <w:tcMar>
              <w:left w:w="101" w:type="dxa"/>
              <w:right w:w="101" w:type="dxa"/>
            </w:tcMar>
          </w:tcPr>
          <w:p w14:paraId="6B094482"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6,771</w:t>
            </w:r>
          </w:p>
        </w:tc>
      </w:tr>
      <w:tr w:rsidR="00C07D35" w14:paraId="2C0CC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5BFB17" w14:textId="77777777" w:rsidR="00C07D35" w:rsidRDefault="00C07D35">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auto" w:fill="auto"/>
            <w:noWrap/>
            <w:tcMar>
              <w:left w:w="0" w:type="dxa"/>
              <w:right w:w="0" w:type="dxa"/>
            </w:tcMar>
            <w:vAlign w:val="bottom"/>
          </w:tcPr>
          <w:p w14:paraId="5ABC7E6A" w14:textId="77777777" w:rsidR="00C07D35" w:rsidRDefault="00C07D35">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4A9947"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4E6FA6F" w14:textId="77777777" w:rsidR="00C07D35" w:rsidRDefault="00C07D35">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222C4C"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60A2D62"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F7BF745" w14:textId="77777777" w:rsidR="00C07D35" w:rsidRDefault="00C07D35">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1C9F6C5" w14:textId="77777777" w:rsidR="00C07D35" w:rsidRDefault="00C07D35">
            <w:pPr>
              <w:pStyle w:val="Normal9"/>
              <w:rPr>
                <w:rFonts w:ascii="Calibri" w:eastAsia="Calibri" w:hAnsi="Calibri" w:cs="Calibri"/>
                <w:color w:val="000000"/>
                <w:sz w:val="18"/>
              </w:rPr>
            </w:pPr>
          </w:p>
        </w:tc>
      </w:tr>
      <w:tr w:rsidR="00C07D35" w14:paraId="0B2516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83082E"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6,592</w:t>
            </w:r>
          </w:p>
        </w:tc>
        <w:tc>
          <w:tcPr>
            <w:tcW w:w="2700" w:type="dxa"/>
            <w:tcBorders>
              <w:top w:val="nil"/>
              <w:left w:val="nil"/>
              <w:bottom w:val="nil"/>
              <w:right w:val="nil"/>
              <w:tl2br w:val="nil"/>
              <w:tr2bl w:val="nil"/>
            </w:tcBorders>
            <w:shd w:val="clear" w:color="auto" w:fill="auto"/>
            <w:noWrap/>
            <w:tcMar>
              <w:left w:w="101" w:type="dxa"/>
              <w:right w:w="101" w:type="dxa"/>
            </w:tcMar>
          </w:tcPr>
          <w:p w14:paraId="3DDD8488" w14:textId="77777777" w:rsidR="00C07D35" w:rsidRPr="00CD77D0" w:rsidRDefault="00A4668D">
            <w:pPr>
              <w:pStyle w:val="Normal9"/>
              <w:rPr>
                <w:rFonts w:ascii="Calibri" w:eastAsia="Calibri" w:hAnsi="Calibri" w:cs="Calibri"/>
                <w:b/>
                <w:color w:val="000000"/>
                <w:sz w:val="18"/>
              </w:rPr>
            </w:pPr>
            <w:r w:rsidRPr="00CD77D0">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6323B9B" w14:textId="77777777" w:rsidR="00C07D35" w:rsidRPr="00CD77D0" w:rsidRDefault="00A4668D">
            <w:pPr>
              <w:pStyle w:val="Normal9"/>
              <w:jc w:val="right"/>
              <w:rPr>
                <w:rFonts w:ascii="Calibri" w:eastAsia="Calibri" w:hAnsi="Calibri" w:cs="Calibri"/>
                <w:b/>
                <w:color w:val="000000"/>
                <w:sz w:val="18"/>
              </w:rPr>
            </w:pPr>
            <w:r w:rsidRPr="00CD77D0">
              <w:rPr>
                <w:rFonts w:ascii="Calibri" w:eastAsia="Calibri" w:hAnsi="Calibri" w:cs="Calibri"/>
                <w:b/>
                <w:color w:val="000000"/>
                <w:sz w:val="18"/>
              </w:rPr>
              <w:t>7,695</w:t>
            </w:r>
          </w:p>
        </w:tc>
        <w:tc>
          <w:tcPr>
            <w:tcW w:w="960" w:type="dxa"/>
            <w:tcBorders>
              <w:top w:val="nil"/>
              <w:left w:val="nil"/>
              <w:bottom w:val="nil"/>
              <w:right w:val="nil"/>
              <w:tl2br w:val="nil"/>
              <w:tr2bl w:val="nil"/>
            </w:tcBorders>
            <w:shd w:val="clear" w:color="FFFFFF" w:fill="FFFFFF"/>
            <w:tcMar>
              <w:left w:w="101" w:type="dxa"/>
              <w:right w:w="101" w:type="dxa"/>
            </w:tcMar>
          </w:tcPr>
          <w:p w14:paraId="0025ABB0" w14:textId="77777777" w:rsidR="00C07D35" w:rsidRPr="00CD77D0" w:rsidRDefault="00A4668D">
            <w:pPr>
              <w:pStyle w:val="Normal9"/>
              <w:jc w:val="right"/>
              <w:rPr>
                <w:rFonts w:ascii="Calibri" w:eastAsia="Calibri" w:hAnsi="Calibri" w:cs="Calibri"/>
                <w:b/>
                <w:color w:val="000000"/>
                <w:sz w:val="18"/>
              </w:rPr>
            </w:pPr>
            <w:r w:rsidRPr="00CD77D0">
              <w:rPr>
                <w:rFonts w:ascii="Calibri" w:eastAsia="Calibri" w:hAnsi="Calibri" w:cs="Calibri"/>
                <w:b/>
                <w:color w:val="000000"/>
                <w:sz w:val="18"/>
              </w:rPr>
              <w:t>7,387</w:t>
            </w:r>
          </w:p>
        </w:tc>
        <w:tc>
          <w:tcPr>
            <w:tcW w:w="600" w:type="dxa"/>
            <w:tcBorders>
              <w:top w:val="nil"/>
              <w:left w:val="nil"/>
              <w:bottom w:val="nil"/>
              <w:right w:val="nil"/>
              <w:tl2br w:val="nil"/>
              <w:tr2bl w:val="nil"/>
            </w:tcBorders>
            <w:shd w:val="clear" w:color="FFFFFF" w:fill="FFFFFF"/>
            <w:tcMar>
              <w:left w:w="101" w:type="dxa"/>
              <w:right w:w="101" w:type="dxa"/>
            </w:tcMar>
          </w:tcPr>
          <w:p w14:paraId="40383483" w14:textId="77777777" w:rsidR="00C07D35" w:rsidRPr="00CD77D0" w:rsidRDefault="00A4668D">
            <w:pPr>
              <w:pStyle w:val="Normal9"/>
              <w:jc w:val="right"/>
              <w:rPr>
                <w:rFonts w:ascii="Calibri" w:eastAsia="Calibri" w:hAnsi="Calibri" w:cs="Calibri"/>
                <w:b/>
                <w:color w:val="000000"/>
                <w:sz w:val="18"/>
              </w:rPr>
            </w:pPr>
            <w:r w:rsidRPr="00CD77D0">
              <w:rPr>
                <w:rFonts w:ascii="Calibri" w:eastAsia="Calibri" w:hAnsi="Calibri" w:cs="Calibri"/>
                <w:b/>
                <w:color w:val="000000"/>
                <w:sz w:val="18"/>
              </w:rPr>
              <w:t xml:space="preserve">-4 </w:t>
            </w:r>
          </w:p>
        </w:tc>
        <w:tc>
          <w:tcPr>
            <w:tcW w:w="960" w:type="dxa"/>
            <w:tcBorders>
              <w:top w:val="nil"/>
              <w:left w:val="nil"/>
              <w:bottom w:val="nil"/>
              <w:right w:val="nil"/>
              <w:tl2br w:val="nil"/>
              <w:tr2bl w:val="nil"/>
            </w:tcBorders>
            <w:shd w:val="clear" w:color="FFFFFF" w:fill="FFFFFF"/>
            <w:tcMar>
              <w:left w:w="101" w:type="dxa"/>
              <w:right w:w="101" w:type="dxa"/>
            </w:tcMar>
          </w:tcPr>
          <w:p w14:paraId="47435A8F" w14:textId="77777777" w:rsidR="00C07D35" w:rsidRPr="00CD77D0" w:rsidRDefault="00A4668D">
            <w:pPr>
              <w:pStyle w:val="Normal9"/>
              <w:jc w:val="right"/>
              <w:rPr>
                <w:rFonts w:ascii="Calibri" w:eastAsia="Calibri" w:hAnsi="Calibri" w:cs="Calibri"/>
                <w:b/>
                <w:color w:val="000000"/>
                <w:sz w:val="18"/>
              </w:rPr>
            </w:pPr>
            <w:r w:rsidRPr="00CD77D0">
              <w:rPr>
                <w:rFonts w:ascii="Calibri" w:eastAsia="Calibri" w:hAnsi="Calibri" w:cs="Calibri"/>
                <w:b/>
                <w:color w:val="000000"/>
                <w:sz w:val="18"/>
              </w:rPr>
              <w:t>7,079</w:t>
            </w:r>
          </w:p>
        </w:tc>
        <w:tc>
          <w:tcPr>
            <w:tcW w:w="960" w:type="dxa"/>
            <w:tcBorders>
              <w:top w:val="nil"/>
              <w:left w:val="nil"/>
              <w:bottom w:val="nil"/>
              <w:right w:val="nil"/>
              <w:tl2br w:val="nil"/>
              <w:tr2bl w:val="nil"/>
            </w:tcBorders>
            <w:shd w:val="clear" w:color="FFFFFF" w:fill="FFFFFF"/>
            <w:tcMar>
              <w:left w:w="101" w:type="dxa"/>
              <w:right w:w="101" w:type="dxa"/>
            </w:tcMar>
          </w:tcPr>
          <w:p w14:paraId="7DF6076C" w14:textId="77777777" w:rsidR="00C07D35" w:rsidRPr="00CD77D0" w:rsidRDefault="00A4668D">
            <w:pPr>
              <w:pStyle w:val="Normal9"/>
              <w:jc w:val="right"/>
              <w:rPr>
                <w:rFonts w:ascii="Calibri" w:eastAsia="Calibri" w:hAnsi="Calibri" w:cs="Calibri"/>
                <w:b/>
                <w:color w:val="000000"/>
                <w:sz w:val="18"/>
              </w:rPr>
            </w:pPr>
            <w:r w:rsidRPr="00CD77D0">
              <w:rPr>
                <w:rFonts w:ascii="Calibri" w:eastAsia="Calibri" w:hAnsi="Calibri" w:cs="Calibri"/>
                <w:b/>
                <w:color w:val="000000"/>
                <w:sz w:val="18"/>
              </w:rPr>
              <w:t>6,771</w:t>
            </w:r>
          </w:p>
        </w:tc>
        <w:tc>
          <w:tcPr>
            <w:tcW w:w="960" w:type="dxa"/>
            <w:tcBorders>
              <w:top w:val="nil"/>
              <w:left w:val="nil"/>
              <w:bottom w:val="nil"/>
              <w:right w:val="nil"/>
              <w:tl2br w:val="nil"/>
              <w:tr2bl w:val="nil"/>
            </w:tcBorders>
            <w:shd w:val="clear" w:color="FFFFFF" w:fill="FFFFFF"/>
            <w:tcMar>
              <w:left w:w="101" w:type="dxa"/>
              <w:right w:w="101" w:type="dxa"/>
            </w:tcMar>
          </w:tcPr>
          <w:p w14:paraId="6287B484" w14:textId="77777777" w:rsidR="00C07D35" w:rsidRDefault="00A4668D">
            <w:pPr>
              <w:pStyle w:val="Normal9"/>
              <w:jc w:val="right"/>
              <w:rPr>
                <w:rFonts w:ascii="Calibri" w:eastAsia="Calibri" w:hAnsi="Calibri" w:cs="Calibri"/>
                <w:b/>
                <w:color w:val="000000"/>
                <w:sz w:val="18"/>
              </w:rPr>
            </w:pPr>
            <w:r>
              <w:rPr>
                <w:rFonts w:ascii="Calibri" w:eastAsia="Calibri" w:hAnsi="Calibri" w:cs="Calibri"/>
                <w:b/>
                <w:color w:val="000000"/>
                <w:sz w:val="18"/>
              </w:rPr>
              <w:t>6,463</w:t>
            </w:r>
          </w:p>
        </w:tc>
      </w:tr>
      <w:tr w:rsidR="00C07D35" w14:paraId="45EE9B4A" w14:textId="77777777" w:rsidTr="005F5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8DFF173" w14:textId="77777777" w:rsidR="00C07D35" w:rsidRDefault="00C07D35">
            <w:pPr>
              <w:pStyle w:val="Normal9"/>
              <w:rPr>
                <w:rFonts w:ascii="Calibri" w:eastAsia="Calibri" w:hAnsi="Calibri" w:cs="Calibri"/>
                <w:color w:val="000000"/>
                <w:sz w:val="18"/>
              </w:rPr>
            </w:pPr>
          </w:p>
        </w:tc>
        <w:tc>
          <w:tcPr>
            <w:tcW w:w="2700" w:type="dxa"/>
            <w:tcBorders>
              <w:top w:val="nil"/>
              <w:left w:val="nil"/>
              <w:bottom w:val="single" w:sz="12" w:space="0" w:color="000000"/>
              <w:right w:val="nil"/>
              <w:tl2br w:val="nil"/>
              <w:tr2bl w:val="nil"/>
            </w:tcBorders>
            <w:shd w:val="clear" w:color="FFFFFF" w:fill="FFFFFF"/>
            <w:tcMar>
              <w:left w:w="0" w:type="dxa"/>
              <w:right w:w="0" w:type="dxa"/>
            </w:tcMar>
          </w:tcPr>
          <w:p w14:paraId="323E9FC5" w14:textId="77777777" w:rsidR="00C07D35" w:rsidRDefault="00C07D35">
            <w:pPr>
              <w:pStyle w:val="Normal9"/>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7841DFD" w14:textId="77777777" w:rsidR="00C07D35" w:rsidRDefault="00C07D35">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127F2916" w14:textId="77777777" w:rsidR="00C07D35" w:rsidRDefault="00C07D35">
            <w:pPr>
              <w:pStyle w:val="Normal9"/>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357F0FB" w14:textId="77777777" w:rsidR="00C07D35" w:rsidRDefault="00C07D35">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4FC4ABAB" w14:textId="77777777" w:rsidR="00C07D35" w:rsidRDefault="00C07D35">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46FA9AD5" w14:textId="77777777" w:rsidR="00C07D35" w:rsidRDefault="00C07D35">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1712C3CF" w14:textId="77777777" w:rsidR="00C07D35" w:rsidRDefault="00C07D35">
            <w:pPr>
              <w:pStyle w:val="Normal9"/>
              <w:rPr>
                <w:rFonts w:ascii="Calibri" w:eastAsia="Calibri" w:hAnsi="Calibri" w:cs="Calibri"/>
                <w:color w:val="000000"/>
                <w:sz w:val="18"/>
              </w:rPr>
            </w:pPr>
          </w:p>
        </w:tc>
      </w:tr>
    </w:tbl>
    <w:p w14:paraId="72F8074E" w14:textId="77777777" w:rsidR="00D73432" w:rsidRDefault="00D73432">
      <w:pPr>
        <w:spacing w:before="0" w:after="0"/>
        <w:rPr>
          <w:rFonts w:cs="Calibri"/>
          <w:b/>
          <w:bCs/>
          <w:sz w:val="28"/>
          <w:szCs w:val="26"/>
          <w:bdr w:val="nil"/>
        </w:rPr>
      </w:pPr>
      <w:r>
        <w:rPr>
          <w:bdr w:val="nil"/>
        </w:rPr>
        <w:br w:type="page"/>
      </w:r>
    </w:p>
    <w:p w14:paraId="428EE0B9" w14:textId="372A75DA" w:rsidR="00A4668D" w:rsidRDefault="00A4668D" w:rsidP="00D73432">
      <w:pPr>
        <w:pStyle w:val="Heading32"/>
        <w:rPr>
          <w:bdr w:val="nil"/>
        </w:rPr>
      </w:pPr>
      <w:r>
        <w:rPr>
          <w:bdr w:val="nil"/>
        </w:rPr>
        <w:lastRenderedPageBreak/>
        <w:t>Notes to the Controlled Budget Statements</w:t>
      </w:r>
    </w:p>
    <w:p w14:paraId="7E4FE3AF" w14:textId="77777777" w:rsidR="00A4668D" w:rsidRDefault="00A4668D" w:rsidP="00A4668D">
      <w:pPr>
        <w:pBdr>
          <w:top w:val="nil"/>
          <w:left w:val="nil"/>
          <w:bottom w:val="nil"/>
          <w:right w:val="nil"/>
          <w:between w:val="nil"/>
          <w:bar w:val="nil"/>
        </w:pBdr>
        <w:rPr>
          <w:bdr w:val="nil"/>
        </w:rPr>
      </w:pPr>
      <w:r>
        <w:rPr>
          <w:bdr w:val="nil"/>
        </w:rPr>
        <w:t>Significant variations are as follows:</w:t>
      </w:r>
    </w:p>
    <w:p w14:paraId="59DE9F8B" w14:textId="77777777" w:rsidR="00A4668D" w:rsidRDefault="00A4668D" w:rsidP="00D73432">
      <w:pPr>
        <w:pStyle w:val="Heading4"/>
        <w:rPr>
          <w:bdr w:val="nil"/>
        </w:rPr>
      </w:pPr>
      <w:r>
        <w:rPr>
          <w:bdr w:val="nil"/>
        </w:rPr>
        <w:t>Operating Statement</w:t>
      </w:r>
    </w:p>
    <w:p w14:paraId="4C9B71C9" w14:textId="77777777" w:rsidR="00A4668D" w:rsidRDefault="00A4668D" w:rsidP="009A24FA">
      <w:pPr>
        <w:pStyle w:val="BSbullet1"/>
        <w:numPr>
          <w:ilvl w:val="0"/>
          <w:numId w:val="38"/>
        </w:numPr>
        <w:pBdr>
          <w:top w:val="nil"/>
          <w:left w:val="nil"/>
          <w:bottom w:val="nil"/>
          <w:right w:val="nil"/>
          <w:between w:val="nil"/>
          <w:bar w:val="nil"/>
        </w:pBdr>
        <w:rPr>
          <w:bdr w:val="nil"/>
        </w:rPr>
      </w:pPr>
      <w:r>
        <w:rPr>
          <w:bdr w:val="nil"/>
        </w:rPr>
        <w:t>controlled recurrent payments:</w:t>
      </w:r>
    </w:p>
    <w:p w14:paraId="02690124" w14:textId="1ABB345E"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$5.493 million in the 2020-21 </w:t>
      </w:r>
      <w:r w:rsidR="00B15DC9">
        <w:rPr>
          <w:bdr w:val="nil"/>
        </w:rPr>
        <w:t>I</w:t>
      </w:r>
      <w:r w:rsidRPr="009F7F5A">
        <w:rPr>
          <w:bdr w:val="nil"/>
        </w:rPr>
        <w:t xml:space="preserve">nterim </w:t>
      </w:r>
      <w:r w:rsidR="00B15DC9">
        <w:rPr>
          <w:bdr w:val="nil"/>
        </w:rPr>
        <w:t>O</w:t>
      </w:r>
      <w:r w:rsidRPr="009F7F5A">
        <w:rPr>
          <w:bdr w:val="nil"/>
        </w:rPr>
        <w:t xml:space="preserve">utcome from the original budget is mainly due to reprofile of funding from 2020-21 to 2021-22 </w:t>
      </w:r>
      <w:r w:rsidRPr="009F7F5A">
        <w:rPr>
          <w:bdr w:val="nil"/>
        </w:rPr>
        <w:br/>
        <w:t xml:space="preserve">($3.783 million), </w:t>
      </w:r>
      <w:r w:rsidR="009A24FA">
        <w:rPr>
          <w:bdr w:val="nil"/>
        </w:rPr>
        <w:t>undrawn funds</w:t>
      </w:r>
      <w:r w:rsidRPr="009F7F5A">
        <w:rPr>
          <w:bdr w:val="nil"/>
        </w:rPr>
        <w:t xml:space="preserve"> </w:t>
      </w:r>
      <w:r w:rsidR="009A24FA">
        <w:rPr>
          <w:bdr w:val="nil"/>
        </w:rPr>
        <w:t>from the</w:t>
      </w:r>
      <w:r w:rsidRPr="009F7F5A">
        <w:rPr>
          <w:bdr w:val="nil"/>
        </w:rPr>
        <w:t xml:space="preserve"> 2020-21 Budget ($1.179 million) and the return of Therapeutic Care Court funding provided in the 2020-21 Budget </w:t>
      </w:r>
      <w:r w:rsidR="009A24FA">
        <w:rPr>
          <w:bdr w:val="nil"/>
        </w:rPr>
        <w:br/>
      </w:r>
      <w:r w:rsidRPr="009F7F5A">
        <w:rPr>
          <w:bdr w:val="nil"/>
        </w:rPr>
        <w:t>($0.531 million).</w:t>
      </w:r>
    </w:p>
    <w:p w14:paraId="115D82BF" w14:textId="6FE13915"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$12.381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the reprofiled funds and new initiatives.</w:t>
      </w:r>
    </w:p>
    <w:p w14:paraId="6446C9A4" w14:textId="3DBF1CD4" w:rsidR="00A4668D" w:rsidRPr="009F7F5A" w:rsidRDefault="00A4668D" w:rsidP="009A24FA">
      <w:pPr>
        <w:pStyle w:val="BSbullet1"/>
        <w:numPr>
          <w:ilvl w:val="0"/>
          <w:numId w:val="40"/>
        </w:numPr>
        <w:pBdr>
          <w:top w:val="nil"/>
          <w:left w:val="nil"/>
          <w:bottom w:val="nil"/>
          <w:right w:val="nil"/>
          <w:between w:val="nil"/>
          <w:bar w:val="nil"/>
        </w:pBdr>
        <w:rPr>
          <w:bdr w:val="nil"/>
        </w:rPr>
      </w:pPr>
      <w:r w:rsidRPr="009F7F5A">
        <w:rPr>
          <w:bdr w:val="nil"/>
        </w:rPr>
        <w:t>sale of goods and services from contracts with customers:</w:t>
      </w:r>
    </w:p>
    <w:p w14:paraId="0AB2763E" w14:textId="799B8455"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 xml:space="preserve">the increase of $1.388 million in the 2020-21 </w:t>
      </w:r>
      <w:r w:rsidR="00B15DC9">
        <w:rPr>
          <w:bdr w:val="nil"/>
        </w:rPr>
        <w:t>I</w:t>
      </w:r>
      <w:r w:rsidRPr="009F7F5A">
        <w:rPr>
          <w:bdr w:val="nil"/>
        </w:rPr>
        <w:t xml:space="preserve">nterim </w:t>
      </w:r>
      <w:r w:rsidR="00B15DC9">
        <w:rPr>
          <w:bdr w:val="nil"/>
        </w:rPr>
        <w:t>O</w:t>
      </w:r>
      <w:r w:rsidRPr="009F7F5A">
        <w:rPr>
          <w:bdr w:val="nil"/>
        </w:rPr>
        <w:t xml:space="preserve">utcome from the original budget is mainly due to the Commonwealth funding provided for the </w:t>
      </w:r>
      <w:r w:rsidR="00795C9B">
        <w:rPr>
          <w:bdr w:val="nil"/>
        </w:rPr>
        <w:br/>
      </w:r>
      <w:r w:rsidRPr="009F7F5A">
        <w:rPr>
          <w:bdr w:val="nil"/>
        </w:rPr>
        <w:t xml:space="preserve">Australian Early Development Census (AEDC) project and higher </w:t>
      </w:r>
      <w:r w:rsidR="00795C9B">
        <w:rPr>
          <w:bdr w:val="nil"/>
        </w:rPr>
        <w:br/>
      </w:r>
      <w:r w:rsidRPr="009F7F5A">
        <w:rPr>
          <w:bdr w:val="nil"/>
        </w:rPr>
        <w:t>Confiscated Assets Funds received during 2020-21 financial year to fund various programs, including Functional Family Therapy program for Youth Justice and Women’s Safety Grants program.</w:t>
      </w:r>
    </w:p>
    <w:p w14:paraId="7B6EDDF2" w14:textId="77777777" w:rsidR="00A4668D" w:rsidRPr="009F7F5A" w:rsidRDefault="00A4668D" w:rsidP="009A24FA">
      <w:pPr>
        <w:pStyle w:val="BSbullet1"/>
        <w:numPr>
          <w:ilvl w:val="0"/>
          <w:numId w:val="40"/>
        </w:numPr>
        <w:pBdr>
          <w:top w:val="nil"/>
          <w:left w:val="nil"/>
          <w:bottom w:val="nil"/>
          <w:right w:val="nil"/>
          <w:between w:val="nil"/>
          <w:bar w:val="nil"/>
        </w:pBdr>
        <w:rPr>
          <w:bdr w:val="nil"/>
        </w:rPr>
      </w:pPr>
      <w:r w:rsidRPr="009F7F5A">
        <w:rPr>
          <w:bdr w:val="nil"/>
        </w:rPr>
        <w:t>grants and contributions:</w:t>
      </w:r>
    </w:p>
    <w:p w14:paraId="7A7CD988" w14:textId="0BCCF28D"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$0.918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decrease in Gains from the Contribution of Assets associated with the reduction in number of assets transferred from Housing ACT under Affordable Rental Scheme during 2020-21 financial year.</w:t>
      </w:r>
    </w:p>
    <w:p w14:paraId="21E7A482" w14:textId="1CD6C6B1"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$1.201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the increase in Gains from the Contribution of Assets associated with the anticipated increase in number of assets transferred from Housing ACT under Affordable Rental Scheme.</w:t>
      </w:r>
    </w:p>
    <w:p w14:paraId="04CB135D" w14:textId="1B78077C" w:rsidR="00A4668D" w:rsidRPr="009F7F5A" w:rsidRDefault="00A4668D" w:rsidP="009A24FA">
      <w:pPr>
        <w:pStyle w:val="BSbullet1"/>
        <w:numPr>
          <w:ilvl w:val="0"/>
          <w:numId w:val="38"/>
        </w:numPr>
        <w:pBdr>
          <w:top w:val="nil"/>
          <w:left w:val="nil"/>
          <w:bottom w:val="nil"/>
          <w:right w:val="nil"/>
          <w:between w:val="nil"/>
          <w:bar w:val="nil"/>
        </w:pBdr>
        <w:rPr>
          <w:bdr w:val="nil"/>
          <w:shd w:val="clear" w:color="auto" w:fill="FFFF99"/>
        </w:rPr>
      </w:pPr>
      <w:r w:rsidRPr="009F7F5A">
        <w:rPr>
          <w:bdr w:val="nil"/>
        </w:rPr>
        <w:t>other revenue:</w:t>
      </w:r>
    </w:p>
    <w:p w14:paraId="5CADD607" w14:textId="3D788362"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 xml:space="preserve">the increase of $0.978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refund from therapeutic residential care service provider following the 2019-20 true-up reconciliation</w:t>
      </w:r>
      <w:r w:rsidRPr="009F7F5A">
        <w:rPr>
          <w:color w:val="000000"/>
          <w:bdr w:val="nil"/>
          <w:lang w:eastAsia="en-AU"/>
        </w:rPr>
        <w:t xml:space="preserve"> and cost recoveries from other </w:t>
      </w:r>
      <w:r w:rsidR="009A24FA">
        <w:rPr>
          <w:color w:val="000000"/>
          <w:bdr w:val="nil"/>
          <w:lang w:eastAsia="en-AU"/>
        </w:rPr>
        <w:br/>
      </w:r>
      <w:r w:rsidRPr="009F7F5A">
        <w:rPr>
          <w:color w:val="000000"/>
          <w:bdr w:val="nil"/>
          <w:lang w:eastAsia="en-AU"/>
        </w:rPr>
        <w:t xml:space="preserve">ACT Government Directorates </w:t>
      </w:r>
      <w:r w:rsidRPr="009F7F5A">
        <w:rPr>
          <w:bdr w:val="nil"/>
        </w:rPr>
        <w:t xml:space="preserve">to co-fund various programs, including the </w:t>
      </w:r>
      <w:r w:rsidR="009A24FA">
        <w:rPr>
          <w:bdr w:val="nil"/>
        </w:rPr>
        <w:br/>
      </w:r>
      <w:r w:rsidRPr="009F7F5A">
        <w:rPr>
          <w:bdr w:val="nil"/>
        </w:rPr>
        <w:t xml:space="preserve">Early Childhood Strategy program and to assist with the </w:t>
      </w:r>
      <w:r w:rsidR="009A24FA">
        <w:rPr>
          <w:bdr w:val="nil"/>
        </w:rPr>
        <w:br/>
      </w:r>
      <w:r w:rsidRPr="009F7F5A">
        <w:rPr>
          <w:bdr w:val="nil"/>
        </w:rPr>
        <w:t>Family and Domestic Violence frontline worker training program.</w:t>
      </w:r>
    </w:p>
    <w:p w14:paraId="3461194D" w14:textId="77777777" w:rsidR="00FC7578" w:rsidRDefault="00FC7578">
      <w:pPr>
        <w:spacing w:before="0" w:after="0"/>
        <w:rPr>
          <w:szCs w:val="24"/>
          <w:bdr w:val="nil"/>
        </w:rPr>
      </w:pPr>
      <w:r>
        <w:rPr>
          <w:bdr w:val="nil"/>
        </w:rPr>
        <w:br w:type="page"/>
      </w:r>
    </w:p>
    <w:p w14:paraId="46A19E0A" w14:textId="41C16C36" w:rsidR="00A4668D" w:rsidRPr="009F7F5A" w:rsidRDefault="00A4668D" w:rsidP="009A24FA">
      <w:pPr>
        <w:pStyle w:val="BSbullet1"/>
        <w:numPr>
          <w:ilvl w:val="0"/>
          <w:numId w:val="38"/>
        </w:numPr>
        <w:pBdr>
          <w:top w:val="nil"/>
          <w:left w:val="nil"/>
          <w:bottom w:val="nil"/>
          <w:right w:val="nil"/>
          <w:between w:val="nil"/>
          <w:bar w:val="nil"/>
        </w:pBdr>
        <w:rPr>
          <w:bdr w:val="nil"/>
          <w:shd w:val="clear" w:color="auto" w:fill="FFFF99"/>
        </w:rPr>
      </w:pPr>
      <w:r w:rsidRPr="009F7F5A">
        <w:rPr>
          <w:bdr w:val="nil"/>
        </w:rPr>
        <w:lastRenderedPageBreak/>
        <w:t>employee expenses:</w:t>
      </w:r>
    </w:p>
    <w:p w14:paraId="7DB27700" w14:textId="0293EEB2"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$0.688 million in the 2020-21 </w:t>
      </w:r>
      <w:r w:rsidR="00B15DC9">
        <w:rPr>
          <w:bdr w:val="nil"/>
        </w:rPr>
        <w:t>I</w:t>
      </w:r>
      <w:r w:rsidRPr="009F7F5A">
        <w:rPr>
          <w:bdr w:val="nil"/>
        </w:rPr>
        <w:t xml:space="preserve">nterim </w:t>
      </w:r>
      <w:r w:rsidR="00B15DC9">
        <w:rPr>
          <w:bdr w:val="nil"/>
        </w:rPr>
        <w:t>O</w:t>
      </w:r>
      <w:r w:rsidRPr="009F7F5A">
        <w:rPr>
          <w:bdr w:val="nil"/>
        </w:rPr>
        <w:t xml:space="preserve">utcome from the original budget is mainly due to reprofile of funding from 2020-21 to 2021-22, </w:t>
      </w:r>
      <w:r w:rsidR="009A24FA">
        <w:rPr>
          <w:bdr w:val="nil"/>
        </w:rPr>
        <w:t>undrawn funds</w:t>
      </w:r>
      <w:r w:rsidRPr="009F7F5A">
        <w:rPr>
          <w:bdr w:val="nil"/>
        </w:rPr>
        <w:t xml:space="preserve"> </w:t>
      </w:r>
      <w:r w:rsidR="009A24FA">
        <w:rPr>
          <w:bdr w:val="nil"/>
        </w:rPr>
        <w:t>from the</w:t>
      </w:r>
      <w:r w:rsidRPr="009F7F5A">
        <w:rPr>
          <w:bdr w:val="nil"/>
        </w:rPr>
        <w:t xml:space="preserve"> 2020-21 Budget and the return of Therapeutic Care Court funding provided in the 2020-21 Budget.</w:t>
      </w:r>
    </w:p>
    <w:p w14:paraId="428C3F40" w14:textId="1D204FEA"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$5.387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new initiatives.</w:t>
      </w:r>
    </w:p>
    <w:p w14:paraId="196344A8" w14:textId="77777777" w:rsidR="00A4668D" w:rsidRPr="009F7F5A" w:rsidRDefault="00A4668D" w:rsidP="009A24FA">
      <w:pPr>
        <w:pStyle w:val="BSbullet1"/>
        <w:keepNext/>
        <w:numPr>
          <w:ilvl w:val="0"/>
          <w:numId w:val="38"/>
        </w:numPr>
        <w:pBdr>
          <w:top w:val="nil"/>
          <w:left w:val="nil"/>
          <w:bottom w:val="nil"/>
          <w:right w:val="nil"/>
          <w:between w:val="nil"/>
          <w:bar w:val="nil"/>
        </w:pBdr>
        <w:rPr>
          <w:bdr w:val="nil"/>
        </w:rPr>
      </w:pPr>
      <w:bookmarkStart w:id="41" w:name="_Hlk80102449"/>
      <w:r w:rsidRPr="009F7F5A">
        <w:rPr>
          <w:bdr w:val="nil"/>
        </w:rPr>
        <w:t>superannuation expenses:</w:t>
      </w:r>
    </w:p>
    <w:p w14:paraId="104DA2AC" w14:textId="3D1A0166"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$1.826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new initiatives and revised superannuation parameters.</w:t>
      </w:r>
    </w:p>
    <w:bookmarkEnd w:id="41"/>
    <w:p w14:paraId="0D665876" w14:textId="77777777" w:rsidR="00A4668D" w:rsidRPr="009F7F5A" w:rsidRDefault="00A4668D" w:rsidP="009A24FA">
      <w:pPr>
        <w:pStyle w:val="BSbullet1"/>
        <w:keepNext/>
        <w:numPr>
          <w:ilvl w:val="0"/>
          <w:numId w:val="38"/>
        </w:numPr>
        <w:pBdr>
          <w:top w:val="nil"/>
          <w:left w:val="nil"/>
          <w:bottom w:val="nil"/>
          <w:right w:val="nil"/>
          <w:between w:val="nil"/>
          <w:bar w:val="nil"/>
        </w:pBdr>
        <w:rPr>
          <w:bdr w:val="nil"/>
        </w:rPr>
      </w:pPr>
      <w:r w:rsidRPr="009F7F5A">
        <w:rPr>
          <w:bdr w:val="nil"/>
        </w:rPr>
        <w:t>supplies and services:</w:t>
      </w:r>
    </w:p>
    <w:p w14:paraId="2A5C4E48" w14:textId="47753825"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$3.465 million in the 2020-21 </w:t>
      </w:r>
      <w:r w:rsidR="00B15DC9">
        <w:rPr>
          <w:bdr w:val="nil"/>
        </w:rPr>
        <w:t>I</w:t>
      </w:r>
      <w:r w:rsidRPr="009F7F5A">
        <w:rPr>
          <w:bdr w:val="nil"/>
        </w:rPr>
        <w:t xml:space="preserve">nterim </w:t>
      </w:r>
      <w:r w:rsidR="00B15DC9">
        <w:rPr>
          <w:bdr w:val="nil"/>
        </w:rPr>
        <w:t>O</w:t>
      </w:r>
      <w:r w:rsidRPr="009F7F5A">
        <w:rPr>
          <w:bdr w:val="nil"/>
        </w:rPr>
        <w:t xml:space="preserve">utcome from the original budget is mainly due to reprofile of funding from 2020-21 to 2021-22, </w:t>
      </w:r>
      <w:r w:rsidR="009A24FA">
        <w:rPr>
          <w:bdr w:val="nil"/>
        </w:rPr>
        <w:t>undrawn funds</w:t>
      </w:r>
      <w:r w:rsidR="009A24FA" w:rsidRPr="009F7F5A">
        <w:rPr>
          <w:bdr w:val="nil"/>
        </w:rPr>
        <w:t xml:space="preserve"> </w:t>
      </w:r>
      <w:r w:rsidR="009A24FA">
        <w:rPr>
          <w:bdr w:val="nil"/>
        </w:rPr>
        <w:t xml:space="preserve">from the </w:t>
      </w:r>
      <w:r w:rsidRPr="009F7F5A">
        <w:rPr>
          <w:bdr w:val="nil"/>
        </w:rPr>
        <w:t>2020-21 Budget and the return of Therapeutic Care Court funding provided in the 2020-21 Budget.</w:t>
      </w:r>
    </w:p>
    <w:p w14:paraId="3233E877" w14:textId="183C6F4E"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$5.396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reprofile of funding from 2020-21 to 2021-22 and the increased operational expenditures associated with new initiatives.</w:t>
      </w:r>
    </w:p>
    <w:p w14:paraId="19C3895D" w14:textId="7BF6635C" w:rsidR="00A4668D" w:rsidRPr="009F7F5A" w:rsidRDefault="00A4668D" w:rsidP="009A24FA">
      <w:pPr>
        <w:pStyle w:val="BSbullet1"/>
        <w:keepNext/>
        <w:numPr>
          <w:ilvl w:val="0"/>
          <w:numId w:val="38"/>
        </w:numPr>
        <w:pBdr>
          <w:top w:val="nil"/>
          <w:left w:val="nil"/>
          <w:bottom w:val="nil"/>
          <w:right w:val="nil"/>
          <w:between w:val="nil"/>
          <w:bar w:val="nil"/>
        </w:pBdr>
        <w:rPr>
          <w:bdr w:val="nil"/>
        </w:rPr>
      </w:pPr>
      <w:r w:rsidRPr="009F7F5A">
        <w:rPr>
          <w:bdr w:val="nil"/>
        </w:rPr>
        <w:t>depreciation and amortisation:</w:t>
      </w:r>
    </w:p>
    <w:p w14:paraId="522C9C16" w14:textId="0C19AD75"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$1.186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depreciation and amortisation associated with projects expected to be completed in 2021-22.</w:t>
      </w:r>
    </w:p>
    <w:p w14:paraId="0C69DB93" w14:textId="77777777" w:rsidR="00A4668D" w:rsidRPr="009F7F5A" w:rsidRDefault="00A4668D" w:rsidP="009A24FA">
      <w:pPr>
        <w:pStyle w:val="BSbullet1"/>
        <w:numPr>
          <w:ilvl w:val="0"/>
          <w:numId w:val="38"/>
        </w:numPr>
        <w:pBdr>
          <w:top w:val="nil"/>
          <w:left w:val="nil"/>
          <w:bottom w:val="nil"/>
          <w:right w:val="nil"/>
          <w:between w:val="nil"/>
          <w:bar w:val="nil"/>
        </w:pBdr>
        <w:rPr>
          <w:bdr w:val="nil"/>
        </w:rPr>
      </w:pPr>
      <w:r w:rsidRPr="009F7F5A">
        <w:rPr>
          <w:bdr w:val="nil"/>
        </w:rPr>
        <w:t>grants and purchased services:</w:t>
      </w:r>
    </w:p>
    <w:p w14:paraId="54194EAC" w14:textId="79983570"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$0.490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payment of COVID-19 Community Support Package provided as part of the Economic and Fiscal Update in August 2020, partially offset by reprofile of funding from 2020-21 to 2021-22.</w:t>
      </w:r>
    </w:p>
    <w:p w14:paraId="69EC0622" w14:textId="441C7886"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$0.659 million in the 2021-22 Budget from the 2020-21 </w:t>
      </w:r>
      <w:r w:rsidR="00B15DC9">
        <w:rPr>
          <w:bdr w:val="nil"/>
        </w:rPr>
        <w:t>I</w:t>
      </w:r>
      <w:r w:rsidRPr="009F7F5A">
        <w:rPr>
          <w:bdr w:val="nil"/>
        </w:rPr>
        <w:t xml:space="preserve">nterim </w:t>
      </w:r>
      <w:r w:rsidR="00B15DC9">
        <w:rPr>
          <w:bdr w:val="nil"/>
        </w:rPr>
        <w:t>O</w:t>
      </w:r>
      <w:r w:rsidRPr="009F7F5A">
        <w:rPr>
          <w:bdr w:val="nil"/>
        </w:rPr>
        <w:t xml:space="preserve">utcome is mainly due to </w:t>
      </w:r>
      <w:proofErr w:type="spellStart"/>
      <w:r w:rsidRPr="009F7F5A">
        <w:rPr>
          <w:bdr w:val="nil"/>
        </w:rPr>
        <w:t>ceasation</w:t>
      </w:r>
      <w:proofErr w:type="spellEnd"/>
      <w:r w:rsidRPr="009F7F5A">
        <w:rPr>
          <w:bdr w:val="nil"/>
        </w:rPr>
        <w:t xml:space="preserve"> of Community Support Package provided as part of the Economic and Fiscal Update in August 2020, the COVID-19 Domestic Violence Support funding provided by the Commonwealth, partially offset by increased grants associated with new initiatives.</w:t>
      </w:r>
    </w:p>
    <w:p w14:paraId="6288FE01" w14:textId="77777777" w:rsidR="00A4668D" w:rsidRPr="009F7F5A" w:rsidRDefault="00A4668D" w:rsidP="00A4668D">
      <w:pPr>
        <w:pStyle w:val="Heading4"/>
        <w:pBdr>
          <w:top w:val="nil"/>
          <w:left w:val="nil"/>
          <w:bottom w:val="nil"/>
          <w:right w:val="nil"/>
          <w:between w:val="nil"/>
          <w:bar w:val="nil"/>
        </w:pBdr>
        <w:rPr>
          <w:bdr w:val="nil"/>
        </w:rPr>
      </w:pPr>
      <w:r w:rsidRPr="009F7F5A">
        <w:rPr>
          <w:bdr w:val="nil"/>
        </w:rPr>
        <w:t>Balance Sheet</w:t>
      </w:r>
    </w:p>
    <w:p w14:paraId="3C855065" w14:textId="77777777" w:rsidR="00A4668D" w:rsidRPr="009F7F5A" w:rsidRDefault="00A4668D" w:rsidP="009A24FA">
      <w:pPr>
        <w:pStyle w:val="BSbullet1"/>
        <w:numPr>
          <w:ilvl w:val="0"/>
          <w:numId w:val="38"/>
        </w:numPr>
        <w:pBdr>
          <w:top w:val="nil"/>
          <w:left w:val="nil"/>
          <w:bottom w:val="nil"/>
          <w:right w:val="nil"/>
          <w:between w:val="nil"/>
          <w:bar w:val="nil"/>
        </w:pBdr>
        <w:rPr>
          <w:bdr w:val="nil"/>
        </w:rPr>
      </w:pPr>
      <w:r w:rsidRPr="009F7F5A">
        <w:rPr>
          <w:bdr w:val="nil"/>
        </w:rPr>
        <w:t>cash and equivalents:</w:t>
      </w:r>
    </w:p>
    <w:p w14:paraId="01D0E73B" w14:textId="5E5AE523"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$1.103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timing in cash holding at the end of financial year.</w:t>
      </w:r>
    </w:p>
    <w:p w14:paraId="398150D5" w14:textId="77777777" w:rsidR="00A4668D" w:rsidRPr="009F7F5A" w:rsidRDefault="00A4668D" w:rsidP="009A24FA">
      <w:pPr>
        <w:pStyle w:val="BSbullet1"/>
        <w:numPr>
          <w:ilvl w:val="0"/>
          <w:numId w:val="38"/>
        </w:numPr>
        <w:pBdr>
          <w:top w:val="nil"/>
          <w:left w:val="nil"/>
          <w:bottom w:val="nil"/>
          <w:right w:val="nil"/>
          <w:between w:val="nil"/>
          <w:bar w:val="nil"/>
        </w:pBdr>
        <w:rPr>
          <w:bdr w:val="nil"/>
        </w:rPr>
      </w:pPr>
      <w:r w:rsidRPr="009F7F5A">
        <w:rPr>
          <w:bdr w:val="nil"/>
        </w:rPr>
        <w:lastRenderedPageBreak/>
        <w:t>current and non-current receivables:</w:t>
      </w:r>
    </w:p>
    <w:p w14:paraId="3106D631" w14:textId="2CF2AFE7"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$0.277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less than anticipated outstanding invoices.</w:t>
      </w:r>
    </w:p>
    <w:p w14:paraId="6E53F555" w14:textId="77777777" w:rsidR="00A4668D" w:rsidRPr="009F7F5A" w:rsidRDefault="00A4668D" w:rsidP="009A24FA">
      <w:pPr>
        <w:pStyle w:val="BSbullet1"/>
        <w:numPr>
          <w:ilvl w:val="0"/>
          <w:numId w:val="38"/>
        </w:numPr>
        <w:pBdr>
          <w:top w:val="nil"/>
          <w:left w:val="nil"/>
          <w:bottom w:val="nil"/>
          <w:right w:val="nil"/>
          <w:between w:val="nil"/>
          <w:bar w:val="nil"/>
        </w:pBdr>
        <w:rPr>
          <w:bdr w:val="nil"/>
        </w:rPr>
      </w:pPr>
      <w:r w:rsidRPr="009F7F5A">
        <w:rPr>
          <w:bdr w:val="nil"/>
        </w:rPr>
        <w:t xml:space="preserve">property, </w:t>
      </w:r>
      <w:proofErr w:type="gramStart"/>
      <w:r w:rsidRPr="009F7F5A">
        <w:rPr>
          <w:bdr w:val="nil"/>
        </w:rPr>
        <w:t>plant</w:t>
      </w:r>
      <w:proofErr w:type="gramEnd"/>
      <w:r w:rsidRPr="009F7F5A">
        <w:rPr>
          <w:bdr w:val="nil"/>
        </w:rPr>
        <w:t xml:space="preserve"> and equipment:</w:t>
      </w:r>
    </w:p>
    <w:p w14:paraId="25F7AE6C" w14:textId="0E2F61E2"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$8.362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transfer of Narrabundah Long Stay Caravan Park from the Chief Minister, Treasury, Economic Development Directorate (CMTEDD) and the transfer of Affordable Rental Properties from Housing ACT.</w:t>
      </w:r>
    </w:p>
    <w:p w14:paraId="5C330FC5" w14:textId="77777777" w:rsidR="00A4668D" w:rsidRPr="009F7F5A" w:rsidRDefault="00A4668D" w:rsidP="009A24FA">
      <w:pPr>
        <w:pStyle w:val="BSbullet1"/>
        <w:numPr>
          <w:ilvl w:val="0"/>
          <w:numId w:val="38"/>
        </w:numPr>
        <w:pBdr>
          <w:top w:val="nil"/>
          <w:left w:val="nil"/>
          <w:bottom w:val="nil"/>
          <w:right w:val="nil"/>
          <w:between w:val="nil"/>
          <w:bar w:val="nil"/>
        </w:pBdr>
        <w:rPr>
          <w:bdr w:val="nil"/>
        </w:rPr>
      </w:pPr>
      <w:r w:rsidRPr="009F7F5A">
        <w:rPr>
          <w:bdr w:val="nil"/>
        </w:rPr>
        <w:t>intangible assets:</w:t>
      </w:r>
    </w:p>
    <w:p w14:paraId="2DF0D5EE" w14:textId="63F337F3"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$1.845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delay in completing various projects and the relevant funding reprofiled from 2020-21 to 2021-22.</w:t>
      </w:r>
    </w:p>
    <w:p w14:paraId="53DCE466" w14:textId="617A52B8"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$3.546 million in the 2021-22 Budget from the 2020-21 </w:t>
      </w:r>
      <w:r w:rsidR="00B15DC9">
        <w:rPr>
          <w:bdr w:val="nil"/>
        </w:rPr>
        <w:t>I</w:t>
      </w:r>
      <w:r w:rsidRPr="009F7F5A">
        <w:rPr>
          <w:bdr w:val="nil"/>
        </w:rPr>
        <w:t xml:space="preserve">nterim </w:t>
      </w:r>
      <w:r w:rsidR="00B15DC9">
        <w:rPr>
          <w:bdr w:val="nil"/>
        </w:rPr>
        <w:t>O</w:t>
      </w:r>
      <w:r w:rsidRPr="009F7F5A">
        <w:rPr>
          <w:bdr w:val="nil"/>
        </w:rPr>
        <w:t>utcome is mainly due to the expected completion of the Improving and Expanding Online Services project, the Maintaining System Supporting Practice (CYRIS) project and the Continuing to Reduce and Eliminate Restrictive Practices project.</w:t>
      </w:r>
    </w:p>
    <w:p w14:paraId="29EB387B" w14:textId="77777777" w:rsidR="00A4668D" w:rsidRPr="009F7F5A" w:rsidRDefault="00A4668D" w:rsidP="009A24FA">
      <w:pPr>
        <w:pStyle w:val="BSbullet1"/>
        <w:numPr>
          <w:ilvl w:val="0"/>
          <w:numId w:val="38"/>
        </w:numPr>
        <w:pBdr>
          <w:top w:val="nil"/>
          <w:left w:val="nil"/>
          <w:bottom w:val="nil"/>
          <w:right w:val="nil"/>
          <w:between w:val="nil"/>
          <w:bar w:val="nil"/>
        </w:pBdr>
        <w:rPr>
          <w:bdr w:val="nil"/>
        </w:rPr>
      </w:pPr>
      <w:r w:rsidRPr="009F7F5A">
        <w:rPr>
          <w:bdr w:val="nil"/>
        </w:rPr>
        <w:t>current and non-current capital works in progress:</w:t>
      </w:r>
    </w:p>
    <w:p w14:paraId="3FE298F5" w14:textId="027D7AB1"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$1.117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delay in completing various projects and the relevant funding reprofiled from 2020-21 to 2021-22.</w:t>
      </w:r>
    </w:p>
    <w:p w14:paraId="2B4FEE54" w14:textId="6A48CE04"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decrease of $1.672 million in the 2021-22 Budget from the 2020-21 </w:t>
      </w:r>
      <w:r w:rsidR="00B15DC9">
        <w:rPr>
          <w:bdr w:val="nil"/>
        </w:rPr>
        <w:t>I</w:t>
      </w:r>
      <w:r w:rsidRPr="009F7F5A">
        <w:rPr>
          <w:bdr w:val="nil"/>
        </w:rPr>
        <w:t xml:space="preserve">nterim </w:t>
      </w:r>
      <w:r w:rsidR="00B15DC9">
        <w:rPr>
          <w:bdr w:val="nil"/>
        </w:rPr>
        <w:t>O</w:t>
      </w:r>
      <w:r w:rsidRPr="009F7F5A">
        <w:rPr>
          <w:bdr w:val="nil"/>
        </w:rPr>
        <w:t xml:space="preserve">utcome reflects the anticipated completion of various projects in 2021-22. The $2.485 million in the 2021-22 Budget represents the capital works in progress for the delivery of a purpose-built facility with the </w:t>
      </w:r>
      <w:proofErr w:type="spellStart"/>
      <w:r w:rsidRPr="009F7F5A">
        <w:rPr>
          <w:bdr w:val="nil"/>
        </w:rPr>
        <w:t>Gugan</w:t>
      </w:r>
      <w:proofErr w:type="spellEnd"/>
      <w:r w:rsidRPr="009F7F5A">
        <w:rPr>
          <w:bdr w:val="nil"/>
        </w:rPr>
        <w:t xml:space="preserve"> </w:t>
      </w:r>
      <w:proofErr w:type="spellStart"/>
      <w:r w:rsidRPr="009F7F5A">
        <w:rPr>
          <w:bdr w:val="nil"/>
        </w:rPr>
        <w:t>Gulwan</w:t>
      </w:r>
      <w:proofErr w:type="spellEnd"/>
      <w:r w:rsidRPr="009F7F5A">
        <w:rPr>
          <w:bdr w:val="nil"/>
        </w:rPr>
        <w:t xml:space="preserve"> Youth Aboriginal Corporation and the client record system for the Integrated Service Response Program project.</w:t>
      </w:r>
    </w:p>
    <w:p w14:paraId="73FE1FD6" w14:textId="77777777" w:rsidR="00A4668D" w:rsidRPr="009F7F5A" w:rsidRDefault="00A4668D" w:rsidP="009A24FA">
      <w:pPr>
        <w:pStyle w:val="BSbullet1"/>
        <w:numPr>
          <w:ilvl w:val="0"/>
          <w:numId w:val="40"/>
        </w:numPr>
        <w:pBdr>
          <w:top w:val="nil"/>
          <w:left w:val="nil"/>
          <w:bottom w:val="nil"/>
          <w:right w:val="nil"/>
          <w:between w:val="nil"/>
          <w:bar w:val="nil"/>
        </w:pBdr>
        <w:rPr>
          <w:bdr w:val="nil"/>
        </w:rPr>
      </w:pPr>
      <w:r w:rsidRPr="009F7F5A">
        <w:rPr>
          <w:bdr w:val="nil"/>
        </w:rPr>
        <w:t>current and non-current lease liabilities:</w:t>
      </w:r>
    </w:p>
    <w:p w14:paraId="771837F2" w14:textId="545DA7A2"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the decrease of $0.12</w:t>
      </w:r>
      <w:r w:rsidR="00C3464E">
        <w:rPr>
          <w:bdr w:val="nil"/>
        </w:rPr>
        <w:t>3</w:t>
      </w:r>
      <w:r w:rsidRPr="009F7F5A">
        <w:rPr>
          <w:bdr w:val="nil"/>
        </w:rPr>
        <w:t xml:space="preserve"> million in the 2020-21 </w:t>
      </w:r>
      <w:r w:rsidR="00B15DC9">
        <w:rPr>
          <w:bdr w:val="nil"/>
        </w:rPr>
        <w:t>I</w:t>
      </w:r>
      <w:r w:rsidRPr="009F7F5A">
        <w:rPr>
          <w:bdr w:val="nil"/>
        </w:rPr>
        <w:t xml:space="preserve">nterim </w:t>
      </w:r>
      <w:r w:rsidR="00B15DC9">
        <w:rPr>
          <w:bdr w:val="nil"/>
        </w:rPr>
        <w:t>O</w:t>
      </w:r>
      <w:r w:rsidRPr="009F7F5A">
        <w:rPr>
          <w:bdr w:val="nil"/>
        </w:rPr>
        <w:t xml:space="preserve">utcome from the original budget is mainly due to the decrease in </w:t>
      </w:r>
      <w:r w:rsidRPr="009F7F5A">
        <w:rPr>
          <w:rFonts w:cs="Calibri"/>
          <w:bdr w:val="nil"/>
        </w:rPr>
        <w:t>right-of-use assets relating to the renewal of motor vehicle leases</w:t>
      </w:r>
      <w:r w:rsidRPr="009F7F5A">
        <w:rPr>
          <w:bdr w:val="nil"/>
        </w:rPr>
        <w:t>.</w:t>
      </w:r>
    </w:p>
    <w:p w14:paraId="415F5F15" w14:textId="73F80553"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 xml:space="preserve">the decrease of $0.186 million in the 2021-22 Budget from the 2020-21 </w:t>
      </w:r>
      <w:r w:rsidR="00B15DC9">
        <w:rPr>
          <w:bdr w:val="nil"/>
        </w:rPr>
        <w:t>I</w:t>
      </w:r>
      <w:r w:rsidRPr="009F7F5A">
        <w:rPr>
          <w:bdr w:val="nil"/>
        </w:rPr>
        <w:t xml:space="preserve">nterim </w:t>
      </w:r>
      <w:r w:rsidR="00B15DC9">
        <w:rPr>
          <w:bdr w:val="nil"/>
        </w:rPr>
        <w:t>O</w:t>
      </w:r>
      <w:r w:rsidRPr="009F7F5A">
        <w:rPr>
          <w:bdr w:val="nil"/>
        </w:rPr>
        <w:t xml:space="preserve">utcome is mainly due to the decrease in </w:t>
      </w:r>
      <w:r w:rsidRPr="009F7F5A">
        <w:rPr>
          <w:rFonts w:cs="Calibri"/>
          <w:bdr w:val="nil"/>
        </w:rPr>
        <w:t>right-of-use assets relating to the renewal of motor vehicle leases</w:t>
      </w:r>
      <w:r w:rsidRPr="009F7F5A">
        <w:rPr>
          <w:bdr w:val="nil"/>
        </w:rPr>
        <w:t>.</w:t>
      </w:r>
    </w:p>
    <w:p w14:paraId="77272BA2" w14:textId="77777777" w:rsidR="00A4668D" w:rsidRPr="009F7F5A" w:rsidRDefault="00A4668D" w:rsidP="009A24FA">
      <w:pPr>
        <w:pStyle w:val="BSbullet1"/>
        <w:numPr>
          <w:ilvl w:val="0"/>
          <w:numId w:val="40"/>
        </w:numPr>
        <w:pBdr>
          <w:top w:val="nil"/>
          <w:left w:val="nil"/>
          <w:bottom w:val="nil"/>
          <w:right w:val="nil"/>
          <w:between w:val="nil"/>
          <w:bar w:val="nil"/>
        </w:pBdr>
        <w:rPr>
          <w:bdr w:val="nil"/>
        </w:rPr>
      </w:pPr>
      <w:r w:rsidRPr="009F7F5A">
        <w:rPr>
          <w:bdr w:val="nil"/>
        </w:rPr>
        <w:t>current and non-current employee benefits:</w:t>
      </w:r>
    </w:p>
    <w:p w14:paraId="34C1D545" w14:textId="1DE3B7B4"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 xml:space="preserve">the increase of $0.823 million in the 2020-21 </w:t>
      </w:r>
      <w:r w:rsidR="00B15DC9">
        <w:rPr>
          <w:bdr w:val="nil"/>
        </w:rPr>
        <w:t>I</w:t>
      </w:r>
      <w:r w:rsidRPr="009F7F5A">
        <w:rPr>
          <w:bdr w:val="nil"/>
        </w:rPr>
        <w:t xml:space="preserve">nterim </w:t>
      </w:r>
      <w:r w:rsidR="00B15DC9">
        <w:rPr>
          <w:bdr w:val="nil"/>
        </w:rPr>
        <w:t>O</w:t>
      </w:r>
      <w:r w:rsidRPr="009F7F5A">
        <w:rPr>
          <w:bdr w:val="nil"/>
        </w:rPr>
        <w:t xml:space="preserve">utcome from the original budget is mainly due to more leave accrued than taken in 2020-21. </w:t>
      </w:r>
    </w:p>
    <w:p w14:paraId="6574828E" w14:textId="77777777" w:rsidR="00FC7578" w:rsidRDefault="00FC7578">
      <w:pPr>
        <w:spacing w:before="0" w:after="0"/>
        <w:rPr>
          <w:szCs w:val="24"/>
          <w:bdr w:val="nil"/>
        </w:rPr>
      </w:pPr>
      <w:r>
        <w:rPr>
          <w:bdr w:val="nil"/>
        </w:rPr>
        <w:br w:type="page"/>
      </w:r>
    </w:p>
    <w:p w14:paraId="0B1F95CE" w14:textId="0D3FD900" w:rsidR="00A4668D" w:rsidRPr="009F7F5A" w:rsidRDefault="00A4668D" w:rsidP="009A24FA">
      <w:pPr>
        <w:pStyle w:val="BSbullet1"/>
        <w:numPr>
          <w:ilvl w:val="0"/>
          <w:numId w:val="40"/>
        </w:numPr>
        <w:pBdr>
          <w:top w:val="nil"/>
          <w:left w:val="nil"/>
          <w:bottom w:val="nil"/>
          <w:right w:val="nil"/>
          <w:between w:val="nil"/>
          <w:bar w:val="nil"/>
        </w:pBdr>
        <w:rPr>
          <w:bdr w:val="nil"/>
        </w:rPr>
      </w:pPr>
      <w:r w:rsidRPr="009F7F5A">
        <w:rPr>
          <w:bdr w:val="nil"/>
        </w:rPr>
        <w:lastRenderedPageBreak/>
        <w:t>other provisions:</w:t>
      </w:r>
    </w:p>
    <w:p w14:paraId="55C2BC3A" w14:textId="7C165508"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 xml:space="preserve">the decrease of $1.080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derecognition of a provision for make good of the Directorate's leased premise at 11 Moore Street which expired on 31 October 2020.</w:t>
      </w:r>
    </w:p>
    <w:p w14:paraId="4DF6D945" w14:textId="06F2F75B" w:rsidR="00A4668D" w:rsidRPr="009F7F5A" w:rsidRDefault="00A4668D" w:rsidP="009A24FA">
      <w:pPr>
        <w:pStyle w:val="BSbullet2"/>
        <w:numPr>
          <w:ilvl w:val="0"/>
          <w:numId w:val="41"/>
        </w:numPr>
        <w:pBdr>
          <w:top w:val="nil"/>
          <w:left w:val="nil"/>
          <w:bottom w:val="nil"/>
          <w:right w:val="nil"/>
          <w:between w:val="nil"/>
          <w:bar w:val="nil"/>
        </w:pBdr>
        <w:ind w:left="697" w:hanging="357"/>
        <w:rPr>
          <w:bdr w:val="nil"/>
        </w:rPr>
      </w:pPr>
      <w:r w:rsidRPr="009F7F5A">
        <w:rPr>
          <w:bdr w:val="nil"/>
        </w:rPr>
        <w:t>the provision of $0.127 million in the 2021-22 Budget represents the provision for make good of the Directorate’s leased premise at the Nature Conservation House.</w:t>
      </w:r>
    </w:p>
    <w:p w14:paraId="2ABBE659" w14:textId="77777777" w:rsidR="00A4668D" w:rsidRPr="009F7F5A" w:rsidRDefault="00A4668D" w:rsidP="009A24FA">
      <w:pPr>
        <w:pStyle w:val="BSbullet1"/>
        <w:numPr>
          <w:ilvl w:val="0"/>
          <w:numId w:val="40"/>
        </w:numPr>
        <w:pBdr>
          <w:top w:val="nil"/>
          <w:left w:val="nil"/>
          <w:bottom w:val="nil"/>
          <w:right w:val="nil"/>
          <w:between w:val="nil"/>
          <w:bar w:val="nil"/>
        </w:pBdr>
        <w:rPr>
          <w:bdr w:val="nil"/>
        </w:rPr>
      </w:pPr>
      <w:r w:rsidRPr="009F7F5A">
        <w:rPr>
          <w:bdr w:val="nil"/>
        </w:rPr>
        <w:t>current and non-current other liabilities:</w:t>
      </w:r>
    </w:p>
    <w:p w14:paraId="00C893AA" w14:textId="5ED63633"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 xml:space="preserve">the increase of $0.255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National Careers Institute Partnership grant received for the "Understanding the Australian Building and Construction Industry" project.</w:t>
      </w:r>
    </w:p>
    <w:p w14:paraId="29D58579" w14:textId="77777777" w:rsidR="00A4668D" w:rsidRDefault="00A4668D" w:rsidP="00A4668D">
      <w:pPr>
        <w:pStyle w:val="Heading4"/>
        <w:pBdr>
          <w:top w:val="nil"/>
          <w:left w:val="nil"/>
          <w:bottom w:val="nil"/>
          <w:right w:val="nil"/>
          <w:between w:val="nil"/>
          <w:bar w:val="nil"/>
        </w:pBdr>
        <w:rPr>
          <w:bdr w:val="nil"/>
        </w:rPr>
      </w:pPr>
      <w:r w:rsidRPr="009F7F5A">
        <w:rPr>
          <w:bdr w:val="nil"/>
        </w:rPr>
        <w:t>Cash Flow Statement</w:t>
      </w:r>
    </w:p>
    <w:p w14:paraId="7F6E4CF2" w14:textId="77777777" w:rsidR="00A4668D" w:rsidRPr="00975A3E" w:rsidRDefault="00A4668D" w:rsidP="00A4668D">
      <w:pPr>
        <w:pBdr>
          <w:top w:val="nil"/>
          <w:left w:val="nil"/>
          <w:bottom w:val="nil"/>
          <w:right w:val="nil"/>
          <w:between w:val="nil"/>
          <w:bar w:val="nil"/>
        </w:pBdr>
        <w:rPr>
          <w:bdr w:val="nil"/>
        </w:rPr>
      </w:pPr>
      <w:r>
        <w:rPr>
          <w:bdr w:val="nil"/>
        </w:rPr>
        <w:t>Variations in the Statement are explained in the notes above.</w:t>
      </w:r>
    </w:p>
    <w:p w14:paraId="7CD27EDE" w14:textId="77777777" w:rsidR="00A4668D" w:rsidRDefault="00A4668D" w:rsidP="00A4668D">
      <w:pPr>
        <w:pStyle w:val="Heading2"/>
        <w:pageBreakBefore/>
        <w:pBdr>
          <w:top w:val="nil"/>
          <w:left w:val="nil"/>
          <w:bottom w:val="nil"/>
          <w:right w:val="nil"/>
          <w:between w:val="nil"/>
          <w:bar w:val="nil"/>
        </w:pBdr>
        <w:ind w:left="-426" w:firstLine="426"/>
        <w:rPr>
          <w:bdr w:val="nil"/>
        </w:rPr>
      </w:pPr>
      <w:bookmarkStart w:id="42" w:name="_Toc452467803_0"/>
      <w:bookmarkStart w:id="43" w:name="_Toc84071139"/>
      <w:r>
        <w:rPr>
          <w:bdr w:val="nil"/>
        </w:rPr>
        <w:lastRenderedPageBreak/>
        <w:t>Financial Statements</w:t>
      </w:r>
      <w:bookmarkEnd w:id="42"/>
      <w:r>
        <w:rPr>
          <w:bdr w:val="nil"/>
        </w:rPr>
        <w:t xml:space="preserve"> – Territorial</w:t>
      </w:r>
      <w:bookmarkEnd w:id="43"/>
    </w:p>
    <w:p w14:paraId="15B58A73" w14:textId="43150DD2" w:rsidR="00A4668D" w:rsidRDefault="00A4668D" w:rsidP="00A4668D">
      <w:pPr>
        <w:pStyle w:val="Caption"/>
        <w:pBdr>
          <w:top w:val="nil"/>
          <w:left w:val="nil"/>
          <w:bottom w:val="nil"/>
          <w:right w:val="nil"/>
          <w:between w:val="nil"/>
          <w:bar w:val="nil"/>
        </w:pBdr>
        <w:rPr>
          <w:b w:val="0"/>
          <w:bCs w:val="0"/>
          <w:color w:val="auto"/>
          <w:sz w:val="24"/>
          <w:szCs w:val="20"/>
          <w:bdr w:val="nil"/>
        </w:rPr>
      </w:pPr>
      <w:r w:rsidRPr="008248B8">
        <w:rPr>
          <w:b w:val="0"/>
          <w:bCs w:val="0"/>
          <w:color w:val="auto"/>
          <w:sz w:val="24"/>
          <w:szCs w:val="20"/>
          <w:bdr w:val="nil"/>
        </w:rPr>
        <w:t xml:space="preserve">Due to the release of the 2021-22 Budget </w:t>
      </w:r>
      <w:r w:rsidRPr="00151619">
        <w:rPr>
          <w:b w:val="0"/>
          <w:bCs w:val="0"/>
          <w:color w:val="auto"/>
          <w:sz w:val="24"/>
          <w:szCs w:val="20"/>
          <w:bdr w:val="nil"/>
        </w:rPr>
        <w:t>on 6 October 2021, the 2020-21 Interim Outcome column reflects the interim outcome included in the draft 2020-21 Financial Statements, which were unaudited at the time of preparing these budget statements</w:t>
      </w:r>
      <w:r w:rsidRPr="008248B8">
        <w:rPr>
          <w:b w:val="0"/>
          <w:bCs w:val="0"/>
          <w:color w:val="auto"/>
          <w:sz w:val="24"/>
          <w:szCs w:val="20"/>
          <w:bdr w:val="nil"/>
        </w:rPr>
        <w:t>.</w:t>
      </w:r>
    </w:p>
    <w:p w14:paraId="325A16D7" w14:textId="4BFA9968" w:rsidR="00A4668D" w:rsidRPr="00383761" w:rsidRDefault="00A4668D" w:rsidP="00A4668D">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27</w:t>
      </w:r>
      <w:r>
        <w:rPr>
          <w:noProof/>
          <w:bdr w:val="nil"/>
        </w:rPr>
        <w:fldChar w:fldCharType="end"/>
      </w:r>
      <w:r w:rsidRPr="00383761">
        <w:rPr>
          <w:bdr w:val="nil"/>
        </w:rPr>
        <w:t>: Community Services Directorate: Statement of Income and Expenses on behalf of the Territory</w:t>
      </w:r>
      <w:r>
        <w:rPr>
          <w:bdr w:val="nil"/>
        </w:rPr>
        <w:t xml:space="preserve">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07D35" w14:paraId="0F846FC2" w14:textId="77777777">
        <w:trPr>
          <w:trHeight w:val="994"/>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DC83D79"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5EB31C2" w14:textId="77777777" w:rsidR="00C07D35" w:rsidRDefault="00C07D35">
            <w:pPr>
              <w:pStyle w:val="Normal10"/>
              <w:jc w:val="right"/>
              <w:rPr>
                <w:rFonts w:ascii="Calibri" w:eastAsia="Calibri" w:hAnsi="Calibri" w:cs="Calibri"/>
                <w:b/>
                <w:color w:val="000000"/>
                <w:sz w:val="18"/>
              </w:rPr>
            </w:pPr>
          </w:p>
          <w:p w14:paraId="1AE0C169"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B689C22" w14:textId="77777777" w:rsidR="00C07D35" w:rsidRDefault="00C07D35">
            <w:pPr>
              <w:pStyle w:val="Normal10"/>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73A86AA"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2020-21 Interim</w:t>
            </w:r>
          </w:p>
          <w:p w14:paraId="5B4CF814"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2D60CAE"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58B13AE3" w14:textId="77777777" w:rsidR="00C07D35" w:rsidRDefault="00C07D35">
            <w:pPr>
              <w:pStyle w:val="Normal10"/>
              <w:jc w:val="right"/>
              <w:rPr>
                <w:rFonts w:ascii="Calibri" w:eastAsia="Calibri" w:hAnsi="Calibri" w:cs="Calibri"/>
                <w:b/>
                <w:color w:val="000000"/>
                <w:sz w:val="18"/>
              </w:rPr>
            </w:pPr>
          </w:p>
          <w:p w14:paraId="222D01D7"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3AC53BF"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Var</w:t>
            </w:r>
          </w:p>
          <w:p w14:paraId="75159A87"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D62C92"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2B78BCE0" w14:textId="77777777" w:rsidR="00C07D35" w:rsidRDefault="00C07D35">
            <w:pPr>
              <w:pStyle w:val="Normal10"/>
              <w:jc w:val="right"/>
              <w:rPr>
                <w:rFonts w:ascii="Calibri" w:eastAsia="Calibri" w:hAnsi="Calibri" w:cs="Calibri"/>
                <w:b/>
                <w:color w:val="000000"/>
                <w:sz w:val="18"/>
              </w:rPr>
            </w:pPr>
          </w:p>
          <w:p w14:paraId="51F29D10"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38057C9"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4DB4A637" w14:textId="77777777" w:rsidR="00C07D35" w:rsidRDefault="00C07D35">
            <w:pPr>
              <w:pStyle w:val="Normal10"/>
              <w:jc w:val="right"/>
              <w:rPr>
                <w:rFonts w:ascii="Calibri" w:eastAsia="Calibri" w:hAnsi="Calibri" w:cs="Calibri"/>
                <w:b/>
                <w:color w:val="000000"/>
                <w:sz w:val="18"/>
              </w:rPr>
            </w:pPr>
          </w:p>
          <w:p w14:paraId="265970E9"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04D67D2"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4494C093" w14:textId="77777777" w:rsidR="00C07D35" w:rsidRDefault="00C07D35">
            <w:pPr>
              <w:pStyle w:val="Normal10"/>
              <w:jc w:val="right"/>
              <w:rPr>
                <w:rFonts w:ascii="Calibri" w:eastAsia="Calibri" w:hAnsi="Calibri" w:cs="Calibri"/>
                <w:b/>
                <w:color w:val="000000"/>
                <w:sz w:val="18"/>
              </w:rPr>
            </w:pPr>
          </w:p>
          <w:p w14:paraId="19ACA6B7"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07D35" w14:paraId="7DF3A8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035" w:type="dxa"/>
            <w:tcBorders>
              <w:top w:val="nil"/>
              <w:left w:val="nil"/>
              <w:bottom w:val="nil"/>
              <w:right w:val="nil"/>
              <w:tl2br w:val="nil"/>
              <w:tr2bl w:val="nil"/>
            </w:tcBorders>
            <w:shd w:val="clear" w:color="FFFFFF" w:fill="FFFFFF"/>
            <w:tcMar>
              <w:left w:w="0" w:type="dxa"/>
              <w:right w:w="0" w:type="dxa"/>
            </w:tcMar>
          </w:tcPr>
          <w:p w14:paraId="66C01E92" w14:textId="77777777" w:rsidR="00C07D35" w:rsidRDefault="00C07D35">
            <w:pPr>
              <w:pStyle w:val="Normal10"/>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61B09C"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14E41" w14:textId="77777777" w:rsidR="00C07D35" w:rsidRDefault="00C07D35">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E3D792" w14:textId="77777777" w:rsidR="00C07D35" w:rsidRDefault="00C07D35">
            <w:pPr>
              <w:pStyle w:val="Normal10"/>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D1F294" w14:textId="77777777" w:rsidR="00C07D35" w:rsidRDefault="00C07D35">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3D8E1" w14:textId="77777777" w:rsidR="00C07D35" w:rsidRDefault="00C07D35">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B403A9" w14:textId="77777777" w:rsidR="00C07D35" w:rsidRDefault="00C07D35">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FD2EA8" w14:textId="77777777" w:rsidR="00C07D35" w:rsidRDefault="00C07D35">
            <w:pPr>
              <w:pStyle w:val="Normal10"/>
              <w:jc w:val="right"/>
              <w:rPr>
                <w:rFonts w:ascii="Calibri" w:eastAsia="Calibri" w:hAnsi="Calibri" w:cs="Calibri"/>
                <w:b/>
                <w:i/>
                <w:color w:val="000000"/>
                <w:sz w:val="18"/>
              </w:rPr>
            </w:pPr>
          </w:p>
        </w:tc>
      </w:tr>
      <w:tr w:rsidR="00C07D35" w14:paraId="75CD67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9C4B7A"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2083674"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01DBD48"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F35562"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1F95D2"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C397FF"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AACB07"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3BD0FE" w14:textId="77777777" w:rsidR="00C07D35" w:rsidRDefault="00C07D35">
            <w:pPr>
              <w:pStyle w:val="Normal10"/>
              <w:rPr>
                <w:rFonts w:ascii="Calibri" w:eastAsia="Calibri" w:hAnsi="Calibri" w:cs="Calibri"/>
                <w:color w:val="000000"/>
                <w:sz w:val="18"/>
              </w:rPr>
            </w:pPr>
          </w:p>
        </w:tc>
      </w:tr>
      <w:tr w:rsidR="00C07D35" w14:paraId="69DE4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F85D0E"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160,560</w:t>
            </w:r>
          </w:p>
        </w:tc>
        <w:tc>
          <w:tcPr>
            <w:tcW w:w="2385" w:type="dxa"/>
            <w:tcBorders>
              <w:top w:val="nil"/>
              <w:left w:val="nil"/>
              <w:bottom w:val="nil"/>
              <w:right w:val="nil"/>
              <w:tl2br w:val="nil"/>
              <w:tr2bl w:val="nil"/>
            </w:tcBorders>
            <w:shd w:val="clear" w:color="auto" w:fill="auto"/>
            <w:noWrap/>
            <w:tcMar>
              <w:left w:w="101" w:type="dxa"/>
              <w:right w:w="101" w:type="dxa"/>
            </w:tcMar>
          </w:tcPr>
          <w:p w14:paraId="4A16C66A" w14:textId="77777777" w:rsidR="00C07D35" w:rsidRDefault="00A4668D">
            <w:pPr>
              <w:pStyle w:val="Normal10"/>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66C6B2A9"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160,560</w:t>
            </w:r>
          </w:p>
        </w:tc>
        <w:tc>
          <w:tcPr>
            <w:tcW w:w="1035" w:type="dxa"/>
            <w:tcBorders>
              <w:top w:val="nil"/>
              <w:left w:val="nil"/>
              <w:bottom w:val="nil"/>
              <w:right w:val="nil"/>
              <w:tl2br w:val="nil"/>
              <w:tr2bl w:val="nil"/>
            </w:tcBorders>
            <w:shd w:val="clear" w:color="FFFFFF" w:fill="FFFFFF"/>
            <w:tcMar>
              <w:left w:w="101" w:type="dxa"/>
              <w:right w:w="101" w:type="dxa"/>
            </w:tcMar>
          </w:tcPr>
          <w:p w14:paraId="6FC0FBA5"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5982EB9D"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E95DDD9"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266C9252"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2E360804"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188,230</w:t>
            </w:r>
          </w:p>
        </w:tc>
      </w:tr>
      <w:tr w:rsidR="00C07D35" w14:paraId="0E134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19982D"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0EFA1F5"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2502E7"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ED3C05"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247F6E"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98337"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6BB02B"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523DA3" w14:textId="77777777" w:rsidR="00C07D35" w:rsidRDefault="00C07D35">
            <w:pPr>
              <w:pStyle w:val="Normal10"/>
              <w:rPr>
                <w:rFonts w:ascii="Calibri" w:eastAsia="Calibri" w:hAnsi="Calibri" w:cs="Calibri"/>
                <w:color w:val="000000"/>
                <w:sz w:val="18"/>
              </w:rPr>
            </w:pPr>
          </w:p>
        </w:tc>
      </w:tr>
      <w:tr w:rsidR="00C07D35" w14:paraId="49220F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4F595B"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160,560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2023AACA"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35BB9BD"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160,560</w:t>
            </w:r>
          </w:p>
        </w:tc>
        <w:tc>
          <w:tcPr>
            <w:tcW w:w="1035" w:type="dxa"/>
            <w:tcBorders>
              <w:top w:val="nil"/>
              <w:left w:val="nil"/>
              <w:bottom w:val="nil"/>
              <w:right w:val="nil"/>
              <w:tl2br w:val="nil"/>
              <w:tr2bl w:val="nil"/>
            </w:tcBorders>
            <w:shd w:val="clear" w:color="FFFFFF" w:fill="FFFFFF"/>
            <w:tcMar>
              <w:left w:w="101" w:type="dxa"/>
              <w:right w:w="101" w:type="dxa"/>
            </w:tcMar>
          </w:tcPr>
          <w:p w14:paraId="40F13D89"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01D27B41"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2CF0EDC"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5C79C1C6"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460BAE14"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188,230</w:t>
            </w:r>
          </w:p>
        </w:tc>
      </w:tr>
      <w:tr w:rsidR="00C07D35" w14:paraId="27458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C14F72"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511A733"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314820C0"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1D3BB2"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87DC40"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9731E"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22715"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821AA8" w14:textId="77777777" w:rsidR="00C07D35" w:rsidRDefault="00C07D35">
            <w:pPr>
              <w:pStyle w:val="Normal10"/>
              <w:rPr>
                <w:rFonts w:ascii="Calibri" w:eastAsia="Calibri" w:hAnsi="Calibri" w:cs="Calibri"/>
                <w:color w:val="000000"/>
                <w:sz w:val="18"/>
              </w:rPr>
            </w:pPr>
          </w:p>
        </w:tc>
      </w:tr>
      <w:tr w:rsidR="00C07D35" w14:paraId="41A127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E1363D"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7EA9508"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6429B2"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A0910B"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E924BE"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336D62"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F812B4"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F275E3" w14:textId="77777777" w:rsidR="00C07D35" w:rsidRDefault="00C07D35">
            <w:pPr>
              <w:pStyle w:val="Normal10"/>
              <w:rPr>
                <w:rFonts w:ascii="Calibri" w:eastAsia="Calibri" w:hAnsi="Calibri" w:cs="Calibri"/>
                <w:color w:val="000000"/>
                <w:sz w:val="18"/>
              </w:rPr>
            </w:pPr>
          </w:p>
        </w:tc>
      </w:tr>
      <w:tr w:rsidR="00C07D35" w14:paraId="448FEC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77653A"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5733877"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49F144"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B994D8"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9005D3"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3C43F3"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078205"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13AAE6" w14:textId="77777777" w:rsidR="00C07D35" w:rsidRDefault="00C07D35">
            <w:pPr>
              <w:pStyle w:val="Normal10"/>
              <w:rPr>
                <w:rFonts w:ascii="Calibri" w:eastAsia="Calibri" w:hAnsi="Calibri" w:cs="Calibri"/>
                <w:color w:val="000000"/>
                <w:sz w:val="18"/>
              </w:rPr>
            </w:pPr>
          </w:p>
        </w:tc>
      </w:tr>
      <w:tr w:rsidR="00C07D35" w14:paraId="08506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5FBF42"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4392F93"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E30A1F"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081A6F"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EADFA0"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1EC06"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184F0F"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9DEB16" w14:textId="77777777" w:rsidR="00C07D35" w:rsidRDefault="00C07D35">
            <w:pPr>
              <w:pStyle w:val="Normal10"/>
              <w:rPr>
                <w:rFonts w:ascii="Calibri" w:eastAsia="Calibri" w:hAnsi="Calibri" w:cs="Calibri"/>
                <w:color w:val="000000"/>
                <w:sz w:val="18"/>
              </w:rPr>
            </w:pPr>
          </w:p>
        </w:tc>
      </w:tr>
      <w:tr w:rsidR="00C07D35" w14:paraId="3EA638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CE960B"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05ECC61"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2FD3A1C5"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F1D80F"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FA9AF5"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1764E0"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859DE0"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064C33" w14:textId="77777777" w:rsidR="00C07D35" w:rsidRDefault="00C07D35">
            <w:pPr>
              <w:pStyle w:val="Normal10"/>
              <w:rPr>
                <w:rFonts w:ascii="Calibri" w:eastAsia="Calibri" w:hAnsi="Calibri" w:cs="Calibri"/>
                <w:color w:val="000000"/>
                <w:sz w:val="18"/>
              </w:rPr>
            </w:pPr>
          </w:p>
        </w:tc>
      </w:tr>
      <w:tr w:rsidR="00C07D35" w14:paraId="76258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DA8572"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160,560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1F3E2C66" w14:textId="77777777" w:rsidR="00C07D35" w:rsidRDefault="00A4668D">
            <w:pPr>
              <w:pStyle w:val="Normal10"/>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F3A118F"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159,017</w:t>
            </w:r>
          </w:p>
        </w:tc>
        <w:tc>
          <w:tcPr>
            <w:tcW w:w="1035" w:type="dxa"/>
            <w:tcBorders>
              <w:top w:val="nil"/>
              <w:left w:val="nil"/>
              <w:bottom w:val="nil"/>
              <w:right w:val="nil"/>
              <w:tl2br w:val="nil"/>
              <w:tr2bl w:val="nil"/>
            </w:tcBorders>
            <w:shd w:val="clear" w:color="FFFFFF" w:fill="FFFFFF"/>
            <w:tcMar>
              <w:left w:w="101" w:type="dxa"/>
              <w:right w:w="101" w:type="dxa"/>
            </w:tcMar>
          </w:tcPr>
          <w:p w14:paraId="61C05FE2"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2C2B3F23"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1221F9FC"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3C7FEAF9"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126635AA"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188,230</w:t>
            </w:r>
          </w:p>
        </w:tc>
      </w:tr>
      <w:tr w:rsidR="00C07D35" w14:paraId="3FE969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D724E2"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3AEA295"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9FF59C"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9E4674"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018F62"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E661C4"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417AC3"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0F6D85" w14:textId="77777777" w:rsidR="00C07D35" w:rsidRDefault="00C07D35">
            <w:pPr>
              <w:pStyle w:val="Normal10"/>
              <w:rPr>
                <w:rFonts w:ascii="Calibri" w:eastAsia="Calibri" w:hAnsi="Calibri" w:cs="Calibri"/>
                <w:color w:val="000000"/>
                <w:sz w:val="18"/>
              </w:rPr>
            </w:pPr>
          </w:p>
        </w:tc>
      </w:tr>
      <w:tr w:rsidR="00C07D35" w14:paraId="31A94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85DE96"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160,560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42B91AED"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524AC871"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159,017</w:t>
            </w:r>
          </w:p>
        </w:tc>
        <w:tc>
          <w:tcPr>
            <w:tcW w:w="1035" w:type="dxa"/>
            <w:tcBorders>
              <w:top w:val="nil"/>
              <w:left w:val="nil"/>
              <w:bottom w:val="nil"/>
              <w:right w:val="nil"/>
              <w:tl2br w:val="nil"/>
              <w:tr2bl w:val="nil"/>
            </w:tcBorders>
            <w:shd w:val="clear" w:color="FFFFFF" w:fill="FFFFFF"/>
            <w:tcMar>
              <w:left w:w="101" w:type="dxa"/>
              <w:right w:w="101" w:type="dxa"/>
            </w:tcMar>
          </w:tcPr>
          <w:p w14:paraId="19F888CB"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6EA4A33E"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D177703"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483D80BC"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7A80938B"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188,230</w:t>
            </w:r>
          </w:p>
        </w:tc>
      </w:tr>
      <w:tr w:rsidR="00C07D35" w14:paraId="45B9B5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1EBFDC" w14:textId="77777777" w:rsidR="00C07D35" w:rsidRDefault="00C07D35">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4B32674"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D6E737"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70EFDD" w14:textId="77777777" w:rsidR="00C07D35" w:rsidRDefault="00C07D35">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AEC4AE"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BC276C"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11667" w14:textId="77777777" w:rsidR="00C07D35" w:rsidRDefault="00C07D35">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0541CA" w14:textId="77777777" w:rsidR="00C07D35" w:rsidRDefault="00C07D35">
            <w:pPr>
              <w:pStyle w:val="Normal10"/>
              <w:rPr>
                <w:rFonts w:ascii="Calibri" w:eastAsia="Calibri" w:hAnsi="Calibri" w:cs="Calibri"/>
                <w:color w:val="000000"/>
                <w:sz w:val="18"/>
              </w:rPr>
            </w:pPr>
          </w:p>
        </w:tc>
      </w:tr>
      <w:tr w:rsidR="00C07D35" w14:paraId="4B6522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76D3E5"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9AB9A5B"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74D8EAA"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-1,543</w:t>
            </w:r>
          </w:p>
        </w:tc>
        <w:tc>
          <w:tcPr>
            <w:tcW w:w="1035" w:type="dxa"/>
            <w:tcBorders>
              <w:top w:val="nil"/>
              <w:left w:val="nil"/>
              <w:bottom w:val="nil"/>
              <w:right w:val="nil"/>
              <w:tl2br w:val="nil"/>
              <w:tr2bl w:val="nil"/>
            </w:tcBorders>
            <w:shd w:val="clear" w:color="FFFFFF" w:fill="FFFFFF"/>
            <w:tcMar>
              <w:left w:w="101" w:type="dxa"/>
              <w:right w:w="101" w:type="dxa"/>
            </w:tcMar>
          </w:tcPr>
          <w:p w14:paraId="756713DA"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E719B64"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37631548"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F344FB5"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E2C9D1"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1867FE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EA7973" w14:textId="77777777" w:rsidR="00C07D35" w:rsidRDefault="00C07D35">
            <w:pPr>
              <w:pStyle w:val="Normal10"/>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B41F38B"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28C8E8"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B0399B" w14:textId="77777777" w:rsidR="00C07D35" w:rsidRDefault="00C07D35">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9EDA88"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326A79"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B8058"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E78862" w14:textId="77777777" w:rsidR="00C07D35" w:rsidRDefault="00C07D35">
            <w:pPr>
              <w:pStyle w:val="Normal10"/>
              <w:rPr>
                <w:rFonts w:ascii="Calibri" w:eastAsia="Calibri" w:hAnsi="Calibri" w:cs="Calibri"/>
                <w:b/>
                <w:color w:val="000000"/>
                <w:sz w:val="18"/>
              </w:rPr>
            </w:pPr>
          </w:p>
        </w:tc>
      </w:tr>
      <w:tr w:rsidR="00C07D35" w14:paraId="78D459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94B77A" w14:textId="77777777" w:rsidR="00C07D35" w:rsidRDefault="00C07D35">
            <w:pPr>
              <w:pStyle w:val="Normal10"/>
              <w:rPr>
                <w:rFonts w:ascii="Calibri" w:eastAsia="Calibri" w:hAnsi="Calibri" w:cs="Calibri"/>
                <w:b/>
                <w:color w:val="000000"/>
                <w:sz w:val="18"/>
              </w:rPr>
            </w:pPr>
          </w:p>
        </w:tc>
        <w:tc>
          <w:tcPr>
            <w:tcW w:w="3420" w:type="dxa"/>
            <w:gridSpan w:val="2"/>
            <w:tcBorders>
              <w:top w:val="nil"/>
              <w:left w:val="nil"/>
              <w:bottom w:val="nil"/>
              <w:right w:val="nil"/>
              <w:tl2br w:val="nil"/>
              <w:tr2bl w:val="nil"/>
            </w:tcBorders>
            <w:shd w:val="clear" w:color="auto" w:fill="auto"/>
            <w:noWrap/>
            <w:tcMar>
              <w:left w:w="101" w:type="dxa"/>
              <w:right w:w="101" w:type="dxa"/>
            </w:tcMar>
          </w:tcPr>
          <w:p w14:paraId="2C4FB0CB"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083E1DB0" w14:textId="77777777" w:rsidR="00C07D35" w:rsidRDefault="00C07D35">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05966B"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686A87"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CB86D9"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010973" w14:textId="77777777" w:rsidR="00C07D35" w:rsidRDefault="00C07D35">
            <w:pPr>
              <w:pStyle w:val="Normal10"/>
              <w:rPr>
                <w:rFonts w:ascii="Calibri" w:eastAsia="Calibri" w:hAnsi="Calibri" w:cs="Calibri"/>
                <w:b/>
                <w:color w:val="000000"/>
                <w:sz w:val="18"/>
              </w:rPr>
            </w:pPr>
          </w:p>
        </w:tc>
      </w:tr>
      <w:tr w:rsidR="00C07D35" w14:paraId="09CA6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82B2A0" w14:textId="77777777" w:rsidR="00C07D35" w:rsidRDefault="00C07D35">
            <w:pPr>
              <w:pStyle w:val="Normal10"/>
              <w:rPr>
                <w:rFonts w:ascii="Calibri" w:eastAsia="Calibri" w:hAnsi="Calibri" w:cs="Calibri"/>
                <w:b/>
                <w:color w:val="000000"/>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020B6265" w14:textId="77777777" w:rsidR="00C07D35" w:rsidRDefault="00A4668D">
            <w:pPr>
              <w:pStyle w:val="Normal10"/>
              <w:rPr>
                <w:rFonts w:ascii="Calibri" w:eastAsia="Calibri" w:hAnsi="Calibri" w:cs="Calibri"/>
                <w:i/>
                <w:color w:val="000000"/>
                <w:sz w:val="18"/>
              </w:rPr>
            </w:pPr>
            <w:r>
              <w:rPr>
                <w:rFonts w:ascii="Calibri" w:eastAsia="Calibri" w:hAnsi="Calibri" w:cs="Calibri"/>
                <w:i/>
                <w:color w:val="000000"/>
                <w:sz w:val="18"/>
              </w:rPr>
              <w:t>Items that will not be Reclassified Subsequently to Profit or Loss</w:t>
            </w:r>
          </w:p>
        </w:tc>
      </w:tr>
      <w:tr w:rsidR="00C07D35" w14:paraId="3A0619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EA970C"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3B175CE" w14:textId="77777777" w:rsidR="00C07D35" w:rsidRDefault="00A4668D">
            <w:pPr>
              <w:pStyle w:val="Normal10"/>
              <w:rPr>
                <w:rFonts w:ascii="Calibri" w:eastAsia="Calibri" w:hAnsi="Calibri" w:cs="Calibri"/>
                <w:color w:val="000000"/>
                <w:sz w:val="18"/>
              </w:rPr>
            </w:pPr>
            <w:r>
              <w:rPr>
                <w:rFonts w:ascii="Calibri" w:eastAsia="Calibri" w:hAnsi="Calibri" w:cs="Calibri"/>
                <w:color w:val="000000"/>
                <w:sz w:val="18"/>
              </w:rPr>
              <w:t>Other Movements</w:t>
            </w:r>
          </w:p>
        </w:tc>
        <w:tc>
          <w:tcPr>
            <w:tcW w:w="1035" w:type="dxa"/>
            <w:tcBorders>
              <w:top w:val="nil"/>
              <w:left w:val="nil"/>
              <w:bottom w:val="nil"/>
              <w:right w:val="nil"/>
              <w:tl2br w:val="nil"/>
              <w:tr2bl w:val="nil"/>
            </w:tcBorders>
            <w:shd w:val="clear" w:color="FFFFFF" w:fill="FFFFFF"/>
            <w:tcMar>
              <w:left w:w="101" w:type="dxa"/>
              <w:right w:w="101" w:type="dxa"/>
            </w:tcMar>
          </w:tcPr>
          <w:p w14:paraId="4A010AD8" w14:textId="1BB2645E" w:rsidR="00C07D35" w:rsidRDefault="00A72D96">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09E45A"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78A090C"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589B540"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EFB3251"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C60DA4" w14:textId="77777777" w:rsidR="00C07D35" w:rsidRDefault="00A4668D">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C07D35" w14:paraId="7FF60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111EA9"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06D1FA96"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0870104" w14:textId="25C12040" w:rsidR="00C07D35" w:rsidRDefault="00A72D96">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3EDCF5"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4AF6911"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585E5E48"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53D755"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678B64A"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36123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DC29AD" w14:textId="77777777" w:rsidR="00C07D35" w:rsidRDefault="00C07D35">
            <w:pPr>
              <w:pStyle w:val="Normal10"/>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53790B6"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B77F2A"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96616C" w14:textId="77777777" w:rsidR="00C07D35" w:rsidRDefault="00C07D35">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244D1E"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AF4C6C"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137A83" w14:textId="77777777" w:rsidR="00C07D35" w:rsidRDefault="00C07D35">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4FE509" w14:textId="77777777" w:rsidR="00C07D35" w:rsidRDefault="00C07D35">
            <w:pPr>
              <w:pStyle w:val="Normal10"/>
              <w:rPr>
                <w:rFonts w:ascii="Calibri" w:eastAsia="Calibri" w:hAnsi="Calibri" w:cs="Calibri"/>
                <w:b/>
                <w:color w:val="000000"/>
                <w:sz w:val="18"/>
              </w:rPr>
            </w:pPr>
          </w:p>
        </w:tc>
      </w:tr>
      <w:tr w:rsidR="00C07D35" w14:paraId="72577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DD59CC"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ACADE9E" w14:textId="77777777" w:rsidR="00C07D35" w:rsidRDefault="00A4668D">
            <w:pPr>
              <w:pStyle w:val="Normal10"/>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03CB48D1" w14:textId="7CFEFEA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-1,54</w:t>
            </w:r>
            <w:r w:rsidR="00A72D96">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28B51F51"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77F3267"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5BD7A4C"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09B07F"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BC4A76A" w14:textId="77777777" w:rsidR="00C07D35" w:rsidRDefault="00A4668D">
            <w:pPr>
              <w:pStyle w:val="Normal10"/>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3F27E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1AE15CF" w14:textId="77777777" w:rsidR="00C07D35" w:rsidRDefault="00C07D35">
            <w:pPr>
              <w:pStyle w:val="Normal10"/>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E875E79" w14:textId="77777777" w:rsidR="00C07D35" w:rsidRDefault="00C07D35">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A400B3F" w14:textId="77777777" w:rsidR="00C07D35" w:rsidRDefault="00C07D35">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5FC27B6" w14:textId="77777777" w:rsidR="00C07D35" w:rsidRDefault="00C07D35">
            <w:pPr>
              <w:pStyle w:val="Normal10"/>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558C30F5" w14:textId="77777777" w:rsidR="00C07D35" w:rsidRDefault="00C07D35">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E3EF78C" w14:textId="77777777" w:rsidR="00C07D35" w:rsidRDefault="00C07D35">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0ABC02D" w14:textId="77777777" w:rsidR="00C07D35" w:rsidRDefault="00C07D35">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7F8642C" w14:textId="77777777" w:rsidR="00C07D35" w:rsidRDefault="00C07D35">
            <w:pPr>
              <w:pStyle w:val="Normal10"/>
              <w:rPr>
                <w:rFonts w:ascii="Calibri" w:eastAsia="Calibri" w:hAnsi="Calibri" w:cs="Calibri"/>
                <w:color w:val="000000"/>
                <w:sz w:val="18"/>
              </w:rPr>
            </w:pPr>
          </w:p>
        </w:tc>
      </w:tr>
    </w:tbl>
    <w:p w14:paraId="0DF275D8" w14:textId="77777777" w:rsidR="00D70523" w:rsidRDefault="00D70523">
      <w:pPr>
        <w:spacing w:before="0" w:after="0"/>
        <w:rPr>
          <w:b/>
          <w:bCs/>
          <w:color w:val="000000"/>
          <w:sz w:val="22"/>
          <w:szCs w:val="18"/>
        </w:rPr>
      </w:pPr>
      <w:r>
        <w:br w:type="page"/>
      </w:r>
    </w:p>
    <w:p w14:paraId="78BF6910" w14:textId="11308888" w:rsidR="00A4668D" w:rsidRPr="009B235F" w:rsidRDefault="00A4668D" w:rsidP="009B235F">
      <w:pPr>
        <w:pStyle w:val="Caption"/>
        <w:rPr>
          <w:rFonts w:eastAsia="TimesNewRomanPS-ItalicMT"/>
        </w:rPr>
      </w:pPr>
      <w:r w:rsidRPr="009B235F">
        <w:lastRenderedPageBreak/>
        <w:t xml:space="preserve">Table </w:t>
      </w:r>
      <w:fldSimple w:instr=" SEQ Table \* ARABIC ">
        <w:r w:rsidR="001E4FEE" w:rsidRPr="009B235F">
          <w:t>28</w:t>
        </w:r>
      </w:fldSimple>
      <w:r w:rsidRPr="009B235F">
        <w:t>: Community Services Directorate: Statement of Assets and Liabilities on behalf of the Territory</w:t>
      </w:r>
    </w:p>
    <w:tbl>
      <w:tblPr>
        <w:tblStyle w:val="CDMRange13"/>
        <w:tblW w:w="9195" w:type="dxa"/>
        <w:tblLayout w:type="fixed"/>
        <w:tblLook w:val="0600" w:firstRow="0" w:lastRow="0" w:firstColumn="0" w:lastColumn="0" w:noHBand="1" w:noVBand="1"/>
      </w:tblPr>
      <w:tblGrid>
        <w:gridCol w:w="1035"/>
        <w:gridCol w:w="2175"/>
        <w:gridCol w:w="1245"/>
        <w:gridCol w:w="1035"/>
        <w:gridCol w:w="600"/>
        <w:gridCol w:w="1035"/>
        <w:gridCol w:w="1035"/>
        <w:gridCol w:w="1035"/>
      </w:tblGrid>
      <w:tr w:rsidR="00C07D35" w14:paraId="243656FC" w14:textId="77777777">
        <w:trPr>
          <w:trHeight w:val="123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22E94FA"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301638E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5F92AA7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8A2BDA6"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6524D0A" w14:textId="77777777" w:rsidR="00C07D35" w:rsidRDefault="00C07D35">
            <w:pPr>
              <w:pStyle w:val="Normal11"/>
              <w:rPr>
                <w:rFonts w:ascii="Calibri" w:eastAsia="Calibri" w:hAnsi="Calibri" w:cs="Calibri"/>
                <w:b/>
                <w:color w:val="000000"/>
                <w:sz w:val="18"/>
              </w:rPr>
            </w:pPr>
          </w:p>
        </w:tc>
        <w:tc>
          <w:tcPr>
            <w:tcW w:w="124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E625A4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Interim</w:t>
            </w:r>
          </w:p>
          <w:p w14:paraId="6E2DB02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Outcome at</w:t>
            </w:r>
          </w:p>
          <w:p w14:paraId="69CCA78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B42F520"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2C2B0BC"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Budget</w:t>
            </w:r>
          </w:p>
          <w:p w14:paraId="0202C330"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3F06C65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1F376B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41DA2B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Var</w:t>
            </w:r>
          </w:p>
          <w:p w14:paraId="2FF74F33"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DA61B7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28795A96"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5294ED9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366C273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E29C6B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53B8605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63550D7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50F2BE50"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7BD75C"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Estimate</w:t>
            </w:r>
          </w:p>
          <w:p w14:paraId="2901A52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at</w:t>
            </w:r>
          </w:p>
          <w:p w14:paraId="3F29ED56"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4682D51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$'000</w:t>
            </w:r>
          </w:p>
        </w:tc>
      </w:tr>
      <w:tr w:rsidR="00C07D35" w14:paraId="1B5F83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3B3C3C8" w14:textId="77777777" w:rsidR="00C07D35" w:rsidRDefault="00C07D35">
            <w:pPr>
              <w:pStyle w:val="Normal11"/>
              <w:jc w:val="right"/>
              <w:rPr>
                <w:rFonts w:ascii="Calibri" w:eastAsia="Calibri" w:hAnsi="Calibri" w:cs="Calibri"/>
                <w:b/>
                <w:i/>
                <w:color w:val="000000"/>
                <w:sz w:val="18"/>
              </w:rPr>
            </w:pPr>
          </w:p>
        </w:tc>
        <w:tc>
          <w:tcPr>
            <w:tcW w:w="2175" w:type="dxa"/>
            <w:tcBorders>
              <w:top w:val="single" w:sz="12" w:space="0" w:color="000000"/>
              <w:left w:val="nil"/>
              <w:bottom w:val="nil"/>
              <w:right w:val="nil"/>
              <w:tl2br w:val="nil"/>
              <w:tr2bl w:val="nil"/>
            </w:tcBorders>
            <w:shd w:val="clear" w:color="FFFFFF" w:fill="FFFFFF"/>
            <w:tcMar>
              <w:left w:w="0" w:type="dxa"/>
              <w:right w:w="0" w:type="dxa"/>
            </w:tcMar>
          </w:tcPr>
          <w:p w14:paraId="326ABF60" w14:textId="77777777" w:rsidR="00C07D35" w:rsidRDefault="00C07D35">
            <w:pPr>
              <w:pStyle w:val="Normal11"/>
              <w:rPr>
                <w:rFonts w:ascii="Calibri" w:eastAsia="Calibri" w:hAnsi="Calibri" w:cs="Calibri"/>
                <w:b/>
                <w:color w:val="000000"/>
                <w:sz w:val="18"/>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tcPr>
          <w:p w14:paraId="443C990C" w14:textId="77777777" w:rsidR="00C07D35" w:rsidRDefault="00C07D35">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3C82CA9" w14:textId="77777777" w:rsidR="00C07D35" w:rsidRDefault="00C07D35">
            <w:pPr>
              <w:pStyle w:val="Normal11"/>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11663E4B" w14:textId="77777777" w:rsidR="00C07D35" w:rsidRDefault="00C07D35">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A707021" w14:textId="77777777" w:rsidR="00C07D35" w:rsidRDefault="00C07D35">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68A7442" w14:textId="77777777" w:rsidR="00C07D35" w:rsidRDefault="00C07D35">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89AF2BF" w14:textId="77777777" w:rsidR="00C07D35" w:rsidRDefault="00C07D35">
            <w:pPr>
              <w:pStyle w:val="Normal11"/>
              <w:jc w:val="right"/>
              <w:rPr>
                <w:rFonts w:ascii="Calibri" w:eastAsia="Calibri" w:hAnsi="Calibri" w:cs="Calibri"/>
                <w:b/>
                <w:i/>
                <w:color w:val="000000"/>
                <w:sz w:val="18"/>
              </w:rPr>
            </w:pPr>
          </w:p>
        </w:tc>
      </w:tr>
      <w:tr w:rsidR="00C07D35" w14:paraId="5EEFD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3FA243"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3640BA82"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Current Assets</w:t>
            </w:r>
          </w:p>
        </w:tc>
        <w:tc>
          <w:tcPr>
            <w:tcW w:w="1245" w:type="dxa"/>
            <w:tcBorders>
              <w:top w:val="nil"/>
              <w:left w:val="nil"/>
              <w:bottom w:val="nil"/>
              <w:right w:val="nil"/>
              <w:tl2br w:val="nil"/>
              <w:tr2bl w:val="nil"/>
            </w:tcBorders>
            <w:shd w:val="clear" w:color="FFFFFF" w:fill="FFFFFF"/>
            <w:tcMar>
              <w:left w:w="0" w:type="dxa"/>
              <w:right w:w="0" w:type="dxa"/>
            </w:tcMar>
          </w:tcPr>
          <w:p w14:paraId="6C3FE2B8"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E99059"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538890"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AADB2C"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A6FF2D"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98332B" w14:textId="77777777" w:rsidR="00C07D35" w:rsidRDefault="00C07D35">
            <w:pPr>
              <w:pStyle w:val="Normal11"/>
              <w:rPr>
                <w:rFonts w:ascii="Calibri" w:eastAsia="Calibri" w:hAnsi="Calibri" w:cs="Calibri"/>
                <w:color w:val="000000"/>
                <w:sz w:val="18"/>
              </w:rPr>
            </w:pPr>
          </w:p>
        </w:tc>
      </w:tr>
      <w:tr w:rsidR="00C07D35" w14:paraId="66ABB3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6F3356"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noWrap/>
            <w:tcMar>
              <w:left w:w="101" w:type="dxa"/>
              <w:right w:w="101" w:type="dxa"/>
            </w:tcMar>
          </w:tcPr>
          <w:p w14:paraId="4C113DB6" w14:textId="77777777" w:rsidR="00C07D35" w:rsidRDefault="00A4668D">
            <w:pPr>
              <w:pStyle w:val="Normal11"/>
              <w:rPr>
                <w:rFonts w:ascii="Calibri" w:eastAsia="Calibri" w:hAnsi="Calibri" w:cs="Calibri"/>
                <w:color w:val="000000"/>
                <w:sz w:val="18"/>
              </w:rPr>
            </w:pPr>
            <w:r>
              <w:rPr>
                <w:rFonts w:ascii="Calibri" w:eastAsia="Calibri" w:hAnsi="Calibri" w:cs="Calibri"/>
                <w:color w:val="000000"/>
                <w:sz w:val="18"/>
              </w:rPr>
              <w:t>Cash and Cash Equivalents</w:t>
            </w:r>
          </w:p>
        </w:tc>
        <w:tc>
          <w:tcPr>
            <w:tcW w:w="1245" w:type="dxa"/>
            <w:tcBorders>
              <w:top w:val="nil"/>
              <w:left w:val="nil"/>
              <w:bottom w:val="nil"/>
              <w:right w:val="nil"/>
              <w:tl2br w:val="nil"/>
              <w:tr2bl w:val="nil"/>
            </w:tcBorders>
            <w:shd w:val="clear" w:color="FFFFFF" w:fill="FFFFFF"/>
            <w:tcMar>
              <w:left w:w="101" w:type="dxa"/>
              <w:right w:w="101" w:type="dxa"/>
            </w:tcMar>
          </w:tcPr>
          <w:p w14:paraId="4C79564B"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65F059A7"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1,268</w:t>
            </w:r>
          </w:p>
        </w:tc>
        <w:tc>
          <w:tcPr>
            <w:tcW w:w="600" w:type="dxa"/>
            <w:tcBorders>
              <w:top w:val="nil"/>
              <w:left w:val="nil"/>
              <w:bottom w:val="nil"/>
              <w:right w:val="nil"/>
              <w:tl2br w:val="nil"/>
              <w:tr2bl w:val="nil"/>
            </w:tcBorders>
            <w:shd w:val="clear" w:color="FFFFFF" w:fill="FFFFFF"/>
            <w:tcMar>
              <w:left w:w="101" w:type="dxa"/>
              <w:right w:w="101" w:type="dxa"/>
            </w:tcMar>
          </w:tcPr>
          <w:p w14:paraId="50AC56C6"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E89D479"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08A93167"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5DD8F13E"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1,268</w:t>
            </w:r>
          </w:p>
        </w:tc>
      </w:tr>
      <w:tr w:rsidR="00C07D35" w14:paraId="2AE85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136AB4"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3,212</w:t>
            </w:r>
          </w:p>
        </w:tc>
        <w:tc>
          <w:tcPr>
            <w:tcW w:w="2175" w:type="dxa"/>
            <w:tcBorders>
              <w:top w:val="nil"/>
              <w:left w:val="nil"/>
              <w:bottom w:val="nil"/>
              <w:right w:val="nil"/>
              <w:tl2br w:val="nil"/>
              <w:tr2bl w:val="nil"/>
            </w:tcBorders>
            <w:shd w:val="clear" w:color="auto" w:fill="auto"/>
            <w:noWrap/>
            <w:tcMar>
              <w:left w:w="101" w:type="dxa"/>
              <w:right w:w="101" w:type="dxa"/>
            </w:tcMar>
          </w:tcPr>
          <w:p w14:paraId="57F176B9" w14:textId="77777777" w:rsidR="00C07D35" w:rsidRDefault="00A4668D">
            <w:pPr>
              <w:pStyle w:val="Normal11"/>
              <w:rPr>
                <w:rFonts w:ascii="Calibri" w:eastAsia="Calibri" w:hAnsi="Calibri" w:cs="Calibri"/>
                <w:color w:val="000000"/>
                <w:sz w:val="18"/>
              </w:rPr>
            </w:pPr>
            <w:r>
              <w:rPr>
                <w:rFonts w:ascii="Calibri" w:eastAsia="Calibri" w:hAnsi="Calibri" w:cs="Calibri"/>
                <w:color w:val="000000"/>
                <w:sz w:val="18"/>
              </w:rPr>
              <w:t>Receivables</w:t>
            </w:r>
          </w:p>
        </w:tc>
        <w:tc>
          <w:tcPr>
            <w:tcW w:w="1245" w:type="dxa"/>
            <w:tcBorders>
              <w:top w:val="nil"/>
              <w:left w:val="nil"/>
              <w:bottom w:val="nil"/>
              <w:right w:val="nil"/>
              <w:tl2br w:val="nil"/>
              <w:tr2bl w:val="nil"/>
            </w:tcBorders>
            <w:shd w:val="clear" w:color="FFFFFF" w:fill="FFFFFF"/>
            <w:tcMar>
              <w:left w:w="101" w:type="dxa"/>
              <w:right w:w="101" w:type="dxa"/>
            </w:tcMar>
          </w:tcPr>
          <w:p w14:paraId="6564704B"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34EC53"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E5B0863"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55DAECE"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60803CE"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C86D00E"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C07D35" w14:paraId="3B66CC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736629"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-1</w:t>
            </w:r>
          </w:p>
        </w:tc>
        <w:tc>
          <w:tcPr>
            <w:tcW w:w="2175" w:type="dxa"/>
            <w:tcBorders>
              <w:top w:val="nil"/>
              <w:left w:val="nil"/>
              <w:bottom w:val="nil"/>
              <w:right w:val="nil"/>
              <w:tl2br w:val="nil"/>
              <w:tr2bl w:val="nil"/>
            </w:tcBorders>
            <w:shd w:val="clear" w:color="auto" w:fill="auto"/>
            <w:noWrap/>
            <w:tcMar>
              <w:left w:w="101" w:type="dxa"/>
              <w:right w:w="101" w:type="dxa"/>
            </w:tcMar>
          </w:tcPr>
          <w:p w14:paraId="3F2302FE" w14:textId="77777777" w:rsidR="00C07D35" w:rsidRDefault="00A4668D">
            <w:pPr>
              <w:pStyle w:val="Normal11"/>
              <w:rPr>
                <w:rFonts w:ascii="Calibri" w:eastAsia="Calibri" w:hAnsi="Calibri" w:cs="Calibri"/>
                <w:color w:val="000000"/>
                <w:sz w:val="18"/>
              </w:rPr>
            </w:pPr>
            <w:r>
              <w:rPr>
                <w:rFonts w:ascii="Calibri" w:eastAsia="Calibri" w:hAnsi="Calibri" w:cs="Calibri"/>
                <w:color w:val="000000"/>
                <w:sz w:val="18"/>
              </w:rPr>
              <w:t>Other Assets</w:t>
            </w:r>
          </w:p>
        </w:tc>
        <w:tc>
          <w:tcPr>
            <w:tcW w:w="1245" w:type="dxa"/>
            <w:tcBorders>
              <w:top w:val="nil"/>
              <w:left w:val="nil"/>
              <w:bottom w:val="nil"/>
              <w:right w:val="nil"/>
              <w:tl2br w:val="nil"/>
              <w:tr2bl w:val="nil"/>
            </w:tcBorders>
            <w:shd w:val="clear" w:color="FFFFFF" w:fill="FFFFFF"/>
            <w:tcMar>
              <w:left w:w="101" w:type="dxa"/>
              <w:right w:w="101" w:type="dxa"/>
            </w:tcMar>
          </w:tcPr>
          <w:p w14:paraId="3D36AAC8"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3,486</w:t>
            </w:r>
          </w:p>
        </w:tc>
        <w:tc>
          <w:tcPr>
            <w:tcW w:w="1035" w:type="dxa"/>
            <w:tcBorders>
              <w:top w:val="nil"/>
              <w:left w:val="nil"/>
              <w:bottom w:val="nil"/>
              <w:right w:val="nil"/>
              <w:tl2br w:val="nil"/>
              <w:tr2bl w:val="nil"/>
            </w:tcBorders>
            <w:shd w:val="clear" w:color="FFFFFF" w:fill="FFFFFF"/>
            <w:tcMar>
              <w:left w:w="101" w:type="dxa"/>
              <w:right w:w="101" w:type="dxa"/>
            </w:tcMar>
          </w:tcPr>
          <w:p w14:paraId="754292B2"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3,486</w:t>
            </w:r>
          </w:p>
        </w:tc>
        <w:tc>
          <w:tcPr>
            <w:tcW w:w="600" w:type="dxa"/>
            <w:tcBorders>
              <w:top w:val="nil"/>
              <w:left w:val="nil"/>
              <w:bottom w:val="nil"/>
              <w:right w:val="nil"/>
              <w:tl2br w:val="nil"/>
              <w:tr2bl w:val="nil"/>
            </w:tcBorders>
            <w:shd w:val="clear" w:color="FFFFFF" w:fill="FFFFFF"/>
            <w:tcMar>
              <w:left w:w="101" w:type="dxa"/>
              <w:right w:w="101" w:type="dxa"/>
            </w:tcMar>
          </w:tcPr>
          <w:p w14:paraId="1602A0EA"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DE3FA5C"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3,486</w:t>
            </w:r>
          </w:p>
        </w:tc>
        <w:tc>
          <w:tcPr>
            <w:tcW w:w="1035" w:type="dxa"/>
            <w:tcBorders>
              <w:top w:val="nil"/>
              <w:left w:val="nil"/>
              <w:bottom w:val="nil"/>
              <w:right w:val="nil"/>
              <w:tl2br w:val="nil"/>
              <w:tr2bl w:val="nil"/>
            </w:tcBorders>
            <w:shd w:val="clear" w:color="FFFFFF" w:fill="FFFFFF"/>
            <w:tcMar>
              <w:left w:w="101" w:type="dxa"/>
              <w:right w:w="101" w:type="dxa"/>
            </w:tcMar>
          </w:tcPr>
          <w:p w14:paraId="2E0894F5"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3,486</w:t>
            </w:r>
          </w:p>
        </w:tc>
        <w:tc>
          <w:tcPr>
            <w:tcW w:w="1035" w:type="dxa"/>
            <w:tcBorders>
              <w:top w:val="nil"/>
              <w:left w:val="nil"/>
              <w:bottom w:val="nil"/>
              <w:right w:val="nil"/>
              <w:tl2br w:val="nil"/>
              <w:tr2bl w:val="nil"/>
            </w:tcBorders>
            <w:shd w:val="clear" w:color="FFFFFF" w:fill="FFFFFF"/>
            <w:tcMar>
              <w:left w:w="101" w:type="dxa"/>
              <w:right w:w="101" w:type="dxa"/>
            </w:tcMar>
          </w:tcPr>
          <w:p w14:paraId="1A474676"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3,486</w:t>
            </w:r>
          </w:p>
        </w:tc>
      </w:tr>
      <w:tr w:rsidR="00C07D35" w14:paraId="3B2B5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D23775"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28A67CE4" w14:textId="77777777" w:rsidR="00C07D35" w:rsidRDefault="00C07D35">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611F433"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D1F2F0"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61B3B0"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3719E4"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E90717"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C1A6DD" w14:textId="77777777" w:rsidR="00C07D35" w:rsidRDefault="00C07D35">
            <w:pPr>
              <w:pStyle w:val="Normal11"/>
              <w:rPr>
                <w:rFonts w:ascii="Calibri" w:eastAsia="Calibri" w:hAnsi="Calibri" w:cs="Calibri"/>
                <w:color w:val="000000"/>
                <w:sz w:val="18"/>
              </w:rPr>
            </w:pPr>
          </w:p>
        </w:tc>
      </w:tr>
      <w:tr w:rsidR="00C07D35" w14:paraId="582ABF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CBA1A8"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3,211</w:t>
            </w:r>
          </w:p>
        </w:tc>
        <w:tc>
          <w:tcPr>
            <w:tcW w:w="2175" w:type="dxa"/>
            <w:tcBorders>
              <w:top w:val="nil"/>
              <w:left w:val="nil"/>
              <w:bottom w:val="nil"/>
              <w:right w:val="nil"/>
              <w:tl2br w:val="nil"/>
              <w:tr2bl w:val="nil"/>
            </w:tcBorders>
            <w:shd w:val="clear" w:color="FFFFFF" w:fill="FFFFFF"/>
            <w:noWrap/>
            <w:tcMar>
              <w:left w:w="101" w:type="dxa"/>
              <w:right w:w="101" w:type="dxa"/>
            </w:tcMar>
          </w:tcPr>
          <w:p w14:paraId="64056CCA"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Total Current Assets</w:t>
            </w:r>
          </w:p>
        </w:tc>
        <w:tc>
          <w:tcPr>
            <w:tcW w:w="1245" w:type="dxa"/>
            <w:tcBorders>
              <w:top w:val="nil"/>
              <w:left w:val="nil"/>
              <w:bottom w:val="nil"/>
              <w:right w:val="nil"/>
              <w:tl2br w:val="nil"/>
              <w:tr2bl w:val="nil"/>
            </w:tcBorders>
            <w:shd w:val="clear" w:color="FFFFFF" w:fill="FFFFFF"/>
            <w:tcMar>
              <w:left w:w="101" w:type="dxa"/>
              <w:right w:w="101" w:type="dxa"/>
            </w:tcMar>
          </w:tcPr>
          <w:p w14:paraId="3F2B7B84"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022E53A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464B888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AC0931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28D86646"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10D861C0"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r>
      <w:tr w:rsidR="00C07D35" w14:paraId="6D76CB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0D902F"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5261646B" w14:textId="77777777" w:rsidR="00C07D35" w:rsidRDefault="00C07D35">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7D5634C2"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32F926"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8D1E9E"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DC57F5"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273390"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F1E1F9" w14:textId="77777777" w:rsidR="00C07D35" w:rsidRDefault="00C07D35">
            <w:pPr>
              <w:pStyle w:val="Normal11"/>
              <w:rPr>
                <w:rFonts w:ascii="Calibri" w:eastAsia="Calibri" w:hAnsi="Calibri" w:cs="Calibri"/>
                <w:color w:val="000000"/>
                <w:sz w:val="18"/>
              </w:rPr>
            </w:pPr>
          </w:p>
        </w:tc>
      </w:tr>
      <w:tr w:rsidR="00C07D35" w14:paraId="02DDD5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7AEF7D"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64424987" w14:textId="77777777" w:rsidR="00C07D35" w:rsidRDefault="00A4668D">
            <w:pPr>
              <w:pStyle w:val="Normal11"/>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245" w:type="dxa"/>
            <w:tcBorders>
              <w:top w:val="nil"/>
              <w:left w:val="nil"/>
              <w:bottom w:val="nil"/>
              <w:right w:val="nil"/>
              <w:tl2br w:val="nil"/>
              <w:tr2bl w:val="nil"/>
            </w:tcBorders>
            <w:shd w:val="clear" w:color="FFFFFF" w:fill="FFFFFF"/>
            <w:tcMar>
              <w:left w:w="0" w:type="dxa"/>
              <w:right w:w="0" w:type="dxa"/>
            </w:tcMar>
          </w:tcPr>
          <w:p w14:paraId="5E0BA5F2"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EA1B6A"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2A9DEE"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F98702"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D1F83"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6E9884" w14:textId="77777777" w:rsidR="00C07D35" w:rsidRDefault="00C07D35">
            <w:pPr>
              <w:pStyle w:val="Normal11"/>
              <w:rPr>
                <w:rFonts w:ascii="Calibri" w:eastAsia="Calibri" w:hAnsi="Calibri" w:cs="Calibri"/>
                <w:color w:val="000000"/>
                <w:sz w:val="18"/>
              </w:rPr>
            </w:pPr>
          </w:p>
        </w:tc>
      </w:tr>
      <w:tr w:rsidR="00C07D35" w14:paraId="5EB3FD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43FA92"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31F05D27" w14:textId="77777777" w:rsidR="00C07D35" w:rsidRDefault="00C07D35">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6D326ECB"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D1427B"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F02F57"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550175"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25D239"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FEC40E" w14:textId="77777777" w:rsidR="00C07D35" w:rsidRDefault="00C07D35">
            <w:pPr>
              <w:pStyle w:val="Normal11"/>
              <w:rPr>
                <w:rFonts w:ascii="Calibri" w:eastAsia="Calibri" w:hAnsi="Calibri" w:cs="Calibri"/>
                <w:color w:val="000000"/>
                <w:sz w:val="18"/>
              </w:rPr>
            </w:pPr>
          </w:p>
        </w:tc>
      </w:tr>
      <w:tr w:rsidR="00C07D35" w14:paraId="73196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0DAB6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3975EE87"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245" w:type="dxa"/>
            <w:tcBorders>
              <w:top w:val="nil"/>
              <w:left w:val="nil"/>
              <w:bottom w:val="nil"/>
              <w:right w:val="nil"/>
              <w:tl2br w:val="nil"/>
              <w:tr2bl w:val="nil"/>
            </w:tcBorders>
            <w:shd w:val="clear" w:color="FFFFFF" w:fill="FFFFFF"/>
            <w:tcMar>
              <w:left w:w="101" w:type="dxa"/>
              <w:right w:w="101" w:type="dxa"/>
            </w:tcMar>
          </w:tcPr>
          <w:p w14:paraId="7C4C95E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11F5EC4"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B834052"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5476FB2"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94B457"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3D73BAF"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1639A2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79DE8C"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E5B80FE" w14:textId="77777777" w:rsidR="00C07D35" w:rsidRDefault="00C07D35">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27706BD6"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E5C93C"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65CA20"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082AD5"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5FF4F0"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446092" w14:textId="77777777" w:rsidR="00C07D35" w:rsidRDefault="00C07D35">
            <w:pPr>
              <w:pStyle w:val="Normal11"/>
              <w:rPr>
                <w:rFonts w:ascii="Calibri" w:eastAsia="Calibri" w:hAnsi="Calibri" w:cs="Calibri"/>
                <w:color w:val="000000"/>
                <w:sz w:val="18"/>
              </w:rPr>
            </w:pPr>
          </w:p>
        </w:tc>
      </w:tr>
      <w:tr w:rsidR="00C07D35" w14:paraId="0ADC3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1CAE4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3,211</w:t>
            </w:r>
          </w:p>
        </w:tc>
        <w:tc>
          <w:tcPr>
            <w:tcW w:w="2175" w:type="dxa"/>
            <w:tcBorders>
              <w:top w:val="nil"/>
              <w:left w:val="nil"/>
              <w:bottom w:val="nil"/>
              <w:right w:val="nil"/>
              <w:tl2br w:val="nil"/>
              <w:tr2bl w:val="nil"/>
            </w:tcBorders>
            <w:shd w:val="clear" w:color="FFFFFF" w:fill="FFFFFF"/>
            <w:noWrap/>
            <w:tcMar>
              <w:left w:w="101" w:type="dxa"/>
              <w:right w:w="101" w:type="dxa"/>
            </w:tcMar>
          </w:tcPr>
          <w:p w14:paraId="33575541"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TOTAL ASSETS</w:t>
            </w:r>
          </w:p>
        </w:tc>
        <w:tc>
          <w:tcPr>
            <w:tcW w:w="1245" w:type="dxa"/>
            <w:tcBorders>
              <w:top w:val="nil"/>
              <w:left w:val="nil"/>
              <w:bottom w:val="nil"/>
              <w:right w:val="nil"/>
              <w:tl2br w:val="nil"/>
              <w:tr2bl w:val="nil"/>
            </w:tcBorders>
            <w:shd w:val="clear" w:color="FFFFFF" w:fill="FFFFFF"/>
            <w:tcMar>
              <w:left w:w="101" w:type="dxa"/>
              <w:right w:w="101" w:type="dxa"/>
            </w:tcMar>
          </w:tcPr>
          <w:p w14:paraId="386E689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7EAE673A"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03BB1323"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AD9CAF4"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504BD70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0885AA20"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r>
      <w:tr w:rsidR="00C07D35" w14:paraId="60A58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D17E98"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28F25B25" w14:textId="77777777" w:rsidR="00C07D35" w:rsidRDefault="00C07D35">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749F70AE"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B2C60A"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6426CE"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317704"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AFA78D"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BB908F" w14:textId="77777777" w:rsidR="00C07D35" w:rsidRDefault="00C07D35">
            <w:pPr>
              <w:pStyle w:val="Normal11"/>
              <w:rPr>
                <w:rFonts w:ascii="Calibri" w:eastAsia="Calibri" w:hAnsi="Calibri" w:cs="Calibri"/>
                <w:color w:val="000000"/>
                <w:sz w:val="18"/>
              </w:rPr>
            </w:pPr>
          </w:p>
        </w:tc>
      </w:tr>
      <w:tr w:rsidR="00C07D35" w14:paraId="612AC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C308D1"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5A360FB8"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Current Liabilities</w:t>
            </w:r>
          </w:p>
        </w:tc>
        <w:tc>
          <w:tcPr>
            <w:tcW w:w="1245" w:type="dxa"/>
            <w:tcBorders>
              <w:top w:val="nil"/>
              <w:left w:val="nil"/>
              <w:bottom w:val="nil"/>
              <w:right w:val="nil"/>
              <w:tl2br w:val="nil"/>
              <w:tr2bl w:val="nil"/>
            </w:tcBorders>
            <w:shd w:val="clear" w:color="FFFFFF" w:fill="FFFFFF"/>
            <w:tcMar>
              <w:left w:w="0" w:type="dxa"/>
              <w:right w:w="0" w:type="dxa"/>
            </w:tcMar>
          </w:tcPr>
          <w:p w14:paraId="6705DEDB"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436FAB"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1FD37B"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00DFC9"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961484"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DAE0B" w14:textId="77777777" w:rsidR="00C07D35" w:rsidRDefault="00C07D35">
            <w:pPr>
              <w:pStyle w:val="Normal11"/>
              <w:rPr>
                <w:rFonts w:ascii="Calibri" w:eastAsia="Calibri" w:hAnsi="Calibri" w:cs="Calibri"/>
                <w:color w:val="000000"/>
                <w:sz w:val="18"/>
              </w:rPr>
            </w:pPr>
          </w:p>
        </w:tc>
      </w:tr>
      <w:tr w:rsidR="00C07D35" w14:paraId="331FE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46199B"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165139B6" w14:textId="77777777" w:rsidR="00C07D35" w:rsidRDefault="00C07D35">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451FABE5"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12538B"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1BF628" w14:textId="77777777" w:rsidR="00C07D35" w:rsidRDefault="00C07D35">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BF1D59"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D59761"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1D38FC" w14:textId="77777777" w:rsidR="00C07D35" w:rsidRDefault="00C07D35">
            <w:pPr>
              <w:pStyle w:val="Normal11"/>
              <w:rPr>
                <w:rFonts w:ascii="Calibri" w:eastAsia="Calibri" w:hAnsi="Calibri" w:cs="Calibri"/>
                <w:color w:val="000000"/>
                <w:sz w:val="18"/>
              </w:rPr>
            </w:pPr>
          </w:p>
        </w:tc>
      </w:tr>
      <w:tr w:rsidR="00C07D35" w14:paraId="358AB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A8EBA3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008B0D7A"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Total Current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7190C2F4"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940F57"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01D55FF"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078E5D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171B0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6751A9C"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4AD86D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517231B"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03AA9875" w14:textId="77777777" w:rsidR="00C07D35" w:rsidRDefault="00C07D35">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42A76538"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E2EF56"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046F7C" w14:textId="77777777" w:rsidR="00C07D35" w:rsidRDefault="00C07D35">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35DF8F"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CE3FEC"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772BCE" w14:textId="77777777" w:rsidR="00C07D35" w:rsidRDefault="00C07D35">
            <w:pPr>
              <w:pStyle w:val="Normal11"/>
              <w:rPr>
                <w:rFonts w:ascii="Calibri" w:eastAsia="Calibri" w:hAnsi="Calibri" w:cs="Calibri"/>
                <w:color w:val="000000"/>
                <w:sz w:val="18"/>
              </w:rPr>
            </w:pPr>
          </w:p>
        </w:tc>
      </w:tr>
      <w:tr w:rsidR="00C07D35" w14:paraId="2A4A31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BE71424"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1AFCA71C"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TOTAL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69A3A4BA"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5F35F5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49C87E9"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416B530"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631A71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9E4D19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2B3B6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674C69"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4EB5EA4" w14:textId="77777777" w:rsidR="00C07D35" w:rsidRDefault="00C07D35">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49A9538"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5B3E71"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773844"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B6398E"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CAE6E8"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0948D2" w14:textId="77777777" w:rsidR="00C07D35" w:rsidRDefault="00C07D35">
            <w:pPr>
              <w:pStyle w:val="Normal11"/>
              <w:rPr>
                <w:rFonts w:ascii="Calibri" w:eastAsia="Calibri" w:hAnsi="Calibri" w:cs="Calibri"/>
                <w:color w:val="000000"/>
                <w:sz w:val="18"/>
              </w:rPr>
            </w:pPr>
          </w:p>
        </w:tc>
      </w:tr>
      <w:tr w:rsidR="00C07D35" w14:paraId="5A3992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01A401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3,211</w:t>
            </w:r>
          </w:p>
        </w:tc>
        <w:tc>
          <w:tcPr>
            <w:tcW w:w="2175" w:type="dxa"/>
            <w:tcBorders>
              <w:top w:val="nil"/>
              <w:left w:val="nil"/>
              <w:bottom w:val="nil"/>
              <w:right w:val="nil"/>
              <w:tl2br w:val="nil"/>
              <w:tr2bl w:val="nil"/>
            </w:tcBorders>
            <w:shd w:val="clear" w:color="FFFFFF" w:fill="FFFFFF"/>
            <w:noWrap/>
            <w:tcMar>
              <w:left w:w="101" w:type="dxa"/>
              <w:right w:w="101" w:type="dxa"/>
            </w:tcMar>
          </w:tcPr>
          <w:p w14:paraId="2A1921A6"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NET ASSETS</w:t>
            </w:r>
          </w:p>
        </w:tc>
        <w:tc>
          <w:tcPr>
            <w:tcW w:w="1245" w:type="dxa"/>
            <w:tcBorders>
              <w:top w:val="nil"/>
              <w:left w:val="nil"/>
              <w:bottom w:val="nil"/>
              <w:right w:val="nil"/>
              <w:tl2br w:val="nil"/>
              <w:tr2bl w:val="nil"/>
            </w:tcBorders>
            <w:shd w:val="clear" w:color="FFFFFF" w:fill="FFFFFF"/>
            <w:noWrap/>
            <w:tcMar>
              <w:left w:w="101" w:type="dxa"/>
              <w:right w:w="101" w:type="dxa"/>
            </w:tcMar>
          </w:tcPr>
          <w:p w14:paraId="212CA3BD"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4892599C"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3184883E"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46B92CE"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6DEBD255"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0AF0FD7E"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r>
      <w:tr w:rsidR="00C07D35" w14:paraId="28602F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C68B3A" w14:textId="77777777" w:rsidR="00C07D35" w:rsidRDefault="00C07D35">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74D816F2" w14:textId="77777777" w:rsidR="00C07D35" w:rsidRDefault="00C07D35">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20F52AE4"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7B32BC" w14:textId="77777777" w:rsidR="00C07D35" w:rsidRDefault="00C07D35">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564232"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364137"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0DF01" w14:textId="77777777" w:rsidR="00C07D35" w:rsidRDefault="00C07D35">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28054C" w14:textId="77777777" w:rsidR="00C07D35" w:rsidRDefault="00C07D35">
            <w:pPr>
              <w:pStyle w:val="Normal11"/>
              <w:rPr>
                <w:rFonts w:ascii="Calibri" w:eastAsia="Calibri" w:hAnsi="Calibri" w:cs="Calibri"/>
                <w:color w:val="000000"/>
                <w:sz w:val="18"/>
              </w:rPr>
            </w:pPr>
          </w:p>
        </w:tc>
      </w:tr>
      <w:tr w:rsidR="00C07D35" w14:paraId="3A6066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1C09A5" w14:textId="77777777" w:rsidR="00C07D35" w:rsidRDefault="00C07D35">
            <w:pPr>
              <w:pStyle w:val="Normal11"/>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07AAB14C"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C07D35" w14:paraId="67F8C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486D87"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3,211</w:t>
            </w:r>
          </w:p>
        </w:tc>
        <w:tc>
          <w:tcPr>
            <w:tcW w:w="2175" w:type="dxa"/>
            <w:tcBorders>
              <w:top w:val="nil"/>
              <w:left w:val="nil"/>
              <w:bottom w:val="nil"/>
              <w:right w:val="nil"/>
              <w:tl2br w:val="nil"/>
              <w:tr2bl w:val="nil"/>
            </w:tcBorders>
            <w:shd w:val="clear" w:color="FFFFFF" w:fill="FFFFFF"/>
            <w:noWrap/>
            <w:tcMar>
              <w:left w:w="101" w:type="dxa"/>
              <w:right w:w="101" w:type="dxa"/>
            </w:tcMar>
          </w:tcPr>
          <w:p w14:paraId="389E9CA6" w14:textId="77777777" w:rsidR="00C07D35" w:rsidRDefault="00A4668D">
            <w:pPr>
              <w:pStyle w:val="Normal11"/>
              <w:rPr>
                <w:rFonts w:ascii="Calibri" w:eastAsia="Calibri" w:hAnsi="Calibri" w:cs="Calibri"/>
                <w:color w:val="000000"/>
                <w:sz w:val="18"/>
              </w:rPr>
            </w:pPr>
            <w:r>
              <w:rPr>
                <w:rFonts w:ascii="Calibri" w:eastAsia="Calibri" w:hAnsi="Calibri" w:cs="Calibri"/>
                <w:color w:val="000000"/>
                <w:sz w:val="18"/>
              </w:rPr>
              <w:t>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37EC6685"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0325CA78"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5BD52260"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A94B357"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55B0E1C0"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7DD17816" w14:textId="77777777" w:rsidR="00C07D35" w:rsidRDefault="00A4668D">
            <w:pPr>
              <w:pStyle w:val="Normal11"/>
              <w:jc w:val="right"/>
              <w:rPr>
                <w:rFonts w:ascii="Calibri" w:eastAsia="Calibri" w:hAnsi="Calibri" w:cs="Calibri"/>
                <w:color w:val="000000"/>
                <w:sz w:val="18"/>
              </w:rPr>
            </w:pPr>
            <w:r>
              <w:rPr>
                <w:rFonts w:ascii="Calibri" w:eastAsia="Calibri" w:hAnsi="Calibri" w:cs="Calibri"/>
                <w:color w:val="000000"/>
                <w:sz w:val="18"/>
              </w:rPr>
              <w:t>4,754</w:t>
            </w:r>
          </w:p>
        </w:tc>
      </w:tr>
      <w:tr w:rsidR="00C07D35" w14:paraId="1EB3C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2C8861" w14:textId="77777777" w:rsidR="00C07D35" w:rsidRDefault="00C07D35">
            <w:pPr>
              <w:pStyle w:val="Normal11"/>
              <w:rPr>
                <w:rFonts w:ascii="Calibri" w:eastAsia="Calibri" w:hAnsi="Calibri" w:cs="Calibri"/>
                <w:b/>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7A78DCD5" w14:textId="77777777" w:rsidR="00C07D35" w:rsidRDefault="00C07D35">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09BCD14A" w14:textId="77777777" w:rsidR="00C07D35" w:rsidRDefault="00C07D35">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B5CBBE" w14:textId="77777777" w:rsidR="00C07D35" w:rsidRDefault="00C07D35">
            <w:pPr>
              <w:pStyle w:val="Normal11"/>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55F2EA" w14:textId="77777777" w:rsidR="00C07D35" w:rsidRDefault="00C07D35">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54F25F" w14:textId="77777777" w:rsidR="00C07D35" w:rsidRDefault="00C07D35">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E2E7A1" w14:textId="77777777" w:rsidR="00C07D35" w:rsidRDefault="00C07D35">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DCB90C" w14:textId="77777777" w:rsidR="00C07D35" w:rsidRDefault="00C07D35">
            <w:pPr>
              <w:pStyle w:val="Normal11"/>
              <w:rPr>
                <w:rFonts w:ascii="Calibri" w:eastAsia="Calibri" w:hAnsi="Calibri" w:cs="Calibri"/>
                <w:b/>
                <w:color w:val="000000"/>
                <w:sz w:val="18"/>
              </w:rPr>
            </w:pPr>
          </w:p>
        </w:tc>
      </w:tr>
      <w:tr w:rsidR="00C07D35" w14:paraId="46565B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1B12A7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3,211</w:t>
            </w:r>
          </w:p>
        </w:tc>
        <w:tc>
          <w:tcPr>
            <w:tcW w:w="2175" w:type="dxa"/>
            <w:tcBorders>
              <w:top w:val="nil"/>
              <w:left w:val="nil"/>
              <w:bottom w:val="nil"/>
              <w:right w:val="nil"/>
              <w:tl2br w:val="nil"/>
              <w:tr2bl w:val="nil"/>
            </w:tcBorders>
            <w:shd w:val="clear" w:color="FFFFFF" w:fill="FFFFFF"/>
            <w:noWrap/>
            <w:tcMar>
              <w:left w:w="101" w:type="dxa"/>
              <w:right w:w="101" w:type="dxa"/>
            </w:tcMar>
          </w:tcPr>
          <w:p w14:paraId="34B62E68" w14:textId="77777777" w:rsidR="00C07D35" w:rsidRDefault="00A4668D">
            <w:pPr>
              <w:pStyle w:val="Normal11"/>
              <w:rPr>
                <w:rFonts w:ascii="Calibri" w:eastAsia="Calibri" w:hAnsi="Calibri" w:cs="Calibri"/>
                <w:b/>
                <w:color w:val="000000"/>
                <w:sz w:val="18"/>
              </w:rPr>
            </w:pPr>
            <w:r>
              <w:rPr>
                <w:rFonts w:ascii="Calibri" w:eastAsia="Calibri" w:hAnsi="Calibri" w:cs="Calibri"/>
                <w:b/>
                <w:color w:val="000000"/>
                <w:sz w:val="18"/>
              </w:rPr>
              <w:t>TOTAL FUNDS EMPLOYED</w:t>
            </w:r>
          </w:p>
        </w:tc>
        <w:tc>
          <w:tcPr>
            <w:tcW w:w="1245" w:type="dxa"/>
            <w:tcBorders>
              <w:top w:val="nil"/>
              <w:left w:val="nil"/>
              <w:bottom w:val="nil"/>
              <w:right w:val="nil"/>
              <w:tl2br w:val="nil"/>
              <w:tr2bl w:val="nil"/>
            </w:tcBorders>
            <w:shd w:val="clear" w:color="FFFFFF" w:fill="FFFFFF"/>
            <w:noWrap/>
            <w:tcMar>
              <w:left w:w="101" w:type="dxa"/>
              <w:right w:w="101" w:type="dxa"/>
            </w:tcMar>
          </w:tcPr>
          <w:p w14:paraId="4C1F2146"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614C5DEF"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49BC7C0E"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5EF003F2"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38D4331B"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3FB964A1" w14:textId="77777777" w:rsidR="00C07D35" w:rsidRDefault="00A4668D">
            <w:pPr>
              <w:pStyle w:val="Normal11"/>
              <w:jc w:val="right"/>
              <w:rPr>
                <w:rFonts w:ascii="Calibri" w:eastAsia="Calibri" w:hAnsi="Calibri" w:cs="Calibri"/>
                <w:b/>
                <w:color w:val="000000"/>
                <w:sz w:val="18"/>
              </w:rPr>
            </w:pPr>
            <w:r>
              <w:rPr>
                <w:rFonts w:ascii="Calibri" w:eastAsia="Calibri" w:hAnsi="Calibri" w:cs="Calibri"/>
                <w:b/>
                <w:color w:val="000000"/>
                <w:sz w:val="18"/>
              </w:rPr>
              <w:t>4,754</w:t>
            </w:r>
          </w:p>
        </w:tc>
      </w:tr>
      <w:tr w:rsidR="00C07D35" w14:paraId="4700F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A0D26E8" w14:textId="77777777" w:rsidR="00C07D35" w:rsidRDefault="00C07D35">
            <w:pPr>
              <w:pStyle w:val="Normal11"/>
              <w:rPr>
                <w:rFonts w:ascii="Calibri" w:eastAsia="Calibri" w:hAnsi="Calibri" w:cs="Calibri"/>
                <w:color w:val="000000"/>
                <w:sz w:val="18"/>
              </w:rPr>
            </w:pPr>
          </w:p>
        </w:tc>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659A8525" w14:textId="77777777" w:rsidR="00C07D35" w:rsidRDefault="00C07D35">
            <w:pPr>
              <w:pStyle w:val="Normal11"/>
              <w:rPr>
                <w:rFonts w:ascii="Calibri" w:eastAsia="Calibri" w:hAnsi="Calibri" w:cs="Calibri"/>
                <w:color w:val="000000"/>
                <w:sz w:val="18"/>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73F2C7D0" w14:textId="77777777" w:rsidR="00C07D35" w:rsidRDefault="00C07D35">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3E85B91" w14:textId="77777777" w:rsidR="00C07D35" w:rsidRDefault="00C07D35">
            <w:pPr>
              <w:pStyle w:val="Normal11"/>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40D9DD2" w14:textId="77777777" w:rsidR="00C07D35" w:rsidRDefault="00C07D35">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96C5A74" w14:textId="77777777" w:rsidR="00C07D35" w:rsidRDefault="00C07D35">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CD6F3D3" w14:textId="77777777" w:rsidR="00C07D35" w:rsidRDefault="00C07D35">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D54BDC4" w14:textId="77777777" w:rsidR="00C07D35" w:rsidRDefault="00C07D35">
            <w:pPr>
              <w:pStyle w:val="Normal11"/>
              <w:rPr>
                <w:rFonts w:ascii="Calibri" w:eastAsia="Calibri" w:hAnsi="Calibri" w:cs="Calibri"/>
                <w:color w:val="000000"/>
                <w:sz w:val="18"/>
              </w:rPr>
            </w:pPr>
          </w:p>
        </w:tc>
      </w:tr>
    </w:tbl>
    <w:p w14:paraId="61BC1C85" w14:textId="77777777" w:rsidR="00D70523" w:rsidRDefault="00D70523">
      <w:pPr>
        <w:spacing w:before="0" w:after="0"/>
        <w:rPr>
          <w:b/>
          <w:bCs/>
          <w:color w:val="000000"/>
          <w:sz w:val="22"/>
          <w:szCs w:val="18"/>
        </w:rPr>
      </w:pPr>
      <w:bookmarkStart w:id="44" w:name="_Ref515305570"/>
      <w:r>
        <w:br w:type="page"/>
      </w:r>
    </w:p>
    <w:p w14:paraId="0B6D6952" w14:textId="5DBAC8F4" w:rsidR="00A4668D" w:rsidRPr="009B235F" w:rsidRDefault="00A4668D" w:rsidP="009B235F">
      <w:pPr>
        <w:pStyle w:val="Caption"/>
      </w:pPr>
      <w:r w:rsidRPr="009B235F">
        <w:lastRenderedPageBreak/>
        <w:t xml:space="preserve">Table </w:t>
      </w:r>
      <w:fldSimple w:instr=" SEQ Table \* ARABIC ">
        <w:r w:rsidR="001E4FEE" w:rsidRPr="009B235F">
          <w:t>29</w:t>
        </w:r>
      </w:fldSimple>
      <w:bookmarkEnd w:id="44"/>
      <w:r w:rsidRPr="009B235F">
        <w:t>: Community Services Directorate: Cash Flow Statement on behalf of the Territory</w:t>
      </w:r>
    </w:p>
    <w:tbl>
      <w:tblPr>
        <w:tblStyle w:val="CDMRange2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07D35" w14:paraId="46BB9DC8" w14:textId="77777777">
        <w:trPr>
          <w:trHeight w:val="994"/>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F6E3465"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41DCFD14" w14:textId="77777777" w:rsidR="00C07D35" w:rsidRDefault="00C07D35">
            <w:pPr>
              <w:pStyle w:val="Normal12"/>
              <w:jc w:val="right"/>
              <w:rPr>
                <w:rFonts w:ascii="Calibri" w:eastAsia="Calibri" w:hAnsi="Calibri" w:cs="Calibri"/>
                <w:b/>
                <w:color w:val="000000"/>
                <w:sz w:val="18"/>
              </w:rPr>
            </w:pPr>
          </w:p>
          <w:p w14:paraId="55E5C1CE"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A48D7FF" w14:textId="77777777" w:rsidR="00C07D35" w:rsidRDefault="00C07D35">
            <w:pPr>
              <w:pStyle w:val="Normal12"/>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7933B84"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2020-21 Interim</w:t>
            </w:r>
          </w:p>
          <w:p w14:paraId="365EDD51"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Outcome</w:t>
            </w:r>
          </w:p>
          <w:p w14:paraId="705D464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55D706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CACEC6A" w14:textId="77777777" w:rsidR="00C07D35" w:rsidRDefault="00C07D35">
            <w:pPr>
              <w:pStyle w:val="Normal12"/>
              <w:jc w:val="right"/>
              <w:rPr>
                <w:rFonts w:ascii="Calibri" w:eastAsia="Calibri" w:hAnsi="Calibri" w:cs="Calibri"/>
                <w:b/>
                <w:color w:val="000000"/>
                <w:sz w:val="18"/>
              </w:rPr>
            </w:pPr>
          </w:p>
          <w:p w14:paraId="00F67AA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CCDC0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Var </w:t>
            </w:r>
          </w:p>
          <w:p w14:paraId="7020925D"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C9BDF21"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72CBAF0E" w14:textId="77777777" w:rsidR="00C07D35" w:rsidRDefault="00C07D35">
            <w:pPr>
              <w:pStyle w:val="Normal12"/>
              <w:jc w:val="right"/>
              <w:rPr>
                <w:rFonts w:ascii="Calibri" w:eastAsia="Calibri" w:hAnsi="Calibri" w:cs="Calibri"/>
                <w:b/>
                <w:color w:val="000000"/>
                <w:sz w:val="18"/>
              </w:rPr>
            </w:pPr>
          </w:p>
          <w:p w14:paraId="0B07A38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F1913D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401ACF82" w14:textId="77777777" w:rsidR="00C07D35" w:rsidRDefault="00C07D35">
            <w:pPr>
              <w:pStyle w:val="Normal12"/>
              <w:jc w:val="right"/>
              <w:rPr>
                <w:rFonts w:ascii="Calibri" w:eastAsia="Calibri" w:hAnsi="Calibri" w:cs="Calibri"/>
                <w:b/>
                <w:color w:val="000000"/>
                <w:sz w:val="18"/>
              </w:rPr>
            </w:pPr>
          </w:p>
          <w:p w14:paraId="5F97951A"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53FEF58"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10CDE833" w14:textId="77777777" w:rsidR="00C07D35" w:rsidRDefault="00C07D35">
            <w:pPr>
              <w:pStyle w:val="Normal12"/>
              <w:jc w:val="right"/>
              <w:rPr>
                <w:rFonts w:ascii="Calibri" w:eastAsia="Calibri" w:hAnsi="Calibri" w:cs="Calibri"/>
                <w:b/>
                <w:color w:val="000000"/>
                <w:sz w:val="18"/>
              </w:rPr>
            </w:pPr>
          </w:p>
          <w:p w14:paraId="4651AF37"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07D35" w14:paraId="7C543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6A0E277" w14:textId="77777777" w:rsidR="00C07D35" w:rsidRDefault="00C07D35">
            <w:pPr>
              <w:pStyle w:val="Normal12"/>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51CBCC9" w14:textId="77777777" w:rsidR="00C07D35" w:rsidRDefault="00C07D35">
            <w:pPr>
              <w:pStyle w:val="Normal12"/>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A831E6C" w14:textId="77777777" w:rsidR="00C07D35" w:rsidRDefault="00C07D35">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332DFF0" w14:textId="77777777" w:rsidR="00C07D35" w:rsidRDefault="00C07D35">
            <w:pPr>
              <w:pStyle w:val="Normal12"/>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61C5D7B2" w14:textId="77777777" w:rsidR="00C07D35" w:rsidRDefault="00C07D35">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DF0BBE0" w14:textId="77777777" w:rsidR="00C07D35" w:rsidRDefault="00C07D35">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7647604" w14:textId="77777777" w:rsidR="00C07D35" w:rsidRDefault="00C07D35">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41031D4" w14:textId="77777777" w:rsidR="00C07D35" w:rsidRDefault="00C07D35">
            <w:pPr>
              <w:pStyle w:val="Normal12"/>
              <w:jc w:val="right"/>
              <w:rPr>
                <w:rFonts w:ascii="Calibri" w:eastAsia="Calibri" w:hAnsi="Calibri" w:cs="Calibri"/>
                <w:b/>
                <w:i/>
                <w:color w:val="000000"/>
                <w:sz w:val="18"/>
              </w:rPr>
            </w:pPr>
          </w:p>
        </w:tc>
      </w:tr>
      <w:tr w:rsidR="00C07D35" w14:paraId="795D6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451805AF" w14:textId="77777777" w:rsidR="00C07D35" w:rsidRDefault="00C07D35">
            <w:pPr>
              <w:pStyle w:val="Normal1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59ED4FA"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C07D35" w14:paraId="624DA5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A4F0A1"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8AFF7F9"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1C9011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3BD64D"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9926FC"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79514F"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3133A5"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9702A7" w14:textId="77777777" w:rsidR="00C07D35" w:rsidRDefault="00C07D35">
            <w:pPr>
              <w:pStyle w:val="Normal12"/>
              <w:rPr>
                <w:rFonts w:ascii="Calibri" w:eastAsia="Calibri" w:hAnsi="Calibri" w:cs="Calibri"/>
                <w:color w:val="000000"/>
                <w:sz w:val="18"/>
              </w:rPr>
            </w:pPr>
          </w:p>
        </w:tc>
      </w:tr>
      <w:tr w:rsidR="00C07D35" w14:paraId="27332A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E50B1C"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8E82038" w14:textId="77777777" w:rsidR="00C07D35" w:rsidRDefault="00A4668D">
            <w:pPr>
              <w:pStyle w:val="Normal12"/>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C28BF29"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23A7849"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825740B"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FE19693"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5A514E"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FEDF740"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r>
      <w:tr w:rsidR="00C07D35" w14:paraId="636A50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014218"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160,560</w:t>
            </w:r>
          </w:p>
        </w:tc>
        <w:tc>
          <w:tcPr>
            <w:tcW w:w="2385" w:type="dxa"/>
            <w:tcBorders>
              <w:top w:val="nil"/>
              <w:left w:val="nil"/>
              <w:bottom w:val="nil"/>
              <w:right w:val="nil"/>
              <w:tl2br w:val="nil"/>
              <w:tr2bl w:val="nil"/>
            </w:tcBorders>
            <w:shd w:val="clear" w:color="auto" w:fill="auto"/>
            <w:noWrap/>
            <w:tcMar>
              <w:left w:w="101" w:type="dxa"/>
              <w:right w:w="101" w:type="dxa"/>
            </w:tcMar>
          </w:tcPr>
          <w:p w14:paraId="585187AE" w14:textId="77777777" w:rsidR="00C07D35" w:rsidRDefault="00A4668D">
            <w:pPr>
              <w:pStyle w:val="Normal12"/>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4ACF0CE1"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161,161</w:t>
            </w:r>
          </w:p>
        </w:tc>
        <w:tc>
          <w:tcPr>
            <w:tcW w:w="1035" w:type="dxa"/>
            <w:tcBorders>
              <w:top w:val="nil"/>
              <w:left w:val="nil"/>
              <w:bottom w:val="nil"/>
              <w:right w:val="nil"/>
              <w:tl2br w:val="nil"/>
              <w:tr2bl w:val="nil"/>
            </w:tcBorders>
            <w:shd w:val="clear" w:color="FFFFFF" w:fill="FFFFFF"/>
            <w:tcMar>
              <w:left w:w="101" w:type="dxa"/>
              <w:right w:w="101" w:type="dxa"/>
            </w:tcMar>
          </w:tcPr>
          <w:p w14:paraId="042DF872"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72A0E5AF"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198543A"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6BE3ED0A"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22098CC6"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188,230</w:t>
            </w:r>
          </w:p>
        </w:tc>
      </w:tr>
      <w:tr w:rsidR="00C07D35" w14:paraId="0D439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9AB23F"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49B4CAEA" w14:textId="77777777" w:rsidR="00C07D35" w:rsidRDefault="00A4668D">
            <w:pPr>
              <w:pStyle w:val="Normal12"/>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7D95D68"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-601</w:t>
            </w:r>
          </w:p>
        </w:tc>
        <w:tc>
          <w:tcPr>
            <w:tcW w:w="1035" w:type="dxa"/>
            <w:tcBorders>
              <w:top w:val="nil"/>
              <w:left w:val="nil"/>
              <w:bottom w:val="nil"/>
              <w:right w:val="nil"/>
              <w:tl2br w:val="nil"/>
              <w:tr2bl w:val="nil"/>
            </w:tcBorders>
            <w:shd w:val="clear" w:color="FFFFFF" w:fill="FFFFFF"/>
            <w:tcMar>
              <w:left w:w="101" w:type="dxa"/>
              <w:right w:w="101" w:type="dxa"/>
            </w:tcMar>
          </w:tcPr>
          <w:p w14:paraId="28E14163"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4964E4D"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546C9EB"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BD366E"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DDEFC0"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0</w:t>
            </w:r>
          </w:p>
        </w:tc>
      </w:tr>
      <w:tr w:rsidR="00C07D35" w14:paraId="54249A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2FFBB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160,560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4CD93BA7"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4D26649"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160,560</w:t>
            </w:r>
          </w:p>
        </w:tc>
        <w:tc>
          <w:tcPr>
            <w:tcW w:w="1035" w:type="dxa"/>
            <w:tcBorders>
              <w:top w:val="nil"/>
              <w:left w:val="nil"/>
              <w:bottom w:val="nil"/>
              <w:right w:val="nil"/>
              <w:tl2br w:val="nil"/>
              <w:tr2bl w:val="nil"/>
            </w:tcBorders>
            <w:shd w:val="clear" w:color="FFFFFF" w:fill="FFFFFF"/>
            <w:tcMar>
              <w:left w:w="101" w:type="dxa"/>
              <w:right w:w="101" w:type="dxa"/>
            </w:tcMar>
          </w:tcPr>
          <w:p w14:paraId="56AAD895"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7343B2B4"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72B96C9"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2E444602"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0C3E7BE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188,230</w:t>
            </w:r>
          </w:p>
        </w:tc>
      </w:tr>
      <w:tr w:rsidR="00C07D35" w14:paraId="563B00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B5729B2" w14:textId="77777777" w:rsidR="00C07D35" w:rsidRDefault="00C07D35">
            <w:pPr>
              <w:pStyle w:val="Normal12"/>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E757B8"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D27AE"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87FF2C" w14:textId="77777777" w:rsidR="00C07D35" w:rsidRDefault="00C07D35">
            <w:pPr>
              <w:pStyle w:val="Normal12"/>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552755" w14:textId="77777777" w:rsidR="00C07D35" w:rsidRDefault="00C07D35">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D2B462"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ED889"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5DDCE" w14:textId="77777777" w:rsidR="00C07D35" w:rsidRDefault="00C07D35">
            <w:pPr>
              <w:pStyle w:val="Normal12"/>
              <w:rPr>
                <w:rFonts w:ascii="Calibri" w:eastAsia="Calibri" w:hAnsi="Calibri" w:cs="Calibri"/>
                <w:b/>
                <w:color w:val="000000"/>
                <w:sz w:val="18"/>
              </w:rPr>
            </w:pPr>
          </w:p>
        </w:tc>
      </w:tr>
      <w:tr w:rsidR="00C07D35" w14:paraId="3D606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7FBE3D"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FB1E701"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56F7D7B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1B9D2F"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6A112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1FFEF9"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56416"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5D5A5C" w14:textId="77777777" w:rsidR="00C07D35" w:rsidRDefault="00C07D35">
            <w:pPr>
              <w:pStyle w:val="Normal12"/>
              <w:rPr>
                <w:rFonts w:ascii="Calibri" w:eastAsia="Calibri" w:hAnsi="Calibri" w:cs="Calibri"/>
                <w:color w:val="000000"/>
                <w:sz w:val="18"/>
              </w:rPr>
            </w:pPr>
          </w:p>
        </w:tc>
      </w:tr>
      <w:tr w:rsidR="00C07D35" w14:paraId="288D9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90BC09"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160,560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698A6F99" w14:textId="77777777" w:rsidR="00C07D35" w:rsidRDefault="00A4668D">
            <w:pPr>
              <w:pStyle w:val="Normal12"/>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EE8219C"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159,292</w:t>
            </w:r>
          </w:p>
        </w:tc>
        <w:tc>
          <w:tcPr>
            <w:tcW w:w="1035" w:type="dxa"/>
            <w:tcBorders>
              <w:top w:val="nil"/>
              <w:left w:val="nil"/>
              <w:bottom w:val="nil"/>
              <w:right w:val="nil"/>
              <w:tl2br w:val="nil"/>
              <w:tr2bl w:val="nil"/>
            </w:tcBorders>
            <w:shd w:val="clear" w:color="FFFFFF" w:fill="FFFFFF"/>
            <w:tcMar>
              <w:left w:w="101" w:type="dxa"/>
              <w:right w:w="101" w:type="dxa"/>
            </w:tcMar>
          </w:tcPr>
          <w:p w14:paraId="2A5E667E"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028EBD54"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901F2EB"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1AD0EC14"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5BFD896A" w14:textId="77777777" w:rsidR="00C07D35" w:rsidRDefault="00A4668D">
            <w:pPr>
              <w:pStyle w:val="Normal12"/>
              <w:jc w:val="right"/>
              <w:rPr>
                <w:rFonts w:ascii="Calibri" w:eastAsia="Calibri" w:hAnsi="Calibri" w:cs="Calibri"/>
                <w:color w:val="000000"/>
                <w:sz w:val="18"/>
              </w:rPr>
            </w:pPr>
            <w:r>
              <w:rPr>
                <w:rFonts w:ascii="Calibri" w:eastAsia="Calibri" w:hAnsi="Calibri" w:cs="Calibri"/>
                <w:color w:val="000000"/>
                <w:sz w:val="18"/>
              </w:rPr>
              <w:t>188,230</w:t>
            </w:r>
          </w:p>
        </w:tc>
      </w:tr>
      <w:tr w:rsidR="00C07D35" w14:paraId="4B2D85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400721"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160,560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655E5D7E"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035A92D"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159,292</w:t>
            </w:r>
          </w:p>
        </w:tc>
        <w:tc>
          <w:tcPr>
            <w:tcW w:w="1035" w:type="dxa"/>
            <w:tcBorders>
              <w:top w:val="nil"/>
              <w:left w:val="nil"/>
              <w:bottom w:val="nil"/>
              <w:right w:val="nil"/>
              <w:tl2br w:val="nil"/>
              <w:tr2bl w:val="nil"/>
            </w:tcBorders>
            <w:shd w:val="clear" w:color="FFFFFF" w:fill="FFFFFF"/>
            <w:tcMar>
              <w:left w:w="101" w:type="dxa"/>
              <w:right w:w="101" w:type="dxa"/>
            </w:tcMar>
          </w:tcPr>
          <w:p w14:paraId="55A80D98"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167,161</w:t>
            </w:r>
          </w:p>
        </w:tc>
        <w:tc>
          <w:tcPr>
            <w:tcW w:w="600" w:type="dxa"/>
            <w:tcBorders>
              <w:top w:val="nil"/>
              <w:left w:val="nil"/>
              <w:bottom w:val="nil"/>
              <w:right w:val="nil"/>
              <w:tl2br w:val="nil"/>
              <w:tr2bl w:val="nil"/>
            </w:tcBorders>
            <w:shd w:val="clear" w:color="FFFFFF" w:fill="FFFFFF"/>
            <w:tcMar>
              <w:left w:w="101" w:type="dxa"/>
              <w:right w:w="101" w:type="dxa"/>
            </w:tcMar>
          </w:tcPr>
          <w:p w14:paraId="2B1E6FF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9B91D5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5DA81DB9"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180,990</w:t>
            </w:r>
          </w:p>
        </w:tc>
        <w:tc>
          <w:tcPr>
            <w:tcW w:w="1035" w:type="dxa"/>
            <w:tcBorders>
              <w:top w:val="nil"/>
              <w:left w:val="nil"/>
              <w:bottom w:val="nil"/>
              <w:right w:val="nil"/>
              <w:tl2br w:val="nil"/>
              <w:tr2bl w:val="nil"/>
            </w:tcBorders>
            <w:shd w:val="clear" w:color="FFFFFF" w:fill="FFFFFF"/>
            <w:tcMar>
              <w:left w:w="101" w:type="dxa"/>
              <w:right w:w="101" w:type="dxa"/>
            </w:tcMar>
          </w:tcPr>
          <w:p w14:paraId="1589311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188,230</w:t>
            </w:r>
          </w:p>
        </w:tc>
      </w:tr>
      <w:tr w:rsidR="00C07D35" w14:paraId="19FBE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C6EA993" w14:textId="77777777" w:rsidR="00C07D35" w:rsidRDefault="00C07D35">
            <w:pPr>
              <w:pStyle w:val="Normal12"/>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C6C30D0"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996F2F"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4B2CD4" w14:textId="77777777" w:rsidR="00C07D35" w:rsidRDefault="00C07D35">
            <w:pPr>
              <w:pStyle w:val="Normal12"/>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90370D1" w14:textId="77777777" w:rsidR="00C07D35" w:rsidRDefault="00C07D35">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0BFDC8"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13C52A" w14:textId="77777777" w:rsidR="00C07D35" w:rsidRDefault="00C07D35">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7F9820" w14:textId="77777777" w:rsidR="00C07D35" w:rsidRDefault="00C07D35">
            <w:pPr>
              <w:pStyle w:val="Normal12"/>
              <w:rPr>
                <w:rFonts w:ascii="Calibri" w:eastAsia="Calibri" w:hAnsi="Calibri" w:cs="Calibri"/>
                <w:b/>
                <w:color w:val="000000"/>
                <w:sz w:val="18"/>
              </w:rPr>
            </w:pPr>
          </w:p>
        </w:tc>
      </w:tr>
      <w:tr w:rsidR="00C07D35" w14:paraId="6BC7F3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2C873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A4D00FC"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72B848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7B875B92"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2D0E2E8"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29DA34A"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8E32E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43029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4AF389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E23893"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1A1458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F53C10"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0DFA7E"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4F94F4"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2450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EF2F6E"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B5B8A" w14:textId="77777777" w:rsidR="00C07D35" w:rsidRDefault="00C07D35">
            <w:pPr>
              <w:pStyle w:val="Normal12"/>
              <w:rPr>
                <w:rFonts w:ascii="Calibri" w:eastAsia="Calibri" w:hAnsi="Calibri" w:cs="Calibri"/>
                <w:color w:val="000000"/>
                <w:sz w:val="18"/>
              </w:rPr>
            </w:pPr>
          </w:p>
        </w:tc>
      </w:tr>
      <w:tr w:rsidR="00C07D35" w14:paraId="50AA70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DCF82E" w14:textId="77777777" w:rsidR="00C07D35" w:rsidRDefault="00C07D35">
            <w:pPr>
              <w:pStyle w:val="Normal1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729FBB6"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C07D35" w14:paraId="298461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5B72439"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DF562D1"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9DCCA09"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3F9A82"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171B8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8813FC"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7393BF"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F7E11F" w14:textId="77777777" w:rsidR="00C07D35" w:rsidRDefault="00C07D35">
            <w:pPr>
              <w:pStyle w:val="Normal12"/>
              <w:rPr>
                <w:rFonts w:ascii="Calibri" w:eastAsia="Calibri" w:hAnsi="Calibri" w:cs="Calibri"/>
                <w:color w:val="000000"/>
                <w:sz w:val="18"/>
              </w:rPr>
            </w:pPr>
          </w:p>
        </w:tc>
      </w:tr>
      <w:tr w:rsidR="00C07D35" w14:paraId="70B74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91634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2996EE9"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340A041"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150E5F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793BE8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A00190E"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CDFEC8"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B4308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2CABD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25D527E"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1327F5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4B349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2C9F54"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E92EA3" w14:textId="77777777" w:rsidR="00C07D35" w:rsidRDefault="00C07D35">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AEE3E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68FF36"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13979B" w14:textId="77777777" w:rsidR="00C07D35" w:rsidRDefault="00C07D35">
            <w:pPr>
              <w:pStyle w:val="Normal12"/>
              <w:rPr>
                <w:rFonts w:ascii="Calibri" w:eastAsia="Calibri" w:hAnsi="Calibri" w:cs="Calibri"/>
                <w:color w:val="000000"/>
                <w:sz w:val="18"/>
              </w:rPr>
            </w:pPr>
          </w:p>
        </w:tc>
      </w:tr>
      <w:tr w:rsidR="00C07D35" w14:paraId="4B7AE3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A6DD25"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77EB267"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128EEAB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CF4B65"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8C1E29" w14:textId="77777777" w:rsidR="00C07D35" w:rsidRDefault="00C07D35">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6DD4C7"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888D85"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A9D5C5" w14:textId="77777777" w:rsidR="00C07D35" w:rsidRDefault="00C07D35">
            <w:pPr>
              <w:pStyle w:val="Normal12"/>
              <w:rPr>
                <w:rFonts w:ascii="Calibri" w:eastAsia="Calibri" w:hAnsi="Calibri" w:cs="Calibri"/>
                <w:color w:val="000000"/>
                <w:sz w:val="18"/>
              </w:rPr>
            </w:pPr>
          </w:p>
        </w:tc>
      </w:tr>
      <w:tr w:rsidR="00C07D35" w14:paraId="358DFB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79BAC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CFF0A23"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F3489C7"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D965F74"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CD8958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BEDDC5F"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F2C1169"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8A4CE6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21451D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2FB6FFD"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303F33C"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712B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B61973"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BFB2D3D"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035C8B"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022319"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0977C8" w14:textId="77777777" w:rsidR="00C07D35" w:rsidRDefault="00C07D35">
            <w:pPr>
              <w:pStyle w:val="Normal12"/>
              <w:rPr>
                <w:rFonts w:ascii="Calibri" w:eastAsia="Calibri" w:hAnsi="Calibri" w:cs="Calibri"/>
                <w:color w:val="000000"/>
                <w:sz w:val="18"/>
              </w:rPr>
            </w:pPr>
          </w:p>
        </w:tc>
      </w:tr>
      <w:tr w:rsidR="00C07D35" w14:paraId="0C2CE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9076DF"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82D40FA"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4B2262F4"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3B03F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013954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A51FB38"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61F440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8825CC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4DD29B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2C1633"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35C7D7F"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4711E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85CD0A"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17CC7A"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0C47FB"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320BA1"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F4CFBE" w14:textId="77777777" w:rsidR="00C07D35" w:rsidRDefault="00C07D35">
            <w:pPr>
              <w:pStyle w:val="Normal12"/>
              <w:rPr>
                <w:rFonts w:ascii="Calibri" w:eastAsia="Calibri" w:hAnsi="Calibri" w:cs="Calibri"/>
                <w:color w:val="000000"/>
                <w:sz w:val="18"/>
              </w:rPr>
            </w:pPr>
          </w:p>
        </w:tc>
      </w:tr>
      <w:tr w:rsidR="00C07D35" w14:paraId="5831FA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B5DECC" w14:textId="77777777" w:rsidR="00C07D35" w:rsidRDefault="00C07D35">
            <w:pPr>
              <w:pStyle w:val="Normal1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1330F4F4"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C07D35" w14:paraId="6A75C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76F7FC"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F142EE0"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457274A"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8AE22E"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13BD33"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4E3A18"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17B27D"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274458" w14:textId="77777777" w:rsidR="00C07D35" w:rsidRDefault="00C07D35">
            <w:pPr>
              <w:pStyle w:val="Normal12"/>
              <w:rPr>
                <w:rFonts w:ascii="Calibri" w:eastAsia="Calibri" w:hAnsi="Calibri" w:cs="Calibri"/>
                <w:color w:val="000000"/>
                <w:sz w:val="18"/>
              </w:rPr>
            </w:pPr>
          </w:p>
        </w:tc>
      </w:tr>
      <w:tr w:rsidR="00C07D35" w14:paraId="2BAE2F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CB96B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760C5A4"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68AE709"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9CE48E4"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9CF4027"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EDCCC2A"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79169B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09127BD"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3151CC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45240E1"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28FCD4E"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C413D0"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38CA63"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B8F7CD"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076A6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89158E"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0CCE44" w14:textId="77777777" w:rsidR="00C07D35" w:rsidRDefault="00C07D35">
            <w:pPr>
              <w:pStyle w:val="Normal12"/>
              <w:rPr>
                <w:rFonts w:ascii="Calibri" w:eastAsia="Calibri" w:hAnsi="Calibri" w:cs="Calibri"/>
                <w:color w:val="000000"/>
                <w:sz w:val="18"/>
              </w:rPr>
            </w:pPr>
          </w:p>
        </w:tc>
      </w:tr>
      <w:tr w:rsidR="00C07D35" w14:paraId="26E7AD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2EE80E"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48919A8"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AAA2130"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C82280"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E07046"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401D4B"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B0CDCA"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D3AED9" w14:textId="77777777" w:rsidR="00C07D35" w:rsidRDefault="00C07D35">
            <w:pPr>
              <w:pStyle w:val="Normal12"/>
              <w:rPr>
                <w:rFonts w:ascii="Calibri" w:eastAsia="Calibri" w:hAnsi="Calibri" w:cs="Calibri"/>
                <w:color w:val="000000"/>
                <w:sz w:val="18"/>
              </w:rPr>
            </w:pPr>
          </w:p>
        </w:tc>
      </w:tr>
      <w:tr w:rsidR="00C07D35" w14:paraId="7355D5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F1119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B3D59F3"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BB095A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6AAB8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742E475"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C433FD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AF5AF37"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E4FB81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2C666C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EDBEC68"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60915BE"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93EA3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C67A4"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370D293"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4B1CA1"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96346A"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659DE0" w14:textId="77777777" w:rsidR="00C07D35" w:rsidRDefault="00C07D35">
            <w:pPr>
              <w:pStyle w:val="Normal12"/>
              <w:rPr>
                <w:rFonts w:ascii="Calibri" w:eastAsia="Calibri" w:hAnsi="Calibri" w:cs="Calibri"/>
                <w:color w:val="000000"/>
                <w:sz w:val="18"/>
              </w:rPr>
            </w:pPr>
          </w:p>
        </w:tc>
      </w:tr>
      <w:tr w:rsidR="00C07D35" w14:paraId="023B1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54815C"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4F38EA5"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EB44342"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85036F"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DE1859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FCF3B5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243CA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53736B9"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4AD820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859CB2"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3D91549"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1259FA"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12981A"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D61CD79"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4855B"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4CCB34"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1C46E3" w14:textId="77777777" w:rsidR="00C07D35" w:rsidRDefault="00C07D35">
            <w:pPr>
              <w:pStyle w:val="Normal12"/>
              <w:rPr>
                <w:rFonts w:ascii="Calibri" w:eastAsia="Calibri" w:hAnsi="Calibri" w:cs="Calibri"/>
                <w:color w:val="000000"/>
                <w:sz w:val="18"/>
              </w:rPr>
            </w:pPr>
          </w:p>
        </w:tc>
      </w:tr>
      <w:tr w:rsidR="00C07D35" w14:paraId="600842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5FA9C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101A830"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479E124D"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1630FE26"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092BA0A"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7F8015A"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058ACF2"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4EF6BD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6B2AFD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DB336F"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F50F812"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49C713"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66D32E"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C07D26"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8E1B4F"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BA6CF4"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F2C2E1" w14:textId="77777777" w:rsidR="00C07D35" w:rsidRDefault="00C07D35">
            <w:pPr>
              <w:pStyle w:val="Normal12"/>
              <w:rPr>
                <w:rFonts w:ascii="Calibri" w:eastAsia="Calibri" w:hAnsi="Calibri" w:cs="Calibri"/>
                <w:color w:val="000000"/>
                <w:sz w:val="18"/>
              </w:rPr>
            </w:pPr>
          </w:p>
        </w:tc>
      </w:tr>
      <w:tr w:rsidR="00C07D35" w14:paraId="59B81C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45D702"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715650D9"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7688F0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144565D"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600" w:type="dxa"/>
            <w:tcBorders>
              <w:top w:val="nil"/>
              <w:left w:val="nil"/>
              <w:bottom w:val="nil"/>
              <w:right w:val="nil"/>
              <w:tl2br w:val="nil"/>
              <w:tr2bl w:val="nil"/>
            </w:tcBorders>
            <w:shd w:val="clear" w:color="FFFFFF" w:fill="FFFFFF"/>
            <w:tcMar>
              <w:left w:w="101" w:type="dxa"/>
              <w:right w:w="101" w:type="dxa"/>
            </w:tcMar>
          </w:tcPr>
          <w:p w14:paraId="55B1FE8F"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87F8672"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3F559CBB"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526A7931"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r>
      <w:tr w:rsidR="00C07D35" w14:paraId="118204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30E474" w14:textId="77777777" w:rsidR="00C07D35" w:rsidRDefault="00C07D35">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79B8F42E"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7C71D6"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27F297" w14:textId="77777777" w:rsidR="00C07D35" w:rsidRDefault="00C07D35">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924825"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E6A39C"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1F6E5E" w14:textId="77777777" w:rsidR="00C07D35" w:rsidRDefault="00C07D35">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D9C5B1" w14:textId="77777777" w:rsidR="00C07D35" w:rsidRDefault="00C07D35">
            <w:pPr>
              <w:pStyle w:val="Normal12"/>
              <w:rPr>
                <w:rFonts w:ascii="Calibri" w:eastAsia="Calibri" w:hAnsi="Calibri" w:cs="Calibri"/>
                <w:color w:val="000000"/>
                <w:sz w:val="18"/>
              </w:rPr>
            </w:pPr>
          </w:p>
        </w:tc>
      </w:tr>
      <w:tr w:rsidR="00C07D35" w14:paraId="714A95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ECA2A5"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8285A26" w14:textId="77777777" w:rsidR="00C07D35" w:rsidRDefault="00A4668D">
            <w:pPr>
              <w:pStyle w:val="Normal12"/>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F174535"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6AC7078D"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600" w:type="dxa"/>
            <w:tcBorders>
              <w:top w:val="nil"/>
              <w:left w:val="nil"/>
              <w:bottom w:val="nil"/>
              <w:right w:val="nil"/>
              <w:tl2br w:val="nil"/>
              <w:tr2bl w:val="nil"/>
            </w:tcBorders>
            <w:shd w:val="clear" w:color="FFFFFF" w:fill="FFFFFF"/>
            <w:tcMar>
              <w:left w:w="101" w:type="dxa"/>
              <w:right w:w="101" w:type="dxa"/>
            </w:tcMar>
          </w:tcPr>
          <w:p w14:paraId="70798B74"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1E7DC40"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36F94783"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14393247" w14:textId="77777777" w:rsidR="00C07D35" w:rsidRDefault="00A4668D">
            <w:pPr>
              <w:pStyle w:val="Normal12"/>
              <w:jc w:val="right"/>
              <w:rPr>
                <w:rFonts w:ascii="Calibri" w:eastAsia="Calibri" w:hAnsi="Calibri" w:cs="Calibri"/>
                <w:b/>
                <w:color w:val="000000"/>
                <w:sz w:val="18"/>
              </w:rPr>
            </w:pPr>
            <w:r>
              <w:rPr>
                <w:rFonts w:ascii="Calibri" w:eastAsia="Calibri" w:hAnsi="Calibri" w:cs="Calibri"/>
                <w:b/>
                <w:color w:val="000000"/>
                <w:sz w:val="18"/>
              </w:rPr>
              <w:t>1,268</w:t>
            </w:r>
          </w:p>
        </w:tc>
      </w:tr>
      <w:tr w:rsidR="00C07D35" w14:paraId="79F23C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55342F3" w14:textId="77777777" w:rsidR="00C07D35" w:rsidRDefault="00C07D35">
            <w:pPr>
              <w:pStyle w:val="Normal12"/>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63C41B6" w14:textId="77777777" w:rsidR="00C07D35" w:rsidRDefault="00C07D35">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0B1D05E" w14:textId="77777777" w:rsidR="00C07D35" w:rsidRDefault="00C07D35">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0935355" w14:textId="77777777" w:rsidR="00C07D35" w:rsidRDefault="00C07D35">
            <w:pPr>
              <w:pStyle w:val="Normal12"/>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EF0ABA9" w14:textId="77777777" w:rsidR="00C07D35" w:rsidRDefault="00C07D35">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1F65826" w14:textId="77777777" w:rsidR="00C07D35" w:rsidRDefault="00C07D35">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2A0770F" w14:textId="77777777" w:rsidR="00C07D35" w:rsidRDefault="00C07D35">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1043857" w14:textId="77777777" w:rsidR="00C07D35" w:rsidRDefault="00C07D35">
            <w:pPr>
              <w:pStyle w:val="Normal12"/>
              <w:rPr>
                <w:rFonts w:ascii="Calibri" w:eastAsia="Calibri" w:hAnsi="Calibri" w:cs="Calibri"/>
                <w:color w:val="000000"/>
                <w:sz w:val="18"/>
              </w:rPr>
            </w:pPr>
          </w:p>
        </w:tc>
      </w:tr>
    </w:tbl>
    <w:p w14:paraId="5D132AC2" w14:textId="7EB02BD2" w:rsidR="00A4668D" w:rsidRPr="002F62E7" w:rsidRDefault="00A4668D" w:rsidP="00A4668D">
      <w:pPr>
        <w:pStyle w:val="Caption"/>
        <w:pageBreakBefore/>
        <w:pBdr>
          <w:top w:val="nil"/>
          <w:left w:val="nil"/>
          <w:bottom w:val="nil"/>
          <w:right w:val="nil"/>
          <w:between w:val="nil"/>
          <w:bar w:val="nil"/>
        </w:pBdr>
        <w:rPr>
          <w:rStyle w:val="Emphasis"/>
          <w:rFonts w:eastAsia="TimesNewRomanPS-ItalicMT"/>
          <w:i w:val="0"/>
          <w:iCs w:val="0"/>
          <w:bdr w:val="nil"/>
        </w:rPr>
      </w:pPr>
      <w:bookmarkStart w:id="45" w:name="_Ref515305617"/>
      <w:r w:rsidRPr="002F62E7">
        <w:rPr>
          <w:rStyle w:val="Emphasis"/>
          <w:i w:val="0"/>
          <w:iCs w:val="0"/>
          <w:bdr w:val="nil"/>
        </w:rPr>
        <w:lastRenderedPageBreak/>
        <w:t xml:space="preserve">Table </w:t>
      </w:r>
      <w:r w:rsidRPr="002F62E7">
        <w:rPr>
          <w:rStyle w:val="Emphasis"/>
          <w:i w:val="0"/>
          <w:iCs w:val="0"/>
          <w:bdr w:val="nil"/>
        </w:rPr>
        <w:fldChar w:fldCharType="begin"/>
      </w:r>
      <w:r w:rsidRPr="002F62E7">
        <w:rPr>
          <w:rStyle w:val="Emphasis"/>
          <w:i w:val="0"/>
          <w:iCs w:val="0"/>
          <w:bdr w:val="nil"/>
        </w:rPr>
        <w:instrText xml:space="preserve"> SEQ Table \* ARABIC </w:instrText>
      </w:r>
      <w:r w:rsidRPr="002F62E7">
        <w:rPr>
          <w:rStyle w:val="Emphasis"/>
          <w:i w:val="0"/>
          <w:iCs w:val="0"/>
          <w:bdr w:val="nil"/>
        </w:rPr>
        <w:fldChar w:fldCharType="separate"/>
      </w:r>
      <w:r w:rsidR="001E4FEE">
        <w:rPr>
          <w:rStyle w:val="Emphasis"/>
          <w:i w:val="0"/>
          <w:iCs w:val="0"/>
          <w:noProof/>
          <w:bdr w:val="nil"/>
        </w:rPr>
        <w:t>30</w:t>
      </w:r>
      <w:r w:rsidRPr="002F62E7">
        <w:rPr>
          <w:rStyle w:val="Emphasis"/>
          <w:i w:val="0"/>
          <w:iCs w:val="0"/>
          <w:bdr w:val="nil"/>
        </w:rPr>
        <w:fldChar w:fldCharType="end"/>
      </w:r>
      <w:bookmarkEnd w:id="45"/>
      <w:r w:rsidRPr="002F62E7">
        <w:rPr>
          <w:rStyle w:val="Emphasis"/>
          <w:i w:val="0"/>
          <w:iCs w:val="0"/>
          <w:bdr w:val="nil"/>
        </w:rPr>
        <w:t>: Community Services Directorate: Statement of Changes in Equity on behalf of the Territory</w:t>
      </w:r>
    </w:p>
    <w:tbl>
      <w:tblPr>
        <w:tblStyle w:val="CDMRange14"/>
        <w:tblW w:w="9195" w:type="dxa"/>
        <w:tblLayout w:type="fixed"/>
        <w:tblLook w:val="0600" w:firstRow="0" w:lastRow="0" w:firstColumn="0" w:lastColumn="0" w:noHBand="1" w:noVBand="1"/>
      </w:tblPr>
      <w:tblGrid>
        <w:gridCol w:w="1035"/>
        <w:gridCol w:w="2175"/>
        <w:gridCol w:w="1245"/>
        <w:gridCol w:w="1035"/>
        <w:gridCol w:w="600"/>
        <w:gridCol w:w="1035"/>
        <w:gridCol w:w="1035"/>
        <w:gridCol w:w="1035"/>
      </w:tblGrid>
      <w:tr w:rsidR="00C07D35" w14:paraId="4C804499" w14:textId="77777777">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5C4DC9"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Budget</w:t>
            </w:r>
          </w:p>
          <w:p w14:paraId="4720F4C8"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565B718D"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D200059"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FBA0CCF" w14:textId="77777777" w:rsidR="00C07D35" w:rsidRDefault="00C07D35">
            <w:pPr>
              <w:pStyle w:val="Normal13"/>
              <w:rPr>
                <w:rFonts w:ascii="Calibri" w:eastAsia="Calibri" w:hAnsi="Calibri" w:cs="Calibri"/>
                <w:b/>
                <w:color w:val="000000"/>
                <w:sz w:val="18"/>
              </w:rPr>
            </w:pPr>
          </w:p>
        </w:tc>
        <w:tc>
          <w:tcPr>
            <w:tcW w:w="124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F8A16B3"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Interim</w:t>
            </w:r>
          </w:p>
          <w:p w14:paraId="2F959F07"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Outcome at</w:t>
            </w:r>
          </w:p>
          <w:p w14:paraId="1A02ACC2"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3AA4073"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57781E6"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Budget</w:t>
            </w:r>
          </w:p>
          <w:p w14:paraId="34BF33CA"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2632A10E"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7F59534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0DD9A2D"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Var</w:t>
            </w:r>
          </w:p>
          <w:p w14:paraId="707064B8"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D4E5C6"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Estimate</w:t>
            </w:r>
          </w:p>
          <w:p w14:paraId="5C7FAB6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28DE88E6"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7C369F2A"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68516A0"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Estimate</w:t>
            </w:r>
          </w:p>
          <w:p w14:paraId="4AC1E87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0BFF1B9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54D2DA0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8024A4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Estimate</w:t>
            </w:r>
          </w:p>
          <w:p w14:paraId="4AE77D0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2DB5229B"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18FD67B5"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r>
      <w:tr w:rsidR="00C07D35" w14:paraId="079D2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FD4841C" w14:textId="77777777" w:rsidR="00C07D35" w:rsidRDefault="00C07D35">
            <w:pPr>
              <w:pStyle w:val="Normal13"/>
              <w:jc w:val="right"/>
              <w:rPr>
                <w:rFonts w:ascii="Calibri" w:eastAsia="Calibri" w:hAnsi="Calibri" w:cs="Calibri"/>
                <w:b/>
                <w:i/>
                <w:color w:val="000000"/>
                <w:sz w:val="18"/>
              </w:rPr>
            </w:pPr>
          </w:p>
        </w:tc>
        <w:tc>
          <w:tcPr>
            <w:tcW w:w="2175" w:type="dxa"/>
            <w:tcBorders>
              <w:top w:val="single" w:sz="12" w:space="0" w:color="000000"/>
              <w:left w:val="nil"/>
              <w:bottom w:val="nil"/>
              <w:right w:val="nil"/>
              <w:tl2br w:val="nil"/>
              <w:tr2bl w:val="nil"/>
            </w:tcBorders>
            <w:shd w:val="clear" w:color="FFFFFF" w:fill="FFFFFF"/>
            <w:tcMar>
              <w:left w:w="0" w:type="dxa"/>
              <w:right w:w="0" w:type="dxa"/>
            </w:tcMar>
          </w:tcPr>
          <w:p w14:paraId="46DD20E8" w14:textId="77777777" w:rsidR="00C07D35" w:rsidRDefault="00C07D35">
            <w:pPr>
              <w:pStyle w:val="Normal13"/>
              <w:rPr>
                <w:rFonts w:ascii="Calibri" w:eastAsia="Calibri" w:hAnsi="Calibri" w:cs="Calibri"/>
                <w:b/>
                <w:color w:val="000000"/>
                <w:sz w:val="18"/>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tcPr>
          <w:p w14:paraId="2C442C24" w14:textId="77777777" w:rsidR="00C07D35" w:rsidRDefault="00C07D35">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E5E1BF9" w14:textId="77777777" w:rsidR="00C07D35" w:rsidRDefault="00C07D35">
            <w:pPr>
              <w:pStyle w:val="Normal13"/>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B63F075" w14:textId="77777777" w:rsidR="00C07D35" w:rsidRDefault="00C07D35">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40C798B" w14:textId="77777777" w:rsidR="00C07D35" w:rsidRDefault="00C07D35">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D9F9673" w14:textId="77777777" w:rsidR="00C07D35" w:rsidRDefault="00C07D35">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E5B8229" w14:textId="77777777" w:rsidR="00C07D35" w:rsidRDefault="00C07D35">
            <w:pPr>
              <w:pStyle w:val="Normal13"/>
              <w:jc w:val="right"/>
              <w:rPr>
                <w:rFonts w:ascii="Calibri" w:eastAsia="Calibri" w:hAnsi="Calibri" w:cs="Calibri"/>
                <w:b/>
                <w:i/>
                <w:color w:val="000000"/>
                <w:sz w:val="18"/>
              </w:rPr>
            </w:pPr>
          </w:p>
        </w:tc>
      </w:tr>
      <w:tr w:rsidR="00C07D35" w14:paraId="3765CE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282B968" w14:textId="77777777" w:rsidR="00C07D35" w:rsidRDefault="00C07D35">
            <w:pPr>
              <w:pStyle w:val="Normal13"/>
              <w:jc w:val="right"/>
              <w:rPr>
                <w:rFonts w:ascii="Calibri" w:eastAsia="Calibri" w:hAnsi="Calibri" w:cs="Calibri"/>
                <w:b/>
                <w:i/>
                <w:color w:val="000000"/>
                <w:sz w:val="18"/>
              </w:rPr>
            </w:pP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5C0F8E71"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Opening Equity</w:t>
            </w:r>
          </w:p>
        </w:tc>
        <w:tc>
          <w:tcPr>
            <w:tcW w:w="1245" w:type="dxa"/>
            <w:tcBorders>
              <w:top w:val="nil"/>
              <w:left w:val="nil"/>
              <w:bottom w:val="nil"/>
              <w:right w:val="nil"/>
              <w:tl2br w:val="nil"/>
              <w:tr2bl w:val="nil"/>
            </w:tcBorders>
            <w:shd w:val="clear" w:color="FFFFFF" w:fill="FFFFFF"/>
            <w:noWrap/>
            <w:tcMar>
              <w:left w:w="0" w:type="dxa"/>
              <w:right w:w="0" w:type="dxa"/>
            </w:tcMar>
          </w:tcPr>
          <w:p w14:paraId="5BD85FB6"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DCC115" w14:textId="77777777" w:rsidR="00C07D35" w:rsidRDefault="00C07D35">
            <w:pPr>
              <w:pStyle w:val="Normal1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DE7EEB0"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BCA849"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90C3E6"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B81E0E" w14:textId="77777777" w:rsidR="00C07D35" w:rsidRDefault="00C07D35">
            <w:pPr>
              <w:pStyle w:val="Normal13"/>
              <w:jc w:val="right"/>
              <w:rPr>
                <w:rFonts w:ascii="Calibri" w:eastAsia="Calibri" w:hAnsi="Calibri" w:cs="Calibri"/>
                <w:b/>
                <w:i/>
                <w:color w:val="000000"/>
                <w:sz w:val="18"/>
              </w:rPr>
            </w:pPr>
          </w:p>
        </w:tc>
      </w:tr>
      <w:tr w:rsidR="00C07D35" w14:paraId="781A1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7A4C043"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3,211</w:t>
            </w:r>
          </w:p>
        </w:tc>
        <w:tc>
          <w:tcPr>
            <w:tcW w:w="2175" w:type="dxa"/>
            <w:tcBorders>
              <w:top w:val="nil"/>
              <w:left w:val="nil"/>
              <w:bottom w:val="nil"/>
              <w:right w:val="nil"/>
              <w:tl2br w:val="nil"/>
              <w:tr2bl w:val="nil"/>
            </w:tcBorders>
            <w:shd w:val="clear" w:color="auto" w:fill="auto"/>
            <w:noWrap/>
            <w:tcMar>
              <w:left w:w="101" w:type="dxa"/>
              <w:right w:w="101" w:type="dxa"/>
            </w:tcMar>
            <w:vAlign w:val="bottom"/>
          </w:tcPr>
          <w:p w14:paraId="6670B197" w14:textId="77777777" w:rsidR="00C07D35" w:rsidRDefault="00A4668D">
            <w:pPr>
              <w:pStyle w:val="Normal13"/>
              <w:rPr>
                <w:rFonts w:ascii="Calibri" w:eastAsia="Calibri" w:hAnsi="Calibri" w:cs="Calibri"/>
                <w:color w:val="000000"/>
                <w:sz w:val="18"/>
              </w:rPr>
            </w:pPr>
            <w:r>
              <w:rPr>
                <w:rFonts w:ascii="Calibri" w:eastAsia="Calibri" w:hAnsi="Calibri" w:cs="Calibri"/>
                <w:color w:val="000000"/>
                <w:sz w:val="18"/>
              </w:rPr>
              <w:t>Opening 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0C59D33D" w14:textId="60DBBCE3"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3,21</w:t>
            </w:r>
            <w:r w:rsidR="00A72D96">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6D09756B"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1EEA74CC"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 xml:space="preserve">48 </w:t>
            </w:r>
          </w:p>
        </w:tc>
        <w:tc>
          <w:tcPr>
            <w:tcW w:w="1035" w:type="dxa"/>
            <w:tcBorders>
              <w:top w:val="nil"/>
              <w:left w:val="nil"/>
              <w:bottom w:val="nil"/>
              <w:right w:val="nil"/>
              <w:tl2br w:val="nil"/>
              <w:tr2bl w:val="nil"/>
            </w:tcBorders>
            <w:shd w:val="clear" w:color="FFFFFF" w:fill="FFFFFF"/>
            <w:tcMar>
              <w:left w:w="101" w:type="dxa"/>
              <w:right w:w="101" w:type="dxa"/>
            </w:tcMar>
          </w:tcPr>
          <w:p w14:paraId="238F7161"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50FD63B7"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23E73647"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r>
      <w:tr w:rsidR="00C07D35" w14:paraId="029545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AFC5A89" w14:textId="77777777" w:rsidR="00C07D35" w:rsidRDefault="00C07D35">
            <w:pPr>
              <w:pStyle w:val="Normal13"/>
              <w:jc w:val="right"/>
              <w:rPr>
                <w:rFonts w:ascii="Calibri" w:eastAsia="Calibri" w:hAnsi="Calibri" w:cs="Calibri"/>
                <w:b/>
                <w:color w:val="000000"/>
                <w:sz w:val="18"/>
              </w:rPr>
            </w:pPr>
          </w:p>
        </w:tc>
        <w:tc>
          <w:tcPr>
            <w:tcW w:w="2175" w:type="dxa"/>
            <w:tcBorders>
              <w:top w:val="nil"/>
              <w:left w:val="nil"/>
              <w:bottom w:val="nil"/>
              <w:right w:val="nil"/>
              <w:tl2br w:val="nil"/>
              <w:tr2bl w:val="nil"/>
            </w:tcBorders>
            <w:shd w:val="clear" w:color="auto" w:fill="auto"/>
            <w:tcMar>
              <w:left w:w="0" w:type="dxa"/>
              <w:right w:w="0" w:type="dxa"/>
            </w:tcMar>
            <w:vAlign w:val="bottom"/>
          </w:tcPr>
          <w:p w14:paraId="5E2A0B37" w14:textId="77777777" w:rsidR="00C07D35" w:rsidRDefault="00C07D35">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0DFD27D5" w14:textId="77777777" w:rsidR="00C07D35" w:rsidRDefault="00C07D35">
            <w:pPr>
              <w:pStyle w:val="Normal1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EDCA9B" w14:textId="77777777" w:rsidR="00C07D35" w:rsidRDefault="00C07D35">
            <w:pPr>
              <w:pStyle w:val="Normal13"/>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48266F1"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B3DBBA" w14:textId="77777777" w:rsidR="00C07D35" w:rsidRDefault="00C07D35">
            <w:pPr>
              <w:pStyle w:val="Normal1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0166E8" w14:textId="77777777" w:rsidR="00C07D35" w:rsidRDefault="00C07D35">
            <w:pPr>
              <w:pStyle w:val="Normal1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D5A12F" w14:textId="77777777" w:rsidR="00C07D35" w:rsidRDefault="00C07D35">
            <w:pPr>
              <w:pStyle w:val="Normal13"/>
              <w:jc w:val="right"/>
              <w:rPr>
                <w:rFonts w:ascii="Calibri" w:eastAsia="Calibri" w:hAnsi="Calibri" w:cs="Calibri"/>
                <w:b/>
                <w:color w:val="000000"/>
                <w:sz w:val="18"/>
              </w:rPr>
            </w:pPr>
          </w:p>
        </w:tc>
      </w:tr>
      <w:tr w:rsidR="00C07D35" w14:paraId="7B4AD4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3A4302E"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3,211</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3CD9129B"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245" w:type="dxa"/>
            <w:tcBorders>
              <w:top w:val="nil"/>
              <w:left w:val="nil"/>
              <w:bottom w:val="nil"/>
              <w:right w:val="nil"/>
              <w:tl2br w:val="nil"/>
              <w:tr2bl w:val="nil"/>
            </w:tcBorders>
            <w:shd w:val="clear" w:color="FFFFFF" w:fill="FFFFFF"/>
            <w:noWrap/>
            <w:tcMar>
              <w:left w:w="101" w:type="dxa"/>
              <w:right w:w="101" w:type="dxa"/>
            </w:tcMar>
          </w:tcPr>
          <w:p w14:paraId="6EAB9022" w14:textId="68EA48DF"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3,21</w:t>
            </w:r>
            <w:r w:rsidR="00A72D96">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46C561A9"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600" w:type="dxa"/>
            <w:tcBorders>
              <w:top w:val="nil"/>
              <w:left w:val="nil"/>
              <w:bottom w:val="nil"/>
              <w:right w:val="nil"/>
              <w:tl2br w:val="nil"/>
              <w:tr2bl w:val="nil"/>
            </w:tcBorders>
            <w:shd w:val="clear" w:color="FFFFFF" w:fill="FFFFFF"/>
            <w:noWrap/>
            <w:tcMar>
              <w:left w:w="101" w:type="dxa"/>
              <w:right w:w="101" w:type="dxa"/>
            </w:tcMar>
          </w:tcPr>
          <w:p w14:paraId="1D406D3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48 </w:t>
            </w:r>
          </w:p>
        </w:tc>
        <w:tc>
          <w:tcPr>
            <w:tcW w:w="1035" w:type="dxa"/>
            <w:tcBorders>
              <w:top w:val="nil"/>
              <w:left w:val="nil"/>
              <w:bottom w:val="nil"/>
              <w:right w:val="nil"/>
              <w:tl2br w:val="nil"/>
              <w:tr2bl w:val="nil"/>
            </w:tcBorders>
            <w:shd w:val="clear" w:color="FFFFFF" w:fill="FFFFFF"/>
            <w:noWrap/>
            <w:tcMar>
              <w:left w:w="101" w:type="dxa"/>
              <w:right w:w="101" w:type="dxa"/>
            </w:tcMar>
          </w:tcPr>
          <w:p w14:paraId="4BAB4C4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059ACD9D"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1ECEB6E3"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r>
      <w:tr w:rsidR="00C07D35" w14:paraId="77790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0C4D2D0" w14:textId="77777777" w:rsidR="00C07D35" w:rsidRDefault="00C07D35">
            <w:pPr>
              <w:pStyle w:val="Normal13"/>
              <w:jc w:val="right"/>
              <w:rPr>
                <w:rFonts w:ascii="Calibri" w:eastAsia="Calibri" w:hAnsi="Calibri" w:cs="Calibri"/>
                <w:b/>
                <w: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19D82E70" w14:textId="77777777" w:rsidR="00C07D35" w:rsidRDefault="00C07D35">
            <w:pPr>
              <w:pStyle w:val="Normal13"/>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157A2CFF"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1CFB5C" w14:textId="77777777" w:rsidR="00C07D35" w:rsidRDefault="00C07D35">
            <w:pPr>
              <w:pStyle w:val="Normal1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1E3A38A"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05E6A5"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6E33C4" w14:textId="77777777" w:rsidR="00C07D35" w:rsidRDefault="00C07D35">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C4A84A" w14:textId="77777777" w:rsidR="00C07D35" w:rsidRDefault="00C07D35">
            <w:pPr>
              <w:pStyle w:val="Normal13"/>
              <w:jc w:val="right"/>
              <w:rPr>
                <w:rFonts w:ascii="Calibri" w:eastAsia="Calibri" w:hAnsi="Calibri" w:cs="Calibri"/>
                <w:b/>
                <w:i/>
                <w:color w:val="000000"/>
                <w:sz w:val="18"/>
              </w:rPr>
            </w:pPr>
          </w:p>
        </w:tc>
      </w:tr>
      <w:tr w:rsidR="00C07D35" w14:paraId="17A80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81B552B"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101" w:type="dxa"/>
              <w:right w:w="101" w:type="dxa"/>
            </w:tcMar>
          </w:tcPr>
          <w:p w14:paraId="4B9F438A"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Comprehensive Income</w:t>
            </w:r>
          </w:p>
        </w:tc>
        <w:tc>
          <w:tcPr>
            <w:tcW w:w="1245" w:type="dxa"/>
            <w:tcBorders>
              <w:top w:val="nil"/>
              <w:left w:val="nil"/>
              <w:bottom w:val="nil"/>
              <w:right w:val="nil"/>
              <w:tl2br w:val="nil"/>
              <w:tr2bl w:val="nil"/>
            </w:tcBorders>
            <w:shd w:val="clear" w:color="FFFFFF" w:fill="FFFFFF"/>
            <w:noWrap/>
            <w:tcMar>
              <w:left w:w="0" w:type="dxa"/>
              <w:right w:w="0" w:type="dxa"/>
            </w:tcMar>
          </w:tcPr>
          <w:p w14:paraId="37EED4C8"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65D9B7"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E5E323F"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BA82E3"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3C1CCD"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29B23F" w14:textId="77777777" w:rsidR="00C07D35" w:rsidRDefault="00C07D35">
            <w:pPr>
              <w:pStyle w:val="Normal13"/>
              <w:rPr>
                <w:rFonts w:ascii="Calibri" w:eastAsia="Calibri" w:hAnsi="Calibri" w:cs="Calibri"/>
                <w:color w:val="000000"/>
                <w:sz w:val="18"/>
              </w:rPr>
            </w:pPr>
          </w:p>
        </w:tc>
      </w:tr>
      <w:tr w:rsidR="00C07D35" w14:paraId="5EA30F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483714B"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tcPr>
          <w:p w14:paraId="619E0284" w14:textId="77777777" w:rsidR="00C07D35" w:rsidRDefault="00A4668D">
            <w:pPr>
              <w:pStyle w:val="Normal13"/>
              <w:rPr>
                <w:rFonts w:ascii="Calibri" w:eastAsia="Calibri" w:hAnsi="Calibri" w:cs="Calibri"/>
                <w:color w:val="000000"/>
                <w:sz w:val="18"/>
              </w:rPr>
            </w:pPr>
            <w:r>
              <w:rPr>
                <w:rFonts w:ascii="Calibri" w:eastAsia="Calibri" w:hAnsi="Calibri" w:cs="Calibri"/>
                <w:color w:val="000000"/>
                <w:sz w:val="18"/>
              </w:rPr>
              <w:t>Net Effect of Correction of an Error</w:t>
            </w:r>
          </w:p>
        </w:tc>
        <w:tc>
          <w:tcPr>
            <w:tcW w:w="1245" w:type="dxa"/>
            <w:tcBorders>
              <w:top w:val="nil"/>
              <w:left w:val="nil"/>
              <w:bottom w:val="nil"/>
              <w:right w:val="nil"/>
              <w:tl2br w:val="nil"/>
              <w:tr2bl w:val="nil"/>
            </w:tcBorders>
            <w:shd w:val="clear" w:color="FFFFFF" w:fill="FFFFFF"/>
            <w:noWrap/>
            <w:tcMar>
              <w:left w:w="101" w:type="dxa"/>
              <w:right w:w="101" w:type="dxa"/>
            </w:tcMar>
          </w:tcPr>
          <w:p w14:paraId="05D36B9B" w14:textId="7EFA8F3D" w:rsidR="00C07D35" w:rsidRDefault="00A72D96">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AD3D122"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4B0AC531"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773BB958"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9426F49"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4B4295A"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r>
      <w:tr w:rsidR="00C07D35" w14:paraId="051C2A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092B49E"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tcPr>
          <w:p w14:paraId="0727CED8" w14:textId="77777777" w:rsidR="00C07D35" w:rsidRDefault="00A4668D">
            <w:pPr>
              <w:pStyle w:val="Normal13"/>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245" w:type="dxa"/>
            <w:tcBorders>
              <w:top w:val="nil"/>
              <w:left w:val="nil"/>
              <w:bottom w:val="nil"/>
              <w:right w:val="nil"/>
              <w:tl2br w:val="nil"/>
              <w:tr2bl w:val="nil"/>
            </w:tcBorders>
            <w:shd w:val="clear" w:color="FFFFFF" w:fill="FFFFFF"/>
            <w:noWrap/>
            <w:tcMar>
              <w:left w:w="101" w:type="dxa"/>
              <w:right w:w="101" w:type="dxa"/>
            </w:tcMar>
          </w:tcPr>
          <w:p w14:paraId="1D36E5D9"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1,543</w:t>
            </w:r>
          </w:p>
        </w:tc>
        <w:tc>
          <w:tcPr>
            <w:tcW w:w="1035" w:type="dxa"/>
            <w:tcBorders>
              <w:top w:val="nil"/>
              <w:left w:val="nil"/>
              <w:bottom w:val="nil"/>
              <w:right w:val="nil"/>
              <w:tl2br w:val="nil"/>
              <w:tr2bl w:val="nil"/>
            </w:tcBorders>
            <w:shd w:val="clear" w:color="FFFFFF" w:fill="FFFFFF"/>
            <w:noWrap/>
            <w:tcMar>
              <w:left w:w="101" w:type="dxa"/>
              <w:right w:w="101" w:type="dxa"/>
            </w:tcMar>
          </w:tcPr>
          <w:p w14:paraId="5E1C8435"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708BEF2"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75920DA5"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F227AEF"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8D316BC"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0</w:t>
            </w:r>
          </w:p>
        </w:tc>
      </w:tr>
      <w:tr w:rsidR="00C07D35" w14:paraId="203BEC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497422D"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59D26B5F" w14:textId="77777777" w:rsidR="00C07D35" w:rsidRDefault="00C07D35">
            <w:pPr>
              <w:pStyle w:val="Normal13"/>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786E1019"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6C8133"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AA54D95"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9E0E9E"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A393CC"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69CF21" w14:textId="77777777" w:rsidR="00C07D35" w:rsidRDefault="00C07D35">
            <w:pPr>
              <w:pStyle w:val="Normal13"/>
              <w:rPr>
                <w:rFonts w:ascii="Calibri" w:eastAsia="Calibri" w:hAnsi="Calibri" w:cs="Calibri"/>
                <w:color w:val="000000"/>
                <w:sz w:val="18"/>
              </w:rPr>
            </w:pPr>
          </w:p>
        </w:tc>
      </w:tr>
      <w:tr w:rsidR="00C07D35" w14:paraId="2354BE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5EE7C3E"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tcMar>
              <w:left w:w="101" w:type="dxa"/>
              <w:right w:w="101" w:type="dxa"/>
            </w:tcMar>
          </w:tcPr>
          <w:p w14:paraId="19213802"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245" w:type="dxa"/>
            <w:tcBorders>
              <w:top w:val="nil"/>
              <w:left w:val="nil"/>
              <w:bottom w:val="nil"/>
              <w:right w:val="nil"/>
              <w:tl2br w:val="nil"/>
              <w:tr2bl w:val="nil"/>
            </w:tcBorders>
            <w:shd w:val="clear" w:color="FFFFFF" w:fill="FFFFFF"/>
            <w:noWrap/>
            <w:tcMar>
              <w:left w:w="101" w:type="dxa"/>
              <w:right w:w="101" w:type="dxa"/>
            </w:tcMar>
          </w:tcPr>
          <w:p w14:paraId="2A6E6444" w14:textId="6D561D81"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1,54</w:t>
            </w:r>
            <w:r w:rsidR="00A72D96">
              <w:rPr>
                <w:rFonts w:ascii="Calibri" w:eastAsia="Calibri" w:hAnsi="Calibri" w:cs="Calibri"/>
                <w:b/>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68095FBD"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4AAACA19"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5180544"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8EAF8F"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DF1E115"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1AEE81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511364C"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005CA295" w14:textId="77777777" w:rsidR="00C07D35" w:rsidRDefault="00C07D35">
            <w:pPr>
              <w:pStyle w:val="Normal13"/>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7CD5DE9B"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C9CE28"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FF6A155"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981AB0"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449F7D"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A7582C" w14:textId="77777777" w:rsidR="00C07D35" w:rsidRDefault="00C07D35">
            <w:pPr>
              <w:pStyle w:val="Normal13"/>
              <w:rPr>
                <w:rFonts w:ascii="Calibri" w:eastAsia="Calibri" w:hAnsi="Calibri" w:cs="Calibri"/>
                <w:color w:val="000000"/>
                <w:sz w:val="18"/>
              </w:rPr>
            </w:pPr>
          </w:p>
        </w:tc>
      </w:tr>
      <w:tr w:rsidR="00C07D35" w14:paraId="34D7E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AD9AD3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1BD7A4A6"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245" w:type="dxa"/>
            <w:tcBorders>
              <w:top w:val="nil"/>
              <w:left w:val="nil"/>
              <w:bottom w:val="nil"/>
              <w:right w:val="nil"/>
              <w:tl2br w:val="nil"/>
              <w:tr2bl w:val="nil"/>
            </w:tcBorders>
            <w:shd w:val="clear" w:color="FFFFFF" w:fill="FFFFFF"/>
            <w:noWrap/>
            <w:tcMar>
              <w:left w:w="101" w:type="dxa"/>
              <w:right w:w="101" w:type="dxa"/>
            </w:tcMar>
          </w:tcPr>
          <w:p w14:paraId="3AD44394"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C316558"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E09E658"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CD67DB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BA25EE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F1E9F73"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6254F2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955C348"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4A319033" w14:textId="77777777" w:rsidR="00C07D35" w:rsidRDefault="00C07D35">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6A75D5B5"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947125"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AC583F6" w14:textId="77777777" w:rsidR="00C07D35" w:rsidRDefault="00C07D35">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64674F"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DC0DC0"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08669A" w14:textId="77777777" w:rsidR="00C07D35" w:rsidRDefault="00C07D35">
            <w:pPr>
              <w:pStyle w:val="Normal13"/>
              <w:rPr>
                <w:rFonts w:ascii="Calibri" w:eastAsia="Calibri" w:hAnsi="Calibri" w:cs="Calibri"/>
                <w:color w:val="000000"/>
                <w:sz w:val="18"/>
              </w:rPr>
            </w:pPr>
          </w:p>
        </w:tc>
      </w:tr>
      <w:tr w:rsidR="00C07D35" w14:paraId="79A6B5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FE1EFFC" w14:textId="77777777" w:rsidR="00C07D35" w:rsidRDefault="00C07D35">
            <w:pPr>
              <w:pStyle w:val="Normal1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vAlign w:val="bottom"/>
          </w:tcPr>
          <w:p w14:paraId="49C08477"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C07D35" w14:paraId="0AC970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B7C9C2D"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468025EA" w14:textId="77777777" w:rsidR="00C07D35" w:rsidRDefault="00C07D35">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3D3B6B5C"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926ABC"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B157E9F" w14:textId="77777777" w:rsidR="00C07D35" w:rsidRDefault="00C07D35">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A768CF"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6CBF3E"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F172AF" w14:textId="77777777" w:rsidR="00C07D35" w:rsidRDefault="00C07D35">
            <w:pPr>
              <w:pStyle w:val="Normal13"/>
              <w:rPr>
                <w:rFonts w:ascii="Calibri" w:eastAsia="Calibri" w:hAnsi="Calibri" w:cs="Calibri"/>
                <w:color w:val="000000"/>
                <w:sz w:val="18"/>
              </w:rPr>
            </w:pPr>
          </w:p>
        </w:tc>
      </w:tr>
      <w:tr w:rsidR="00C07D35" w14:paraId="0DB9CE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6CE0541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75061073"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245" w:type="dxa"/>
            <w:tcBorders>
              <w:top w:val="nil"/>
              <w:left w:val="nil"/>
              <w:bottom w:val="nil"/>
              <w:right w:val="nil"/>
              <w:tl2br w:val="nil"/>
              <w:tr2bl w:val="nil"/>
            </w:tcBorders>
            <w:shd w:val="clear" w:color="FFFFFF" w:fill="FFFFFF"/>
            <w:noWrap/>
            <w:tcMar>
              <w:left w:w="101" w:type="dxa"/>
              <w:right w:w="101" w:type="dxa"/>
            </w:tcMar>
          </w:tcPr>
          <w:p w14:paraId="04B20AC9"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D547000"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6B598591"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465F626"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A0EDFE"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6D6E91C"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6C7BB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C23DF96"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77453CCE" w14:textId="77777777" w:rsidR="00C07D35" w:rsidRDefault="00C07D35">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363A9755"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CC7252"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E4A707B" w14:textId="77777777" w:rsidR="00C07D35" w:rsidRDefault="00C07D35">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C9FD78"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0DC149"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BCB516" w14:textId="77777777" w:rsidR="00C07D35" w:rsidRDefault="00C07D35">
            <w:pPr>
              <w:pStyle w:val="Normal13"/>
              <w:rPr>
                <w:rFonts w:ascii="Calibri" w:eastAsia="Calibri" w:hAnsi="Calibri" w:cs="Calibri"/>
                <w:color w:val="000000"/>
                <w:sz w:val="18"/>
              </w:rPr>
            </w:pPr>
          </w:p>
        </w:tc>
      </w:tr>
      <w:tr w:rsidR="00C07D35" w14:paraId="54E39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2099379"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246B687E"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Closing Equity</w:t>
            </w:r>
          </w:p>
        </w:tc>
        <w:tc>
          <w:tcPr>
            <w:tcW w:w="1245" w:type="dxa"/>
            <w:tcBorders>
              <w:top w:val="nil"/>
              <w:left w:val="nil"/>
              <w:bottom w:val="nil"/>
              <w:right w:val="nil"/>
              <w:tl2br w:val="nil"/>
              <w:tr2bl w:val="nil"/>
            </w:tcBorders>
            <w:shd w:val="clear" w:color="FFFFFF" w:fill="FFFFFF"/>
            <w:noWrap/>
            <w:tcMar>
              <w:left w:w="0" w:type="dxa"/>
              <w:right w:w="0" w:type="dxa"/>
            </w:tcMar>
          </w:tcPr>
          <w:p w14:paraId="479473F4"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312ABD"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A4158FE" w14:textId="77777777" w:rsidR="00C07D35" w:rsidRDefault="00C07D35">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FFFB49"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5818C0"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BA79E7" w14:textId="77777777" w:rsidR="00C07D35" w:rsidRDefault="00C07D35">
            <w:pPr>
              <w:pStyle w:val="Normal13"/>
              <w:rPr>
                <w:rFonts w:ascii="Calibri" w:eastAsia="Calibri" w:hAnsi="Calibri" w:cs="Calibri"/>
                <w:color w:val="000000"/>
                <w:sz w:val="18"/>
              </w:rPr>
            </w:pPr>
          </w:p>
        </w:tc>
      </w:tr>
      <w:tr w:rsidR="00C07D35" w14:paraId="46BAC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9703F5B"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3,211</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223B666B" w14:textId="77777777" w:rsidR="00C07D35" w:rsidRDefault="00A4668D">
            <w:pPr>
              <w:pStyle w:val="Normal13"/>
              <w:rPr>
                <w:rFonts w:ascii="Calibri" w:eastAsia="Calibri" w:hAnsi="Calibri" w:cs="Calibri"/>
                <w:color w:val="000000"/>
                <w:sz w:val="18"/>
              </w:rPr>
            </w:pPr>
            <w:r>
              <w:rPr>
                <w:rFonts w:ascii="Calibri" w:eastAsia="Calibri" w:hAnsi="Calibri" w:cs="Calibri"/>
                <w:color w:val="000000"/>
                <w:sz w:val="18"/>
              </w:rPr>
              <w:t>Closing 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5BD4E0F9"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10C7A2F3"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600" w:type="dxa"/>
            <w:tcBorders>
              <w:top w:val="nil"/>
              <w:left w:val="nil"/>
              <w:bottom w:val="nil"/>
              <w:right w:val="nil"/>
              <w:tl2br w:val="nil"/>
              <w:tr2bl w:val="nil"/>
            </w:tcBorders>
            <w:shd w:val="clear" w:color="FFFFFF" w:fill="FFFFFF"/>
            <w:tcMar>
              <w:left w:w="101" w:type="dxa"/>
              <w:right w:w="101" w:type="dxa"/>
            </w:tcMar>
          </w:tcPr>
          <w:p w14:paraId="55C30CBB"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6CC5493"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57D561CB"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c>
          <w:tcPr>
            <w:tcW w:w="1035" w:type="dxa"/>
            <w:tcBorders>
              <w:top w:val="nil"/>
              <w:left w:val="nil"/>
              <w:bottom w:val="nil"/>
              <w:right w:val="nil"/>
              <w:tl2br w:val="nil"/>
              <w:tr2bl w:val="nil"/>
            </w:tcBorders>
            <w:shd w:val="clear" w:color="FFFFFF" w:fill="FFFFFF"/>
            <w:tcMar>
              <w:left w:w="101" w:type="dxa"/>
              <w:right w:w="101" w:type="dxa"/>
            </w:tcMar>
          </w:tcPr>
          <w:p w14:paraId="30159325" w14:textId="77777777" w:rsidR="00C07D35" w:rsidRDefault="00A4668D">
            <w:pPr>
              <w:pStyle w:val="Normal13"/>
              <w:jc w:val="right"/>
              <w:rPr>
                <w:rFonts w:ascii="Calibri" w:eastAsia="Calibri" w:hAnsi="Calibri" w:cs="Calibri"/>
                <w:color w:val="000000"/>
                <w:sz w:val="18"/>
              </w:rPr>
            </w:pPr>
            <w:r>
              <w:rPr>
                <w:rFonts w:ascii="Calibri" w:eastAsia="Calibri" w:hAnsi="Calibri" w:cs="Calibri"/>
                <w:color w:val="000000"/>
                <w:sz w:val="18"/>
              </w:rPr>
              <w:t>4,754</w:t>
            </w:r>
          </w:p>
        </w:tc>
      </w:tr>
      <w:tr w:rsidR="00C07D35" w14:paraId="7DFBBD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6D43C7D" w14:textId="77777777" w:rsidR="00C07D35" w:rsidRDefault="00C07D35">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17213558" w14:textId="77777777" w:rsidR="00C07D35" w:rsidRDefault="00C07D35">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700831B4"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67C433" w14:textId="77777777" w:rsidR="00C07D35" w:rsidRDefault="00C07D35">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8DE8B1A" w14:textId="77777777" w:rsidR="00C07D35" w:rsidRDefault="00C07D35">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8B5597"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5F401F" w14:textId="77777777" w:rsidR="00C07D35" w:rsidRDefault="00C07D35">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2BBCED" w14:textId="77777777" w:rsidR="00C07D35" w:rsidRDefault="00C07D35">
            <w:pPr>
              <w:pStyle w:val="Normal13"/>
              <w:rPr>
                <w:rFonts w:ascii="Calibri" w:eastAsia="Calibri" w:hAnsi="Calibri" w:cs="Calibri"/>
                <w:color w:val="000000"/>
                <w:sz w:val="18"/>
              </w:rPr>
            </w:pPr>
          </w:p>
        </w:tc>
      </w:tr>
      <w:tr w:rsidR="00C07D35" w14:paraId="00DFAF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DAFCB76"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3,211</w:t>
            </w:r>
          </w:p>
        </w:tc>
        <w:tc>
          <w:tcPr>
            <w:tcW w:w="2175" w:type="dxa"/>
            <w:tcBorders>
              <w:top w:val="nil"/>
              <w:left w:val="nil"/>
              <w:bottom w:val="nil"/>
              <w:right w:val="nil"/>
              <w:tl2br w:val="nil"/>
              <w:tr2bl w:val="nil"/>
            </w:tcBorders>
            <w:shd w:val="clear" w:color="FFFFFF" w:fill="FFFFFF"/>
            <w:tcMar>
              <w:left w:w="101" w:type="dxa"/>
              <w:right w:w="101" w:type="dxa"/>
            </w:tcMar>
          </w:tcPr>
          <w:p w14:paraId="1C1D313B" w14:textId="77777777" w:rsidR="00C07D35" w:rsidRDefault="00A4668D">
            <w:pPr>
              <w:pStyle w:val="Normal13"/>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245" w:type="dxa"/>
            <w:tcBorders>
              <w:top w:val="nil"/>
              <w:left w:val="nil"/>
              <w:bottom w:val="nil"/>
              <w:right w:val="nil"/>
              <w:tl2br w:val="nil"/>
              <w:tr2bl w:val="nil"/>
            </w:tcBorders>
            <w:shd w:val="clear" w:color="FFFFFF" w:fill="FFFFFF"/>
            <w:noWrap/>
            <w:tcMar>
              <w:left w:w="101" w:type="dxa"/>
              <w:right w:w="101" w:type="dxa"/>
            </w:tcMar>
          </w:tcPr>
          <w:p w14:paraId="26F6633A"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554963CA"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600" w:type="dxa"/>
            <w:tcBorders>
              <w:top w:val="nil"/>
              <w:left w:val="nil"/>
              <w:bottom w:val="nil"/>
              <w:right w:val="nil"/>
              <w:tl2br w:val="nil"/>
              <w:tr2bl w:val="nil"/>
            </w:tcBorders>
            <w:shd w:val="clear" w:color="FFFFFF" w:fill="FFFFFF"/>
            <w:noWrap/>
            <w:tcMar>
              <w:left w:w="101" w:type="dxa"/>
              <w:right w:w="101" w:type="dxa"/>
            </w:tcMar>
          </w:tcPr>
          <w:p w14:paraId="7B860D4D"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60B949C4"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3F4FDBB7"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c>
          <w:tcPr>
            <w:tcW w:w="1035" w:type="dxa"/>
            <w:tcBorders>
              <w:top w:val="nil"/>
              <w:left w:val="nil"/>
              <w:bottom w:val="nil"/>
              <w:right w:val="nil"/>
              <w:tl2br w:val="nil"/>
              <w:tr2bl w:val="nil"/>
            </w:tcBorders>
            <w:shd w:val="clear" w:color="FFFFFF" w:fill="FFFFFF"/>
            <w:noWrap/>
            <w:tcMar>
              <w:left w:w="101" w:type="dxa"/>
              <w:right w:w="101" w:type="dxa"/>
            </w:tcMar>
          </w:tcPr>
          <w:p w14:paraId="75ACCA74" w14:textId="77777777" w:rsidR="00C07D35" w:rsidRDefault="00A4668D">
            <w:pPr>
              <w:pStyle w:val="Normal13"/>
              <w:jc w:val="right"/>
              <w:rPr>
                <w:rFonts w:ascii="Calibri" w:eastAsia="Calibri" w:hAnsi="Calibri" w:cs="Calibri"/>
                <w:b/>
                <w:color w:val="000000"/>
                <w:sz w:val="18"/>
              </w:rPr>
            </w:pPr>
            <w:r>
              <w:rPr>
                <w:rFonts w:ascii="Calibri" w:eastAsia="Calibri" w:hAnsi="Calibri" w:cs="Calibri"/>
                <w:b/>
                <w:color w:val="000000"/>
                <w:sz w:val="18"/>
              </w:rPr>
              <w:t>4,754</w:t>
            </w:r>
          </w:p>
        </w:tc>
      </w:tr>
      <w:tr w:rsidR="00C07D35" w14:paraId="1A268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0519A30" w14:textId="77777777" w:rsidR="00C07D35" w:rsidRDefault="00C07D35">
            <w:pPr>
              <w:pStyle w:val="Normal13"/>
              <w:rPr>
                <w:rFonts w:ascii="Calibri" w:eastAsia="Calibri" w:hAnsi="Calibri" w:cs="Calibri"/>
                <w:color w:val="000000"/>
                <w:sz w:val="18"/>
              </w:rPr>
            </w:pPr>
          </w:p>
        </w:tc>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7594E8AB" w14:textId="77777777" w:rsidR="00C07D35" w:rsidRDefault="00C07D35">
            <w:pPr>
              <w:pStyle w:val="Normal13"/>
              <w:rPr>
                <w:rFonts w:ascii="Calibri" w:eastAsia="Calibri" w:hAnsi="Calibri" w:cs="Calibri"/>
                <w:color w:val="000000"/>
                <w:sz w:val="18"/>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6CAEED87" w14:textId="77777777" w:rsidR="00C07D35" w:rsidRDefault="00C07D35">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DDB50F4" w14:textId="77777777" w:rsidR="00C07D35" w:rsidRDefault="00C07D35">
            <w:pPr>
              <w:pStyle w:val="Normal13"/>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1BD4C53" w14:textId="77777777" w:rsidR="00C07D35" w:rsidRDefault="00C07D35">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625E205" w14:textId="77777777" w:rsidR="00C07D35" w:rsidRDefault="00C07D35">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65CB9CD" w14:textId="77777777" w:rsidR="00C07D35" w:rsidRDefault="00C07D35">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E50BB1A" w14:textId="77777777" w:rsidR="00C07D35" w:rsidRDefault="00C07D35">
            <w:pPr>
              <w:pStyle w:val="Normal13"/>
              <w:rPr>
                <w:rFonts w:ascii="Calibri" w:eastAsia="Calibri" w:hAnsi="Calibri" w:cs="Calibri"/>
                <w:color w:val="000000"/>
                <w:sz w:val="18"/>
              </w:rPr>
            </w:pPr>
          </w:p>
        </w:tc>
      </w:tr>
    </w:tbl>
    <w:p w14:paraId="4DCB7B14" w14:textId="77777777" w:rsidR="00D73432" w:rsidRDefault="00D73432">
      <w:pPr>
        <w:spacing w:before="0" w:after="0"/>
        <w:rPr>
          <w:rFonts w:cs="Calibri"/>
          <w:b/>
          <w:bCs/>
          <w:sz w:val="28"/>
          <w:szCs w:val="26"/>
          <w:bdr w:val="nil"/>
        </w:rPr>
      </w:pPr>
      <w:r>
        <w:rPr>
          <w:bdr w:val="nil"/>
        </w:rPr>
        <w:br w:type="page"/>
      </w:r>
    </w:p>
    <w:p w14:paraId="663F66CC" w14:textId="7A5C9BA1" w:rsidR="00A4668D" w:rsidRPr="00732E49" w:rsidRDefault="00A4668D" w:rsidP="00D73432">
      <w:pPr>
        <w:pStyle w:val="Heading32"/>
        <w:rPr>
          <w:bdr w:val="nil"/>
        </w:rPr>
      </w:pPr>
      <w:r w:rsidRPr="00732E49">
        <w:rPr>
          <w:bdr w:val="nil"/>
        </w:rPr>
        <w:lastRenderedPageBreak/>
        <w:t>Notes to the Territorial Budget Statements</w:t>
      </w:r>
    </w:p>
    <w:p w14:paraId="295788F0" w14:textId="50D25C75" w:rsidR="00A4668D" w:rsidRPr="00732E49" w:rsidRDefault="00A4668D" w:rsidP="00A4668D">
      <w:pPr>
        <w:keepLines/>
        <w:pBdr>
          <w:top w:val="nil"/>
          <w:left w:val="nil"/>
          <w:bottom w:val="nil"/>
          <w:right w:val="nil"/>
          <w:between w:val="nil"/>
          <w:bar w:val="nil"/>
        </w:pBdr>
        <w:rPr>
          <w:bdr w:val="nil"/>
        </w:rPr>
      </w:pPr>
      <w:r>
        <w:rPr>
          <w:bdr w:val="nil"/>
        </w:rPr>
        <w:t xml:space="preserve">From 2019-20, the </w:t>
      </w:r>
      <w:r w:rsidR="00B937B9">
        <w:rPr>
          <w:bdr w:val="nil"/>
        </w:rPr>
        <w:t>Australian Capital Territory (</w:t>
      </w:r>
      <w:r>
        <w:rPr>
          <w:bdr w:val="nil"/>
        </w:rPr>
        <w:t>ACT</w:t>
      </w:r>
      <w:r w:rsidR="00B937B9">
        <w:rPr>
          <w:bdr w:val="nil"/>
        </w:rPr>
        <w:t>)</w:t>
      </w:r>
      <w:r>
        <w:rPr>
          <w:bdr w:val="nil"/>
        </w:rPr>
        <w:t xml:space="preserve"> </w:t>
      </w:r>
      <w:proofErr w:type="gramStart"/>
      <w:r>
        <w:rPr>
          <w:bdr w:val="nil"/>
        </w:rPr>
        <w:t>enter</w:t>
      </w:r>
      <w:r w:rsidR="002E2C1E">
        <w:rPr>
          <w:bdr w:val="nil"/>
        </w:rPr>
        <w:t>ed</w:t>
      </w:r>
      <w:r>
        <w:rPr>
          <w:bdr w:val="nil"/>
        </w:rPr>
        <w:t xml:space="preserve"> into</w:t>
      </w:r>
      <w:proofErr w:type="gramEnd"/>
      <w:r>
        <w:rPr>
          <w:bdr w:val="nil"/>
        </w:rPr>
        <w:t xml:space="preserve"> the full scheme of the </w:t>
      </w:r>
      <w:r>
        <w:rPr>
          <w:bdr w:val="nil"/>
        </w:rPr>
        <w:br/>
        <w:t xml:space="preserve">National Disability Insurance Scheme (NDIS) </w:t>
      </w:r>
      <w:r>
        <w:rPr>
          <w:i/>
          <w:bdr w:val="nil"/>
        </w:rPr>
        <w:t>Bilateral Agreement</w:t>
      </w:r>
      <w:r>
        <w:rPr>
          <w:bdr w:val="nil"/>
        </w:rPr>
        <w:t xml:space="preserve"> with the Commonwealth. As a result, the ACT cash contribution to the NDIS is considered as an expense administered by the Community Services Directorate (the Directorate) on behalf of the Territory. The ACT cash contribution includes funds and cash equivalents for in-kind services that are no longer eligible under the full scheme of the NDIS. The related contributions are previously managed separately by the Community Services Directorate, the Health Directorate, the Education Directorate and the Chief Minister, Treasury and Economic Development Directorate.</w:t>
      </w:r>
    </w:p>
    <w:p w14:paraId="1E2D1716" w14:textId="77777777" w:rsidR="00A4668D" w:rsidRPr="003C7D95" w:rsidRDefault="00A4668D" w:rsidP="00A4668D">
      <w:pPr>
        <w:keepNext/>
        <w:keepLines/>
        <w:pBdr>
          <w:top w:val="nil"/>
          <w:left w:val="nil"/>
          <w:bottom w:val="nil"/>
          <w:right w:val="nil"/>
          <w:between w:val="nil"/>
          <w:bar w:val="nil"/>
        </w:pBdr>
        <w:rPr>
          <w:bdr w:val="nil"/>
        </w:rPr>
      </w:pPr>
      <w:r w:rsidRPr="003C7D95">
        <w:rPr>
          <w:bdr w:val="nil"/>
        </w:rPr>
        <w:t xml:space="preserve">Significant variation </w:t>
      </w:r>
      <w:r>
        <w:rPr>
          <w:bdr w:val="nil"/>
        </w:rPr>
        <w:t>is</w:t>
      </w:r>
      <w:r w:rsidRPr="003C7D95">
        <w:rPr>
          <w:bdr w:val="nil"/>
        </w:rPr>
        <w:t xml:space="preserve"> as follows:</w:t>
      </w:r>
    </w:p>
    <w:p w14:paraId="42DB6DCD" w14:textId="77777777" w:rsidR="00A4668D" w:rsidRPr="003C7D95" w:rsidRDefault="00A4668D" w:rsidP="00D73432">
      <w:pPr>
        <w:pStyle w:val="Heading4"/>
        <w:rPr>
          <w:bdr w:val="nil"/>
        </w:rPr>
      </w:pPr>
      <w:r w:rsidRPr="003C7D95">
        <w:rPr>
          <w:bdr w:val="nil"/>
        </w:rPr>
        <w:t>Statement of Income and Expenses on beh</w:t>
      </w:r>
      <w:r>
        <w:rPr>
          <w:bdr w:val="nil"/>
        </w:rPr>
        <w:t>alf of the Territory</w:t>
      </w:r>
    </w:p>
    <w:p w14:paraId="5DDA1943" w14:textId="03E975F6" w:rsidR="00A4668D" w:rsidRPr="009F7F5A" w:rsidRDefault="00A4668D" w:rsidP="00A4668D">
      <w:pPr>
        <w:pStyle w:val="BSbullet1"/>
        <w:keepNext/>
        <w:keepLines/>
        <w:pBdr>
          <w:top w:val="nil"/>
          <w:left w:val="nil"/>
          <w:bottom w:val="nil"/>
          <w:right w:val="nil"/>
          <w:between w:val="nil"/>
          <w:bar w:val="nil"/>
        </w:pBdr>
        <w:rPr>
          <w:bdr w:val="nil"/>
        </w:rPr>
      </w:pPr>
      <w:r>
        <w:rPr>
          <w:bdr w:val="nil"/>
        </w:rPr>
        <w:t xml:space="preserve">grants </w:t>
      </w:r>
      <w:r w:rsidRPr="009F7F5A">
        <w:rPr>
          <w:bdr w:val="nil"/>
        </w:rPr>
        <w:t>and purchased services:</w:t>
      </w:r>
    </w:p>
    <w:p w14:paraId="20A31ABB" w14:textId="61D09982"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the decrease of $1.543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is mainly due to the higher than anticipated in-kind offset credits.</w:t>
      </w:r>
    </w:p>
    <w:p w14:paraId="61D6E8E0" w14:textId="08E47FF9" w:rsidR="00A4668D" w:rsidRPr="009F7F5A" w:rsidRDefault="00A4668D" w:rsidP="00D73432">
      <w:pPr>
        <w:pStyle w:val="Heading4"/>
        <w:rPr>
          <w:bdr w:val="nil"/>
        </w:rPr>
      </w:pPr>
      <w:r w:rsidRPr="009F7F5A">
        <w:rPr>
          <w:bdr w:val="nil"/>
        </w:rPr>
        <w:t>Statement of Assets and Liabilities on behalf of the Territory</w:t>
      </w:r>
    </w:p>
    <w:p w14:paraId="5021F3A2" w14:textId="5D402C06" w:rsidR="00A4668D" w:rsidRPr="009F7F5A" w:rsidRDefault="00A4668D" w:rsidP="00A4668D">
      <w:pPr>
        <w:pStyle w:val="BSbullet1"/>
        <w:keepNext/>
        <w:keepLines/>
        <w:pBdr>
          <w:top w:val="nil"/>
          <w:left w:val="nil"/>
          <w:bottom w:val="nil"/>
          <w:right w:val="nil"/>
          <w:between w:val="nil"/>
          <w:bar w:val="nil"/>
        </w:pBdr>
        <w:rPr>
          <w:bdr w:val="nil"/>
        </w:rPr>
      </w:pPr>
      <w:r w:rsidRPr="009F7F5A">
        <w:rPr>
          <w:bdr w:val="nil"/>
        </w:rPr>
        <w:t>cash and cash equivalents:</w:t>
      </w:r>
    </w:p>
    <w:p w14:paraId="12F4B073" w14:textId="3B457084"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the increase of $1.268 million in the 2020-21 </w:t>
      </w:r>
      <w:r w:rsidR="00B15DC9">
        <w:rPr>
          <w:bdr w:val="nil"/>
        </w:rPr>
        <w:t>I</w:t>
      </w:r>
      <w:r w:rsidRPr="009F7F5A">
        <w:rPr>
          <w:bdr w:val="nil"/>
        </w:rPr>
        <w:t xml:space="preserve">nterim </w:t>
      </w:r>
      <w:r w:rsidR="00B15DC9">
        <w:rPr>
          <w:bdr w:val="nil"/>
        </w:rPr>
        <w:t>O</w:t>
      </w:r>
      <w:r w:rsidRPr="009F7F5A">
        <w:rPr>
          <w:bdr w:val="nil"/>
        </w:rPr>
        <w:t>utcome from the original budget represents the reimbursement from National Disability Insurance Agency (NDIA) for Taxi Subsidy Scheme (TSS) cross billing as well as funding drawn for payments in early 2021-22.</w:t>
      </w:r>
    </w:p>
    <w:p w14:paraId="0CB0C38D" w14:textId="5E2CF345" w:rsidR="00A4668D" w:rsidRPr="009F7F5A" w:rsidRDefault="00A4668D" w:rsidP="00A4668D">
      <w:pPr>
        <w:pStyle w:val="BSbullet1"/>
        <w:keepNext/>
        <w:keepLines/>
        <w:pBdr>
          <w:top w:val="nil"/>
          <w:left w:val="nil"/>
          <w:bottom w:val="nil"/>
          <w:right w:val="nil"/>
          <w:between w:val="nil"/>
          <w:bar w:val="nil"/>
        </w:pBdr>
        <w:rPr>
          <w:bdr w:val="nil"/>
        </w:rPr>
      </w:pPr>
      <w:r w:rsidRPr="009F7F5A">
        <w:rPr>
          <w:bdr w:val="nil"/>
        </w:rPr>
        <w:t>receivables and other assets:</w:t>
      </w:r>
    </w:p>
    <w:p w14:paraId="7C1F8CE0" w14:textId="06292F3B" w:rsidR="00A4668D" w:rsidRPr="009F7F5A" w:rsidRDefault="00A4668D" w:rsidP="00A4668D">
      <w:pPr>
        <w:pStyle w:val="BSbullet2"/>
        <w:pBdr>
          <w:top w:val="nil"/>
          <w:left w:val="nil"/>
          <w:bottom w:val="nil"/>
          <w:right w:val="nil"/>
          <w:between w:val="nil"/>
          <w:bar w:val="nil"/>
        </w:pBdr>
        <w:ind w:left="697" w:hanging="357"/>
        <w:rPr>
          <w:bdr w:val="nil"/>
        </w:rPr>
      </w:pPr>
      <w:r w:rsidRPr="009F7F5A">
        <w:rPr>
          <w:bdr w:val="nil"/>
        </w:rPr>
        <w:t>the receivables and other assets represent cash contribution payments made in advance to NDIA due to delay in processing of quarter four in-kind offset credits for 2021-22.</w:t>
      </w:r>
    </w:p>
    <w:p w14:paraId="06F49456" w14:textId="77777777" w:rsidR="00A4668D" w:rsidRPr="009766A7" w:rsidRDefault="00A4668D" w:rsidP="00D73432">
      <w:pPr>
        <w:pStyle w:val="Heading4"/>
        <w:rPr>
          <w:bdr w:val="nil"/>
        </w:rPr>
      </w:pPr>
      <w:r w:rsidRPr="00CB6E96">
        <w:rPr>
          <w:bdr w:val="nil"/>
        </w:rPr>
        <w:t>Statement of Changes in Equity and Cash Flow Statement</w:t>
      </w:r>
      <w:r>
        <w:rPr>
          <w:bdr w:val="nil"/>
        </w:rPr>
        <w:t xml:space="preserve"> on behalf of the Territory</w:t>
      </w:r>
    </w:p>
    <w:p w14:paraId="6FEB5FBC" w14:textId="77777777" w:rsidR="00A4668D" w:rsidRPr="007360E3" w:rsidRDefault="00A4668D" w:rsidP="00A4668D">
      <w:pPr>
        <w:keepLines/>
        <w:pBdr>
          <w:top w:val="nil"/>
          <w:left w:val="nil"/>
          <w:bottom w:val="nil"/>
          <w:right w:val="nil"/>
          <w:between w:val="nil"/>
          <w:bar w:val="nil"/>
        </w:pBdr>
        <w:rPr>
          <w:rFonts w:eastAsia="TimesNewRomanPS-ItalicMT"/>
          <w:bdr w:val="nil"/>
        </w:rPr>
      </w:pPr>
      <w:r w:rsidRPr="00CB6E96">
        <w:rPr>
          <w:bdr w:val="nil"/>
        </w:rPr>
        <w:t>Variations in these Statements are explained in the notes above.</w:t>
      </w:r>
    </w:p>
    <w:p w14:paraId="345A6850" w14:textId="55F6D22D" w:rsidR="00A4668D" w:rsidRPr="00A34091" w:rsidRDefault="00A4668D" w:rsidP="00A4668D">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31</w:t>
      </w:r>
      <w:r>
        <w:rPr>
          <w:noProof/>
          <w:bdr w:val="nil"/>
        </w:rPr>
        <w:fldChar w:fldCharType="end"/>
      </w:r>
      <w:r>
        <w:rPr>
          <w:bdr w:val="nil"/>
        </w:rPr>
        <w:t>: Output Class 1: Strategic Policy, Inclusion and Participation Operating Statement</w:t>
      </w:r>
    </w:p>
    <w:tbl>
      <w:tblPr>
        <w:tblStyle w:val="CDMRange2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07D35" w14:paraId="6693FF72" w14:textId="77777777">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41AE82"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76D08F1C" w14:textId="77777777" w:rsidR="00C07D35" w:rsidRDefault="00C07D35">
            <w:pPr>
              <w:pStyle w:val="Normal14"/>
              <w:jc w:val="right"/>
              <w:rPr>
                <w:rFonts w:ascii="Calibri" w:eastAsia="Calibri" w:hAnsi="Calibri" w:cs="Calibri"/>
                <w:b/>
                <w:color w:val="000000"/>
                <w:sz w:val="18"/>
              </w:rPr>
            </w:pPr>
          </w:p>
          <w:p w14:paraId="3A0F15DD"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FC6A051" w14:textId="77777777" w:rsidR="00C07D35" w:rsidRDefault="00C07D35">
            <w:pPr>
              <w:pStyle w:val="Normal14"/>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20125E2"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1171CA6"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1EB30C6F"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Budget</w:t>
            </w:r>
          </w:p>
          <w:p w14:paraId="55F0C92D" w14:textId="77777777" w:rsidR="00C07D35" w:rsidRDefault="00C07D35">
            <w:pPr>
              <w:pStyle w:val="Normal14"/>
              <w:jc w:val="right"/>
              <w:rPr>
                <w:rFonts w:ascii="Calibri" w:eastAsia="Calibri" w:hAnsi="Calibri" w:cs="Calibri"/>
                <w:b/>
                <w:color w:val="000000"/>
                <w:sz w:val="18"/>
              </w:rPr>
            </w:pPr>
          </w:p>
          <w:p w14:paraId="1162AEC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D88DB9"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Var</w:t>
            </w:r>
          </w:p>
          <w:p w14:paraId="3BC19BDE"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D856D31"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52BAA699"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Estimate</w:t>
            </w:r>
          </w:p>
          <w:p w14:paraId="5D962574" w14:textId="77777777" w:rsidR="00C07D35" w:rsidRDefault="00C07D35">
            <w:pPr>
              <w:pStyle w:val="Normal14"/>
              <w:jc w:val="right"/>
              <w:rPr>
                <w:rFonts w:ascii="Calibri" w:eastAsia="Calibri" w:hAnsi="Calibri" w:cs="Calibri"/>
                <w:b/>
                <w:color w:val="000000"/>
                <w:sz w:val="18"/>
              </w:rPr>
            </w:pPr>
          </w:p>
          <w:p w14:paraId="6427C63B"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EC9F45"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64A7121A"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Estimate</w:t>
            </w:r>
          </w:p>
          <w:p w14:paraId="786E48D5" w14:textId="77777777" w:rsidR="00C07D35" w:rsidRDefault="00C07D35">
            <w:pPr>
              <w:pStyle w:val="Normal14"/>
              <w:jc w:val="right"/>
              <w:rPr>
                <w:rFonts w:ascii="Calibri" w:eastAsia="Calibri" w:hAnsi="Calibri" w:cs="Calibri"/>
                <w:b/>
                <w:color w:val="000000"/>
                <w:sz w:val="18"/>
              </w:rPr>
            </w:pPr>
          </w:p>
          <w:p w14:paraId="39ED07F8"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55780D8"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2024-25 </w:t>
            </w:r>
          </w:p>
          <w:p w14:paraId="18F6D0D0"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Estimate</w:t>
            </w:r>
          </w:p>
          <w:p w14:paraId="4FB57615" w14:textId="77777777" w:rsidR="00C07D35" w:rsidRDefault="00C07D35">
            <w:pPr>
              <w:pStyle w:val="Normal14"/>
              <w:jc w:val="right"/>
              <w:rPr>
                <w:rFonts w:ascii="Calibri" w:eastAsia="Calibri" w:hAnsi="Calibri" w:cs="Calibri"/>
                <w:b/>
                <w:color w:val="000000"/>
                <w:sz w:val="18"/>
              </w:rPr>
            </w:pPr>
          </w:p>
          <w:p w14:paraId="7F7FD825"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07D35" w14:paraId="56B459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6BBA9EE" w14:textId="77777777" w:rsidR="00C07D35" w:rsidRDefault="00C07D35">
            <w:pPr>
              <w:pStyle w:val="Normal14"/>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7872F06A" w14:textId="77777777" w:rsidR="00C07D35" w:rsidRDefault="00C07D35">
            <w:pPr>
              <w:pStyle w:val="Normal14"/>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C7E145B" w14:textId="77777777" w:rsidR="00C07D35" w:rsidRDefault="00C07D35">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BDFDF05" w14:textId="77777777" w:rsidR="00C07D35" w:rsidRDefault="00C07D35">
            <w:pPr>
              <w:pStyle w:val="Normal14"/>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167B9551" w14:textId="77777777" w:rsidR="00C07D35" w:rsidRDefault="00C07D35">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E1BF761" w14:textId="77777777" w:rsidR="00C07D35" w:rsidRDefault="00C07D35">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1EE0B7F" w14:textId="77777777" w:rsidR="00C07D35" w:rsidRDefault="00C07D35">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43BD703" w14:textId="77777777" w:rsidR="00C07D35" w:rsidRDefault="00C07D35">
            <w:pPr>
              <w:pStyle w:val="Normal14"/>
              <w:jc w:val="right"/>
              <w:rPr>
                <w:rFonts w:ascii="Calibri" w:eastAsia="Calibri" w:hAnsi="Calibri" w:cs="Calibri"/>
                <w:b/>
                <w:i/>
                <w:color w:val="000000"/>
                <w:sz w:val="18"/>
              </w:rPr>
            </w:pPr>
          </w:p>
        </w:tc>
      </w:tr>
      <w:tr w:rsidR="00C07D35" w14:paraId="6B9591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E1BFB4"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2844583"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576BACB9"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CE120B"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970BDB"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AEC4EC"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C56F06"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40F221" w14:textId="77777777" w:rsidR="00C07D35" w:rsidRDefault="00C07D35">
            <w:pPr>
              <w:pStyle w:val="Normal14"/>
              <w:rPr>
                <w:rFonts w:ascii="Calibri" w:eastAsia="Calibri" w:hAnsi="Calibri" w:cs="Calibri"/>
                <w:color w:val="000000"/>
                <w:sz w:val="18"/>
              </w:rPr>
            </w:pPr>
          </w:p>
        </w:tc>
      </w:tr>
      <w:tr w:rsidR="00C07D35" w14:paraId="4FD0C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F296CC"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8FF9D5"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704588"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2854A2"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43D013"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92413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DDC748"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32F43E" w14:textId="77777777" w:rsidR="00C07D35" w:rsidRDefault="00C07D35">
            <w:pPr>
              <w:pStyle w:val="Normal14"/>
              <w:rPr>
                <w:rFonts w:ascii="Calibri" w:eastAsia="Calibri" w:hAnsi="Calibri" w:cs="Calibri"/>
                <w:color w:val="000000"/>
                <w:sz w:val="18"/>
              </w:rPr>
            </w:pPr>
          </w:p>
        </w:tc>
      </w:tr>
      <w:tr w:rsidR="00C07D35" w14:paraId="7D6BE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38E2BC"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95F0935"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DF117F6"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310CD0"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C5563D"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8A315C"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94700A"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9AEC67" w14:textId="77777777" w:rsidR="00C07D35" w:rsidRDefault="00C07D35">
            <w:pPr>
              <w:pStyle w:val="Normal14"/>
              <w:rPr>
                <w:rFonts w:ascii="Calibri" w:eastAsia="Calibri" w:hAnsi="Calibri" w:cs="Calibri"/>
                <w:color w:val="000000"/>
                <w:sz w:val="18"/>
              </w:rPr>
            </w:pPr>
          </w:p>
        </w:tc>
      </w:tr>
      <w:tr w:rsidR="00C07D35" w14:paraId="454CCF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1BD44D"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73,559</w:t>
            </w:r>
          </w:p>
        </w:tc>
        <w:tc>
          <w:tcPr>
            <w:tcW w:w="2385" w:type="dxa"/>
            <w:tcBorders>
              <w:top w:val="nil"/>
              <w:left w:val="nil"/>
              <w:bottom w:val="nil"/>
              <w:right w:val="nil"/>
              <w:tl2br w:val="nil"/>
              <w:tr2bl w:val="nil"/>
            </w:tcBorders>
            <w:shd w:val="clear" w:color="auto" w:fill="auto"/>
            <w:noWrap/>
            <w:tcMar>
              <w:left w:w="101" w:type="dxa"/>
              <w:right w:w="101" w:type="dxa"/>
            </w:tcMar>
          </w:tcPr>
          <w:p w14:paraId="36AC645E"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0E932E30"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70,489</w:t>
            </w:r>
          </w:p>
        </w:tc>
        <w:tc>
          <w:tcPr>
            <w:tcW w:w="1035" w:type="dxa"/>
            <w:tcBorders>
              <w:top w:val="nil"/>
              <w:left w:val="nil"/>
              <w:bottom w:val="nil"/>
              <w:right w:val="nil"/>
              <w:tl2br w:val="nil"/>
              <w:tr2bl w:val="nil"/>
            </w:tcBorders>
            <w:shd w:val="clear" w:color="FFFFFF" w:fill="FFFFFF"/>
            <w:tcMar>
              <w:left w:w="101" w:type="dxa"/>
              <w:right w:w="101" w:type="dxa"/>
            </w:tcMar>
          </w:tcPr>
          <w:p w14:paraId="3F5F9837"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77,734</w:t>
            </w:r>
          </w:p>
        </w:tc>
        <w:tc>
          <w:tcPr>
            <w:tcW w:w="600" w:type="dxa"/>
            <w:tcBorders>
              <w:top w:val="nil"/>
              <w:left w:val="nil"/>
              <w:bottom w:val="nil"/>
              <w:right w:val="nil"/>
              <w:tl2br w:val="nil"/>
              <w:tr2bl w:val="nil"/>
            </w:tcBorders>
            <w:shd w:val="clear" w:color="FFFFFF" w:fill="FFFFFF"/>
            <w:tcMar>
              <w:left w:w="101" w:type="dxa"/>
              <w:right w:w="101" w:type="dxa"/>
            </w:tcMar>
          </w:tcPr>
          <w:p w14:paraId="515F5956"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51F30C89"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73,863</w:t>
            </w:r>
          </w:p>
        </w:tc>
        <w:tc>
          <w:tcPr>
            <w:tcW w:w="1035" w:type="dxa"/>
            <w:tcBorders>
              <w:top w:val="nil"/>
              <w:left w:val="nil"/>
              <w:bottom w:val="nil"/>
              <w:right w:val="nil"/>
              <w:tl2br w:val="nil"/>
              <w:tr2bl w:val="nil"/>
            </w:tcBorders>
            <w:shd w:val="clear" w:color="FFFFFF" w:fill="FFFFFF"/>
            <w:tcMar>
              <w:left w:w="101" w:type="dxa"/>
              <w:right w:w="101" w:type="dxa"/>
            </w:tcMar>
          </w:tcPr>
          <w:p w14:paraId="7434CADE"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71,685</w:t>
            </w:r>
          </w:p>
        </w:tc>
        <w:tc>
          <w:tcPr>
            <w:tcW w:w="1035" w:type="dxa"/>
            <w:tcBorders>
              <w:top w:val="nil"/>
              <w:left w:val="nil"/>
              <w:bottom w:val="nil"/>
              <w:right w:val="nil"/>
              <w:tl2br w:val="nil"/>
              <w:tr2bl w:val="nil"/>
            </w:tcBorders>
            <w:shd w:val="clear" w:color="FFFFFF" w:fill="FFFFFF"/>
            <w:tcMar>
              <w:left w:w="101" w:type="dxa"/>
              <w:right w:w="101" w:type="dxa"/>
            </w:tcMar>
          </w:tcPr>
          <w:p w14:paraId="2857A47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71,639</w:t>
            </w:r>
          </w:p>
        </w:tc>
      </w:tr>
      <w:tr w:rsidR="00C07D35" w14:paraId="40D854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B12369"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408</w:t>
            </w:r>
          </w:p>
        </w:tc>
        <w:tc>
          <w:tcPr>
            <w:tcW w:w="2385" w:type="dxa"/>
            <w:tcBorders>
              <w:top w:val="nil"/>
              <w:left w:val="nil"/>
              <w:bottom w:val="nil"/>
              <w:right w:val="nil"/>
              <w:tl2br w:val="nil"/>
              <w:tr2bl w:val="nil"/>
            </w:tcBorders>
            <w:shd w:val="clear" w:color="auto" w:fill="auto"/>
            <w:noWrap/>
            <w:tcMar>
              <w:left w:w="101" w:type="dxa"/>
              <w:right w:w="101" w:type="dxa"/>
            </w:tcMar>
          </w:tcPr>
          <w:p w14:paraId="5CA83142"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3B76A112"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803</w:t>
            </w:r>
          </w:p>
        </w:tc>
        <w:tc>
          <w:tcPr>
            <w:tcW w:w="1035" w:type="dxa"/>
            <w:tcBorders>
              <w:top w:val="nil"/>
              <w:left w:val="nil"/>
              <w:bottom w:val="nil"/>
              <w:right w:val="nil"/>
              <w:tl2br w:val="nil"/>
              <w:tr2bl w:val="nil"/>
            </w:tcBorders>
            <w:shd w:val="clear" w:color="FFFFFF" w:fill="FFFFFF"/>
            <w:tcMar>
              <w:left w:w="101" w:type="dxa"/>
              <w:right w:w="101" w:type="dxa"/>
            </w:tcMar>
          </w:tcPr>
          <w:p w14:paraId="510DFF30"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1,550</w:t>
            </w:r>
          </w:p>
        </w:tc>
        <w:tc>
          <w:tcPr>
            <w:tcW w:w="600" w:type="dxa"/>
            <w:tcBorders>
              <w:top w:val="nil"/>
              <w:left w:val="nil"/>
              <w:bottom w:val="nil"/>
              <w:right w:val="nil"/>
              <w:tl2br w:val="nil"/>
              <w:tr2bl w:val="nil"/>
            </w:tcBorders>
            <w:shd w:val="clear" w:color="FFFFFF" w:fill="FFFFFF"/>
            <w:tcMar>
              <w:left w:w="101" w:type="dxa"/>
              <w:right w:w="101" w:type="dxa"/>
            </w:tcMar>
          </w:tcPr>
          <w:p w14:paraId="2103B180"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93 </w:t>
            </w:r>
          </w:p>
        </w:tc>
        <w:tc>
          <w:tcPr>
            <w:tcW w:w="1035" w:type="dxa"/>
            <w:tcBorders>
              <w:top w:val="nil"/>
              <w:left w:val="nil"/>
              <w:bottom w:val="nil"/>
              <w:right w:val="nil"/>
              <w:tl2br w:val="nil"/>
              <w:tr2bl w:val="nil"/>
            </w:tcBorders>
            <w:shd w:val="clear" w:color="FFFFFF" w:fill="FFFFFF"/>
            <w:tcMar>
              <w:left w:w="101" w:type="dxa"/>
              <w:right w:w="101" w:type="dxa"/>
            </w:tcMar>
          </w:tcPr>
          <w:p w14:paraId="25BD45E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1,148</w:t>
            </w:r>
          </w:p>
        </w:tc>
        <w:tc>
          <w:tcPr>
            <w:tcW w:w="1035" w:type="dxa"/>
            <w:tcBorders>
              <w:top w:val="nil"/>
              <w:left w:val="nil"/>
              <w:bottom w:val="nil"/>
              <w:right w:val="nil"/>
              <w:tl2br w:val="nil"/>
              <w:tr2bl w:val="nil"/>
            </w:tcBorders>
            <w:shd w:val="clear" w:color="FFFFFF" w:fill="FFFFFF"/>
            <w:tcMar>
              <w:left w:w="101" w:type="dxa"/>
              <w:right w:w="101" w:type="dxa"/>
            </w:tcMar>
          </w:tcPr>
          <w:p w14:paraId="692F96E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999</w:t>
            </w:r>
          </w:p>
        </w:tc>
        <w:tc>
          <w:tcPr>
            <w:tcW w:w="1035" w:type="dxa"/>
            <w:tcBorders>
              <w:top w:val="nil"/>
              <w:left w:val="nil"/>
              <w:bottom w:val="nil"/>
              <w:right w:val="nil"/>
              <w:tl2br w:val="nil"/>
              <w:tr2bl w:val="nil"/>
            </w:tcBorders>
            <w:shd w:val="clear" w:color="FFFFFF" w:fill="FFFFFF"/>
            <w:tcMar>
              <w:left w:w="101" w:type="dxa"/>
              <w:right w:w="101" w:type="dxa"/>
            </w:tcMar>
          </w:tcPr>
          <w:p w14:paraId="61BD93B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1,011</w:t>
            </w:r>
          </w:p>
        </w:tc>
      </w:tr>
      <w:tr w:rsidR="00C07D35" w14:paraId="346C26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2FADB6"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2,006</w:t>
            </w:r>
          </w:p>
        </w:tc>
        <w:tc>
          <w:tcPr>
            <w:tcW w:w="2385" w:type="dxa"/>
            <w:tcBorders>
              <w:top w:val="nil"/>
              <w:left w:val="nil"/>
              <w:bottom w:val="nil"/>
              <w:right w:val="nil"/>
              <w:tl2br w:val="nil"/>
              <w:tr2bl w:val="nil"/>
            </w:tcBorders>
            <w:shd w:val="clear" w:color="auto" w:fill="auto"/>
            <w:noWrap/>
            <w:tcMar>
              <w:left w:w="101" w:type="dxa"/>
              <w:right w:w="101" w:type="dxa"/>
            </w:tcMar>
          </w:tcPr>
          <w:p w14:paraId="2E2803D2"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0276DEC"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513</w:t>
            </w:r>
          </w:p>
        </w:tc>
        <w:tc>
          <w:tcPr>
            <w:tcW w:w="1035" w:type="dxa"/>
            <w:tcBorders>
              <w:top w:val="nil"/>
              <w:left w:val="nil"/>
              <w:bottom w:val="nil"/>
              <w:right w:val="nil"/>
              <w:tl2br w:val="nil"/>
              <w:tr2bl w:val="nil"/>
            </w:tcBorders>
            <w:shd w:val="clear" w:color="FFFFFF" w:fill="FFFFFF"/>
            <w:tcMar>
              <w:left w:w="101" w:type="dxa"/>
              <w:right w:w="101" w:type="dxa"/>
            </w:tcMar>
          </w:tcPr>
          <w:p w14:paraId="13B0E063"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2,119</w:t>
            </w:r>
          </w:p>
        </w:tc>
        <w:tc>
          <w:tcPr>
            <w:tcW w:w="600" w:type="dxa"/>
            <w:tcBorders>
              <w:top w:val="nil"/>
              <w:left w:val="nil"/>
              <w:bottom w:val="nil"/>
              <w:right w:val="nil"/>
              <w:tl2br w:val="nil"/>
              <w:tr2bl w:val="nil"/>
            </w:tcBorders>
            <w:shd w:val="clear" w:color="FFFFFF" w:fill="FFFFFF"/>
            <w:tcMar>
              <w:left w:w="101" w:type="dxa"/>
              <w:right w:w="101" w:type="dxa"/>
            </w:tcMar>
          </w:tcPr>
          <w:p w14:paraId="039CEDCA"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313 </w:t>
            </w:r>
          </w:p>
        </w:tc>
        <w:tc>
          <w:tcPr>
            <w:tcW w:w="1035" w:type="dxa"/>
            <w:tcBorders>
              <w:top w:val="nil"/>
              <w:left w:val="nil"/>
              <w:bottom w:val="nil"/>
              <w:right w:val="nil"/>
              <w:tl2br w:val="nil"/>
              <w:tr2bl w:val="nil"/>
            </w:tcBorders>
            <w:shd w:val="clear" w:color="FFFFFF" w:fill="FFFFFF"/>
            <w:tcMar>
              <w:left w:w="101" w:type="dxa"/>
              <w:right w:w="101" w:type="dxa"/>
            </w:tcMar>
          </w:tcPr>
          <w:p w14:paraId="365B1E39"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2,163</w:t>
            </w:r>
          </w:p>
        </w:tc>
        <w:tc>
          <w:tcPr>
            <w:tcW w:w="1035" w:type="dxa"/>
            <w:tcBorders>
              <w:top w:val="nil"/>
              <w:left w:val="nil"/>
              <w:bottom w:val="nil"/>
              <w:right w:val="nil"/>
              <w:tl2br w:val="nil"/>
              <w:tr2bl w:val="nil"/>
            </w:tcBorders>
            <w:shd w:val="clear" w:color="FFFFFF" w:fill="FFFFFF"/>
            <w:tcMar>
              <w:left w:w="101" w:type="dxa"/>
              <w:right w:w="101" w:type="dxa"/>
            </w:tcMar>
          </w:tcPr>
          <w:p w14:paraId="60A34141"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2,208</w:t>
            </w:r>
          </w:p>
        </w:tc>
        <w:tc>
          <w:tcPr>
            <w:tcW w:w="1035" w:type="dxa"/>
            <w:tcBorders>
              <w:top w:val="nil"/>
              <w:left w:val="nil"/>
              <w:bottom w:val="nil"/>
              <w:right w:val="nil"/>
              <w:tl2br w:val="nil"/>
              <w:tr2bl w:val="nil"/>
            </w:tcBorders>
            <w:shd w:val="clear" w:color="FFFFFF" w:fill="FFFFFF"/>
            <w:tcMar>
              <w:left w:w="101" w:type="dxa"/>
              <w:right w:w="101" w:type="dxa"/>
            </w:tcMar>
          </w:tcPr>
          <w:p w14:paraId="720B3E91"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2,209</w:t>
            </w:r>
          </w:p>
        </w:tc>
      </w:tr>
      <w:tr w:rsidR="00C07D35" w14:paraId="1EA310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08374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591</w:t>
            </w:r>
          </w:p>
        </w:tc>
        <w:tc>
          <w:tcPr>
            <w:tcW w:w="2385" w:type="dxa"/>
            <w:tcBorders>
              <w:top w:val="nil"/>
              <w:left w:val="nil"/>
              <w:bottom w:val="nil"/>
              <w:right w:val="nil"/>
              <w:tl2br w:val="nil"/>
              <w:tr2bl w:val="nil"/>
            </w:tcBorders>
            <w:shd w:val="clear" w:color="auto" w:fill="auto"/>
            <w:noWrap/>
            <w:tcMar>
              <w:left w:w="101" w:type="dxa"/>
              <w:right w:w="101" w:type="dxa"/>
            </w:tcMar>
          </w:tcPr>
          <w:p w14:paraId="3A3D0D1C"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532CCA1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403</w:t>
            </w:r>
          </w:p>
        </w:tc>
        <w:tc>
          <w:tcPr>
            <w:tcW w:w="1035" w:type="dxa"/>
            <w:tcBorders>
              <w:top w:val="nil"/>
              <w:left w:val="nil"/>
              <w:bottom w:val="nil"/>
              <w:right w:val="nil"/>
              <w:tl2br w:val="nil"/>
              <w:tr2bl w:val="nil"/>
            </w:tcBorders>
            <w:shd w:val="clear" w:color="FFFFFF" w:fill="FFFFFF"/>
            <w:tcMar>
              <w:left w:w="101" w:type="dxa"/>
              <w:right w:w="101" w:type="dxa"/>
            </w:tcMar>
          </w:tcPr>
          <w:p w14:paraId="78524CF7"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85F93CC"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5B5BA85"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C1701C"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2F6BC50"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r>
      <w:tr w:rsidR="00C07D35" w14:paraId="3BE2A5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B309CA"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8B8079"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CC5F9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7D4368"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8FD527"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F13A58"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82181"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0A1C0B" w14:textId="77777777" w:rsidR="00C07D35" w:rsidRDefault="00C07D35">
            <w:pPr>
              <w:pStyle w:val="Normal14"/>
              <w:rPr>
                <w:rFonts w:ascii="Calibri" w:eastAsia="Calibri" w:hAnsi="Calibri" w:cs="Calibri"/>
                <w:color w:val="000000"/>
                <w:sz w:val="18"/>
              </w:rPr>
            </w:pPr>
          </w:p>
        </w:tc>
      </w:tr>
      <w:tr w:rsidR="00C07D35" w14:paraId="145D66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E44E0F"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76,564</w:t>
            </w:r>
          </w:p>
        </w:tc>
        <w:tc>
          <w:tcPr>
            <w:tcW w:w="2385" w:type="dxa"/>
            <w:tcBorders>
              <w:top w:val="nil"/>
              <w:left w:val="nil"/>
              <w:bottom w:val="nil"/>
              <w:right w:val="nil"/>
              <w:tl2br w:val="nil"/>
              <w:tr2bl w:val="nil"/>
            </w:tcBorders>
            <w:shd w:val="clear" w:color="FFFFFF" w:fill="FFFFFF"/>
            <w:tcMar>
              <w:left w:w="101" w:type="dxa"/>
              <w:right w:w="101" w:type="dxa"/>
            </w:tcMar>
          </w:tcPr>
          <w:p w14:paraId="51933BBD"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8679489"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72,208</w:t>
            </w:r>
          </w:p>
        </w:tc>
        <w:tc>
          <w:tcPr>
            <w:tcW w:w="1035" w:type="dxa"/>
            <w:tcBorders>
              <w:top w:val="nil"/>
              <w:left w:val="nil"/>
              <w:bottom w:val="nil"/>
              <w:right w:val="nil"/>
              <w:tl2br w:val="nil"/>
              <w:tr2bl w:val="nil"/>
            </w:tcBorders>
            <w:shd w:val="clear" w:color="FFFFFF" w:fill="FFFFFF"/>
            <w:tcMar>
              <w:left w:w="101" w:type="dxa"/>
              <w:right w:w="101" w:type="dxa"/>
            </w:tcMar>
          </w:tcPr>
          <w:p w14:paraId="58BA06A9"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81,403</w:t>
            </w:r>
          </w:p>
        </w:tc>
        <w:tc>
          <w:tcPr>
            <w:tcW w:w="600" w:type="dxa"/>
            <w:tcBorders>
              <w:top w:val="nil"/>
              <w:left w:val="nil"/>
              <w:bottom w:val="nil"/>
              <w:right w:val="nil"/>
              <w:tl2br w:val="nil"/>
              <w:tr2bl w:val="nil"/>
            </w:tcBorders>
            <w:shd w:val="clear" w:color="FFFFFF" w:fill="FFFFFF"/>
            <w:tcMar>
              <w:left w:w="101" w:type="dxa"/>
              <w:right w:w="101" w:type="dxa"/>
            </w:tcMar>
          </w:tcPr>
          <w:p w14:paraId="739E78C1"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218B6B84"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77,174</w:t>
            </w:r>
          </w:p>
        </w:tc>
        <w:tc>
          <w:tcPr>
            <w:tcW w:w="1035" w:type="dxa"/>
            <w:tcBorders>
              <w:top w:val="nil"/>
              <w:left w:val="nil"/>
              <w:bottom w:val="nil"/>
              <w:right w:val="nil"/>
              <w:tl2br w:val="nil"/>
              <w:tr2bl w:val="nil"/>
            </w:tcBorders>
            <w:shd w:val="clear" w:color="FFFFFF" w:fill="FFFFFF"/>
            <w:tcMar>
              <w:left w:w="101" w:type="dxa"/>
              <w:right w:w="101" w:type="dxa"/>
            </w:tcMar>
          </w:tcPr>
          <w:p w14:paraId="7CA873E7"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74,892</w:t>
            </w:r>
          </w:p>
        </w:tc>
        <w:tc>
          <w:tcPr>
            <w:tcW w:w="1035" w:type="dxa"/>
            <w:tcBorders>
              <w:top w:val="nil"/>
              <w:left w:val="nil"/>
              <w:bottom w:val="nil"/>
              <w:right w:val="nil"/>
              <w:tl2br w:val="nil"/>
              <w:tr2bl w:val="nil"/>
            </w:tcBorders>
            <w:shd w:val="clear" w:color="FFFFFF" w:fill="FFFFFF"/>
            <w:tcMar>
              <w:left w:w="101" w:type="dxa"/>
              <w:right w:w="101" w:type="dxa"/>
            </w:tcMar>
          </w:tcPr>
          <w:p w14:paraId="657353A9"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74,859</w:t>
            </w:r>
          </w:p>
        </w:tc>
      </w:tr>
      <w:tr w:rsidR="00C07D35" w14:paraId="55FB7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27346E"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1341BF"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CDF16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B4203E"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45BA2D"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04070B"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F21C3"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0F1DEA" w14:textId="77777777" w:rsidR="00C07D35" w:rsidRDefault="00C07D35">
            <w:pPr>
              <w:pStyle w:val="Normal14"/>
              <w:rPr>
                <w:rFonts w:ascii="Calibri" w:eastAsia="Calibri" w:hAnsi="Calibri" w:cs="Calibri"/>
                <w:color w:val="000000"/>
                <w:sz w:val="18"/>
              </w:rPr>
            </w:pPr>
          </w:p>
        </w:tc>
      </w:tr>
      <w:tr w:rsidR="00C07D35" w14:paraId="131EF2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4FE9B8"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0C60087"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170EF5DD"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FAE951"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D58D96"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A58013"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2EFE72"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E40EF7" w14:textId="77777777" w:rsidR="00C07D35" w:rsidRDefault="00C07D35">
            <w:pPr>
              <w:pStyle w:val="Normal14"/>
              <w:rPr>
                <w:rFonts w:ascii="Calibri" w:eastAsia="Calibri" w:hAnsi="Calibri" w:cs="Calibri"/>
                <w:color w:val="000000"/>
                <w:sz w:val="18"/>
              </w:rPr>
            </w:pPr>
          </w:p>
        </w:tc>
      </w:tr>
      <w:tr w:rsidR="00C07D35" w14:paraId="4DE32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44FBC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27BF641"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48A30A35" w14:textId="252268A6"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w:t>
            </w:r>
            <w:r w:rsidR="00C3464E">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1CB70FE"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4BA7CAA"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14D6F0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2A9679C"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7F8C67A"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0</w:t>
            </w:r>
          </w:p>
        </w:tc>
      </w:tr>
      <w:tr w:rsidR="00C07D35" w14:paraId="7C37E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F06177E"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7C01244"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899E36"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87397B"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B528E9"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F249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CC785"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5F1867" w14:textId="77777777" w:rsidR="00C07D35" w:rsidRDefault="00C07D35">
            <w:pPr>
              <w:pStyle w:val="Normal14"/>
              <w:rPr>
                <w:rFonts w:ascii="Calibri" w:eastAsia="Calibri" w:hAnsi="Calibri" w:cs="Calibri"/>
                <w:color w:val="000000"/>
                <w:sz w:val="18"/>
              </w:rPr>
            </w:pPr>
          </w:p>
        </w:tc>
      </w:tr>
      <w:tr w:rsidR="00C07D35" w14:paraId="5C65CD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B813A1"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18D5C9A7"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5CA5CE0E" w14:textId="3415813F"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2</w:t>
            </w:r>
            <w:r w:rsidR="00C3464E">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FDEC660"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06D422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A9037A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9B4A957"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2D1242D"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31969C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906573"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690D36D"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0BF6F4"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0DE03C"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601F5C"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9FE3C9"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F28E48"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49282A" w14:textId="77777777" w:rsidR="00C07D35" w:rsidRDefault="00C07D35">
            <w:pPr>
              <w:pStyle w:val="Normal14"/>
              <w:rPr>
                <w:rFonts w:ascii="Calibri" w:eastAsia="Calibri" w:hAnsi="Calibri" w:cs="Calibri"/>
                <w:color w:val="000000"/>
                <w:sz w:val="18"/>
              </w:rPr>
            </w:pPr>
          </w:p>
        </w:tc>
      </w:tr>
      <w:tr w:rsidR="00C07D35" w14:paraId="66CF9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EEE71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76,564</w:t>
            </w:r>
          </w:p>
        </w:tc>
        <w:tc>
          <w:tcPr>
            <w:tcW w:w="2385" w:type="dxa"/>
            <w:tcBorders>
              <w:top w:val="nil"/>
              <w:left w:val="nil"/>
              <w:bottom w:val="nil"/>
              <w:right w:val="nil"/>
              <w:tl2br w:val="nil"/>
              <w:tr2bl w:val="nil"/>
            </w:tcBorders>
            <w:shd w:val="clear" w:color="FFFFFF" w:fill="FFFFFF"/>
            <w:tcMar>
              <w:left w:w="101" w:type="dxa"/>
              <w:right w:w="101" w:type="dxa"/>
            </w:tcMar>
          </w:tcPr>
          <w:p w14:paraId="5D250552"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704A0735" w14:textId="380C18AA"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72,22</w:t>
            </w:r>
            <w:r w:rsidR="00C3464E">
              <w:rPr>
                <w:rFonts w:ascii="Calibri" w:eastAsia="Calibri" w:hAnsi="Calibri" w:cs="Calibri"/>
                <w:b/>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63037616"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81,403</w:t>
            </w:r>
          </w:p>
        </w:tc>
        <w:tc>
          <w:tcPr>
            <w:tcW w:w="600" w:type="dxa"/>
            <w:tcBorders>
              <w:top w:val="nil"/>
              <w:left w:val="nil"/>
              <w:bottom w:val="nil"/>
              <w:right w:val="nil"/>
              <w:tl2br w:val="nil"/>
              <w:tr2bl w:val="nil"/>
            </w:tcBorders>
            <w:shd w:val="clear" w:color="FFFFFF" w:fill="FFFFFF"/>
            <w:tcMar>
              <w:left w:w="101" w:type="dxa"/>
              <w:right w:w="101" w:type="dxa"/>
            </w:tcMar>
          </w:tcPr>
          <w:p w14:paraId="16D61152"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2D633CC6"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77,174</w:t>
            </w:r>
          </w:p>
        </w:tc>
        <w:tc>
          <w:tcPr>
            <w:tcW w:w="1035" w:type="dxa"/>
            <w:tcBorders>
              <w:top w:val="nil"/>
              <w:left w:val="nil"/>
              <w:bottom w:val="nil"/>
              <w:right w:val="nil"/>
              <w:tl2br w:val="nil"/>
              <w:tr2bl w:val="nil"/>
            </w:tcBorders>
            <w:shd w:val="clear" w:color="FFFFFF" w:fill="FFFFFF"/>
            <w:tcMar>
              <w:left w:w="101" w:type="dxa"/>
              <w:right w:w="101" w:type="dxa"/>
            </w:tcMar>
          </w:tcPr>
          <w:p w14:paraId="531F446E"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74,892</w:t>
            </w:r>
          </w:p>
        </w:tc>
        <w:tc>
          <w:tcPr>
            <w:tcW w:w="1035" w:type="dxa"/>
            <w:tcBorders>
              <w:top w:val="nil"/>
              <w:left w:val="nil"/>
              <w:bottom w:val="nil"/>
              <w:right w:val="nil"/>
              <w:tl2br w:val="nil"/>
              <w:tr2bl w:val="nil"/>
            </w:tcBorders>
            <w:shd w:val="clear" w:color="FFFFFF" w:fill="FFFFFF"/>
            <w:tcMar>
              <w:left w:w="101" w:type="dxa"/>
              <w:right w:w="101" w:type="dxa"/>
            </w:tcMar>
          </w:tcPr>
          <w:p w14:paraId="71911B41"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74,859</w:t>
            </w:r>
          </w:p>
        </w:tc>
      </w:tr>
      <w:tr w:rsidR="00C07D35" w14:paraId="7A825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FAF86E"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E1973B9"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7938E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89C932"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F848A0"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06EFB7"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27098D"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A61BB9" w14:textId="77777777" w:rsidR="00C07D35" w:rsidRDefault="00C07D35">
            <w:pPr>
              <w:pStyle w:val="Normal14"/>
              <w:rPr>
                <w:rFonts w:ascii="Calibri" w:eastAsia="Calibri" w:hAnsi="Calibri" w:cs="Calibri"/>
                <w:color w:val="000000"/>
                <w:sz w:val="18"/>
              </w:rPr>
            </w:pPr>
          </w:p>
        </w:tc>
      </w:tr>
      <w:tr w:rsidR="00C07D35" w14:paraId="18BE6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320C76"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C150993"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6E1D05D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772210"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62A8E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F7D2F6"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64DDD8"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9F5CF8" w14:textId="77777777" w:rsidR="00C07D35" w:rsidRDefault="00C07D35">
            <w:pPr>
              <w:pStyle w:val="Normal14"/>
              <w:rPr>
                <w:rFonts w:ascii="Calibri" w:eastAsia="Calibri" w:hAnsi="Calibri" w:cs="Calibri"/>
                <w:color w:val="000000"/>
                <w:sz w:val="18"/>
              </w:rPr>
            </w:pPr>
          </w:p>
        </w:tc>
      </w:tr>
      <w:tr w:rsidR="00C07D35" w14:paraId="3E3A37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12C9EE"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19,586</w:t>
            </w:r>
          </w:p>
        </w:tc>
        <w:tc>
          <w:tcPr>
            <w:tcW w:w="2385" w:type="dxa"/>
            <w:tcBorders>
              <w:top w:val="nil"/>
              <w:left w:val="nil"/>
              <w:bottom w:val="nil"/>
              <w:right w:val="nil"/>
              <w:tl2br w:val="nil"/>
              <w:tr2bl w:val="nil"/>
            </w:tcBorders>
            <w:shd w:val="clear" w:color="FFFFFF" w:fill="FFFFFF"/>
            <w:noWrap/>
            <w:tcMar>
              <w:left w:w="101" w:type="dxa"/>
              <w:right w:w="101" w:type="dxa"/>
            </w:tcMar>
          </w:tcPr>
          <w:p w14:paraId="7AD987CC"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063BA33C"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20,461</w:t>
            </w:r>
          </w:p>
        </w:tc>
        <w:tc>
          <w:tcPr>
            <w:tcW w:w="1035" w:type="dxa"/>
            <w:tcBorders>
              <w:top w:val="nil"/>
              <w:left w:val="nil"/>
              <w:bottom w:val="nil"/>
              <w:right w:val="nil"/>
              <w:tl2br w:val="nil"/>
              <w:tr2bl w:val="nil"/>
            </w:tcBorders>
            <w:shd w:val="clear" w:color="FFFFFF" w:fill="FFFFFF"/>
            <w:tcMar>
              <w:left w:w="101" w:type="dxa"/>
              <w:right w:w="101" w:type="dxa"/>
            </w:tcMar>
          </w:tcPr>
          <w:p w14:paraId="38F1EDA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22,494</w:t>
            </w:r>
          </w:p>
        </w:tc>
        <w:tc>
          <w:tcPr>
            <w:tcW w:w="600" w:type="dxa"/>
            <w:tcBorders>
              <w:top w:val="nil"/>
              <w:left w:val="nil"/>
              <w:bottom w:val="nil"/>
              <w:right w:val="nil"/>
              <w:tl2br w:val="nil"/>
              <w:tr2bl w:val="nil"/>
            </w:tcBorders>
            <w:shd w:val="clear" w:color="FFFFFF" w:fill="FFFFFF"/>
            <w:tcMar>
              <w:left w:w="101" w:type="dxa"/>
              <w:right w:w="101" w:type="dxa"/>
            </w:tcMar>
          </w:tcPr>
          <w:p w14:paraId="34378DC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524761F6"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22,018</w:t>
            </w:r>
          </w:p>
        </w:tc>
        <w:tc>
          <w:tcPr>
            <w:tcW w:w="1035" w:type="dxa"/>
            <w:tcBorders>
              <w:top w:val="nil"/>
              <w:left w:val="nil"/>
              <w:bottom w:val="nil"/>
              <w:right w:val="nil"/>
              <w:tl2br w:val="nil"/>
              <w:tr2bl w:val="nil"/>
            </w:tcBorders>
            <w:shd w:val="clear" w:color="FFFFFF" w:fill="FFFFFF"/>
            <w:tcMar>
              <w:left w:w="101" w:type="dxa"/>
              <w:right w:w="101" w:type="dxa"/>
            </w:tcMar>
          </w:tcPr>
          <w:p w14:paraId="17860392"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21,119</w:t>
            </w:r>
          </w:p>
        </w:tc>
        <w:tc>
          <w:tcPr>
            <w:tcW w:w="1035" w:type="dxa"/>
            <w:tcBorders>
              <w:top w:val="nil"/>
              <w:left w:val="nil"/>
              <w:bottom w:val="nil"/>
              <w:right w:val="nil"/>
              <w:tl2br w:val="nil"/>
              <w:tr2bl w:val="nil"/>
            </w:tcBorders>
            <w:shd w:val="clear" w:color="FFFFFF" w:fill="FFFFFF"/>
            <w:tcMar>
              <w:left w:w="101" w:type="dxa"/>
              <w:right w:w="101" w:type="dxa"/>
            </w:tcMar>
          </w:tcPr>
          <w:p w14:paraId="0B43AC6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20,934</w:t>
            </w:r>
          </w:p>
        </w:tc>
      </w:tr>
      <w:tr w:rsidR="00C07D35" w14:paraId="50891A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5FA233"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2,844</w:t>
            </w:r>
          </w:p>
        </w:tc>
        <w:tc>
          <w:tcPr>
            <w:tcW w:w="2385" w:type="dxa"/>
            <w:tcBorders>
              <w:top w:val="nil"/>
              <w:left w:val="nil"/>
              <w:bottom w:val="nil"/>
              <w:right w:val="nil"/>
              <w:tl2br w:val="nil"/>
              <w:tr2bl w:val="nil"/>
            </w:tcBorders>
            <w:shd w:val="clear" w:color="FFFFFF" w:fill="FFFFFF"/>
            <w:noWrap/>
            <w:tcMar>
              <w:left w:w="101" w:type="dxa"/>
              <w:right w:w="101" w:type="dxa"/>
            </w:tcMar>
          </w:tcPr>
          <w:p w14:paraId="21DE779D"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E9F89E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3,066</w:t>
            </w:r>
          </w:p>
        </w:tc>
        <w:tc>
          <w:tcPr>
            <w:tcW w:w="1035" w:type="dxa"/>
            <w:tcBorders>
              <w:top w:val="nil"/>
              <w:left w:val="nil"/>
              <w:bottom w:val="nil"/>
              <w:right w:val="nil"/>
              <w:tl2br w:val="nil"/>
              <w:tr2bl w:val="nil"/>
            </w:tcBorders>
            <w:shd w:val="clear" w:color="FFFFFF" w:fill="FFFFFF"/>
            <w:tcMar>
              <w:left w:w="101" w:type="dxa"/>
              <w:right w:w="101" w:type="dxa"/>
            </w:tcMar>
          </w:tcPr>
          <w:p w14:paraId="7979D115"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3,409</w:t>
            </w:r>
          </w:p>
        </w:tc>
        <w:tc>
          <w:tcPr>
            <w:tcW w:w="600" w:type="dxa"/>
            <w:tcBorders>
              <w:top w:val="nil"/>
              <w:left w:val="nil"/>
              <w:bottom w:val="nil"/>
              <w:right w:val="nil"/>
              <w:tl2br w:val="nil"/>
              <w:tr2bl w:val="nil"/>
            </w:tcBorders>
            <w:shd w:val="clear" w:color="FFFFFF" w:fill="FFFFFF"/>
            <w:tcMar>
              <w:left w:w="101" w:type="dxa"/>
              <w:right w:w="101" w:type="dxa"/>
            </w:tcMar>
          </w:tcPr>
          <w:p w14:paraId="51570A2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132CD621"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3,363</w:t>
            </w:r>
          </w:p>
        </w:tc>
        <w:tc>
          <w:tcPr>
            <w:tcW w:w="1035" w:type="dxa"/>
            <w:tcBorders>
              <w:top w:val="nil"/>
              <w:left w:val="nil"/>
              <w:bottom w:val="nil"/>
              <w:right w:val="nil"/>
              <w:tl2br w:val="nil"/>
              <w:tr2bl w:val="nil"/>
            </w:tcBorders>
            <w:shd w:val="clear" w:color="FFFFFF" w:fill="FFFFFF"/>
            <w:tcMar>
              <w:left w:w="101" w:type="dxa"/>
              <w:right w:w="101" w:type="dxa"/>
            </w:tcMar>
          </w:tcPr>
          <w:p w14:paraId="3A1F7BA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3,270</w:t>
            </w:r>
          </w:p>
        </w:tc>
        <w:tc>
          <w:tcPr>
            <w:tcW w:w="1035" w:type="dxa"/>
            <w:tcBorders>
              <w:top w:val="nil"/>
              <w:left w:val="nil"/>
              <w:bottom w:val="nil"/>
              <w:right w:val="nil"/>
              <w:tl2br w:val="nil"/>
              <w:tr2bl w:val="nil"/>
            </w:tcBorders>
            <w:shd w:val="clear" w:color="FFFFFF" w:fill="FFFFFF"/>
            <w:tcMar>
              <w:left w:w="101" w:type="dxa"/>
              <w:right w:w="101" w:type="dxa"/>
            </w:tcMar>
          </w:tcPr>
          <w:p w14:paraId="64D81421"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3,256</w:t>
            </w:r>
          </w:p>
        </w:tc>
      </w:tr>
      <w:tr w:rsidR="00C07D35" w14:paraId="027AF2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DD566B"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11,224</w:t>
            </w:r>
          </w:p>
        </w:tc>
        <w:tc>
          <w:tcPr>
            <w:tcW w:w="2385" w:type="dxa"/>
            <w:tcBorders>
              <w:top w:val="nil"/>
              <w:left w:val="nil"/>
              <w:bottom w:val="nil"/>
              <w:right w:val="nil"/>
              <w:tl2br w:val="nil"/>
              <w:tr2bl w:val="nil"/>
            </w:tcBorders>
            <w:shd w:val="clear" w:color="FFFFFF" w:fill="FFFFFF"/>
            <w:noWrap/>
            <w:tcMar>
              <w:left w:w="101" w:type="dxa"/>
              <w:right w:w="101" w:type="dxa"/>
            </w:tcMar>
          </w:tcPr>
          <w:p w14:paraId="64492009"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45ED8F3"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8,623</w:t>
            </w:r>
          </w:p>
        </w:tc>
        <w:tc>
          <w:tcPr>
            <w:tcW w:w="1035" w:type="dxa"/>
            <w:tcBorders>
              <w:top w:val="nil"/>
              <w:left w:val="nil"/>
              <w:bottom w:val="nil"/>
              <w:right w:val="nil"/>
              <w:tl2br w:val="nil"/>
              <w:tr2bl w:val="nil"/>
            </w:tcBorders>
            <w:shd w:val="clear" w:color="FFFFFF" w:fill="FFFFFF"/>
            <w:tcMar>
              <w:left w:w="101" w:type="dxa"/>
              <w:right w:w="101" w:type="dxa"/>
            </w:tcMar>
          </w:tcPr>
          <w:p w14:paraId="25B5E0C2"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12,510</w:t>
            </w:r>
          </w:p>
        </w:tc>
        <w:tc>
          <w:tcPr>
            <w:tcW w:w="600" w:type="dxa"/>
            <w:tcBorders>
              <w:top w:val="nil"/>
              <w:left w:val="nil"/>
              <w:bottom w:val="nil"/>
              <w:right w:val="nil"/>
              <w:tl2br w:val="nil"/>
              <w:tr2bl w:val="nil"/>
            </w:tcBorders>
            <w:shd w:val="clear" w:color="FFFFFF" w:fill="FFFFFF"/>
            <w:tcMar>
              <w:left w:w="101" w:type="dxa"/>
              <w:right w:w="101" w:type="dxa"/>
            </w:tcMar>
          </w:tcPr>
          <w:p w14:paraId="4D7C3D5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45 </w:t>
            </w:r>
          </w:p>
        </w:tc>
        <w:tc>
          <w:tcPr>
            <w:tcW w:w="1035" w:type="dxa"/>
            <w:tcBorders>
              <w:top w:val="nil"/>
              <w:left w:val="nil"/>
              <w:bottom w:val="nil"/>
              <w:right w:val="nil"/>
              <w:tl2br w:val="nil"/>
              <w:tr2bl w:val="nil"/>
            </w:tcBorders>
            <w:shd w:val="clear" w:color="FFFFFF" w:fill="FFFFFF"/>
            <w:tcMar>
              <w:left w:w="101" w:type="dxa"/>
              <w:right w:w="101" w:type="dxa"/>
            </w:tcMar>
          </w:tcPr>
          <w:p w14:paraId="3249AAF7"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11,209</w:t>
            </w:r>
          </w:p>
        </w:tc>
        <w:tc>
          <w:tcPr>
            <w:tcW w:w="1035" w:type="dxa"/>
            <w:tcBorders>
              <w:top w:val="nil"/>
              <w:left w:val="nil"/>
              <w:bottom w:val="nil"/>
              <w:right w:val="nil"/>
              <w:tl2br w:val="nil"/>
              <w:tr2bl w:val="nil"/>
            </w:tcBorders>
            <w:shd w:val="clear" w:color="FFFFFF" w:fill="FFFFFF"/>
            <w:tcMar>
              <w:left w:w="101" w:type="dxa"/>
              <w:right w:w="101" w:type="dxa"/>
            </w:tcMar>
          </w:tcPr>
          <w:p w14:paraId="4F308B57"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10,567</w:t>
            </w:r>
          </w:p>
        </w:tc>
        <w:tc>
          <w:tcPr>
            <w:tcW w:w="1035" w:type="dxa"/>
            <w:tcBorders>
              <w:top w:val="nil"/>
              <w:left w:val="nil"/>
              <w:bottom w:val="nil"/>
              <w:right w:val="nil"/>
              <w:tl2br w:val="nil"/>
              <w:tr2bl w:val="nil"/>
            </w:tcBorders>
            <w:shd w:val="clear" w:color="FFFFFF" w:fill="FFFFFF"/>
            <w:tcMar>
              <w:left w:w="101" w:type="dxa"/>
              <w:right w:w="101" w:type="dxa"/>
            </w:tcMar>
          </w:tcPr>
          <w:p w14:paraId="145E58A2"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10,428</w:t>
            </w:r>
          </w:p>
        </w:tc>
      </w:tr>
      <w:tr w:rsidR="00C07D35" w14:paraId="4B17C5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A3D2B4"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66</w:t>
            </w:r>
          </w:p>
        </w:tc>
        <w:tc>
          <w:tcPr>
            <w:tcW w:w="2385" w:type="dxa"/>
            <w:tcBorders>
              <w:top w:val="nil"/>
              <w:left w:val="nil"/>
              <w:bottom w:val="nil"/>
              <w:right w:val="nil"/>
              <w:tl2br w:val="nil"/>
              <w:tr2bl w:val="nil"/>
            </w:tcBorders>
            <w:shd w:val="clear" w:color="FFFFFF" w:fill="FFFFFF"/>
            <w:noWrap/>
            <w:tcMar>
              <w:left w:w="101" w:type="dxa"/>
              <w:right w:w="101" w:type="dxa"/>
            </w:tcMar>
          </w:tcPr>
          <w:p w14:paraId="44D72D44"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0DF06D70"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216</w:t>
            </w:r>
          </w:p>
        </w:tc>
        <w:tc>
          <w:tcPr>
            <w:tcW w:w="1035" w:type="dxa"/>
            <w:tcBorders>
              <w:top w:val="nil"/>
              <w:left w:val="nil"/>
              <w:bottom w:val="nil"/>
              <w:right w:val="nil"/>
              <w:tl2br w:val="nil"/>
              <w:tr2bl w:val="nil"/>
            </w:tcBorders>
            <w:shd w:val="clear" w:color="FFFFFF" w:fill="FFFFFF"/>
            <w:tcMar>
              <w:left w:w="101" w:type="dxa"/>
              <w:right w:w="101" w:type="dxa"/>
            </w:tcMar>
          </w:tcPr>
          <w:p w14:paraId="5BA30C1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497</w:t>
            </w:r>
          </w:p>
        </w:tc>
        <w:tc>
          <w:tcPr>
            <w:tcW w:w="600" w:type="dxa"/>
            <w:tcBorders>
              <w:top w:val="nil"/>
              <w:left w:val="nil"/>
              <w:bottom w:val="nil"/>
              <w:right w:val="nil"/>
              <w:tl2br w:val="nil"/>
              <w:tr2bl w:val="nil"/>
            </w:tcBorders>
            <w:shd w:val="clear" w:color="FFFFFF" w:fill="FFFFFF"/>
            <w:tcMar>
              <w:left w:w="101" w:type="dxa"/>
              <w:right w:w="101" w:type="dxa"/>
            </w:tcMar>
          </w:tcPr>
          <w:p w14:paraId="1913ED95"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130 </w:t>
            </w:r>
          </w:p>
        </w:tc>
        <w:tc>
          <w:tcPr>
            <w:tcW w:w="1035" w:type="dxa"/>
            <w:tcBorders>
              <w:top w:val="nil"/>
              <w:left w:val="nil"/>
              <w:bottom w:val="nil"/>
              <w:right w:val="nil"/>
              <w:tl2br w:val="nil"/>
              <w:tr2bl w:val="nil"/>
            </w:tcBorders>
            <w:shd w:val="clear" w:color="FFFFFF" w:fill="FFFFFF"/>
            <w:tcMar>
              <w:left w:w="101" w:type="dxa"/>
              <w:right w:w="101" w:type="dxa"/>
            </w:tcMar>
          </w:tcPr>
          <w:p w14:paraId="2C8E2015"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547</w:t>
            </w:r>
          </w:p>
        </w:tc>
        <w:tc>
          <w:tcPr>
            <w:tcW w:w="1035" w:type="dxa"/>
            <w:tcBorders>
              <w:top w:val="nil"/>
              <w:left w:val="nil"/>
              <w:bottom w:val="nil"/>
              <w:right w:val="nil"/>
              <w:tl2br w:val="nil"/>
              <w:tr2bl w:val="nil"/>
            </w:tcBorders>
            <w:shd w:val="clear" w:color="FFFFFF" w:fill="FFFFFF"/>
            <w:tcMar>
              <w:left w:w="101" w:type="dxa"/>
              <w:right w:w="101" w:type="dxa"/>
            </w:tcMar>
          </w:tcPr>
          <w:p w14:paraId="63718CE2"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547</w:t>
            </w:r>
          </w:p>
        </w:tc>
        <w:tc>
          <w:tcPr>
            <w:tcW w:w="1035" w:type="dxa"/>
            <w:tcBorders>
              <w:top w:val="nil"/>
              <w:left w:val="nil"/>
              <w:bottom w:val="nil"/>
              <w:right w:val="nil"/>
              <w:tl2br w:val="nil"/>
              <w:tr2bl w:val="nil"/>
            </w:tcBorders>
            <w:shd w:val="clear" w:color="FFFFFF" w:fill="FFFFFF"/>
            <w:tcMar>
              <w:left w:w="101" w:type="dxa"/>
              <w:right w:w="101" w:type="dxa"/>
            </w:tcMar>
          </w:tcPr>
          <w:p w14:paraId="1636B057"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513</w:t>
            </w:r>
          </w:p>
        </w:tc>
      </w:tr>
      <w:tr w:rsidR="00C07D35" w14:paraId="6E908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F566A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41,084</w:t>
            </w:r>
          </w:p>
        </w:tc>
        <w:tc>
          <w:tcPr>
            <w:tcW w:w="2385" w:type="dxa"/>
            <w:tcBorders>
              <w:top w:val="nil"/>
              <w:left w:val="nil"/>
              <w:bottom w:val="nil"/>
              <w:right w:val="nil"/>
              <w:tl2br w:val="nil"/>
              <w:tr2bl w:val="nil"/>
            </w:tcBorders>
            <w:shd w:val="clear" w:color="FFFFFF" w:fill="FFFFFF"/>
            <w:noWrap/>
            <w:tcMar>
              <w:left w:w="101" w:type="dxa"/>
              <w:right w:w="101" w:type="dxa"/>
            </w:tcMar>
          </w:tcPr>
          <w:p w14:paraId="06702429"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727E64E"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42,618</w:t>
            </w:r>
          </w:p>
        </w:tc>
        <w:tc>
          <w:tcPr>
            <w:tcW w:w="1035" w:type="dxa"/>
            <w:tcBorders>
              <w:top w:val="nil"/>
              <w:left w:val="nil"/>
              <w:bottom w:val="nil"/>
              <w:right w:val="nil"/>
              <w:tl2br w:val="nil"/>
              <w:tr2bl w:val="nil"/>
            </w:tcBorders>
            <w:shd w:val="clear" w:color="FFFFFF" w:fill="FFFFFF"/>
            <w:tcMar>
              <w:left w:w="101" w:type="dxa"/>
              <w:right w:w="101" w:type="dxa"/>
            </w:tcMar>
          </w:tcPr>
          <w:p w14:paraId="70BAF4A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41,037</w:t>
            </w:r>
          </w:p>
        </w:tc>
        <w:tc>
          <w:tcPr>
            <w:tcW w:w="600" w:type="dxa"/>
            <w:tcBorders>
              <w:top w:val="nil"/>
              <w:left w:val="nil"/>
              <w:bottom w:val="nil"/>
              <w:right w:val="nil"/>
              <w:tl2br w:val="nil"/>
              <w:tr2bl w:val="nil"/>
            </w:tcBorders>
            <w:shd w:val="clear" w:color="FFFFFF" w:fill="FFFFFF"/>
            <w:tcMar>
              <w:left w:w="101" w:type="dxa"/>
              <w:right w:w="101" w:type="dxa"/>
            </w:tcMar>
          </w:tcPr>
          <w:p w14:paraId="4F48C552"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35C6B108"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38,652</w:t>
            </w:r>
          </w:p>
        </w:tc>
        <w:tc>
          <w:tcPr>
            <w:tcW w:w="1035" w:type="dxa"/>
            <w:tcBorders>
              <w:top w:val="nil"/>
              <w:left w:val="nil"/>
              <w:bottom w:val="nil"/>
              <w:right w:val="nil"/>
              <w:tl2br w:val="nil"/>
              <w:tr2bl w:val="nil"/>
            </w:tcBorders>
            <w:shd w:val="clear" w:color="FFFFFF" w:fill="FFFFFF"/>
            <w:tcMar>
              <w:left w:w="101" w:type="dxa"/>
              <w:right w:w="101" w:type="dxa"/>
            </w:tcMar>
          </w:tcPr>
          <w:p w14:paraId="22825C5F"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38,097</w:t>
            </w:r>
          </w:p>
        </w:tc>
        <w:tc>
          <w:tcPr>
            <w:tcW w:w="1035" w:type="dxa"/>
            <w:tcBorders>
              <w:top w:val="nil"/>
              <w:left w:val="nil"/>
              <w:bottom w:val="nil"/>
              <w:right w:val="nil"/>
              <w:tl2br w:val="nil"/>
              <w:tr2bl w:val="nil"/>
            </w:tcBorders>
            <w:shd w:val="clear" w:color="FFFFFF" w:fill="FFFFFF"/>
            <w:tcMar>
              <w:left w:w="101" w:type="dxa"/>
              <w:right w:w="101" w:type="dxa"/>
            </w:tcMar>
          </w:tcPr>
          <w:p w14:paraId="7E1E6187"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38,409</w:t>
            </w:r>
          </w:p>
        </w:tc>
      </w:tr>
      <w:tr w:rsidR="00C07D35" w14:paraId="08286B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B22B6E"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30</w:t>
            </w:r>
          </w:p>
        </w:tc>
        <w:tc>
          <w:tcPr>
            <w:tcW w:w="2385" w:type="dxa"/>
            <w:tcBorders>
              <w:top w:val="nil"/>
              <w:left w:val="nil"/>
              <w:bottom w:val="nil"/>
              <w:right w:val="nil"/>
              <w:tl2br w:val="nil"/>
              <w:tr2bl w:val="nil"/>
            </w:tcBorders>
            <w:shd w:val="clear" w:color="FFFFFF" w:fill="FFFFFF"/>
            <w:noWrap/>
            <w:tcMar>
              <w:left w:w="101" w:type="dxa"/>
              <w:right w:w="101" w:type="dxa"/>
            </w:tcMar>
          </w:tcPr>
          <w:p w14:paraId="2638DEA0" w14:textId="77777777" w:rsidR="00C07D35" w:rsidRDefault="00A4668D">
            <w:pPr>
              <w:pStyle w:val="Normal14"/>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6EC1546C"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55</w:t>
            </w:r>
          </w:p>
        </w:tc>
        <w:tc>
          <w:tcPr>
            <w:tcW w:w="1035" w:type="dxa"/>
            <w:tcBorders>
              <w:top w:val="nil"/>
              <w:left w:val="nil"/>
              <w:bottom w:val="nil"/>
              <w:right w:val="nil"/>
              <w:tl2br w:val="nil"/>
              <w:tr2bl w:val="nil"/>
            </w:tcBorders>
            <w:shd w:val="clear" w:color="FFFFFF" w:fill="FFFFFF"/>
            <w:tcMar>
              <w:left w:w="101" w:type="dxa"/>
              <w:right w:w="101" w:type="dxa"/>
            </w:tcMar>
          </w:tcPr>
          <w:p w14:paraId="09D0AB33"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31</w:t>
            </w:r>
          </w:p>
        </w:tc>
        <w:tc>
          <w:tcPr>
            <w:tcW w:w="600" w:type="dxa"/>
            <w:tcBorders>
              <w:top w:val="nil"/>
              <w:left w:val="nil"/>
              <w:bottom w:val="nil"/>
              <w:right w:val="nil"/>
              <w:tl2br w:val="nil"/>
              <w:tr2bl w:val="nil"/>
            </w:tcBorders>
            <w:shd w:val="clear" w:color="FFFFFF" w:fill="FFFFFF"/>
            <w:tcMar>
              <w:left w:w="101" w:type="dxa"/>
              <w:right w:w="101" w:type="dxa"/>
            </w:tcMar>
          </w:tcPr>
          <w:p w14:paraId="25446FA9"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 xml:space="preserve">-44 </w:t>
            </w:r>
          </w:p>
        </w:tc>
        <w:tc>
          <w:tcPr>
            <w:tcW w:w="1035" w:type="dxa"/>
            <w:tcBorders>
              <w:top w:val="nil"/>
              <w:left w:val="nil"/>
              <w:bottom w:val="nil"/>
              <w:right w:val="nil"/>
              <w:tl2br w:val="nil"/>
              <w:tr2bl w:val="nil"/>
            </w:tcBorders>
            <w:shd w:val="clear" w:color="FFFFFF" w:fill="FFFFFF"/>
            <w:tcMar>
              <w:left w:w="101" w:type="dxa"/>
              <w:right w:w="101" w:type="dxa"/>
            </w:tcMar>
          </w:tcPr>
          <w:p w14:paraId="4D7C7FB5"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3C3C3060"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6C18A2BF" w14:textId="77777777" w:rsidR="00C07D35" w:rsidRDefault="00A4668D">
            <w:pPr>
              <w:pStyle w:val="Normal14"/>
              <w:jc w:val="right"/>
              <w:rPr>
                <w:rFonts w:ascii="Calibri" w:eastAsia="Calibri" w:hAnsi="Calibri" w:cs="Calibri"/>
                <w:color w:val="000000"/>
                <w:sz w:val="18"/>
              </w:rPr>
            </w:pPr>
            <w:r>
              <w:rPr>
                <w:rFonts w:ascii="Calibri" w:eastAsia="Calibri" w:hAnsi="Calibri" w:cs="Calibri"/>
                <w:color w:val="000000"/>
                <w:sz w:val="18"/>
              </w:rPr>
              <w:t>32</w:t>
            </w:r>
          </w:p>
        </w:tc>
      </w:tr>
      <w:tr w:rsidR="00C07D35" w14:paraId="7F71C1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AB402D"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C9C813" w14:textId="77777777" w:rsidR="00C07D35" w:rsidRDefault="00C07D35">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0D76EA"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97CC25"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7F78D0"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4AA771"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0678C3"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539B19" w14:textId="77777777" w:rsidR="00C07D35" w:rsidRDefault="00C07D35">
            <w:pPr>
              <w:pStyle w:val="Normal14"/>
              <w:rPr>
                <w:rFonts w:ascii="Calibri" w:eastAsia="Calibri" w:hAnsi="Calibri" w:cs="Calibri"/>
                <w:color w:val="000000"/>
                <w:sz w:val="18"/>
              </w:rPr>
            </w:pPr>
          </w:p>
        </w:tc>
      </w:tr>
      <w:tr w:rsidR="00C07D35" w14:paraId="2BADC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23FC3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74,834</w:t>
            </w:r>
          </w:p>
        </w:tc>
        <w:tc>
          <w:tcPr>
            <w:tcW w:w="2385" w:type="dxa"/>
            <w:tcBorders>
              <w:top w:val="nil"/>
              <w:left w:val="nil"/>
              <w:bottom w:val="nil"/>
              <w:right w:val="nil"/>
              <w:tl2br w:val="nil"/>
              <w:tr2bl w:val="nil"/>
            </w:tcBorders>
            <w:shd w:val="clear" w:color="FFFFFF" w:fill="FFFFFF"/>
            <w:tcMar>
              <w:left w:w="101" w:type="dxa"/>
              <w:right w:w="101" w:type="dxa"/>
            </w:tcMar>
          </w:tcPr>
          <w:p w14:paraId="6190626F"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7B1D37F4"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75,039</w:t>
            </w:r>
          </w:p>
        </w:tc>
        <w:tc>
          <w:tcPr>
            <w:tcW w:w="1035" w:type="dxa"/>
            <w:tcBorders>
              <w:top w:val="nil"/>
              <w:left w:val="nil"/>
              <w:bottom w:val="nil"/>
              <w:right w:val="nil"/>
              <w:tl2br w:val="nil"/>
              <w:tr2bl w:val="nil"/>
            </w:tcBorders>
            <w:shd w:val="clear" w:color="FFFFFF" w:fill="FFFFFF"/>
            <w:tcMar>
              <w:left w:w="101" w:type="dxa"/>
              <w:right w:w="101" w:type="dxa"/>
            </w:tcMar>
          </w:tcPr>
          <w:p w14:paraId="2AF8809B"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79,978</w:t>
            </w:r>
          </w:p>
        </w:tc>
        <w:tc>
          <w:tcPr>
            <w:tcW w:w="600" w:type="dxa"/>
            <w:tcBorders>
              <w:top w:val="nil"/>
              <w:left w:val="nil"/>
              <w:bottom w:val="nil"/>
              <w:right w:val="nil"/>
              <w:tl2br w:val="nil"/>
              <w:tr2bl w:val="nil"/>
            </w:tcBorders>
            <w:shd w:val="clear" w:color="FFFFFF" w:fill="FFFFFF"/>
            <w:tcMar>
              <w:left w:w="101" w:type="dxa"/>
              <w:right w:w="101" w:type="dxa"/>
            </w:tcMar>
          </w:tcPr>
          <w:p w14:paraId="1A6A829E"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321A5BE"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75,819</w:t>
            </w:r>
          </w:p>
        </w:tc>
        <w:tc>
          <w:tcPr>
            <w:tcW w:w="1035" w:type="dxa"/>
            <w:tcBorders>
              <w:top w:val="nil"/>
              <w:left w:val="nil"/>
              <w:bottom w:val="nil"/>
              <w:right w:val="nil"/>
              <w:tl2br w:val="nil"/>
              <w:tr2bl w:val="nil"/>
            </w:tcBorders>
            <w:shd w:val="clear" w:color="FFFFFF" w:fill="FFFFFF"/>
            <w:tcMar>
              <w:left w:w="101" w:type="dxa"/>
              <w:right w:w="101" w:type="dxa"/>
            </w:tcMar>
          </w:tcPr>
          <w:p w14:paraId="3CE0224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73,631</w:t>
            </w:r>
          </w:p>
        </w:tc>
        <w:tc>
          <w:tcPr>
            <w:tcW w:w="1035" w:type="dxa"/>
            <w:tcBorders>
              <w:top w:val="nil"/>
              <w:left w:val="nil"/>
              <w:bottom w:val="nil"/>
              <w:right w:val="nil"/>
              <w:tl2br w:val="nil"/>
              <w:tr2bl w:val="nil"/>
            </w:tcBorders>
            <w:shd w:val="clear" w:color="FFFFFF" w:fill="FFFFFF"/>
            <w:tcMar>
              <w:left w:w="101" w:type="dxa"/>
              <w:right w:w="101" w:type="dxa"/>
            </w:tcMar>
          </w:tcPr>
          <w:p w14:paraId="7D9080E5"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73,572</w:t>
            </w:r>
          </w:p>
        </w:tc>
      </w:tr>
      <w:tr w:rsidR="00C07D35" w14:paraId="273221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A05460" w14:textId="77777777" w:rsidR="00C07D35" w:rsidRDefault="00C07D35">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5D1B83F"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62CC4"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4039EA" w14:textId="77777777" w:rsidR="00C07D35" w:rsidRDefault="00C07D35">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FA9043"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D3467"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5039FE" w14:textId="77777777" w:rsidR="00C07D35" w:rsidRDefault="00C07D35">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CDB8AA" w14:textId="77777777" w:rsidR="00C07D35" w:rsidRDefault="00C07D35">
            <w:pPr>
              <w:pStyle w:val="Normal14"/>
              <w:rPr>
                <w:rFonts w:ascii="Calibri" w:eastAsia="Calibri" w:hAnsi="Calibri" w:cs="Calibri"/>
                <w:color w:val="000000"/>
                <w:sz w:val="18"/>
              </w:rPr>
            </w:pPr>
          </w:p>
        </w:tc>
      </w:tr>
      <w:tr w:rsidR="00C07D35" w14:paraId="229FA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2CF05C"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1,730</w:t>
            </w:r>
          </w:p>
        </w:tc>
        <w:tc>
          <w:tcPr>
            <w:tcW w:w="2385" w:type="dxa"/>
            <w:tcBorders>
              <w:top w:val="nil"/>
              <w:left w:val="nil"/>
              <w:bottom w:val="nil"/>
              <w:right w:val="nil"/>
              <w:tl2br w:val="nil"/>
              <w:tr2bl w:val="nil"/>
            </w:tcBorders>
            <w:shd w:val="clear" w:color="FFFFFF" w:fill="FFFFFF"/>
            <w:tcMar>
              <w:left w:w="101" w:type="dxa"/>
              <w:right w:w="101" w:type="dxa"/>
            </w:tcMar>
          </w:tcPr>
          <w:p w14:paraId="5C0DD44F" w14:textId="77777777" w:rsidR="00C07D35" w:rsidRDefault="00A4668D">
            <w:pPr>
              <w:pStyle w:val="Normal14"/>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1996C134" w14:textId="431B163D"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-2,81</w:t>
            </w:r>
            <w:r w:rsidR="00C3464E">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77EADF3"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1,425</w:t>
            </w:r>
          </w:p>
        </w:tc>
        <w:tc>
          <w:tcPr>
            <w:tcW w:w="600" w:type="dxa"/>
            <w:tcBorders>
              <w:top w:val="nil"/>
              <w:left w:val="nil"/>
              <w:bottom w:val="nil"/>
              <w:right w:val="nil"/>
              <w:tl2br w:val="nil"/>
              <w:tr2bl w:val="nil"/>
            </w:tcBorders>
            <w:shd w:val="clear" w:color="FFFFFF" w:fill="FFFFFF"/>
            <w:tcMar>
              <w:left w:w="101" w:type="dxa"/>
              <w:right w:w="101" w:type="dxa"/>
            </w:tcMar>
          </w:tcPr>
          <w:p w14:paraId="61E416BF"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151 </w:t>
            </w:r>
          </w:p>
        </w:tc>
        <w:tc>
          <w:tcPr>
            <w:tcW w:w="1035" w:type="dxa"/>
            <w:tcBorders>
              <w:top w:val="nil"/>
              <w:left w:val="nil"/>
              <w:bottom w:val="nil"/>
              <w:right w:val="nil"/>
              <w:tl2br w:val="nil"/>
              <w:tr2bl w:val="nil"/>
            </w:tcBorders>
            <w:shd w:val="clear" w:color="FFFFFF" w:fill="FFFFFF"/>
            <w:tcMar>
              <w:left w:w="101" w:type="dxa"/>
              <w:right w:w="101" w:type="dxa"/>
            </w:tcMar>
          </w:tcPr>
          <w:p w14:paraId="06498491"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1,355</w:t>
            </w:r>
          </w:p>
        </w:tc>
        <w:tc>
          <w:tcPr>
            <w:tcW w:w="1035" w:type="dxa"/>
            <w:tcBorders>
              <w:top w:val="nil"/>
              <w:left w:val="nil"/>
              <w:bottom w:val="nil"/>
              <w:right w:val="nil"/>
              <w:tl2br w:val="nil"/>
              <w:tr2bl w:val="nil"/>
            </w:tcBorders>
            <w:shd w:val="clear" w:color="FFFFFF" w:fill="FFFFFF"/>
            <w:tcMar>
              <w:left w:w="101" w:type="dxa"/>
              <w:right w:w="101" w:type="dxa"/>
            </w:tcMar>
          </w:tcPr>
          <w:p w14:paraId="4D6F66B9"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1,261</w:t>
            </w:r>
          </w:p>
        </w:tc>
        <w:tc>
          <w:tcPr>
            <w:tcW w:w="1035" w:type="dxa"/>
            <w:tcBorders>
              <w:top w:val="nil"/>
              <w:left w:val="nil"/>
              <w:bottom w:val="nil"/>
              <w:right w:val="nil"/>
              <w:tl2br w:val="nil"/>
              <w:tr2bl w:val="nil"/>
            </w:tcBorders>
            <w:shd w:val="clear" w:color="FFFFFF" w:fill="FFFFFF"/>
            <w:tcMar>
              <w:left w:w="101" w:type="dxa"/>
              <w:right w:w="101" w:type="dxa"/>
            </w:tcMar>
          </w:tcPr>
          <w:p w14:paraId="45C49BF3" w14:textId="77777777" w:rsidR="00C07D35" w:rsidRDefault="00A4668D">
            <w:pPr>
              <w:pStyle w:val="Normal14"/>
              <w:jc w:val="right"/>
              <w:rPr>
                <w:rFonts w:ascii="Calibri" w:eastAsia="Calibri" w:hAnsi="Calibri" w:cs="Calibri"/>
                <w:b/>
                <w:color w:val="000000"/>
                <w:sz w:val="18"/>
              </w:rPr>
            </w:pPr>
            <w:r>
              <w:rPr>
                <w:rFonts w:ascii="Calibri" w:eastAsia="Calibri" w:hAnsi="Calibri" w:cs="Calibri"/>
                <w:b/>
                <w:color w:val="000000"/>
                <w:sz w:val="18"/>
              </w:rPr>
              <w:t>1,287</w:t>
            </w:r>
          </w:p>
        </w:tc>
      </w:tr>
      <w:tr w:rsidR="00C07D35" w14:paraId="68A41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15CBABB" w14:textId="77777777" w:rsidR="00C07D35" w:rsidRDefault="00C07D35">
            <w:pPr>
              <w:pStyle w:val="Normal14"/>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3D74730C" w14:textId="77777777" w:rsidR="00C07D35" w:rsidRDefault="00C07D35">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76E6867" w14:textId="77777777" w:rsidR="00C07D35" w:rsidRDefault="00C07D35">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1A8177A" w14:textId="77777777" w:rsidR="00C07D35" w:rsidRDefault="00C07D35">
            <w:pPr>
              <w:pStyle w:val="Normal14"/>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89977EA" w14:textId="77777777" w:rsidR="00C07D35" w:rsidRDefault="00C07D35">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29A289F" w14:textId="77777777" w:rsidR="00C07D35" w:rsidRDefault="00C07D35">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F1522B8" w14:textId="77777777" w:rsidR="00C07D35" w:rsidRDefault="00C07D35">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8E1C735" w14:textId="77777777" w:rsidR="00C07D35" w:rsidRDefault="00C07D35">
            <w:pPr>
              <w:pStyle w:val="Normal14"/>
              <w:rPr>
                <w:rFonts w:ascii="Calibri" w:eastAsia="Calibri" w:hAnsi="Calibri" w:cs="Calibri"/>
                <w:color w:val="000000"/>
                <w:sz w:val="18"/>
              </w:rPr>
            </w:pPr>
          </w:p>
        </w:tc>
      </w:tr>
    </w:tbl>
    <w:p w14:paraId="4ABE49BD" w14:textId="60CA7A4C" w:rsidR="00A4668D" w:rsidRPr="00614EAF" w:rsidRDefault="00A4668D" w:rsidP="00A4668D">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1E4FEE">
        <w:rPr>
          <w:noProof/>
          <w:bdr w:val="nil"/>
        </w:rPr>
        <w:t>32</w:t>
      </w:r>
      <w:r>
        <w:rPr>
          <w:noProof/>
          <w:bdr w:val="nil"/>
        </w:rPr>
        <w:fldChar w:fldCharType="end"/>
      </w:r>
      <w:r>
        <w:rPr>
          <w:bdr w:val="nil"/>
        </w:rPr>
        <w:t>: Output Class 2: Children, Youth and Families Operating Statement</w:t>
      </w:r>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07D35" w14:paraId="35BF0881" w14:textId="77777777">
        <w:trPr>
          <w:trHeight w:val="99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A46A482"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03220671" w14:textId="77777777" w:rsidR="00C07D35" w:rsidRDefault="00C07D35">
            <w:pPr>
              <w:pStyle w:val="Normal15"/>
              <w:jc w:val="right"/>
              <w:rPr>
                <w:rFonts w:ascii="Calibri" w:eastAsia="Calibri" w:hAnsi="Calibri" w:cs="Calibri"/>
                <w:b/>
                <w:color w:val="000000"/>
                <w:sz w:val="18"/>
              </w:rPr>
            </w:pPr>
          </w:p>
          <w:p w14:paraId="4B5DD03A"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90A1D3B" w14:textId="77777777" w:rsidR="00C07D35" w:rsidRDefault="00C07D35">
            <w:pPr>
              <w:pStyle w:val="Normal15"/>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410614F"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71FDB9"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071F7CE0"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Budget</w:t>
            </w:r>
          </w:p>
          <w:p w14:paraId="5E06489B" w14:textId="77777777" w:rsidR="00C07D35" w:rsidRDefault="00C07D35">
            <w:pPr>
              <w:pStyle w:val="Normal15"/>
              <w:jc w:val="right"/>
              <w:rPr>
                <w:rFonts w:ascii="Calibri" w:eastAsia="Calibri" w:hAnsi="Calibri" w:cs="Calibri"/>
                <w:b/>
                <w:color w:val="000000"/>
                <w:sz w:val="18"/>
              </w:rPr>
            </w:pPr>
          </w:p>
          <w:p w14:paraId="321C5B1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4DF7A12"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Var</w:t>
            </w:r>
          </w:p>
          <w:p w14:paraId="0C5AA98F"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D277C17"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3ED0271E"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52797C8B" w14:textId="77777777" w:rsidR="00C07D35" w:rsidRDefault="00C07D35">
            <w:pPr>
              <w:pStyle w:val="Normal15"/>
              <w:jc w:val="right"/>
              <w:rPr>
                <w:rFonts w:ascii="Calibri" w:eastAsia="Calibri" w:hAnsi="Calibri" w:cs="Calibri"/>
                <w:b/>
                <w:color w:val="000000"/>
                <w:sz w:val="18"/>
              </w:rPr>
            </w:pPr>
          </w:p>
          <w:p w14:paraId="19ABC7C0"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E1ACFC3"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15A162D4"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6B592393" w14:textId="77777777" w:rsidR="00C07D35" w:rsidRDefault="00C07D35">
            <w:pPr>
              <w:pStyle w:val="Normal15"/>
              <w:jc w:val="right"/>
              <w:rPr>
                <w:rFonts w:ascii="Calibri" w:eastAsia="Calibri" w:hAnsi="Calibri" w:cs="Calibri"/>
                <w:b/>
                <w:color w:val="000000"/>
                <w:sz w:val="18"/>
              </w:rPr>
            </w:pPr>
          </w:p>
          <w:p w14:paraId="55B69FF5"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236706"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2024-25 </w:t>
            </w:r>
          </w:p>
          <w:p w14:paraId="1B343609"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3D09BD7A" w14:textId="77777777" w:rsidR="00C07D35" w:rsidRDefault="00C07D35">
            <w:pPr>
              <w:pStyle w:val="Normal15"/>
              <w:jc w:val="right"/>
              <w:rPr>
                <w:rFonts w:ascii="Calibri" w:eastAsia="Calibri" w:hAnsi="Calibri" w:cs="Calibri"/>
                <w:b/>
                <w:color w:val="000000"/>
                <w:sz w:val="18"/>
              </w:rPr>
            </w:pPr>
          </w:p>
          <w:p w14:paraId="39B6D2BA"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07D35" w14:paraId="3589AA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CB61C05" w14:textId="77777777" w:rsidR="00C07D35" w:rsidRDefault="00C07D35">
            <w:pPr>
              <w:pStyle w:val="Normal15"/>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715DDFE1" w14:textId="77777777" w:rsidR="00C07D35" w:rsidRDefault="00C07D35">
            <w:pPr>
              <w:pStyle w:val="Normal15"/>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962A284" w14:textId="77777777" w:rsidR="00C07D35" w:rsidRDefault="00C07D35">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8016B76" w14:textId="77777777" w:rsidR="00C07D35" w:rsidRDefault="00C07D35">
            <w:pPr>
              <w:pStyle w:val="Normal15"/>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984489D" w14:textId="77777777" w:rsidR="00C07D35" w:rsidRDefault="00C07D35">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2E27219" w14:textId="77777777" w:rsidR="00C07D35" w:rsidRDefault="00C07D35">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43FF25D" w14:textId="77777777" w:rsidR="00C07D35" w:rsidRDefault="00C07D35">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441A5FD" w14:textId="77777777" w:rsidR="00C07D35" w:rsidRDefault="00C07D35">
            <w:pPr>
              <w:pStyle w:val="Normal15"/>
              <w:jc w:val="right"/>
              <w:rPr>
                <w:rFonts w:ascii="Calibri" w:eastAsia="Calibri" w:hAnsi="Calibri" w:cs="Calibri"/>
                <w:b/>
                <w:i/>
                <w:color w:val="000000"/>
                <w:sz w:val="18"/>
              </w:rPr>
            </w:pPr>
          </w:p>
        </w:tc>
      </w:tr>
      <w:tr w:rsidR="00C07D35" w14:paraId="27BF1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586D65"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469B8D2"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26E43751"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2AEEE7"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1BCA8B"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35F9EE"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C20B96"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433117" w14:textId="77777777" w:rsidR="00C07D35" w:rsidRDefault="00C07D35">
            <w:pPr>
              <w:pStyle w:val="Normal15"/>
              <w:rPr>
                <w:rFonts w:ascii="Calibri" w:eastAsia="Calibri" w:hAnsi="Calibri" w:cs="Calibri"/>
                <w:color w:val="000000"/>
                <w:sz w:val="18"/>
              </w:rPr>
            </w:pPr>
          </w:p>
        </w:tc>
      </w:tr>
      <w:tr w:rsidR="00C07D35" w14:paraId="322E0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7EEB394"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6C1798"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D21277"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1B1673"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43934F6"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18C84"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68AB46"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7F7812" w14:textId="77777777" w:rsidR="00C07D35" w:rsidRDefault="00C07D35">
            <w:pPr>
              <w:pStyle w:val="Normal15"/>
              <w:rPr>
                <w:rFonts w:ascii="Calibri" w:eastAsia="Calibri" w:hAnsi="Calibri" w:cs="Calibri"/>
                <w:color w:val="000000"/>
                <w:sz w:val="18"/>
              </w:rPr>
            </w:pPr>
          </w:p>
        </w:tc>
      </w:tr>
      <w:tr w:rsidR="00C07D35" w14:paraId="4FF6A4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4E476D"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816F7D1"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442DD0E3"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B364A4"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28A8B0"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DC6239"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B0E8F7"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E637C7" w14:textId="77777777" w:rsidR="00C07D35" w:rsidRDefault="00C07D35">
            <w:pPr>
              <w:pStyle w:val="Normal15"/>
              <w:rPr>
                <w:rFonts w:ascii="Calibri" w:eastAsia="Calibri" w:hAnsi="Calibri" w:cs="Calibri"/>
                <w:color w:val="000000"/>
                <w:sz w:val="18"/>
              </w:rPr>
            </w:pPr>
          </w:p>
        </w:tc>
      </w:tr>
      <w:tr w:rsidR="00C07D35" w14:paraId="7AC09D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0959F0"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139,181</w:t>
            </w:r>
          </w:p>
        </w:tc>
        <w:tc>
          <w:tcPr>
            <w:tcW w:w="2385" w:type="dxa"/>
            <w:tcBorders>
              <w:top w:val="nil"/>
              <w:left w:val="nil"/>
              <w:bottom w:val="nil"/>
              <w:right w:val="nil"/>
              <w:tl2br w:val="nil"/>
              <w:tr2bl w:val="nil"/>
            </w:tcBorders>
            <w:shd w:val="clear" w:color="auto" w:fill="auto"/>
            <w:noWrap/>
            <w:tcMar>
              <w:left w:w="101" w:type="dxa"/>
              <w:right w:w="101" w:type="dxa"/>
            </w:tcMar>
          </w:tcPr>
          <w:p w14:paraId="35CC28BA"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443278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136,758</w:t>
            </w:r>
          </w:p>
        </w:tc>
        <w:tc>
          <w:tcPr>
            <w:tcW w:w="1035" w:type="dxa"/>
            <w:tcBorders>
              <w:top w:val="nil"/>
              <w:left w:val="nil"/>
              <w:bottom w:val="nil"/>
              <w:right w:val="nil"/>
              <w:tl2br w:val="nil"/>
              <w:tr2bl w:val="nil"/>
            </w:tcBorders>
            <w:shd w:val="clear" w:color="FFFFFF" w:fill="FFFFFF"/>
            <w:tcMar>
              <w:left w:w="101" w:type="dxa"/>
              <w:right w:w="101" w:type="dxa"/>
            </w:tcMar>
          </w:tcPr>
          <w:p w14:paraId="4F51776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141,894</w:t>
            </w:r>
          </w:p>
        </w:tc>
        <w:tc>
          <w:tcPr>
            <w:tcW w:w="600" w:type="dxa"/>
            <w:tcBorders>
              <w:top w:val="nil"/>
              <w:left w:val="nil"/>
              <w:bottom w:val="nil"/>
              <w:right w:val="nil"/>
              <w:tl2br w:val="nil"/>
              <w:tr2bl w:val="nil"/>
            </w:tcBorders>
            <w:shd w:val="clear" w:color="FFFFFF" w:fill="FFFFFF"/>
            <w:tcMar>
              <w:left w:w="101" w:type="dxa"/>
              <w:right w:w="101" w:type="dxa"/>
            </w:tcMar>
          </w:tcPr>
          <w:p w14:paraId="035FB91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A4D5492"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128,049</w:t>
            </w:r>
          </w:p>
        </w:tc>
        <w:tc>
          <w:tcPr>
            <w:tcW w:w="1035" w:type="dxa"/>
            <w:tcBorders>
              <w:top w:val="nil"/>
              <w:left w:val="nil"/>
              <w:bottom w:val="nil"/>
              <w:right w:val="nil"/>
              <w:tl2br w:val="nil"/>
              <w:tr2bl w:val="nil"/>
            </w:tcBorders>
            <w:shd w:val="clear" w:color="FFFFFF" w:fill="FFFFFF"/>
            <w:tcMar>
              <w:left w:w="101" w:type="dxa"/>
              <w:right w:w="101" w:type="dxa"/>
            </w:tcMar>
          </w:tcPr>
          <w:p w14:paraId="53B22002"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128,370</w:t>
            </w:r>
          </w:p>
        </w:tc>
        <w:tc>
          <w:tcPr>
            <w:tcW w:w="1035" w:type="dxa"/>
            <w:tcBorders>
              <w:top w:val="nil"/>
              <w:left w:val="nil"/>
              <w:bottom w:val="nil"/>
              <w:right w:val="nil"/>
              <w:tl2br w:val="nil"/>
              <w:tr2bl w:val="nil"/>
            </w:tcBorders>
            <w:shd w:val="clear" w:color="FFFFFF" w:fill="FFFFFF"/>
            <w:tcMar>
              <w:left w:w="101" w:type="dxa"/>
              <w:right w:w="101" w:type="dxa"/>
            </w:tcMar>
          </w:tcPr>
          <w:p w14:paraId="7382C4B1"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130,416</w:t>
            </w:r>
          </w:p>
        </w:tc>
      </w:tr>
      <w:tr w:rsidR="00C07D35" w14:paraId="71224B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6A2A8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2385" w:type="dxa"/>
            <w:tcBorders>
              <w:top w:val="nil"/>
              <w:left w:val="nil"/>
              <w:bottom w:val="nil"/>
              <w:right w:val="nil"/>
              <w:tl2br w:val="nil"/>
              <w:tr2bl w:val="nil"/>
            </w:tcBorders>
            <w:shd w:val="clear" w:color="auto" w:fill="auto"/>
            <w:noWrap/>
            <w:tcMar>
              <w:left w:w="101" w:type="dxa"/>
              <w:right w:w="101" w:type="dxa"/>
            </w:tcMar>
          </w:tcPr>
          <w:p w14:paraId="65EE6F4E"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731039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1,290</w:t>
            </w:r>
          </w:p>
        </w:tc>
        <w:tc>
          <w:tcPr>
            <w:tcW w:w="1035" w:type="dxa"/>
            <w:tcBorders>
              <w:top w:val="nil"/>
              <w:left w:val="nil"/>
              <w:bottom w:val="nil"/>
              <w:right w:val="nil"/>
              <w:tl2br w:val="nil"/>
              <w:tr2bl w:val="nil"/>
            </w:tcBorders>
            <w:shd w:val="clear" w:color="FFFFFF" w:fill="FFFFFF"/>
            <w:tcMar>
              <w:left w:w="101" w:type="dxa"/>
              <w:right w:w="101" w:type="dxa"/>
            </w:tcMar>
          </w:tcPr>
          <w:p w14:paraId="7E6476A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451</w:t>
            </w:r>
          </w:p>
        </w:tc>
        <w:tc>
          <w:tcPr>
            <w:tcW w:w="600" w:type="dxa"/>
            <w:tcBorders>
              <w:top w:val="nil"/>
              <w:left w:val="nil"/>
              <w:bottom w:val="nil"/>
              <w:right w:val="nil"/>
              <w:tl2br w:val="nil"/>
              <w:tr2bl w:val="nil"/>
            </w:tcBorders>
            <w:shd w:val="clear" w:color="FFFFFF" w:fill="FFFFFF"/>
            <w:tcMar>
              <w:left w:w="101" w:type="dxa"/>
              <w:right w:w="101" w:type="dxa"/>
            </w:tcMar>
          </w:tcPr>
          <w:p w14:paraId="6F29A01D"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-65 </w:t>
            </w:r>
          </w:p>
        </w:tc>
        <w:tc>
          <w:tcPr>
            <w:tcW w:w="1035" w:type="dxa"/>
            <w:tcBorders>
              <w:top w:val="nil"/>
              <w:left w:val="nil"/>
              <w:bottom w:val="nil"/>
              <w:right w:val="nil"/>
              <w:tl2br w:val="nil"/>
              <w:tr2bl w:val="nil"/>
            </w:tcBorders>
            <w:shd w:val="clear" w:color="FFFFFF" w:fill="FFFFFF"/>
            <w:tcMar>
              <w:left w:w="101" w:type="dxa"/>
              <w:right w:w="101" w:type="dxa"/>
            </w:tcMar>
          </w:tcPr>
          <w:p w14:paraId="2AF06DA6"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1035" w:type="dxa"/>
            <w:tcBorders>
              <w:top w:val="nil"/>
              <w:left w:val="nil"/>
              <w:bottom w:val="nil"/>
              <w:right w:val="nil"/>
              <w:tl2br w:val="nil"/>
              <w:tr2bl w:val="nil"/>
            </w:tcBorders>
            <w:shd w:val="clear" w:color="FFFFFF" w:fill="FFFFFF"/>
            <w:tcMar>
              <w:left w:w="101" w:type="dxa"/>
              <w:right w:w="101" w:type="dxa"/>
            </w:tcMar>
          </w:tcPr>
          <w:p w14:paraId="64AB4F8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1035" w:type="dxa"/>
            <w:tcBorders>
              <w:top w:val="nil"/>
              <w:left w:val="nil"/>
              <w:bottom w:val="nil"/>
              <w:right w:val="nil"/>
              <w:tl2br w:val="nil"/>
              <w:tr2bl w:val="nil"/>
            </w:tcBorders>
            <w:shd w:val="clear" w:color="FFFFFF" w:fill="FFFFFF"/>
            <w:tcMar>
              <w:left w:w="101" w:type="dxa"/>
              <w:right w:w="101" w:type="dxa"/>
            </w:tcMar>
          </w:tcPr>
          <w:p w14:paraId="1B178A53"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303</w:t>
            </w:r>
          </w:p>
        </w:tc>
      </w:tr>
      <w:tr w:rsidR="00C07D35" w14:paraId="43328D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AAB997"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2,595</w:t>
            </w:r>
          </w:p>
        </w:tc>
        <w:tc>
          <w:tcPr>
            <w:tcW w:w="2385" w:type="dxa"/>
            <w:tcBorders>
              <w:top w:val="nil"/>
              <w:left w:val="nil"/>
              <w:bottom w:val="nil"/>
              <w:right w:val="nil"/>
              <w:tl2br w:val="nil"/>
              <w:tr2bl w:val="nil"/>
            </w:tcBorders>
            <w:shd w:val="clear" w:color="auto" w:fill="auto"/>
            <w:noWrap/>
            <w:tcMar>
              <w:left w:w="101" w:type="dxa"/>
              <w:right w:w="101" w:type="dxa"/>
            </w:tcMar>
          </w:tcPr>
          <w:p w14:paraId="6F9EB131"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36008EC0"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3,170</w:t>
            </w:r>
          </w:p>
        </w:tc>
        <w:tc>
          <w:tcPr>
            <w:tcW w:w="1035" w:type="dxa"/>
            <w:tcBorders>
              <w:top w:val="nil"/>
              <w:left w:val="nil"/>
              <w:bottom w:val="nil"/>
              <w:right w:val="nil"/>
              <w:tl2br w:val="nil"/>
              <w:tr2bl w:val="nil"/>
            </w:tcBorders>
            <w:shd w:val="clear" w:color="FFFFFF" w:fill="FFFFFF"/>
            <w:tcMar>
              <w:left w:w="101" w:type="dxa"/>
              <w:right w:w="101" w:type="dxa"/>
            </w:tcMar>
          </w:tcPr>
          <w:p w14:paraId="4E712F9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2,765</w:t>
            </w:r>
          </w:p>
        </w:tc>
        <w:tc>
          <w:tcPr>
            <w:tcW w:w="600" w:type="dxa"/>
            <w:tcBorders>
              <w:top w:val="nil"/>
              <w:left w:val="nil"/>
              <w:bottom w:val="nil"/>
              <w:right w:val="nil"/>
              <w:tl2br w:val="nil"/>
              <w:tr2bl w:val="nil"/>
            </w:tcBorders>
            <w:shd w:val="clear" w:color="FFFFFF" w:fill="FFFFFF"/>
            <w:tcMar>
              <w:left w:w="101" w:type="dxa"/>
              <w:right w:w="101" w:type="dxa"/>
            </w:tcMar>
          </w:tcPr>
          <w:p w14:paraId="673BBDD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79F0042D"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2,785</w:t>
            </w:r>
          </w:p>
        </w:tc>
        <w:tc>
          <w:tcPr>
            <w:tcW w:w="1035" w:type="dxa"/>
            <w:tcBorders>
              <w:top w:val="nil"/>
              <w:left w:val="nil"/>
              <w:bottom w:val="nil"/>
              <w:right w:val="nil"/>
              <w:tl2br w:val="nil"/>
              <w:tr2bl w:val="nil"/>
            </w:tcBorders>
            <w:shd w:val="clear" w:color="FFFFFF" w:fill="FFFFFF"/>
            <w:tcMar>
              <w:left w:w="101" w:type="dxa"/>
              <w:right w:w="101" w:type="dxa"/>
            </w:tcMar>
          </w:tcPr>
          <w:p w14:paraId="07DD2F55"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2,804</w:t>
            </w:r>
          </w:p>
        </w:tc>
        <w:tc>
          <w:tcPr>
            <w:tcW w:w="1035" w:type="dxa"/>
            <w:tcBorders>
              <w:top w:val="nil"/>
              <w:left w:val="nil"/>
              <w:bottom w:val="nil"/>
              <w:right w:val="nil"/>
              <w:tl2br w:val="nil"/>
              <w:tr2bl w:val="nil"/>
            </w:tcBorders>
            <w:shd w:val="clear" w:color="FFFFFF" w:fill="FFFFFF"/>
            <w:tcMar>
              <w:left w:w="101" w:type="dxa"/>
              <w:right w:w="101" w:type="dxa"/>
            </w:tcMar>
          </w:tcPr>
          <w:p w14:paraId="4B6D8275"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2,838</w:t>
            </w:r>
          </w:p>
        </w:tc>
      </w:tr>
      <w:tr w:rsidR="00C07D35" w14:paraId="76969C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62E7A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3E5D21F2"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15EC1091"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1,166</w:t>
            </w:r>
          </w:p>
        </w:tc>
        <w:tc>
          <w:tcPr>
            <w:tcW w:w="1035" w:type="dxa"/>
            <w:tcBorders>
              <w:top w:val="nil"/>
              <w:left w:val="nil"/>
              <w:bottom w:val="nil"/>
              <w:right w:val="nil"/>
              <w:tl2br w:val="nil"/>
              <w:tr2bl w:val="nil"/>
            </w:tcBorders>
            <w:shd w:val="clear" w:color="FFFFFF" w:fill="FFFFFF"/>
            <w:tcMar>
              <w:left w:w="101" w:type="dxa"/>
              <w:right w:w="101" w:type="dxa"/>
            </w:tcMar>
          </w:tcPr>
          <w:p w14:paraId="1C444160"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18CCA4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138EDC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0076315"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670F5E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r>
      <w:tr w:rsidR="00C07D35" w14:paraId="73EDC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F31EFB"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BF83D8E"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5E372A"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774A81"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7227A1"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67337D"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2F20BE"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080D29" w14:textId="77777777" w:rsidR="00C07D35" w:rsidRDefault="00C07D35">
            <w:pPr>
              <w:pStyle w:val="Normal15"/>
              <w:rPr>
                <w:rFonts w:ascii="Calibri" w:eastAsia="Calibri" w:hAnsi="Calibri" w:cs="Calibri"/>
                <w:color w:val="000000"/>
                <w:sz w:val="18"/>
              </w:rPr>
            </w:pPr>
          </w:p>
        </w:tc>
      </w:tr>
      <w:tr w:rsidR="00C07D35" w14:paraId="50794A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CD951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142,073</w:t>
            </w:r>
          </w:p>
        </w:tc>
        <w:tc>
          <w:tcPr>
            <w:tcW w:w="2385" w:type="dxa"/>
            <w:tcBorders>
              <w:top w:val="nil"/>
              <w:left w:val="nil"/>
              <w:bottom w:val="nil"/>
              <w:right w:val="nil"/>
              <w:tl2br w:val="nil"/>
              <w:tr2bl w:val="nil"/>
            </w:tcBorders>
            <w:shd w:val="clear" w:color="FFFFFF" w:fill="FFFFFF"/>
            <w:tcMar>
              <w:left w:w="101" w:type="dxa"/>
              <w:right w:w="101" w:type="dxa"/>
            </w:tcMar>
          </w:tcPr>
          <w:p w14:paraId="5DDD7908"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479146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142,384</w:t>
            </w:r>
          </w:p>
        </w:tc>
        <w:tc>
          <w:tcPr>
            <w:tcW w:w="1035" w:type="dxa"/>
            <w:tcBorders>
              <w:top w:val="nil"/>
              <w:left w:val="nil"/>
              <w:bottom w:val="nil"/>
              <w:right w:val="nil"/>
              <w:tl2br w:val="nil"/>
              <w:tr2bl w:val="nil"/>
            </w:tcBorders>
            <w:shd w:val="clear" w:color="FFFFFF" w:fill="FFFFFF"/>
            <w:tcMar>
              <w:left w:w="101" w:type="dxa"/>
              <w:right w:w="101" w:type="dxa"/>
            </w:tcMar>
          </w:tcPr>
          <w:p w14:paraId="04108DDC"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145,110</w:t>
            </w:r>
          </w:p>
        </w:tc>
        <w:tc>
          <w:tcPr>
            <w:tcW w:w="600" w:type="dxa"/>
            <w:tcBorders>
              <w:top w:val="nil"/>
              <w:left w:val="nil"/>
              <w:bottom w:val="nil"/>
              <w:right w:val="nil"/>
              <w:tl2br w:val="nil"/>
              <w:tr2bl w:val="nil"/>
            </w:tcBorders>
            <w:shd w:val="clear" w:color="FFFFFF" w:fill="FFFFFF"/>
            <w:tcMar>
              <w:left w:w="101" w:type="dxa"/>
              <w:right w:w="101" w:type="dxa"/>
            </w:tcMar>
          </w:tcPr>
          <w:p w14:paraId="0A1EED9E"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F8E7ED1"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131,131</w:t>
            </w:r>
          </w:p>
        </w:tc>
        <w:tc>
          <w:tcPr>
            <w:tcW w:w="1035" w:type="dxa"/>
            <w:tcBorders>
              <w:top w:val="nil"/>
              <w:left w:val="nil"/>
              <w:bottom w:val="nil"/>
              <w:right w:val="nil"/>
              <w:tl2br w:val="nil"/>
              <w:tr2bl w:val="nil"/>
            </w:tcBorders>
            <w:shd w:val="clear" w:color="FFFFFF" w:fill="FFFFFF"/>
            <w:tcMar>
              <w:left w:w="101" w:type="dxa"/>
              <w:right w:w="101" w:type="dxa"/>
            </w:tcMar>
          </w:tcPr>
          <w:p w14:paraId="78A40F82"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131,471</w:t>
            </w:r>
          </w:p>
        </w:tc>
        <w:tc>
          <w:tcPr>
            <w:tcW w:w="1035" w:type="dxa"/>
            <w:tcBorders>
              <w:top w:val="nil"/>
              <w:left w:val="nil"/>
              <w:bottom w:val="nil"/>
              <w:right w:val="nil"/>
              <w:tl2br w:val="nil"/>
              <w:tr2bl w:val="nil"/>
            </w:tcBorders>
            <w:shd w:val="clear" w:color="FFFFFF" w:fill="FFFFFF"/>
            <w:tcMar>
              <w:left w:w="101" w:type="dxa"/>
              <w:right w:w="101" w:type="dxa"/>
            </w:tcMar>
          </w:tcPr>
          <w:p w14:paraId="48F3EA8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133,557</w:t>
            </w:r>
          </w:p>
        </w:tc>
      </w:tr>
      <w:tr w:rsidR="00C07D35" w14:paraId="34C03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2954CC"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A6F318"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C8C984"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E7B913"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B3EBDD"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6C4E95"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0F870B"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BC6D78" w14:textId="77777777" w:rsidR="00C07D35" w:rsidRDefault="00C07D35">
            <w:pPr>
              <w:pStyle w:val="Normal15"/>
              <w:rPr>
                <w:rFonts w:ascii="Calibri" w:eastAsia="Calibri" w:hAnsi="Calibri" w:cs="Calibri"/>
                <w:color w:val="000000"/>
                <w:sz w:val="18"/>
              </w:rPr>
            </w:pPr>
          </w:p>
        </w:tc>
      </w:tr>
      <w:tr w:rsidR="00C07D35" w14:paraId="70FD73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3567C2"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4DA694D"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1A067110"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2C2E3C"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F668D9"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211762"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B008A"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A08439" w14:textId="77777777" w:rsidR="00C07D35" w:rsidRDefault="00C07D35">
            <w:pPr>
              <w:pStyle w:val="Normal15"/>
              <w:rPr>
                <w:rFonts w:ascii="Calibri" w:eastAsia="Calibri" w:hAnsi="Calibri" w:cs="Calibri"/>
                <w:color w:val="000000"/>
                <w:sz w:val="18"/>
              </w:rPr>
            </w:pPr>
          </w:p>
        </w:tc>
      </w:tr>
      <w:tr w:rsidR="00C07D35" w14:paraId="056CB5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4875D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4DDC166"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2A514F6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246</w:t>
            </w:r>
          </w:p>
        </w:tc>
        <w:tc>
          <w:tcPr>
            <w:tcW w:w="1035" w:type="dxa"/>
            <w:tcBorders>
              <w:top w:val="nil"/>
              <w:left w:val="nil"/>
              <w:bottom w:val="nil"/>
              <w:right w:val="nil"/>
              <w:tl2br w:val="nil"/>
              <w:tr2bl w:val="nil"/>
            </w:tcBorders>
            <w:shd w:val="clear" w:color="FFFFFF" w:fill="FFFFFF"/>
            <w:tcMar>
              <w:left w:w="101" w:type="dxa"/>
              <w:right w:w="101" w:type="dxa"/>
            </w:tcMar>
          </w:tcPr>
          <w:p w14:paraId="0C600B19"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B96680A"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4223D0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8CC10A"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2D661A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0</w:t>
            </w:r>
          </w:p>
        </w:tc>
      </w:tr>
      <w:tr w:rsidR="00C07D35" w14:paraId="2E26F5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7EE946"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C7FB98"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0BD5E7"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19D709"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5B3F1F"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9173B5"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10D2B9"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70F9AB" w14:textId="77777777" w:rsidR="00C07D35" w:rsidRDefault="00C07D35">
            <w:pPr>
              <w:pStyle w:val="Normal15"/>
              <w:rPr>
                <w:rFonts w:ascii="Calibri" w:eastAsia="Calibri" w:hAnsi="Calibri" w:cs="Calibri"/>
                <w:color w:val="000000"/>
                <w:sz w:val="18"/>
              </w:rPr>
            </w:pPr>
          </w:p>
        </w:tc>
      </w:tr>
      <w:tr w:rsidR="00C07D35" w14:paraId="0F7F29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A9F98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3ED69A4B"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49E9F873"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246</w:t>
            </w:r>
          </w:p>
        </w:tc>
        <w:tc>
          <w:tcPr>
            <w:tcW w:w="1035" w:type="dxa"/>
            <w:tcBorders>
              <w:top w:val="nil"/>
              <w:left w:val="nil"/>
              <w:bottom w:val="nil"/>
              <w:right w:val="nil"/>
              <w:tl2br w:val="nil"/>
              <w:tr2bl w:val="nil"/>
            </w:tcBorders>
            <w:shd w:val="clear" w:color="FFFFFF" w:fill="FFFFFF"/>
            <w:tcMar>
              <w:left w:w="101" w:type="dxa"/>
              <w:right w:w="101" w:type="dxa"/>
            </w:tcMar>
          </w:tcPr>
          <w:p w14:paraId="2FED3F60"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BA5196C"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7CD0C04"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52CFBE"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F88125"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0</w:t>
            </w:r>
          </w:p>
        </w:tc>
      </w:tr>
      <w:tr w:rsidR="00C07D35" w14:paraId="4A171C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58C149"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3FBC425"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A082E1"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C9B77E"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916118"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46CD87"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479EF8"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AA4B4A" w14:textId="77777777" w:rsidR="00C07D35" w:rsidRDefault="00C07D35">
            <w:pPr>
              <w:pStyle w:val="Normal15"/>
              <w:rPr>
                <w:rFonts w:ascii="Calibri" w:eastAsia="Calibri" w:hAnsi="Calibri" w:cs="Calibri"/>
                <w:color w:val="000000"/>
                <w:sz w:val="18"/>
              </w:rPr>
            </w:pPr>
          </w:p>
        </w:tc>
      </w:tr>
      <w:tr w:rsidR="00C07D35" w14:paraId="035677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A8FF3E"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142,073</w:t>
            </w:r>
          </w:p>
        </w:tc>
        <w:tc>
          <w:tcPr>
            <w:tcW w:w="2385" w:type="dxa"/>
            <w:tcBorders>
              <w:top w:val="nil"/>
              <w:left w:val="nil"/>
              <w:bottom w:val="nil"/>
              <w:right w:val="nil"/>
              <w:tl2br w:val="nil"/>
              <w:tr2bl w:val="nil"/>
            </w:tcBorders>
            <w:shd w:val="clear" w:color="FFFFFF" w:fill="FFFFFF"/>
            <w:tcMar>
              <w:left w:w="101" w:type="dxa"/>
              <w:right w:w="101" w:type="dxa"/>
            </w:tcMar>
          </w:tcPr>
          <w:p w14:paraId="3554E256"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147BDDFA"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142,630</w:t>
            </w:r>
          </w:p>
        </w:tc>
        <w:tc>
          <w:tcPr>
            <w:tcW w:w="1035" w:type="dxa"/>
            <w:tcBorders>
              <w:top w:val="nil"/>
              <w:left w:val="nil"/>
              <w:bottom w:val="nil"/>
              <w:right w:val="nil"/>
              <w:tl2br w:val="nil"/>
              <w:tr2bl w:val="nil"/>
            </w:tcBorders>
            <w:shd w:val="clear" w:color="FFFFFF" w:fill="FFFFFF"/>
            <w:tcMar>
              <w:left w:w="101" w:type="dxa"/>
              <w:right w:w="101" w:type="dxa"/>
            </w:tcMar>
          </w:tcPr>
          <w:p w14:paraId="6EFF8666"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145,110</w:t>
            </w:r>
          </w:p>
        </w:tc>
        <w:tc>
          <w:tcPr>
            <w:tcW w:w="600" w:type="dxa"/>
            <w:tcBorders>
              <w:top w:val="nil"/>
              <w:left w:val="nil"/>
              <w:bottom w:val="nil"/>
              <w:right w:val="nil"/>
              <w:tl2br w:val="nil"/>
              <w:tr2bl w:val="nil"/>
            </w:tcBorders>
            <w:shd w:val="clear" w:color="FFFFFF" w:fill="FFFFFF"/>
            <w:tcMar>
              <w:left w:w="101" w:type="dxa"/>
              <w:right w:w="101" w:type="dxa"/>
            </w:tcMar>
          </w:tcPr>
          <w:p w14:paraId="5BD3FB4D"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E5CA9BD"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131,131</w:t>
            </w:r>
          </w:p>
        </w:tc>
        <w:tc>
          <w:tcPr>
            <w:tcW w:w="1035" w:type="dxa"/>
            <w:tcBorders>
              <w:top w:val="nil"/>
              <w:left w:val="nil"/>
              <w:bottom w:val="nil"/>
              <w:right w:val="nil"/>
              <w:tl2br w:val="nil"/>
              <w:tr2bl w:val="nil"/>
            </w:tcBorders>
            <w:shd w:val="clear" w:color="FFFFFF" w:fill="FFFFFF"/>
            <w:tcMar>
              <w:left w:w="101" w:type="dxa"/>
              <w:right w:w="101" w:type="dxa"/>
            </w:tcMar>
          </w:tcPr>
          <w:p w14:paraId="73E89FA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131,471</w:t>
            </w:r>
          </w:p>
        </w:tc>
        <w:tc>
          <w:tcPr>
            <w:tcW w:w="1035" w:type="dxa"/>
            <w:tcBorders>
              <w:top w:val="nil"/>
              <w:left w:val="nil"/>
              <w:bottom w:val="nil"/>
              <w:right w:val="nil"/>
              <w:tl2br w:val="nil"/>
              <w:tr2bl w:val="nil"/>
            </w:tcBorders>
            <w:shd w:val="clear" w:color="FFFFFF" w:fill="FFFFFF"/>
            <w:tcMar>
              <w:left w:w="101" w:type="dxa"/>
              <w:right w:w="101" w:type="dxa"/>
            </w:tcMar>
          </w:tcPr>
          <w:p w14:paraId="3E41F4BB"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133,557</w:t>
            </w:r>
          </w:p>
        </w:tc>
      </w:tr>
      <w:tr w:rsidR="00C07D35" w14:paraId="5ED510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3E294C"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6C302D5"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505E06"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33F24E"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3E38A48"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3CAE05"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ECC2B2"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F5E813" w14:textId="77777777" w:rsidR="00C07D35" w:rsidRDefault="00C07D35">
            <w:pPr>
              <w:pStyle w:val="Normal15"/>
              <w:rPr>
                <w:rFonts w:ascii="Calibri" w:eastAsia="Calibri" w:hAnsi="Calibri" w:cs="Calibri"/>
                <w:color w:val="000000"/>
                <w:sz w:val="18"/>
              </w:rPr>
            </w:pPr>
          </w:p>
        </w:tc>
      </w:tr>
      <w:tr w:rsidR="00C07D35" w14:paraId="6DFD14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EE6DE2"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BFA3C30"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19E3C30C"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BE7362"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5D5025"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D8513E"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17B09"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C9D500" w14:textId="77777777" w:rsidR="00C07D35" w:rsidRDefault="00C07D35">
            <w:pPr>
              <w:pStyle w:val="Normal15"/>
              <w:rPr>
                <w:rFonts w:ascii="Calibri" w:eastAsia="Calibri" w:hAnsi="Calibri" w:cs="Calibri"/>
                <w:color w:val="000000"/>
                <w:sz w:val="18"/>
              </w:rPr>
            </w:pPr>
          </w:p>
        </w:tc>
      </w:tr>
      <w:tr w:rsidR="00C07D35" w14:paraId="120067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075DF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57,809</w:t>
            </w:r>
          </w:p>
        </w:tc>
        <w:tc>
          <w:tcPr>
            <w:tcW w:w="2385" w:type="dxa"/>
            <w:tcBorders>
              <w:top w:val="nil"/>
              <w:left w:val="nil"/>
              <w:bottom w:val="nil"/>
              <w:right w:val="nil"/>
              <w:tl2br w:val="nil"/>
              <w:tr2bl w:val="nil"/>
            </w:tcBorders>
            <w:shd w:val="clear" w:color="FFFFFF" w:fill="FFFFFF"/>
            <w:noWrap/>
            <w:tcMar>
              <w:left w:w="101" w:type="dxa"/>
              <w:right w:w="101" w:type="dxa"/>
            </w:tcMar>
          </w:tcPr>
          <w:p w14:paraId="32ADB2D0"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CB1B1B9"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56,246</w:t>
            </w:r>
          </w:p>
        </w:tc>
        <w:tc>
          <w:tcPr>
            <w:tcW w:w="1035" w:type="dxa"/>
            <w:tcBorders>
              <w:top w:val="nil"/>
              <w:left w:val="nil"/>
              <w:bottom w:val="nil"/>
              <w:right w:val="nil"/>
              <w:tl2br w:val="nil"/>
              <w:tr2bl w:val="nil"/>
            </w:tcBorders>
            <w:shd w:val="clear" w:color="FFFFFF" w:fill="FFFFFF"/>
            <w:tcMar>
              <w:left w:w="101" w:type="dxa"/>
              <w:right w:w="101" w:type="dxa"/>
            </w:tcMar>
          </w:tcPr>
          <w:p w14:paraId="57FBF01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59,600</w:t>
            </w:r>
          </w:p>
        </w:tc>
        <w:tc>
          <w:tcPr>
            <w:tcW w:w="600" w:type="dxa"/>
            <w:tcBorders>
              <w:top w:val="nil"/>
              <w:left w:val="nil"/>
              <w:bottom w:val="nil"/>
              <w:right w:val="nil"/>
              <w:tl2br w:val="nil"/>
              <w:tr2bl w:val="nil"/>
            </w:tcBorders>
            <w:shd w:val="clear" w:color="FFFFFF" w:fill="FFFFFF"/>
            <w:tcMar>
              <w:left w:w="101" w:type="dxa"/>
              <w:right w:w="101" w:type="dxa"/>
            </w:tcMar>
          </w:tcPr>
          <w:p w14:paraId="7736225A"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72D0D6E5"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60,735</w:t>
            </w:r>
          </w:p>
        </w:tc>
        <w:tc>
          <w:tcPr>
            <w:tcW w:w="1035" w:type="dxa"/>
            <w:tcBorders>
              <w:top w:val="nil"/>
              <w:left w:val="nil"/>
              <w:bottom w:val="nil"/>
              <w:right w:val="nil"/>
              <w:tl2br w:val="nil"/>
              <w:tr2bl w:val="nil"/>
            </w:tcBorders>
            <w:shd w:val="clear" w:color="FFFFFF" w:fill="FFFFFF"/>
            <w:tcMar>
              <w:left w:w="101" w:type="dxa"/>
              <w:right w:w="101" w:type="dxa"/>
            </w:tcMar>
          </w:tcPr>
          <w:p w14:paraId="50D1074D"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60,735</w:t>
            </w:r>
          </w:p>
        </w:tc>
        <w:tc>
          <w:tcPr>
            <w:tcW w:w="1035" w:type="dxa"/>
            <w:tcBorders>
              <w:top w:val="nil"/>
              <w:left w:val="nil"/>
              <w:bottom w:val="nil"/>
              <w:right w:val="nil"/>
              <w:tl2br w:val="nil"/>
              <w:tr2bl w:val="nil"/>
            </w:tcBorders>
            <w:shd w:val="clear" w:color="FFFFFF" w:fill="FFFFFF"/>
            <w:tcMar>
              <w:left w:w="101" w:type="dxa"/>
              <w:right w:w="101" w:type="dxa"/>
            </w:tcMar>
          </w:tcPr>
          <w:p w14:paraId="7E11F567"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61,516</w:t>
            </w:r>
          </w:p>
        </w:tc>
      </w:tr>
      <w:tr w:rsidR="00C07D35" w14:paraId="3D8E12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9D04B7"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9,004</w:t>
            </w:r>
          </w:p>
        </w:tc>
        <w:tc>
          <w:tcPr>
            <w:tcW w:w="2385" w:type="dxa"/>
            <w:tcBorders>
              <w:top w:val="nil"/>
              <w:left w:val="nil"/>
              <w:bottom w:val="nil"/>
              <w:right w:val="nil"/>
              <w:tl2br w:val="nil"/>
              <w:tr2bl w:val="nil"/>
            </w:tcBorders>
            <w:shd w:val="clear" w:color="FFFFFF" w:fill="FFFFFF"/>
            <w:noWrap/>
            <w:tcMar>
              <w:left w:w="101" w:type="dxa"/>
              <w:right w:w="101" w:type="dxa"/>
            </w:tcMar>
          </w:tcPr>
          <w:p w14:paraId="06CAB740"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9E4D2C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8,567</w:t>
            </w:r>
          </w:p>
        </w:tc>
        <w:tc>
          <w:tcPr>
            <w:tcW w:w="1035" w:type="dxa"/>
            <w:tcBorders>
              <w:top w:val="nil"/>
              <w:left w:val="nil"/>
              <w:bottom w:val="nil"/>
              <w:right w:val="nil"/>
              <w:tl2br w:val="nil"/>
              <w:tr2bl w:val="nil"/>
            </w:tcBorders>
            <w:shd w:val="clear" w:color="FFFFFF" w:fill="FFFFFF"/>
            <w:tcMar>
              <w:left w:w="101" w:type="dxa"/>
              <w:right w:w="101" w:type="dxa"/>
            </w:tcMar>
          </w:tcPr>
          <w:p w14:paraId="4A766BBD"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10,050</w:t>
            </w:r>
          </w:p>
        </w:tc>
        <w:tc>
          <w:tcPr>
            <w:tcW w:w="600" w:type="dxa"/>
            <w:tcBorders>
              <w:top w:val="nil"/>
              <w:left w:val="nil"/>
              <w:bottom w:val="nil"/>
              <w:right w:val="nil"/>
              <w:tl2br w:val="nil"/>
              <w:tr2bl w:val="nil"/>
            </w:tcBorders>
            <w:shd w:val="clear" w:color="FFFFFF" w:fill="FFFFFF"/>
            <w:tcMar>
              <w:left w:w="101" w:type="dxa"/>
              <w:right w:w="101" w:type="dxa"/>
            </w:tcMar>
          </w:tcPr>
          <w:p w14:paraId="3C1016E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504AEB83"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10,148</w:t>
            </w:r>
          </w:p>
        </w:tc>
        <w:tc>
          <w:tcPr>
            <w:tcW w:w="1035" w:type="dxa"/>
            <w:tcBorders>
              <w:top w:val="nil"/>
              <w:left w:val="nil"/>
              <w:bottom w:val="nil"/>
              <w:right w:val="nil"/>
              <w:tl2br w:val="nil"/>
              <w:tr2bl w:val="nil"/>
            </w:tcBorders>
            <w:shd w:val="clear" w:color="FFFFFF" w:fill="FFFFFF"/>
            <w:tcMar>
              <w:left w:w="101" w:type="dxa"/>
              <w:right w:w="101" w:type="dxa"/>
            </w:tcMar>
          </w:tcPr>
          <w:p w14:paraId="6539F3C1"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10,176</w:t>
            </w:r>
          </w:p>
        </w:tc>
        <w:tc>
          <w:tcPr>
            <w:tcW w:w="1035" w:type="dxa"/>
            <w:tcBorders>
              <w:top w:val="nil"/>
              <w:left w:val="nil"/>
              <w:bottom w:val="nil"/>
              <w:right w:val="nil"/>
              <w:tl2br w:val="nil"/>
              <w:tr2bl w:val="nil"/>
            </w:tcBorders>
            <w:shd w:val="clear" w:color="FFFFFF" w:fill="FFFFFF"/>
            <w:tcMar>
              <w:left w:w="101" w:type="dxa"/>
              <w:right w:w="101" w:type="dxa"/>
            </w:tcMar>
          </w:tcPr>
          <w:p w14:paraId="7B4913EB"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10,292</w:t>
            </w:r>
          </w:p>
        </w:tc>
      </w:tr>
      <w:tr w:rsidR="00C07D35" w14:paraId="145646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E60545D"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18,942</w:t>
            </w:r>
          </w:p>
        </w:tc>
        <w:tc>
          <w:tcPr>
            <w:tcW w:w="2385" w:type="dxa"/>
            <w:tcBorders>
              <w:top w:val="nil"/>
              <w:left w:val="nil"/>
              <w:bottom w:val="nil"/>
              <w:right w:val="nil"/>
              <w:tl2br w:val="nil"/>
              <w:tr2bl w:val="nil"/>
            </w:tcBorders>
            <w:shd w:val="clear" w:color="FFFFFF" w:fill="FFFFFF"/>
            <w:noWrap/>
            <w:tcMar>
              <w:left w:w="101" w:type="dxa"/>
              <w:right w:w="101" w:type="dxa"/>
            </w:tcMar>
          </w:tcPr>
          <w:p w14:paraId="20911F19"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A62B51B"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18,078</w:t>
            </w:r>
          </w:p>
        </w:tc>
        <w:tc>
          <w:tcPr>
            <w:tcW w:w="1035" w:type="dxa"/>
            <w:tcBorders>
              <w:top w:val="nil"/>
              <w:left w:val="nil"/>
              <w:bottom w:val="nil"/>
              <w:right w:val="nil"/>
              <w:tl2br w:val="nil"/>
              <w:tr2bl w:val="nil"/>
            </w:tcBorders>
            <w:shd w:val="clear" w:color="FFFFFF" w:fill="FFFFFF"/>
            <w:tcMar>
              <w:left w:w="101" w:type="dxa"/>
              <w:right w:w="101" w:type="dxa"/>
            </w:tcMar>
          </w:tcPr>
          <w:p w14:paraId="37CAC166"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19,587</w:t>
            </w:r>
          </w:p>
        </w:tc>
        <w:tc>
          <w:tcPr>
            <w:tcW w:w="600" w:type="dxa"/>
            <w:tcBorders>
              <w:top w:val="nil"/>
              <w:left w:val="nil"/>
              <w:bottom w:val="nil"/>
              <w:right w:val="nil"/>
              <w:tl2br w:val="nil"/>
              <w:tr2bl w:val="nil"/>
            </w:tcBorders>
            <w:shd w:val="clear" w:color="FFFFFF" w:fill="FFFFFF"/>
            <w:tcMar>
              <w:left w:w="101" w:type="dxa"/>
              <w:right w:w="101" w:type="dxa"/>
            </w:tcMar>
          </w:tcPr>
          <w:p w14:paraId="786A31C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1D059E2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18,784</w:t>
            </w:r>
          </w:p>
        </w:tc>
        <w:tc>
          <w:tcPr>
            <w:tcW w:w="1035" w:type="dxa"/>
            <w:tcBorders>
              <w:top w:val="nil"/>
              <w:left w:val="nil"/>
              <w:bottom w:val="nil"/>
              <w:right w:val="nil"/>
              <w:tl2br w:val="nil"/>
              <w:tr2bl w:val="nil"/>
            </w:tcBorders>
            <w:shd w:val="clear" w:color="FFFFFF" w:fill="FFFFFF"/>
            <w:tcMar>
              <w:left w:w="101" w:type="dxa"/>
              <w:right w:w="101" w:type="dxa"/>
            </w:tcMar>
          </w:tcPr>
          <w:p w14:paraId="7B920560"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18,618</w:t>
            </w:r>
          </w:p>
        </w:tc>
        <w:tc>
          <w:tcPr>
            <w:tcW w:w="1035" w:type="dxa"/>
            <w:tcBorders>
              <w:top w:val="nil"/>
              <w:left w:val="nil"/>
              <w:bottom w:val="nil"/>
              <w:right w:val="nil"/>
              <w:tl2br w:val="nil"/>
              <w:tr2bl w:val="nil"/>
            </w:tcBorders>
            <w:shd w:val="clear" w:color="FFFFFF" w:fill="FFFFFF"/>
            <w:tcMar>
              <w:left w:w="101" w:type="dxa"/>
              <w:right w:w="101" w:type="dxa"/>
            </w:tcMar>
          </w:tcPr>
          <w:p w14:paraId="2BE53CB2"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19,030</w:t>
            </w:r>
          </w:p>
        </w:tc>
      </w:tr>
      <w:tr w:rsidR="00C07D35" w14:paraId="09BD3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D085B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3,506</w:t>
            </w:r>
          </w:p>
        </w:tc>
        <w:tc>
          <w:tcPr>
            <w:tcW w:w="2385" w:type="dxa"/>
            <w:tcBorders>
              <w:top w:val="nil"/>
              <w:left w:val="nil"/>
              <w:bottom w:val="nil"/>
              <w:right w:val="nil"/>
              <w:tl2br w:val="nil"/>
              <w:tr2bl w:val="nil"/>
            </w:tcBorders>
            <w:shd w:val="clear" w:color="FFFFFF" w:fill="FFFFFF"/>
            <w:noWrap/>
            <w:tcMar>
              <w:left w:w="101" w:type="dxa"/>
              <w:right w:w="101" w:type="dxa"/>
            </w:tcMar>
          </w:tcPr>
          <w:p w14:paraId="76A7BB16"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1BC13ED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3,331</w:t>
            </w:r>
          </w:p>
        </w:tc>
        <w:tc>
          <w:tcPr>
            <w:tcW w:w="1035" w:type="dxa"/>
            <w:tcBorders>
              <w:top w:val="nil"/>
              <w:left w:val="nil"/>
              <w:bottom w:val="nil"/>
              <w:right w:val="nil"/>
              <w:tl2br w:val="nil"/>
              <w:tr2bl w:val="nil"/>
            </w:tcBorders>
            <w:shd w:val="clear" w:color="FFFFFF" w:fill="FFFFFF"/>
            <w:tcMar>
              <w:left w:w="101" w:type="dxa"/>
              <w:right w:w="101" w:type="dxa"/>
            </w:tcMar>
          </w:tcPr>
          <w:p w14:paraId="5F95987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4,236</w:t>
            </w:r>
          </w:p>
        </w:tc>
        <w:tc>
          <w:tcPr>
            <w:tcW w:w="600" w:type="dxa"/>
            <w:tcBorders>
              <w:top w:val="nil"/>
              <w:left w:val="nil"/>
              <w:bottom w:val="nil"/>
              <w:right w:val="nil"/>
              <w:tl2br w:val="nil"/>
              <w:tr2bl w:val="nil"/>
            </w:tcBorders>
            <w:shd w:val="clear" w:color="FFFFFF" w:fill="FFFFFF"/>
            <w:tcMar>
              <w:left w:w="101" w:type="dxa"/>
              <w:right w:w="101" w:type="dxa"/>
            </w:tcMar>
          </w:tcPr>
          <w:p w14:paraId="090835C7"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27 </w:t>
            </w:r>
          </w:p>
        </w:tc>
        <w:tc>
          <w:tcPr>
            <w:tcW w:w="1035" w:type="dxa"/>
            <w:tcBorders>
              <w:top w:val="nil"/>
              <w:left w:val="nil"/>
              <w:bottom w:val="nil"/>
              <w:right w:val="nil"/>
              <w:tl2br w:val="nil"/>
              <w:tr2bl w:val="nil"/>
            </w:tcBorders>
            <w:shd w:val="clear" w:color="FFFFFF" w:fill="FFFFFF"/>
            <w:tcMar>
              <w:left w:w="101" w:type="dxa"/>
              <w:right w:w="101" w:type="dxa"/>
            </w:tcMar>
          </w:tcPr>
          <w:p w14:paraId="1B03CD8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4,269</w:t>
            </w:r>
          </w:p>
        </w:tc>
        <w:tc>
          <w:tcPr>
            <w:tcW w:w="1035" w:type="dxa"/>
            <w:tcBorders>
              <w:top w:val="nil"/>
              <w:left w:val="nil"/>
              <w:bottom w:val="nil"/>
              <w:right w:val="nil"/>
              <w:tl2br w:val="nil"/>
              <w:tr2bl w:val="nil"/>
            </w:tcBorders>
            <w:shd w:val="clear" w:color="FFFFFF" w:fill="FFFFFF"/>
            <w:tcMar>
              <w:left w:w="101" w:type="dxa"/>
              <w:right w:w="101" w:type="dxa"/>
            </w:tcMar>
          </w:tcPr>
          <w:p w14:paraId="7BEFF99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4,032</w:t>
            </w:r>
          </w:p>
        </w:tc>
        <w:tc>
          <w:tcPr>
            <w:tcW w:w="1035" w:type="dxa"/>
            <w:tcBorders>
              <w:top w:val="nil"/>
              <w:left w:val="nil"/>
              <w:bottom w:val="nil"/>
              <w:right w:val="nil"/>
              <w:tl2br w:val="nil"/>
              <w:tr2bl w:val="nil"/>
            </w:tcBorders>
            <w:shd w:val="clear" w:color="FFFFFF" w:fill="FFFFFF"/>
            <w:tcMar>
              <w:left w:w="101" w:type="dxa"/>
              <w:right w:w="101" w:type="dxa"/>
            </w:tcMar>
          </w:tcPr>
          <w:p w14:paraId="404748B6"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4,036</w:t>
            </w:r>
          </w:p>
        </w:tc>
      </w:tr>
      <w:tr w:rsidR="00C07D35" w14:paraId="2D1668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116F9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57,195</w:t>
            </w:r>
          </w:p>
        </w:tc>
        <w:tc>
          <w:tcPr>
            <w:tcW w:w="2385" w:type="dxa"/>
            <w:tcBorders>
              <w:top w:val="nil"/>
              <w:left w:val="nil"/>
              <w:bottom w:val="nil"/>
              <w:right w:val="nil"/>
              <w:tl2br w:val="nil"/>
              <w:tr2bl w:val="nil"/>
            </w:tcBorders>
            <w:shd w:val="clear" w:color="FFFFFF" w:fill="FFFFFF"/>
            <w:noWrap/>
            <w:tcMar>
              <w:left w:w="101" w:type="dxa"/>
              <w:right w:w="101" w:type="dxa"/>
            </w:tcMar>
          </w:tcPr>
          <w:p w14:paraId="26F394DB"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9A25F96"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56,151</w:t>
            </w:r>
          </w:p>
        </w:tc>
        <w:tc>
          <w:tcPr>
            <w:tcW w:w="1035" w:type="dxa"/>
            <w:tcBorders>
              <w:top w:val="nil"/>
              <w:left w:val="nil"/>
              <w:bottom w:val="nil"/>
              <w:right w:val="nil"/>
              <w:tl2br w:val="nil"/>
              <w:tr2bl w:val="nil"/>
            </w:tcBorders>
            <w:shd w:val="clear" w:color="FFFFFF" w:fill="FFFFFF"/>
            <w:tcMar>
              <w:left w:w="101" w:type="dxa"/>
              <w:right w:w="101" w:type="dxa"/>
            </w:tcMar>
          </w:tcPr>
          <w:p w14:paraId="1539E90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57,073</w:t>
            </w:r>
          </w:p>
        </w:tc>
        <w:tc>
          <w:tcPr>
            <w:tcW w:w="600" w:type="dxa"/>
            <w:tcBorders>
              <w:top w:val="nil"/>
              <w:left w:val="nil"/>
              <w:bottom w:val="nil"/>
              <w:right w:val="nil"/>
              <w:tl2br w:val="nil"/>
              <w:tr2bl w:val="nil"/>
            </w:tcBorders>
            <w:shd w:val="clear" w:color="FFFFFF" w:fill="FFFFFF"/>
            <w:tcMar>
              <w:left w:w="101" w:type="dxa"/>
              <w:right w:w="101" w:type="dxa"/>
            </w:tcMar>
          </w:tcPr>
          <w:p w14:paraId="69AD0B07"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E8CFDC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42,706</w:t>
            </w:r>
          </w:p>
        </w:tc>
        <w:tc>
          <w:tcPr>
            <w:tcW w:w="1035" w:type="dxa"/>
            <w:tcBorders>
              <w:top w:val="nil"/>
              <w:left w:val="nil"/>
              <w:bottom w:val="nil"/>
              <w:right w:val="nil"/>
              <w:tl2br w:val="nil"/>
              <w:tr2bl w:val="nil"/>
            </w:tcBorders>
            <w:shd w:val="clear" w:color="FFFFFF" w:fill="FFFFFF"/>
            <w:tcMar>
              <w:left w:w="101" w:type="dxa"/>
              <w:right w:w="101" w:type="dxa"/>
            </w:tcMar>
          </w:tcPr>
          <w:p w14:paraId="71F1C81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43,125</w:t>
            </w:r>
          </w:p>
        </w:tc>
        <w:tc>
          <w:tcPr>
            <w:tcW w:w="1035" w:type="dxa"/>
            <w:tcBorders>
              <w:top w:val="nil"/>
              <w:left w:val="nil"/>
              <w:bottom w:val="nil"/>
              <w:right w:val="nil"/>
              <w:tl2br w:val="nil"/>
              <w:tr2bl w:val="nil"/>
            </w:tcBorders>
            <w:shd w:val="clear" w:color="FFFFFF" w:fill="FFFFFF"/>
            <w:tcMar>
              <w:left w:w="101" w:type="dxa"/>
              <w:right w:w="101" w:type="dxa"/>
            </w:tcMar>
          </w:tcPr>
          <w:p w14:paraId="6396D92C"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43,966</w:t>
            </w:r>
          </w:p>
        </w:tc>
      </w:tr>
      <w:tr w:rsidR="00C07D35" w14:paraId="63E790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BB23DE"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18</w:t>
            </w:r>
          </w:p>
        </w:tc>
        <w:tc>
          <w:tcPr>
            <w:tcW w:w="2385" w:type="dxa"/>
            <w:tcBorders>
              <w:top w:val="nil"/>
              <w:left w:val="nil"/>
              <w:bottom w:val="nil"/>
              <w:right w:val="nil"/>
              <w:tl2br w:val="nil"/>
              <w:tr2bl w:val="nil"/>
            </w:tcBorders>
            <w:shd w:val="clear" w:color="FFFFFF" w:fill="FFFFFF"/>
            <w:noWrap/>
            <w:tcMar>
              <w:left w:w="101" w:type="dxa"/>
              <w:right w:w="101" w:type="dxa"/>
            </w:tcMar>
          </w:tcPr>
          <w:p w14:paraId="595BE61F"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3598115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25DF48B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01F69C0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6CCDA8AA"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28CC6AF6"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45302AD2"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13</w:t>
            </w:r>
          </w:p>
        </w:tc>
      </w:tr>
      <w:tr w:rsidR="00C07D35" w14:paraId="77AD4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A92D7B"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2385" w:type="dxa"/>
            <w:tcBorders>
              <w:top w:val="nil"/>
              <w:left w:val="nil"/>
              <w:bottom w:val="nil"/>
              <w:right w:val="nil"/>
              <w:tl2br w:val="nil"/>
              <w:tr2bl w:val="nil"/>
            </w:tcBorders>
            <w:shd w:val="clear" w:color="FFFFFF" w:fill="FFFFFF"/>
            <w:noWrap/>
            <w:tcMar>
              <w:left w:w="101" w:type="dxa"/>
              <w:right w:w="101" w:type="dxa"/>
            </w:tcMar>
          </w:tcPr>
          <w:p w14:paraId="06429AB5" w14:textId="77777777" w:rsidR="00C07D35" w:rsidRDefault="00A4668D">
            <w:pPr>
              <w:pStyle w:val="Normal15"/>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4435CF1F"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159</w:t>
            </w:r>
          </w:p>
        </w:tc>
        <w:tc>
          <w:tcPr>
            <w:tcW w:w="1035" w:type="dxa"/>
            <w:tcBorders>
              <w:top w:val="nil"/>
              <w:left w:val="nil"/>
              <w:bottom w:val="nil"/>
              <w:right w:val="nil"/>
              <w:tl2br w:val="nil"/>
              <w:tr2bl w:val="nil"/>
            </w:tcBorders>
            <w:shd w:val="clear" w:color="FFFFFF" w:fill="FFFFFF"/>
            <w:tcMar>
              <w:left w:w="101" w:type="dxa"/>
              <w:right w:w="101" w:type="dxa"/>
            </w:tcMar>
          </w:tcPr>
          <w:p w14:paraId="5F57A908"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600" w:type="dxa"/>
            <w:tcBorders>
              <w:top w:val="nil"/>
              <w:left w:val="nil"/>
              <w:bottom w:val="nil"/>
              <w:right w:val="nil"/>
              <w:tl2br w:val="nil"/>
              <w:tr2bl w:val="nil"/>
            </w:tcBorders>
            <w:shd w:val="clear" w:color="FFFFFF" w:fill="FFFFFF"/>
            <w:tcMar>
              <w:left w:w="101" w:type="dxa"/>
              <w:right w:w="101" w:type="dxa"/>
            </w:tcMar>
          </w:tcPr>
          <w:p w14:paraId="40FC90C4"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 xml:space="preserve">-67 </w:t>
            </w:r>
          </w:p>
        </w:tc>
        <w:tc>
          <w:tcPr>
            <w:tcW w:w="1035" w:type="dxa"/>
            <w:tcBorders>
              <w:top w:val="nil"/>
              <w:left w:val="nil"/>
              <w:bottom w:val="nil"/>
              <w:right w:val="nil"/>
              <w:tl2br w:val="nil"/>
              <w:tr2bl w:val="nil"/>
            </w:tcBorders>
            <w:shd w:val="clear" w:color="FFFFFF" w:fill="FFFFFF"/>
            <w:tcMar>
              <w:left w:w="101" w:type="dxa"/>
              <w:right w:w="101" w:type="dxa"/>
            </w:tcMar>
          </w:tcPr>
          <w:p w14:paraId="344A8885"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1035" w:type="dxa"/>
            <w:tcBorders>
              <w:top w:val="nil"/>
              <w:left w:val="nil"/>
              <w:bottom w:val="nil"/>
              <w:right w:val="nil"/>
              <w:tl2br w:val="nil"/>
              <w:tr2bl w:val="nil"/>
            </w:tcBorders>
            <w:shd w:val="clear" w:color="FFFFFF" w:fill="FFFFFF"/>
            <w:tcMar>
              <w:left w:w="101" w:type="dxa"/>
              <w:right w:w="101" w:type="dxa"/>
            </w:tcMar>
          </w:tcPr>
          <w:p w14:paraId="2A641D93"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53</w:t>
            </w:r>
          </w:p>
        </w:tc>
        <w:tc>
          <w:tcPr>
            <w:tcW w:w="1035" w:type="dxa"/>
            <w:tcBorders>
              <w:top w:val="nil"/>
              <w:left w:val="nil"/>
              <w:bottom w:val="nil"/>
              <w:right w:val="nil"/>
              <w:tl2br w:val="nil"/>
              <w:tr2bl w:val="nil"/>
            </w:tcBorders>
            <w:shd w:val="clear" w:color="FFFFFF" w:fill="FFFFFF"/>
            <w:tcMar>
              <w:left w:w="101" w:type="dxa"/>
              <w:right w:w="101" w:type="dxa"/>
            </w:tcMar>
          </w:tcPr>
          <w:p w14:paraId="5DCF6046" w14:textId="77777777" w:rsidR="00C07D35" w:rsidRDefault="00A4668D">
            <w:pPr>
              <w:pStyle w:val="Normal15"/>
              <w:jc w:val="right"/>
              <w:rPr>
                <w:rFonts w:ascii="Calibri" w:eastAsia="Calibri" w:hAnsi="Calibri" w:cs="Calibri"/>
                <w:color w:val="000000"/>
                <w:sz w:val="18"/>
              </w:rPr>
            </w:pPr>
            <w:r>
              <w:rPr>
                <w:rFonts w:ascii="Calibri" w:eastAsia="Calibri" w:hAnsi="Calibri" w:cs="Calibri"/>
                <w:color w:val="000000"/>
                <w:sz w:val="18"/>
              </w:rPr>
              <w:t>54</w:t>
            </w:r>
          </w:p>
        </w:tc>
      </w:tr>
      <w:tr w:rsidR="00C07D35" w14:paraId="5921B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CBBA18"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8AF13D7" w14:textId="77777777" w:rsidR="00C07D35" w:rsidRDefault="00C07D3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99193C"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6A15FF"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3DAB394"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7E35E"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4A8C9A"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00C8BD" w14:textId="77777777" w:rsidR="00C07D35" w:rsidRDefault="00C07D35">
            <w:pPr>
              <w:pStyle w:val="Normal15"/>
              <w:rPr>
                <w:rFonts w:ascii="Calibri" w:eastAsia="Calibri" w:hAnsi="Calibri" w:cs="Calibri"/>
                <w:color w:val="000000"/>
                <w:sz w:val="18"/>
              </w:rPr>
            </w:pPr>
          </w:p>
        </w:tc>
      </w:tr>
      <w:tr w:rsidR="00C07D35" w14:paraId="0C327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89963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146,526</w:t>
            </w:r>
          </w:p>
        </w:tc>
        <w:tc>
          <w:tcPr>
            <w:tcW w:w="2385" w:type="dxa"/>
            <w:tcBorders>
              <w:top w:val="nil"/>
              <w:left w:val="nil"/>
              <w:bottom w:val="nil"/>
              <w:right w:val="nil"/>
              <w:tl2br w:val="nil"/>
              <w:tr2bl w:val="nil"/>
            </w:tcBorders>
            <w:shd w:val="clear" w:color="FFFFFF" w:fill="FFFFFF"/>
            <w:tcMar>
              <w:left w:w="101" w:type="dxa"/>
              <w:right w:w="101" w:type="dxa"/>
            </w:tcMar>
          </w:tcPr>
          <w:p w14:paraId="2254D1B0"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2AFD23C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142,561</w:t>
            </w:r>
          </w:p>
        </w:tc>
        <w:tc>
          <w:tcPr>
            <w:tcW w:w="1035" w:type="dxa"/>
            <w:tcBorders>
              <w:top w:val="nil"/>
              <w:left w:val="nil"/>
              <w:bottom w:val="nil"/>
              <w:right w:val="nil"/>
              <w:tl2br w:val="nil"/>
              <w:tr2bl w:val="nil"/>
            </w:tcBorders>
            <w:shd w:val="clear" w:color="FFFFFF" w:fill="FFFFFF"/>
            <w:tcMar>
              <w:left w:w="101" w:type="dxa"/>
              <w:right w:w="101" w:type="dxa"/>
            </w:tcMar>
          </w:tcPr>
          <w:p w14:paraId="4C527723"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150,616</w:t>
            </w:r>
          </w:p>
        </w:tc>
        <w:tc>
          <w:tcPr>
            <w:tcW w:w="600" w:type="dxa"/>
            <w:tcBorders>
              <w:top w:val="nil"/>
              <w:left w:val="nil"/>
              <w:bottom w:val="nil"/>
              <w:right w:val="nil"/>
              <w:tl2br w:val="nil"/>
              <w:tr2bl w:val="nil"/>
            </w:tcBorders>
            <w:shd w:val="clear" w:color="FFFFFF" w:fill="FFFFFF"/>
            <w:tcMar>
              <w:left w:w="101" w:type="dxa"/>
              <w:right w:w="101" w:type="dxa"/>
            </w:tcMar>
          </w:tcPr>
          <w:p w14:paraId="12B15E7F"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3982ED60"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136,707</w:t>
            </w:r>
          </w:p>
        </w:tc>
        <w:tc>
          <w:tcPr>
            <w:tcW w:w="1035" w:type="dxa"/>
            <w:tcBorders>
              <w:top w:val="nil"/>
              <w:left w:val="nil"/>
              <w:bottom w:val="nil"/>
              <w:right w:val="nil"/>
              <w:tl2br w:val="nil"/>
              <w:tr2bl w:val="nil"/>
            </w:tcBorders>
            <w:shd w:val="clear" w:color="FFFFFF" w:fill="FFFFFF"/>
            <w:tcMar>
              <w:left w:w="101" w:type="dxa"/>
              <w:right w:w="101" w:type="dxa"/>
            </w:tcMar>
          </w:tcPr>
          <w:p w14:paraId="6ED96166"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136,752</w:t>
            </w:r>
          </w:p>
        </w:tc>
        <w:tc>
          <w:tcPr>
            <w:tcW w:w="1035" w:type="dxa"/>
            <w:tcBorders>
              <w:top w:val="nil"/>
              <w:left w:val="nil"/>
              <w:bottom w:val="nil"/>
              <w:right w:val="nil"/>
              <w:tl2br w:val="nil"/>
              <w:tr2bl w:val="nil"/>
            </w:tcBorders>
            <w:shd w:val="clear" w:color="FFFFFF" w:fill="FFFFFF"/>
            <w:tcMar>
              <w:left w:w="101" w:type="dxa"/>
              <w:right w:w="101" w:type="dxa"/>
            </w:tcMar>
          </w:tcPr>
          <w:p w14:paraId="247A8AFB"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138,907</w:t>
            </w:r>
          </w:p>
        </w:tc>
      </w:tr>
      <w:tr w:rsidR="00C07D35" w14:paraId="6B1313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BE7F8D" w14:textId="77777777" w:rsidR="00C07D35" w:rsidRDefault="00C07D3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22FFB72"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CE193B"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AADDF2" w14:textId="77777777" w:rsidR="00C07D35" w:rsidRDefault="00C07D3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11944E"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737D3B"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9814E0" w14:textId="77777777" w:rsidR="00C07D35" w:rsidRDefault="00C07D3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65CA69" w14:textId="77777777" w:rsidR="00C07D35" w:rsidRDefault="00C07D35">
            <w:pPr>
              <w:pStyle w:val="Normal15"/>
              <w:rPr>
                <w:rFonts w:ascii="Calibri" w:eastAsia="Calibri" w:hAnsi="Calibri" w:cs="Calibri"/>
                <w:color w:val="000000"/>
                <w:sz w:val="18"/>
              </w:rPr>
            </w:pPr>
          </w:p>
        </w:tc>
      </w:tr>
      <w:tr w:rsidR="00C07D35" w14:paraId="2BF78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EDA01C"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-4,453</w:t>
            </w:r>
          </w:p>
        </w:tc>
        <w:tc>
          <w:tcPr>
            <w:tcW w:w="2385" w:type="dxa"/>
            <w:tcBorders>
              <w:top w:val="nil"/>
              <w:left w:val="nil"/>
              <w:bottom w:val="nil"/>
              <w:right w:val="nil"/>
              <w:tl2br w:val="nil"/>
              <w:tr2bl w:val="nil"/>
            </w:tcBorders>
            <w:shd w:val="clear" w:color="FFFFFF" w:fill="FFFFFF"/>
            <w:tcMar>
              <w:left w:w="101" w:type="dxa"/>
              <w:right w:w="101" w:type="dxa"/>
            </w:tcMar>
          </w:tcPr>
          <w:p w14:paraId="18242D36" w14:textId="77777777" w:rsidR="00C07D35" w:rsidRDefault="00A4668D">
            <w:pPr>
              <w:pStyle w:val="Normal15"/>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3EE73EB1"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69</w:t>
            </w:r>
          </w:p>
        </w:tc>
        <w:tc>
          <w:tcPr>
            <w:tcW w:w="1035" w:type="dxa"/>
            <w:tcBorders>
              <w:top w:val="nil"/>
              <w:left w:val="nil"/>
              <w:bottom w:val="nil"/>
              <w:right w:val="nil"/>
              <w:tl2br w:val="nil"/>
              <w:tr2bl w:val="nil"/>
            </w:tcBorders>
            <w:shd w:val="clear" w:color="FFFFFF" w:fill="FFFFFF"/>
            <w:tcMar>
              <w:left w:w="101" w:type="dxa"/>
              <w:right w:w="101" w:type="dxa"/>
            </w:tcMar>
          </w:tcPr>
          <w:p w14:paraId="485CF07B"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-5,506</w:t>
            </w:r>
          </w:p>
        </w:tc>
        <w:tc>
          <w:tcPr>
            <w:tcW w:w="600" w:type="dxa"/>
            <w:tcBorders>
              <w:top w:val="nil"/>
              <w:left w:val="nil"/>
              <w:bottom w:val="nil"/>
              <w:right w:val="nil"/>
              <w:tl2br w:val="nil"/>
              <w:tr2bl w:val="nil"/>
            </w:tcBorders>
            <w:shd w:val="clear" w:color="FFFFFF" w:fill="FFFFFF"/>
            <w:tcMar>
              <w:left w:w="101" w:type="dxa"/>
              <w:right w:w="101" w:type="dxa"/>
            </w:tcMar>
          </w:tcPr>
          <w:p w14:paraId="308272E7"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77EE80E"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-5,576</w:t>
            </w:r>
          </w:p>
        </w:tc>
        <w:tc>
          <w:tcPr>
            <w:tcW w:w="1035" w:type="dxa"/>
            <w:tcBorders>
              <w:top w:val="nil"/>
              <w:left w:val="nil"/>
              <w:bottom w:val="nil"/>
              <w:right w:val="nil"/>
              <w:tl2br w:val="nil"/>
              <w:tr2bl w:val="nil"/>
            </w:tcBorders>
            <w:shd w:val="clear" w:color="FFFFFF" w:fill="FFFFFF"/>
            <w:tcMar>
              <w:left w:w="101" w:type="dxa"/>
              <w:right w:w="101" w:type="dxa"/>
            </w:tcMar>
          </w:tcPr>
          <w:p w14:paraId="7A991648"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-5,281</w:t>
            </w:r>
          </w:p>
        </w:tc>
        <w:tc>
          <w:tcPr>
            <w:tcW w:w="1035" w:type="dxa"/>
            <w:tcBorders>
              <w:top w:val="nil"/>
              <w:left w:val="nil"/>
              <w:bottom w:val="nil"/>
              <w:right w:val="nil"/>
              <w:tl2br w:val="nil"/>
              <w:tr2bl w:val="nil"/>
            </w:tcBorders>
            <w:shd w:val="clear" w:color="FFFFFF" w:fill="FFFFFF"/>
            <w:tcMar>
              <w:left w:w="101" w:type="dxa"/>
              <w:right w:w="101" w:type="dxa"/>
            </w:tcMar>
          </w:tcPr>
          <w:p w14:paraId="5DF8C702" w14:textId="77777777" w:rsidR="00C07D35" w:rsidRDefault="00A4668D">
            <w:pPr>
              <w:pStyle w:val="Normal15"/>
              <w:jc w:val="right"/>
              <w:rPr>
                <w:rFonts w:ascii="Calibri" w:eastAsia="Calibri" w:hAnsi="Calibri" w:cs="Calibri"/>
                <w:b/>
                <w:color w:val="000000"/>
                <w:sz w:val="18"/>
              </w:rPr>
            </w:pPr>
            <w:r>
              <w:rPr>
                <w:rFonts w:ascii="Calibri" w:eastAsia="Calibri" w:hAnsi="Calibri" w:cs="Calibri"/>
                <w:b/>
                <w:color w:val="000000"/>
                <w:sz w:val="18"/>
              </w:rPr>
              <w:t>-5,350</w:t>
            </w:r>
          </w:p>
        </w:tc>
      </w:tr>
      <w:tr w:rsidR="00C07D35" w14:paraId="2AC21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1C936F2" w14:textId="77777777" w:rsidR="00C07D35" w:rsidRDefault="00C07D35">
            <w:pPr>
              <w:pStyle w:val="Normal15"/>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F4DCBA4" w14:textId="77777777" w:rsidR="00C07D35" w:rsidRDefault="00C07D3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68A115E" w14:textId="77777777" w:rsidR="00C07D35" w:rsidRDefault="00C07D3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9C9253C" w14:textId="77777777" w:rsidR="00C07D35" w:rsidRDefault="00C07D35">
            <w:pPr>
              <w:pStyle w:val="Normal15"/>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4A6195C" w14:textId="77777777" w:rsidR="00C07D35" w:rsidRDefault="00C07D3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327987D" w14:textId="77777777" w:rsidR="00C07D35" w:rsidRDefault="00C07D3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111EAD8" w14:textId="77777777" w:rsidR="00C07D35" w:rsidRDefault="00C07D3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76B4EFD" w14:textId="77777777" w:rsidR="00C07D35" w:rsidRDefault="00C07D35">
            <w:pPr>
              <w:pStyle w:val="Normal15"/>
              <w:rPr>
                <w:rFonts w:ascii="Calibri" w:eastAsia="Calibri" w:hAnsi="Calibri" w:cs="Calibri"/>
                <w:color w:val="000000"/>
                <w:sz w:val="18"/>
              </w:rPr>
            </w:pPr>
          </w:p>
        </w:tc>
      </w:tr>
    </w:tbl>
    <w:p w14:paraId="1F12B518" w14:textId="77777777" w:rsidR="00E31D53" w:rsidRDefault="00E31D53">
      <w:pPr>
        <w:spacing w:before="0" w:after="0"/>
        <w:sectPr w:rsidR="00E31D53" w:rsidSect="00A4668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51" w:right="1440" w:bottom="1729" w:left="1440" w:header="720" w:footer="720" w:gutter="0"/>
          <w:pgBorders>
            <w:top w:val="nil"/>
            <w:left w:val="nil"/>
            <w:bottom w:val="nil"/>
            <w:right w:val="nil"/>
          </w:pgBorders>
          <w:pgNumType w:start="1"/>
          <w:cols w:space="720"/>
        </w:sectPr>
      </w:pPr>
    </w:p>
    <w:p w14:paraId="1E60FA4A" w14:textId="1DABC0C2" w:rsidR="00EF18CC" w:rsidRPr="00AB5AA0" w:rsidRDefault="00EF18CC" w:rsidP="001F1756">
      <w:pPr>
        <w:pStyle w:val="Heading1"/>
        <w:rPr>
          <w:bdr w:val="nil"/>
        </w:rPr>
      </w:pPr>
      <w:bookmarkStart w:id="46" w:name="_Toc84071140"/>
      <w:r w:rsidRPr="00AB5AA0">
        <w:rPr>
          <w:sz w:val="36"/>
          <w:szCs w:val="36"/>
          <w:bdr w:val="nil"/>
        </w:rPr>
        <w:lastRenderedPageBreak/>
        <w:t>HOUSING ACT</w:t>
      </w:r>
      <w:bookmarkEnd w:id="46"/>
    </w:p>
    <w:p w14:paraId="096EBB75" w14:textId="7C07093F" w:rsidR="00EF18CC" w:rsidRDefault="00EF18CC" w:rsidP="00EF18CC">
      <w:pPr>
        <w:pStyle w:val="Heading2"/>
        <w:pBdr>
          <w:top w:val="nil"/>
          <w:left w:val="nil"/>
          <w:bottom w:val="nil"/>
          <w:right w:val="nil"/>
          <w:between w:val="nil"/>
          <w:bar w:val="nil"/>
        </w:pBdr>
        <w:rPr>
          <w:bdr w:val="nil"/>
        </w:rPr>
      </w:pPr>
      <w:bookmarkStart w:id="47" w:name="_Toc84071141"/>
      <w:r>
        <w:rPr>
          <w:bdr w:val="nil"/>
        </w:rPr>
        <w:t>Purpose</w:t>
      </w:r>
      <w:bookmarkEnd w:id="47"/>
    </w:p>
    <w:p w14:paraId="781A316C" w14:textId="77777777" w:rsidR="00EF18CC" w:rsidRDefault="00EF18CC" w:rsidP="001F1756">
      <w:pPr>
        <w:pBdr>
          <w:top w:val="nil"/>
          <w:left w:val="nil"/>
          <w:bottom w:val="nil"/>
          <w:right w:val="nil"/>
          <w:between w:val="nil"/>
          <w:bar w:val="nil"/>
        </w:pBdr>
        <w:rPr>
          <w:bdr w:val="nil"/>
        </w:rPr>
      </w:pPr>
      <w:r>
        <w:rPr>
          <w:bdr w:val="nil"/>
        </w:rPr>
        <w:t>Housing ACT is a division of the Community Services Directorate (CSD) reporting separately as a public trading enterprise (PTE), and treated as a ‘not-for-profit’ entity under the Australian Accounting Standards.</w:t>
      </w:r>
    </w:p>
    <w:p w14:paraId="1FE6E5BC" w14:textId="77777777" w:rsidR="00EF18CC" w:rsidRDefault="00EF18CC" w:rsidP="001F1756">
      <w:pPr>
        <w:pBdr>
          <w:top w:val="nil"/>
          <w:left w:val="nil"/>
          <w:bottom w:val="nil"/>
          <w:right w:val="nil"/>
          <w:between w:val="nil"/>
          <w:bar w:val="nil"/>
        </w:pBdr>
        <w:rPr>
          <w:bdr w:val="nil"/>
        </w:rPr>
      </w:pPr>
      <w:r>
        <w:rPr>
          <w:bdr w:val="nil"/>
        </w:rPr>
        <w:t xml:space="preserve">The Director-General of CSD is also appointed as the Commissioner for Social Housing (Commissioner) and is an incorporated body under the </w:t>
      </w:r>
      <w:r>
        <w:rPr>
          <w:i/>
          <w:bdr w:val="nil"/>
        </w:rPr>
        <w:t>Housing Assistance Act 2007 (ACT)</w:t>
      </w:r>
      <w:r>
        <w:rPr>
          <w:bdr w:val="nil"/>
        </w:rPr>
        <w:t>.</w:t>
      </w:r>
    </w:p>
    <w:p w14:paraId="78082D8B" w14:textId="77777777" w:rsidR="00EF18CC" w:rsidRDefault="00EF18CC" w:rsidP="001F1756">
      <w:pPr>
        <w:pBdr>
          <w:top w:val="nil"/>
          <w:left w:val="nil"/>
          <w:bottom w:val="nil"/>
          <w:right w:val="nil"/>
          <w:between w:val="nil"/>
          <w:bar w:val="nil"/>
        </w:pBdr>
        <w:rPr>
          <w:bdr w:val="nil"/>
        </w:rPr>
      </w:pPr>
      <w:r>
        <w:rPr>
          <w:bdr w:val="nil"/>
        </w:rPr>
        <w:t>On behalf of the Commissioner, Housing ACT provides social housing that is appropriate, affordable and meets the needs and circumstances of low income and disadvantaged people. Housing ACT also funds the specialist homelessness sector, assisting and supporting people experiencing homelessness and people at risk of experiencing homelessness.</w:t>
      </w:r>
    </w:p>
    <w:p w14:paraId="6CC81BF0" w14:textId="77777777" w:rsidR="00EF18CC" w:rsidRDefault="00EF18CC" w:rsidP="001F1756">
      <w:pPr>
        <w:pBdr>
          <w:top w:val="nil"/>
          <w:left w:val="nil"/>
          <w:bottom w:val="nil"/>
          <w:right w:val="nil"/>
          <w:between w:val="nil"/>
          <w:bar w:val="nil"/>
        </w:pBdr>
        <w:rPr>
          <w:bdr w:val="nil"/>
        </w:rPr>
      </w:pPr>
      <w:r>
        <w:rPr>
          <w:bdr w:val="nil"/>
        </w:rPr>
        <w:t xml:space="preserve">Stable long-term and affordable housing provides tenants with a greater opportunity to participate in the social, </w:t>
      </w:r>
      <w:proofErr w:type="gramStart"/>
      <w:r>
        <w:rPr>
          <w:bdr w:val="nil"/>
        </w:rPr>
        <w:t>economic</w:t>
      </w:r>
      <w:proofErr w:type="gramEnd"/>
      <w:r>
        <w:rPr>
          <w:bdr w:val="nil"/>
        </w:rPr>
        <w:t xml:space="preserve"> and recreational activities of the Territory and reach their potential as a contributing member of the Canberra population.  Through social housing assistance and support for people experiencing homelessness, Housing ACT helps to alleviate social isolation and build resilience, contributing to a safer, </w:t>
      </w:r>
      <w:proofErr w:type="gramStart"/>
      <w:r>
        <w:rPr>
          <w:bdr w:val="nil"/>
        </w:rPr>
        <w:t>stronger</w:t>
      </w:r>
      <w:proofErr w:type="gramEnd"/>
      <w:r>
        <w:rPr>
          <w:bdr w:val="nil"/>
        </w:rPr>
        <w:t xml:space="preserve"> and more inclusive community – and the opportunity for a brighter future regardless of their characteristics, circumstances or background.</w:t>
      </w:r>
    </w:p>
    <w:p w14:paraId="09204D26" w14:textId="52C085E2" w:rsidR="00EF18CC" w:rsidRDefault="00EF18CC" w:rsidP="001F1756">
      <w:pPr>
        <w:pBdr>
          <w:top w:val="nil"/>
          <w:left w:val="nil"/>
          <w:bottom w:val="nil"/>
          <w:right w:val="nil"/>
          <w:between w:val="nil"/>
          <w:bar w:val="nil"/>
        </w:pBdr>
        <w:rPr>
          <w:bdr w:val="nil"/>
        </w:rPr>
      </w:pPr>
      <w:r>
        <w:rPr>
          <w:bdr w:val="nil"/>
        </w:rPr>
        <w:t>Housing ACT is committed to excellence and the highest ethical standards in dealing with clients and other stakeholders.</w:t>
      </w:r>
    </w:p>
    <w:p w14:paraId="373C6BB2" w14:textId="77777777" w:rsidR="00EF18CC" w:rsidRDefault="00EF18CC" w:rsidP="00EF18CC">
      <w:pPr>
        <w:pStyle w:val="Heading2"/>
        <w:rPr>
          <w:bdr w:val="nil"/>
        </w:rPr>
      </w:pPr>
      <w:bookmarkStart w:id="48" w:name="_Toc84071142"/>
      <w:r>
        <w:rPr>
          <w:bdr w:val="nil"/>
        </w:rPr>
        <w:t>2021-22 Priorities</w:t>
      </w:r>
      <w:bookmarkEnd w:id="48"/>
    </w:p>
    <w:p w14:paraId="23FC4AAE" w14:textId="77777777" w:rsidR="00EF18CC" w:rsidRDefault="00EF18CC" w:rsidP="001F1756">
      <w:pPr>
        <w:pStyle w:val="Heading30"/>
      </w:pPr>
      <w:r>
        <w:t>New strategic and operational initiatives in 2021-22 include:</w:t>
      </w:r>
    </w:p>
    <w:p w14:paraId="77B7674C" w14:textId="6C706B61"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increasing public housing repairs and maintenance including kitchen upgrades, domestic violence security works and disability modifications</w:t>
      </w:r>
      <w:r w:rsidR="006D3501">
        <w:rPr>
          <w:bdr w:val="nil"/>
        </w:rPr>
        <w:t>; and</w:t>
      </w:r>
    </w:p>
    <w:p w14:paraId="5202D687" w14:textId="2FD45795" w:rsidR="00EF18CC"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expanding the capacity of existing homelessness services including specialist homelessness programs that commenced operation during the COVID-19 pandemic</w:t>
      </w:r>
      <w:r w:rsidR="006D3501">
        <w:rPr>
          <w:bdr w:val="nil"/>
        </w:rPr>
        <w:t>.</w:t>
      </w:r>
    </w:p>
    <w:p w14:paraId="51ECE610" w14:textId="77777777" w:rsidR="00EF18CC" w:rsidRDefault="00EF18CC" w:rsidP="001F1756">
      <w:pPr>
        <w:pStyle w:val="Heading30"/>
      </w:pPr>
      <w:r>
        <w:t>Continuing strategic and operational initiatives in 2021-22 include:</w:t>
      </w:r>
    </w:p>
    <w:p w14:paraId="077EDE55" w14:textId="0030C5FA"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continuation of the expansion of the Early Morning Centre (EMC) to a seven day a week service. EMC will open on Saturday and Sunday mornings for a combined total of eight hours to provide essential homelessness services including food, shelter, health and social </w:t>
      </w:r>
      <w:proofErr w:type="gramStart"/>
      <w:r>
        <w:rPr>
          <w:bdr w:val="nil"/>
        </w:rPr>
        <w:t>services</w:t>
      </w:r>
      <w:r w:rsidR="006D3501">
        <w:rPr>
          <w:bdr w:val="nil"/>
        </w:rPr>
        <w:t>;</w:t>
      </w:r>
      <w:proofErr w:type="gramEnd"/>
    </w:p>
    <w:p w14:paraId="45096935" w14:textId="77777777" w:rsidR="005E5B4F" w:rsidRDefault="005E5B4F">
      <w:pPr>
        <w:spacing w:before="0" w:after="0"/>
        <w:rPr>
          <w:szCs w:val="24"/>
          <w:bdr w:val="nil"/>
        </w:rPr>
      </w:pPr>
      <w:r>
        <w:rPr>
          <w:bdr w:val="nil"/>
        </w:rPr>
        <w:br w:type="page"/>
      </w:r>
    </w:p>
    <w:p w14:paraId="699CC5AB" w14:textId="6A27A8F0" w:rsidR="00EF18CC" w:rsidRPr="00DB6E11"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lastRenderedPageBreak/>
        <w:t xml:space="preserve">continuation of funding for three homelessness services that have been operating in response to the COVID-19 pandemic. The Winter Lodge for men, Mackillop House for women and the Axial Housing First program will receive additional grant funding to ensure continued support for people experiencing or at risk of </w:t>
      </w:r>
      <w:proofErr w:type="gramStart"/>
      <w:r>
        <w:rPr>
          <w:bdr w:val="nil"/>
        </w:rPr>
        <w:t>homelessness</w:t>
      </w:r>
      <w:r w:rsidR="006D3501">
        <w:rPr>
          <w:bdr w:val="nil"/>
        </w:rPr>
        <w:t>;</w:t>
      </w:r>
      <w:proofErr w:type="gramEnd"/>
    </w:p>
    <w:p w14:paraId="537567DB" w14:textId="349E6EB8" w:rsidR="00EF18CC" w:rsidRPr="00DB6E11"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provide additional funding to </w:t>
      </w:r>
      <w:proofErr w:type="spellStart"/>
      <w:r>
        <w:rPr>
          <w:bdr w:val="nil"/>
        </w:rPr>
        <w:t>OneLink</w:t>
      </w:r>
      <w:proofErr w:type="spellEnd"/>
      <w:r>
        <w:rPr>
          <w:bdr w:val="nil"/>
        </w:rPr>
        <w:t xml:space="preserve"> to increase its capacity to manage emergency accommodation and support to assist Canberrans who are experiencing or at risk of homelessness during or due to the COVID-19 </w:t>
      </w:r>
      <w:proofErr w:type="gramStart"/>
      <w:r>
        <w:rPr>
          <w:bdr w:val="nil"/>
        </w:rPr>
        <w:t>pandemic</w:t>
      </w:r>
      <w:r w:rsidR="006D3501">
        <w:rPr>
          <w:bdr w:val="nil"/>
        </w:rPr>
        <w:t>;</w:t>
      </w:r>
      <w:proofErr w:type="gramEnd"/>
    </w:p>
    <w:p w14:paraId="5161E0CD" w14:textId="3D0A6994" w:rsidR="00EF18CC" w:rsidRPr="00DB6E11"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additional funding for ACT Shelter to increase its capacity as the peak body advocating for the interests of people living in and looking for affordable and social </w:t>
      </w:r>
      <w:proofErr w:type="gramStart"/>
      <w:r>
        <w:rPr>
          <w:bdr w:val="nil"/>
        </w:rPr>
        <w:t>housing</w:t>
      </w:r>
      <w:r w:rsidR="006D3501">
        <w:rPr>
          <w:bdr w:val="nil"/>
        </w:rPr>
        <w:t>;</w:t>
      </w:r>
      <w:proofErr w:type="gramEnd"/>
    </w:p>
    <w:p w14:paraId="3A7B511B" w14:textId="1AB64938"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 xml:space="preserve">provide funding for two identified positions for Aboriginal and Torres Strait Islander staff within the Community Services Directorate (CSD) to establish a small team dedicated to the establishment of an Aboriginal and Torres Strait Islander Community Controlled housing organisation to support housing access for Aboriginal and Torres Strait Islander </w:t>
      </w:r>
      <w:proofErr w:type="gramStart"/>
      <w:r>
        <w:rPr>
          <w:bdr w:val="nil"/>
        </w:rPr>
        <w:t>peoples</w:t>
      </w:r>
      <w:r w:rsidR="006D3501">
        <w:rPr>
          <w:bdr w:val="nil"/>
        </w:rPr>
        <w:t>;</w:t>
      </w:r>
      <w:proofErr w:type="gramEnd"/>
    </w:p>
    <w:p w14:paraId="54E3F320" w14:textId="5E23B3AC"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implementing the ACT Housing Strategy: Growing and Renewing Public Housing 2019</w:t>
      </w:r>
      <w:r w:rsidRPr="001F1756">
        <w:rPr>
          <w:bdr w:val="nil"/>
        </w:rPr>
        <w:noBreakHyphen/>
        <w:t xml:space="preserve">2025 plan that guides a net investment of $171 million over six years to continue the renewal of public housing, support housing stock growth and better meet the needs of current and future housing tenants. This plan supports the work of the ACT Housing Strategy and its goal to strengthen social housing assistance by delivering safe and affordable housing to support low income and disadvantaged </w:t>
      </w:r>
      <w:proofErr w:type="gramStart"/>
      <w:r w:rsidRPr="001F1756">
        <w:rPr>
          <w:bdr w:val="nil"/>
        </w:rPr>
        <w:t>Canberrans</w:t>
      </w:r>
      <w:r w:rsidR="006D3501">
        <w:rPr>
          <w:bdr w:val="nil"/>
        </w:rPr>
        <w:t>;</w:t>
      </w:r>
      <w:proofErr w:type="gramEnd"/>
    </w:p>
    <w:p w14:paraId="47F2F4C8" w14:textId="47E5D080"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 xml:space="preserve">progressing the construction of a second Common Ground accommodation complex in Dickson to provide permanent supportive housing and affordable rental for people who are experiencing homelessness, or at risk of experiencing </w:t>
      </w:r>
      <w:proofErr w:type="gramStart"/>
      <w:r w:rsidRPr="001F1756">
        <w:rPr>
          <w:bdr w:val="nil"/>
        </w:rPr>
        <w:t>homelessness</w:t>
      </w:r>
      <w:r w:rsidR="006D3501">
        <w:rPr>
          <w:bdr w:val="nil"/>
        </w:rPr>
        <w:t>;</w:t>
      </w:r>
      <w:proofErr w:type="gramEnd"/>
    </w:p>
    <w:p w14:paraId="3C74FB2C" w14:textId="567C9890"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 xml:space="preserve">collaborating across government on projects to support the service and accommodation needs of low income and disadvantaged people, included long-term supported </w:t>
      </w:r>
      <w:proofErr w:type="gramStart"/>
      <w:r w:rsidRPr="001F1756">
        <w:rPr>
          <w:bdr w:val="nil"/>
        </w:rPr>
        <w:t>mental</w:t>
      </w:r>
      <w:r w:rsidR="006D3501">
        <w:rPr>
          <w:bdr w:val="nil"/>
        </w:rPr>
        <w:t>;</w:t>
      </w:r>
      <w:proofErr w:type="gramEnd"/>
    </w:p>
    <w:p w14:paraId="6CE89ECE" w14:textId="21816F4F" w:rsidR="00EF18CC" w:rsidRPr="001F1756" w:rsidRDefault="00F36609" w:rsidP="001F1756">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h</w:t>
      </w:r>
      <w:r w:rsidR="00EF18CC" w:rsidRPr="001F1756">
        <w:rPr>
          <w:bdr w:val="nil"/>
        </w:rPr>
        <w:t xml:space="preserve">ealth accommodation, and supported accommodation options for the Justice Housing </w:t>
      </w:r>
      <w:proofErr w:type="gramStart"/>
      <w:r w:rsidR="00EF18CC" w:rsidRPr="001F1756">
        <w:rPr>
          <w:bdr w:val="nil"/>
        </w:rPr>
        <w:t>Program</w:t>
      </w:r>
      <w:r w:rsidR="006D3501">
        <w:rPr>
          <w:bdr w:val="nil"/>
        </w:rPr>
        <w:t>;</w:t>
      </w:r>
      <w:proofErr w:type="gramEnd"/>
    </w:p>
    <w:p w14:paraId="1E84E0D4" w14:textId="0723E06A"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 xml:space="preserve">progressing construction of a third complex of dedicated and culturally appropriate accommodation for Aboriginal and Torres Strait Islander older </w:t>
      </w:r>
      <w:proofErr w:type="gramStart"/>
      <w:r w:rsidRPr="001F1756">
        <w:rPr>
          <w:bdr w:val="nil"/>
        </w:rPr>
        <w:t>persons</w:t>
      </w:r>
      <w:r w:rsidR="006D3501">
        <w:rPr>
          <w:bdr w:val="nil"/>
        </w:rPr>
        <w:t>;</w:t>
      </w:r>
      <w:proofErr w:type="gramEnd"/>
    </w:p>
    <w:p w14:paraId="48DB911E" w14:textId="0664E98D"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 xml:space="preserve">working with the Justice and Community Safety Directorate on supported accommodation for people participating in the Justice Housing </w:t>
      </w:r>
      <w:proofErr w:type="gramStart"/>
      <w:r w:rsidRPr="001F1756">
        <w:rPr>
          <w:bdr w:val="nil"/>
        </w:rPr>
        <w:t>Program</w:t>
      </w:r>
      <w:r w:rsidR="006D3501">
        <w:rPr>
          <w:bdr w:val="nil"/>
        </w:rPr>
        <w:t>;</w:t>
      </w:r>
      <w:proofErr w:type="gramEnd"/>
    </w:p>
    <w:p w14:paraId="2A5B1A7F" w14:textId="7AB323C4"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 xml:space="preserve">continuing the implementation of energy efficiency products to public housing properties through the Energy Efficiency Improvement </w:t>
      </w:r>
      <w:proofErr w:type="gramStart"/>
      <w:r w:rsidRPr="001F1756">
        <w:rPr>
          <w:bdr w:val="nil"/>
        </w:rPr>
        <w:t>Scheme</w:t>
      </w:r>
      <w:r w:rsidR="006D3501">
        <w:rPr>
          <w:bdr w:val="nil"/>
        </w:rPr>
        <w:t>;</w:t>
      </w:r>
      <w:proofErr w:type="gramEnd"/>
    </w:p>
    <w:p w14:paraId="15BC2AFC" w14:textId="61C277D6"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t xml:space="preserve">embedding the model social landlord framework focussed on setting the industry standard and achieving better outcomes for social housing tenants, while providing Housing ACT a set of </w:t>
      </w:r>
      <w:proofErr w:type="gramStart"/>
      <w:r w:rsidRPr="001F1756">
        <w:rPr>
          <w:bdr w:val="nil"/>
        </w:rPr>
        <w:t>human</w:t>
      </w:r>
      <w:proofErr w:type="gramEnd"/>
      <w:r w:rsidRPr="001F1756">
        <w:rPr>
          <w:bdr w:val="nil"/>
        </w:rPr>
        <w:noBreakHyphen/>
        <w:t>centred service principles to be implemented across all functions of the business</w:t>
      </w:r>
      <w:r w:rsidR="006D3501">
        <w:rPr>
          <w:bdr w:val="nil"/>
        </w:rPr>
        <w:t>; and</w:t>
      </w:r>
    </w:p>
    <w:p w14:paraId="4E1C1236" w14:textId="174185F2" w:rsidR="00EF18CC" w:rsidRPr="001F1756" w:rsidRDefault="00EF18CC" w:rsidP="001F1756">
      <w:pPr>
        <w:pStyle w:val="BSbullet1"/>
        <w:numPr>
          <w:ilvl w:val="0"/>
          <w:numId w:val="3"/>
        </w:numPr>
        <w:pBdr>
          <w:top w:val="nil"/>
          <w:left w:val="nil"/>
          <w:bottom w:val="nil"/>
          <w:right w:val="nil"/>
          <w:between w:val="nil"/>
          <w:bar w:val="nil"/>
        </w:pBdr>
        <w:tabs>
          <w:tab w:val="clear" w:pos="360"/>
          <w:tab w:val="left" w:pos="720"/>
        </w:tabs>
        <w:rPr>
          <w:bdr w:val="nil"/>
        </w:rPr>
      </w:pPr>
      <w:r w:rsidRPr="001F1756">
        <w:rPr>
          <w:bdr w:val="nil"/>
        </w:rPr>
        <w:lastRenderedPageBreak/>
        <w:t xml:space="preserve">enhancing digital service delivery channel to ensure public housing tenants and other members of the community </w:t>
      </w:r>
      <w:proofErr w:type="gramStart"/>
      <w:r w:rsidRPr="001F1756">
        <w:rPr>
          <w:bdr w:val="nil"/>
        </w:rPr>
        <w:t>are able to</w:t>
      </w:r>
      <w:proofErr w:type="gramEnd"/>
      <w:r w:rsidRPr="001F1756">
        <w:rPr>
          <w:bdr w:val="nil"/>
        </w:rPr>
        <w:t xml:space="preserve"> access essential housing and homelessness services 24 hours a day, seven days a week</w:t>
      </w:r>
      <w:r w:rsidR="006D3501">
        <w:rPr>
          <w:bdr w:val="nil"/>
        </w:rPr>
        <w:t>.</w:t>
      </w:r>
    </w:p>
    <w:p w14:paraId="25F37610" w14:textId="77777777" w:rsidR="00EF18CC" w:rsidRDefault="00EF18CC" w:rsidP="00EF18CC">
      <w:pPr>
        <w:pStyle w:val="Heading2"/>
        <w:pBdr>
          <w:top w:val="nil"/>
          <w:left w:val="nil"/>
          <w:bottom w:val="nil"/>
          <w:right w:val="nil"/>
          <w:between w:val="nil"/>
          <w:bar w:val="nil"/>
        </w:pBdr>
        <w:rPr>
          <w:bdr w:val="nil"/>
        </w:rPr>
      </w:pPr>
      <w:bookmarkStart w:id="49" w:name="_Hlk8981012"/>
      <w:bookmarkStart w:id="50" w:name="_Toc84071143"/>
      <w:r>
        <w:rPr>
          <w:bdr w:val="nil"/>
        </w:rPr>
        <w:t>Estimated Employment Level</w:t>
      </w:r>
      <w:bookmarkEnd w:id="50"/>
    </w:p>
    <w:p w14:paraId="0805127E" w14:textId="561011E2" w:rsidR="00EF18CC" w:rsidRPr="001F1756" w:rsidRDefault="00E5563D" w:rsidP="001F1756">
      <w:pPr>
        <w:pStyle w:val="Caption"/>
      </w:pPr>
      <w:r>
        <w:t xml:space="preserve">Table </w:t>
      </w:r>
      <w:fldSimple w:instr=" SEQ Table \* ARABIC ">
        <w:r w:rsidR="001E4FEE">
          <w:rPr>
            <w:noProof/>
          </w:rPr>
          <w:t>33</w:t>
        </w:r>
      </w:fldSimple>
      <w:r w:rsidR="00EF18CC">
        <w:rPr>
          <w:bdr w:val="nil"/>
        </w:rPr>
        <w:t>: Estimated Employment Level</w:t>
      </w:r>
      <w:r w:rsidR="00EF18CC" w:rsidRPr="00032196">
        <w:rPr>
          <w:bdr w:val="nil"/>
          <w:vertAlign w:val="superscript"/>
        </w:rPr>
        <w:t>#</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EF18CC" w14:paraId="3AF863DD" w14:textId="77777777" w:rsidTr="006D3501">
        <w:trPr>
          <w:trHeight w:val="392"/>
          <w:tblHeader/>
        </w:trPr>
        <w:tc>
          <w:tcPr>
            <w:tcW w:w="2699" w:type="dxa"/>
            <w:tcBorders>
              <w:top w:val="single" w:sz="12" w:space="0" w:color="000000"/>
              <w:left w:val="nil"/>
              <w:bottom w:val="nil"/>
              <w:right w:val="nil"/>
            </w:tcBorders>
            <w:vAlign w:val="bottom"/>
          </w:tcPr>
          <w:p w14:paraId="45A3149C" w14:textId="77777777" w:rsidR="00EF18CC" w:rsidRDefault="00EF18CC" w:rsidP="006D3501">
            <w:pPr>
              <w:pStyle w:val="BStabletext"/>
              <w:pBdr>
                <w:top w:val="nil"/>
                <w:left w:val="nil"/>
                <w:bottom w:val="nil"/>
                <w:right w:val="nil"/>
                <w:between w:val="nil"/>
                <w:bar w:val="nil"/>
              </w:pBdr>
              <w:rPr>
                <w:bdr w:val="nil"/>
              </w:rPr>
            </w:pPr>
          </w:p>
        </w:tc>
        <w:tc>
          <w:tcPr>
            <w:tcW w:w="1600" w:type="dxa"/>
            <w:tcBorders>
              <w:top w:val="single" w:sz="12" w:space="0" w:color="000000"/>
              <w:left w:val="nil"/>
              <w:bottom w:val="nil"/>
              <w:right w:val="nil"/>
            </w:tcBorders>
            <w:hideMark/>
          </w:tcPr>
          <w:p w14:paraId="1C5A7E4A"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2019-20</w:t>
            </w:r>
          </w:p>
          <w:p w14:paraId="56AB99A6"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Actual</w:t>
            </w:r>
          </w:p>
          <w:p w14:paraId="10325B10"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Outcome</w:t>
            </w:r>
          </w:p>
        </w:tc>
        <w:tc>
          <w:tcPr>
            <w:tcW w:w="1600" w:type="dxa"/>
            <w:tcBorders>
              <w:top w:val="single" w:sz="12" w:space="0" w:color="000000"/>
              <w:left w:val="nil"/>
              <w:bottom w:val="nil"/>
              <w:right w:val="nil"/>
            </w:tcBorders>
            <w:hideMark/>
          </w:tcPr>
          <w:p w14:paraId="76DC1B8C" w14:textId="77777777" w:rsidR="00EF18CC" w:rsidRDefault="00EF18CC" w:rsidP="006D3501">
            <w:pPr>
              <w:pStyle w:val="BStableheading1"/>
              <w:framePr w:wrap="auto" w:vAnchor="margin" w:yAlign="inline"/>
              <w:pBdr>
                <w:top w:val="nil"/>
                <w:left w:val="nil"/>
                <w:bottom w:val="nil"/>
                <w:right w:val="nil"/>
                <w:between w:val="nil"/>
                <w:bar w:val="nil"/>
              </w:pBdr>
              <w:rPr>
                <w:bdr w:val="nil"/>
              </w:rPr>
            </w:pPr>
            <w:r>
              <w:rPr>
                <w:bdr w:val="nil"/>
              </w:rPr>
              <w:t>2020-21</w:t>
            </w:r>
          </w:p>
          <w:p w14:paraId="7519C68A"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12" w:space="0" w:color="000000"/>
              <w:left w:val="nil"/>
              <w:bottom w:val="nil"/>
              <w:right w:val="nil"/>
            </w:tcBorders>
            <w:hideMark/>
          </w:tcPr>
          <w:p w14:paraId="78E27F8F"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2020-21</w:t>
            </w:r>
          </w:p>
          <w:p w14:paraId="244492A7"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Interim</w:t>
            </w:r>
          </w:p>
          <w:p w14:paraId="75BAD453"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Outcome</w:t>
            </w:r>
          </w:p>
        </w:tc>
        <w:tc>
          <w:tcPr>
            <w:tcW w:w="1601" w:type="dxa"/>
            <w:tcBorders>
              <w:top w:val="single" w:sz="12" w:space="0" w:color="000000"/>
              <w:left w:val="nil"/>
              <w:bottom w:val="nil"/>
              <w:right w:val="nil"/>
            </w:tcBorders>
            <w:noWrap/>
            <w:hideMark/>
          </w:tcPr>
          <w:p w14:paraId="1B70752E"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2021-22</w:t>
            </w:r>
          </w:p>
          <w:p w14:paraId="444C3775"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Budget</w:t>
            </w:r>
          </w:p>
        </w:tc>
      </w:tr>
      <w:tr w:rsidR="00EF18CC" w14:paraId="2CB0F347" w14:textId="77777777" w:rsidTr="006D3501">
        <w:trPr>
          <w:trHeight w:val="319"/>
          <w:tblHeader/>
        </w:trPr>
        <w:tc>
          <w:tcPr>
            <w:tcW w:w="2699" w:type="dxa"/>
            <w:tcBorders>
              <w:top w:val="single" w:sz="6" w:space="0" w:color="000000"/>
              <w:left w:val="nil"/>
              <w:bottom w:val="single" w:sz="12" w:space="0" w:color="000000"/>
              <w:right w:val="nil"/>
            </w:tcBorders>
            <w:vAlign w:val="bottom"/>
            <w:hideMark/>
          </w:tcPr>
          <w:p w14:paraId="661BDF63" w14:textId="77777777" w:rsidR="00EF18CC" w:rsidRDefault="00EF18CC" w:rsidP="006D3501">
            <w:pPr>
              <w:pStyle w:val="BStabletext"/>
              <w:pBdr>
                <w:top w:val="nil"/>
                <w:left w:val="nil"/>
                <w:bottom w:val="nil"/>
                <w:right w:val="nil"/>
                <w:between w:val="nil"/>
                <w:bar w:val="nil"/>
              </w:pBdr>
              <w:rPr>
                <w:rStyle w:val="Strong"/>
                <w:bCs/>
                <w:bdr w:val="nil"/>
              </w:rPr>
            </w:pPr>
            <w:r>
              <w:rPr>
                <w:rStyle w:val="Strong"/>
                <w:bdr w:val="nil"/>
              </w:rPr>
              <w:t>Staffing (FTE)</w:t>
            </w:r>
          </w:p>
        </w:tc>
        <w:tc>
          <w:tcPr>
            <w:tcW w:w="1600" w:type="dxa"/>
            <w:tcBorders>
              <w:top w:val="single" w:sz="6" w:space="0" w:color="000000"/>
              <w:left w:val="nil"/>
              <w:bottom w:val="single" w:sz="12" w:space="0" w:color="000000"/>
              <w:right w:val="nil"/>
            </w:tcBorders>
            <w:vAlign w:val="bottom"/>
            <w:hideMark/>
          </w:tcPr>
          <w:p w14:paraId="5655CB74" w14:textId="77777777" w:rsidR="00EF18CC" w:rsidRDefault="00EF18CC" w:rsidP="006D3501">
            <w:pPr>
              <w:pStyle w:val="BStablefigures"/>
              <w:pBdr>
                <w:top w:val="nil"/>
                <w:left w:val="nil"/>
                <w:bottom w:val="nil"/>
                <w:right w:val="nil"/>
                <w:between w:val="nil"/>
                <w:bar w:val="nil"/>
              </w:pBdr>
              <w:rPr>
                <w:bdr w:val="nil"/>
              </w:rPr>
            </w:pPr>
            <w:r>
              <w:rPr>
                <w:bdr w:val="nil"/>
              </w:rPr>
              <w:t>259</w:t>
            </w:r>
          </w:p>
        </w:tc>
        <w:tc>
          <w:tcPr>
            <w:tcW w:w="1600" w:type="dxa"/>
            <w:tcBorders>
              <w:top w:val="single" w:sz="6" w:space="0" w:color="000000"/>
              <w:left w:val="nil"/>
              <w:bottom w:val="single" w:sz="12" w:space="0" w:color="000000"/>
              <w:right w:val="nil"/>
            </w:tcBorders>
            <w:vAlign w:val="bottom"/>
            <w:hideMark/>
          </w:tcPr>
          <w:p w14:paraId="346B0FF6" w14:textId="77777777" w:rsidR="00EF18CC" w:rsidRDefault="00EF18CC" w:rsidP="006D3501">
            <w:pPr>
              <w:pStyle w:val="BStablefigures"/>
              <w:pBdr>
                <w:top w:val="nil"/>
                <w:left w:val="nil"/>
                <w:bottom w:val="nil"/>
                <w:right w:val="nil"/>
                <w:between w:val="nil"/>
                <w:bar w:val="nil"/>
              </w:pBdr>
              <w:rPr>
                <w:bdr w:val="nil"/>
              </w:rPr>
            </w:pPr>
            <w:r>
              <w:rPr>
                <w:bdr w:val="nil"/>
              </w:rPr>
              <w:t>272</w:t>
            </w:r>
          </w:p>
        </w:tc>
        <w:tc>
          <w:tcPr>
            <w:tcW w:w="1600" w:type="dxa"/>
            <w:tcBorders>
              <w:top w:val="single" w:sz="6" w:space="0" w:color="000000"/>
              <w:left w:val="nil"/>
              <w:bottom w:val="single" w:sz="12" w:space="0" w:color="000000"/>
              <w:right w:val="nil"/>
            </w:tcBorders>
            <w:vAlign w:val="bottom"/>
            <w:hideMark/>
          </w:tcPr>
          <w:p w14:paraId="0A501CA6" w14:textId="77777777" w:rsidR="00EF18CC" w:rsidRDefault="00EF18CC" w:rsidP="006D3501">
            <w:pPr>
              <w:pStyle w:val="BStablefigures"/>
              <w:pBdr>
                <w:top w:val="nil"/>
                <w:left w:val="nil"/>
                <w:bottom w:val="nil"/>
                <w:right w:val="nil"/>
                <w:between w:val="nil"/>
                <w:bar w:val="nil"/>
              </w:pBdr>
              <w:rPr>
                <w:bdr w:val="nil"/>
              </w:rPr>
            </w:pPr>
            <w:r>
              <w:rPr>
                <w:bdr w:val="nil"/>
              </w:rPr>
              <w:t>269</w:t>
            </w:r>
          </w:p>
        </w:tc>
        <w:tc>
          <w:tcPr>
            <w:tcW w:w="1601" w:type="dxa"/>
            <w:tcBorders>
              <w:top w:val="single" w:sz="6" w:space="0" w:color="000000"/>
              <w:left w:val="nil"/>
              <w:bottom w:val="single" w:sz="12" w:space="0" w:color="000000"/>
              <w:right w:val="nil"/>
            </w:tcBorders>
            <w:noWrap/>
            <w:vAlign w:val="bottom"/>
            <w:hideMark/>
          </w:tcPr>
          <w:p w14:paraId="3E67BC56" w14:textId="77777777" w:rsidR="00EF18CC" w:rsidRDefault="00EF18CC" w:rsidP="006D3501">
            <w:pPr>
              <w:pStyle w:val="BStablefigures"/>
              <w:pBdr>
                <w:top w:val="nil"/>
                <w:left w:val="nil"/>
                <w:bottom w:val="nil"/>
                <w:right w:val="nil"/>
                <w:between w:val="nil"/>
                <w:bar w:val="nil"/>
              </w:pBdr>
              <w:rPr>
                <w:bdr w:val="nil"/>
              </w:rPr>
            </w:pPr>
            <w:r>
              <w:rPr>
                <w:bdr w:val="nil"/>
              </w:rPr>
              <w:t>292</w:t>
            </w:r>
            <w:r w:rsidRPr="009E5AD6">
              <w:rPr>
                <w:bdr w:val="nil"/>
                <w:vertAlign w:val="superscript"/>
              </w:rPr>
              <w:t>1</w:t>
            </w:r>
          </w:p>
        </w:tc>
      </w:tr>
    </w:tbl>
    <w:p w14:paraId="1B71C1F0" w14:textId="08EDDE2F" w:rsidR="00EF18CC" w:rsidRDefault="00EF18CC" w:rsidP="00EF18CC">
      <w:pPr>
        <w:pStyle w:val="BSnote"/>
        <w:pBdr>
          <w:top w:val="nil"/>
          <w:left w:val="nil"/>
          <w:bottom w:val="nil"/>
          <w:right w:val="nil"/>
          <w:between w:val="nil"/>
          <w:bar w:val="nil"/>
        </w:pBdr>
        <w:rPr>
          <w:bdr w:val="nil"/>
        </w:rPr>
      </w:pPr>
      <w:r>
        <w:rPr>
          <w:bdr w:val="nil"/>
        </w:rPr>
        <w:t>Note</w:t>
      </w:r>
      <w:r w:rsidR="006D3501">
        <w:rPr>
          <w:bdr w:val="nil"/>
        </w:rPr>
        <w:t>s</w:t>
      </w:r>
      <w:r>
        <w:rPr>
          <w:bdr w:val="nil"/>
        </w:rPr>
        <w:t>:</w:t>
      </w:r>
    </w:p>
    <w:p w14:paraId="3D4AA601" w14:textId="28715CD6" w:rsidR="00EF18CC" w:rsidRPr="00032196" w:rsidRDefault="00EF18CC">
      <w:pPr>
        <w:pStyle w:val="BSnoteslist"/>
        <w:pBdr>
          <w:top w:val="nil"/>
          <w:left w:val="nil"/>
          <w:bottom w:val="nil"/>
          <w:right w:val="nil"/>
          <w:between w:val="nil"/>
          <w:bar w:val="nil"/>
        </w:pBdr>
        <w:ind w:left="360" w:hanging="360"/>
        <w:rPr>
          <w:szCs w:val="18"/>
          <w:bdr w:val="nil"/>
        </w:rPr>
      </w:pPr>
      <w:r w:rsidRPr="00032196">
        <w:rPr>
          <w:szCs w:val="18"/>
          <w:bdr w:val="nil"/>
        </w:rPr>
        <w:t>#</w:t>
      </w:r>
      <w:r>
        <w:rPr>
          <w:szCs w:val="18"/>
          <w:bdr w:val="nil"/>
        </w:rPr>
        <w:t xml:space="preserve">       </w:t>
      </w:r>
      <w:r w:rsidRPr="00032196">
        <w:rPr>
          <w:szCs w:val="18"/>
          <w:bdr w:val="nil"/>
        </w:rPr>
        <w:t>above estimates are rounded down</w:t>
      </w:r>
      <w:r w:rsidR="00EF108D">
        <w:rPr>
          <w:szCs w:val="18"/>
          <w:bdr w:val="nil"/>
        </w:rPr>
        <w:t>.</w:t>
      </w:r>
    </w:p>
    <w:p w14:paraId="3E3E26C9" w14:textId="17DEAC2E" w:rsidR="00EF18CC" w:rsidRDefault="00EF18CC" w:rsidP="001F1756">
      <w:pPr>
        <w:pStyle w:val="BSnoteslist"/>
        <w:numPr>
          <w:ilvl w:val="0"/>
          <w:numId w:val="43"/>
        </w:numPr>
        <w:pBdr>
          <w:top w:val="nil"/>
          <w:left w:val="nil"/>
          <w:bottom w:val="nil"/>
          <w:right w:val="nil"/>
          <w:between w:val="nil"/>
          <w:bar w:val="nil"/>
        </w:pBdr>
        <w:rPr>
          <w:bdr w:val="nil"/>
        </w:rPr>
      </w:pPr>
      <w:r>
        <w:rPr>
          <w:szCs w:val="18"/>
          <w:bdr w:val="nil"/>
        </w:rPr>
        <w:t>The 2021-22 Budget reflects a net increase in 20 Full Time Equivalent (FTE), from 272.5 FTE in 2020-21 to 292.5 FTE in 2021-22.  The increase in FTE is a result of additional positions funded through capital injection initiatives.</w:t>
      </w:r>
      <w:bookmarkEnd w:id="49"/>
    </w:p>
    <w:p w14:paraId="7162B2B3" w14:textId="77777777" w:rsidR="00EF18CC" w:rsidRDefault="00EF18CC" w:rsidP="00EF18CC">
      <w:pPr>
        <w:pStyle w:val="Heading2"/>
        <w:pageBreakBefore/>
        <w:pBdr>
          <w:top w:val="nil"/>
          <w:left w:val="nil"/>
          <w:bottom w:val="nil"/>
          <w:right w:val="nil"/>
          <w:between w:val="nil"/>
          <w:bar w:val="nil"/>
        </w:pBdr>
        <w:rPr>
          <w:bdr w:val="nil"/>
        </w:rPr>
      </w:pPr>
      <w:bookmarkStart w:id="51" w:name="_Toc84071144"/>
      <w:r>
        <w:rPr>
          <w:bdr w:val="nil"/>
        </w:rPr>
        <w:lastRenderedPageBreak/>
        <w:t>Strategic Objectives and Indicators</w:t>
      </w:r>
      <w:bookmarkEnd w:id="51"/>
      <w:r>
        <w:rPr>
          <w:bdr w:val="nil"/>
        </w:rPr>
        <w:t xml:space="preserve"> </w:t>
      </w:r>
    </w:p>
    <w:p w14:paraId="726E7A61" w14:textId="77777777" w:rsidR="00EF18CC" w:rsidRDefault="00EF18CC" w:rsidP="001F1756">
      <w:pPr>
        <w:pStyle w:val="Heading32"/>
      </w:pPr>
      <w:r>
        <w:rPr>
          <w:bdr w:val="nil"/>
        </w:rPr>
        <w:t>Strategic Objective 1</w:t>
      </w:r>
    </w:p>
    <w:p w14:paraId="1359D719" w14:textId="77777777" w:rsidR="00EF18CC" w:rsidRDefault="00EF18CC" w:rsidP="00EF18CC">
      <w:pPr>
        <w:pStyle w:val="Heading4"/>
        <w:pBdr>
          <w:top w:val="nil"/>
          <w:left w:val="nil"/>
          <w:bottom w:val="nil"/>
          <w:right w:val="nil"/>
          <w:between w:val="nil"/>
          <w:bar w:val="nil"/>
        </w:pBdr>
        <w:rPr>
          <w:bdr w:val="nil"/>
        </w:rPr>
      </w:pPr>
      <w:r>
        <w:rPr>
          <w:bdr w:val="nil"/>
        </w:rPr>
        <w:t>Appropriately housing people most in need</w:t>
      </w:r>
    </w:p>
    <w:p w14:paraId="789D974C" w14:textId="77777777" w:rsidR="00EF18CC" w:rsidRDefault="00EF18CC" w:rsidP="00EF18CC">
      <w:pPr>
        <w:pStyle w:val="Normal2"/>
        <w:pBdr>
          <w:top w:val="nil"/>
          <w:left w:val="nil"/>
          <w:bottom w:val="nil"/>
          <w:right w:val="nil"/>
          <w:between w:val="nil"/>
          <w:bar w:val="nil"/>
        </w:pBdr>
        <w:rPr>
          <w:rFonts w:eastAsia="Calibri"/>
          <w:bdr w:val="nil"/>
        </w:rPr>
      </w:pPr>
      <w:r>
        <w:rPr>
          <w:rFonts w:eastAsia="Calibri"/>
          <w:bdr w:val="nil"/>
        </w:rPr>
        <w:t xml:space="preserve">Housing assistance is targeted at those most in need in the community.  Stable, safe and secure </w:t>
      </w:r>
      <w:proofErr w:type="gramStart"/>
      <w:r>
        <w:rPr>
          <w:rFonts w:eastAsia="Calibri"/>
          <w:bdr w:val="nil"/>
        </w:rPr>
        <w:t>long term</w:t>
      </w:r>
      <w:proofErr w:type="gramEnd"/>
      <w:r>
        <w:rPr>
          <w:rFonts w:eastAsia="Calibri"/>
          <w:bdr w:val="nil"/>
        </w:rPr>
        <w:t xml:space="preserve"> housing provides the foundation upon which individuals and families can build their future, engage with the community and take up opportunities for education, training and employment and to build capacity and resilience.  Therefore, the provision of housing assistance aims to reduce social isolation and disadvantage and build a safer, </w:t>
      </w:r>
      <w:proofErr w:type="gramStart"/>
      <w:r>
        <w:rPr>
          <w:rFonts w:eastAsia="Calibri"/>
          <w:bdr w:val="nil"/>
        </w:rPr>
        <w:t>healthy</w:t>
      </w:r>
      <w:proofErr w:type="gramEnd"/>
      <w:r>
        <w:rPr>
          <w:rFonts w:eastAsia="Calibri"/>
          <w:bdr w:val="nil"/>
        </w:rPr>
        <w:t xml:space="preserve"> and more inclusive community where people are better able to participate and take up opportunities to achieve their potential.</w:t>
      </w:r>
    </w:p>
    <w:p w14:paraId="50C227CF" w14:textId="77777777" w:rsidR="00EF18CC" w:rsidRDefault="00EF18CC" w:rsidP="001F1756">
      <w:pPr>
        <w:pStyle w:val="Heading32"/>
      </w:pPr>
      <w:r>
        <w:rPr>
          <w:bdr w:val="nil"/>
        </w:rPr>
        <w:t>Strategic Indicator 1</w:t>
      </w:r>
    </w:p>
    <w:p w14:paraId="437E0AF0" w14:textId="77777777" w:rsidR="00EF18CC" w:rsidRDefault="00EF18CC" w:rsidP="00EF18CC">
      <w:pPr>
        <w:pStyle w:val="Heading4"/>
        <w:pBdr>
          <w:top w:val="nil"/>
          <w:left w:val="nil"/>
          <w:bottom w:val="nil"/>
          <w:right w:val="nil"/>
          <w:between w:val="nil"/>
          <w:bar w:val="nil"/>
        </w:pBdr>
        <w:rPr>
          <w:bdr w:val="nil"/>
        </w:rPr>
      </w:pPr>
      <w:r>
        <w:rPr>
          <w:bdr w:val="nil"/>
        </w:rPr>
        <w:t>Of all new households that were allocated within three months, the proportion that were in the greatest need.</w:t>
      </w:r>
    </w:p>
    <w:p w14:paraId="557671C0" w14:textId="77777777" w:rsidR="00EF18CC" w:rsidRDefault="00EF18CC" w:rsidP="00EF18CC">
      <w:pPr>
        <w:pStyle w:val="Normal2"/>
        <w:pBdr>
          <w:top w:val="nil"/>
          <w:left w:val="nil"/>
          <w:bottom w:val="nil"/>
          <w:right w:val="nil"/>
          <w:between w:val="nil"/>
          <w:bar w:val="nil"/>
        </w:pBdr>
        <w:rPr>
          <w:rFonts w:eastAsia="Calibri"/>
          <w:bdr w:val="nil"/>
        </w:rPr>
      </w:pPr>
      <w:r>
        <w:rPr>
          <w:rFonts w:eastAsia="Calibri"/>
          <w:bdr w:val="nil"/>
        </w:rPr>
        <w:t>Allocating housing to those most in need in the community remains the key focus for public housing.  This indicator measures the proportion of those housed within a three month period that were in the greatest need, where need may include: being homeless, women, with or without children, escaping family or domestic violence, being in housing that is detrimental to health and safety or otherwise inappropriate due to the residents having mental health issues, serious medical issues or a disability, including being frail-aged, and particularly where the natural support networks are at risk of breaking down.</w:t>
      </w:r>
    </w:p>
    <w:p w14:paraId="3BF6C76A" w14:textId="77777777" w:rsidR="00EF18CC" w:rsidRPr="006F5688" w:rsidRDefault="00EF18CC" w:rsidP="00EF18CC">
      <w:pPr>
        <w:pStyle w:val="Heading4"/>
        <w:pBdr>
          <w:top w:val="nil"/>
          <w:left w:val="nil"/>
          <w:bottom w:val="nil"/>
          <w:right w:val="nil"/>
          <w:between w:val="nil"/>
          <w:bar w:val="nil"/>
        </w:pBdr>
        <w:rPr>
          <w:bdr w:val="nil"/>
        </w:rPr>
      </w:pPr>
      <w:r>
        <w:rPr>
          <w:bdr w:val="nil"/>
        </w:rPr>
        <w:t>Strategic Indicator 1: Percentage of allocations within 90 days that were in greatest need</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EF18CC" w14:paraId="6D291E11" w14:textId="77777777" w:rsidTr="006D3501">
        <w:trPr>
          <w:cantSplit/>
          <w:trHeight w:val="219"/>
          <w:jc w:val="center"/>
        </w:trPr>
        <w:tc>
          <w:tcPr>
            <w:tcW w:w="1821" w:type="dxa"/>
            <w:tcBorders>
              <w:top w:val="single" w:sz="4" w:space="0" w:color="auto"/>
              <w:left w:val="nil"/>
              <w:bottom w:val="nil"/>
              <w:right w:val="nil"/>
            </w:tcBorders>
            <w:vAlign w:val="center"/>
            <w:hideMark/>
          </w:tcPr>
          <w:p w14:paraId="054D003C"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760E9F49"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2A01BB24"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vAlign w:val="center"/>
            <w:hideMark/>
          </w:tcPr>
          <w:p w14:paraId="1F75253A"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6C21F10B"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2024-25</w:t>
            </w:r>
          </w:p>
        </w:tc>
      </w:tr>
      <w:tr w:rsidR="00EF18CC" w14:paraId="461CE6F2" w14:textId="77777777" w:rsidTr="006D3501">
        <w:trPr>
          <w:cantSplit/>
          <w:trHeight w:val="321"/>
          <w:jc w:val="center"/>
        </w:trPr>
        <w:tc>
          <w:tcPr>
            <w:tcW w:w="1821" w:type="dxa"/>
            <w:tcBorders>
              <w:top w:val="nil"/>
              <w:left w:val="nil"/>
              <w:bottom w:val="single" w:sz="4" w:space="0" w:color="auto"/>
              <w:right w:val="nil"/>
            </w:tcBorders>
            <w:vAlign w:val="center"/>
            <w:hideMark/>
          </w:tcPr>
          <w:p w14:paraId="5D7361BE"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2E79A1B2"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0B3D042E"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3ED61C5F"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370B432D"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EF18CC" w14:paraId="2802D2F2" w14:textId="77777777" w:rsidTr="006D3501">
        <w:trPr>
          <w:cantSplit/>
          <w:trHeight w:val="284"/>
          <w:jc w:val="center"/>
        </w:trPr>
        <w:tc>
          <w:tcPr>
            <w:tcW w:w="1821" w:type="dxa"/>
            <w:tcBorders>
              <w:top w:val="single" w:sz="4" w:space="0" w:color="auto"/>
              <w:left w:val="nil"/>
              <w:bottom w:val="single" w:sz="4" w:space="0" w:color="auto"/>
              <w:right w:val="nil"/>
            </w:tcBorders>
            <w:vAlign w:val="center"/>
            <w:hideMark/>
          </w:tcPr>
          <w:p w14:paraId="5DD4A455"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vAlign w:val="center"/>
            <w:hideMark/>
          </w:tcPr>
          <w:p w14:paraId="41B14997"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vAlign w:val="center"/>
            <w:hideMark/>
          </w:tcPr>
          <w:p w14:paraId="4960F13C"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vAlign w:val="center"/>
            <w:hideMark/>
          </w:tcPr>
          <w:p w14:paraId="27135A4C"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2C7BE4BC"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99%</w:t>
            </w:r>
          </w:p>
        </w:tc>
      </w:tr>
    </w:tbl>
    <w:p w14:paraId="0F634ECE" w14:textId="77777777" w:rsidR="00EF18CC" w:rsidRDefault="00EF18CC" w:rsidP="001F1756">
      <w:pPr>
        <w:pStyle w:val="Heading32"/>
      </w:pPr>
      <w:r>
        <w:rPr>
          <w:bdr w:val="nil"/>
        </w:rPr>
        <w:t>Strategic Objective 2</w:t>
      </w:r>
    </w:p>
    <w:p w14:paraId="6FD2F3D9" w14:textId="77777777" w:rsidR="00EF18CC" w:rsidRDefault="00EF18CC" w:rsidP="00EF18CC">
      <w:pPr>
        <w:pStyle w:val="Heading4"/>
        <w:pBdr>
          <w:top w:val="nil"/>
          <w:left w:val="nil"/>
          <w:bottom w:val="nil"/>
          <w:right w:val="nil"/>
          <w:between w:val="nil"/>
          <w:bar w:val="nil"/>
        </w:pBdr>
        <w:rPr>
          <w:bdr w:val="nil"/>
        </w:rPr>
      </w:pPr>
      <w:r>
        <w:rPr>
          <w:bdr w:val="nil"/>
        </w:rPr>
        <w:t xml:space="preserve">Access to safe, </w:t>
      </w:r>
      <w:proofErr w:type="gramStart"/>
      <w:r>
        <w:rPr>
          <w:bdr w:val="nil"/>
        </w:rPr>
        <w:t>affordable</w:t>
      </w:r>
      <w:proofErr w:type="gramEnd"/>
      <w:r>
        <w:rPr>
          <w:bdr w:val="nil"/>
        </w:rPr>
        <w:t xml:space="preserve"> and sustainable housing that contributes to the opportunities for social and economic participation</w:t>
      </w:r>
    </w:p>
    <w:p w14:paraId="0AE1C2D2" w14:textId="77777777" w:rsidR="00EF18CC" w:rsidRDefault="00EF18CC" w:rsidP="00EF18CC">
      <w:pPr>
        <w:pStyle w:val="Normal2"/>
        <w:pBdr>
          <w:top w:val="nil"/>
          <w:left w:val="nil"/>
          <w:bottom w:val="nil"/>
          <w:right w:val="nil"/>
          <w:between w:val="nil"/>
          <w:bar w:val="nil"/>
        </w:pBdr>
        <w:rPr>
          <w:rFonts w:eastAsia="Calibri"/>
          <w:bdr w:val="nil"/>
        </w:rPr>
      </w:pPr>
      <w:r>
        <w:rPr>
          <w:rFonts w:eastAsia="Calibri"/>
          <w:bdr w:val="nil"/>
        </w:rPr>
        <w:t xml:space="preserve">Social housing enables tenants to take up opportunities to </w:t>
      </w:r>
      <w:proofErr w:type="gramStart"/>
      <w:r>
        <w:rPr>
          <w:rFonts w:eastAsia="Calibri"/>
          <w:bdr w:val="nil"/>
        </w:rPr>
        <w:t>more fully participate in and contribute to the community and achieve their potential</w:t>
      </w:r>
      <w:proofErr w:type="gramEnd"/>
      <w:r>
        <w:rPr>
          <w:rFonts w:eastAsia="Calibri"/>
          <w:bdr w:val="nil"/>
        </w:rPr>
        <w:t xml:space="preserve">.  Working in partnership with the specialist homelessness service providers, Housing ACT assists vulnerable families to improve their social inclusion by providing secure long term sustainable housing and appropriate support and assistance that builds foundation skills, </w:t>
      </w:r>
      <w:proofErr w:type="gramStart"/>
      <w:r>
        <w:rPr>
          <w:rFonts w:eastAsia="Calibri"/>
          <w:bdr w:val="nil"/>
        </w:rPr>
        <w:t>capacity</w:t>
      </w:r>
      <w:proofErr w:type="gramEnd"/>
      <w:r>
        <w:rPr>
          <w:rFonts w:eastAsia="Calibri"/>
          <w:bdr w:val="nil"/>
        </w:rPr>
        <w:t xml:space="preserve"> and resilience.</w:t>
      </w:r>
    </w:p>
    <w:p w14:paraId="11FBB6DA" w14:textId="77777777" w:rsidR="00EF18CC" w:rsidRDefault="00EF18CC" w:rsidP="001F1756">
      <w:pPr>
        <w:pStyle w:val="Heading32"/>
      </w:pPr>
      <w:bookmarkStart w:id="52" w:name="_Toc514926353"/>
      <w:r>
        <w:rPr>
          <w:bdr w:val="nil"/>
        </w:rPr>
        <w:lastRenderedPageBreak/>
        <w:t>Strategic Indicator 2</w:t>
      </w:r>
      <w:bookmarkEnd w:id="52"/>
    </w:p>
    <w:p w14:paraId="00A28465" w14:textId="77777777" w:rsidR="00EF18CC" w:rsidRDefault="00EF18CC" w:rsidP="00EF18CC">
      <w:pPr>
        <w:pStyle w:val="Heading4"/>
        <w:pBdr>
          <w:top w:val="nil"/>
          <w:left w:val="nil"/>
          <w:bottom w:val="nil"/>
          <w:right w:val="nil"/>
          <w:between w:val="nil"/>
          <w:bar w:val="nil"/>
        </w:pBdr>
        <w:rPr>
          <w:bdr w:val="nil"/>
        </w:rPr>
      </w:pPr>
      <w:r>
        <w:rPr>
          <w:bdr w:val="nil"/>
        </w:rPr>
        <w:t>Proportion of tenants indicating that public housing assists them in participating in the community</w:t>
      </w:r>
    </w:p>
    <w:p w14:paraId="75BDB6D5" w14:textId="77777777" w:rsidR="00EF18CC" w:rsidRDefault="00EF18CC" w:rsidP="00EF18CC">
      <w:pPr>
        <w:pStyle w:val="Normal2"/>
        <w:pBdr>
          <w:top w:val="nil"/>
          <w:left w:val="nil"/>
          <w:bottom w:val="nil"/>
          <w:right w:val="nil"/>
          <w:between w:val="nil"/>
          <w:bar w:val="nil"/>
        </w:pBdr>
        <w:rPr>
          <w:rFonts w:eastAsia="Calibri"/>
          <w:bdr w:val="nil"/>
        </w:rPr>
      </w:pPr>
      <w:r>
        <w:rPr>
          <w:rFonts w:eastAsia="Calibri"/>
          <w:bdr w:val="nil"/>
        </w:rPr>
        <w:t xml:space="preserve">Social housing helps build stronger, </w:t>
      </w:r>
      <w:proofErr w:type="gramStart"/>
      <w:r>
        <w:rPr>
          <w:rFonts w:eastAsia="Calibri"/>
          <w:bdr w:val="nil"/>
        </w:rPr>
        <w:t>safer</w:t>
      </w:r>
      <w:proofErr w:type="gramEnd"/>
      <w:r>
        <w:rPr>
          <w:rFonts w:eastAsia="Calibri"/>
          <w:bdr w:val="nil"/>
        </w:rPr>
        <w:t xml:space="preserve"> and more cohesive communities through reducing disadvantage and exclusion for some of the most vulnerable in the community.  Improving access to education, training and employment opportunities better enables tenants to engage in social, cultural, </w:t>
      </w:r>
      <w:proofErr w:type="gramStart"/>
      <w:r>
        <w:rPr>
          <w:rFonts w:eastAsia="Calibri"/>
          <w:bdr w:val="nil"/>
        </w:rPr>
        <w:t>civic</w:t>
      </w:r>
      <w:proofErr w:type="gramEnd"/>
      <w:r>
        <w:rPr>
          <w:rFonts w:eastAsia="Calibri"/>
          <w:bdr w:val="nil"/>
        </w:rPr>
        <w:t xml:space="preserve"> and recreational activities and thereby more fully participate in the community and achieve their potential.</w:t>
      </w:r>
    </w:p>
    <w:p w14:paraId="0A1C06AA" w14:textId="77777777" w:rsidR="00EF18CC" w:rsidRDefault="00EF18CC" w:rsidP="00EF18CC">
      <w:pPr>
        <w:pStyle w:val="Heading4"/>
        <w:pBdr>
          <w:top w:val="nil"/>
          <w:left w:val="nil"/>
          <w:bottom w:val="nil"/>
          <w:right w:val="nil"/>
          <w:between w:val="nil"/>
          <w:bar w:val="nil"/>
        </w:pBdr>
        <w:rPr>
          <w:bdr w:val="nil"/>
        </w:rPr>
      </w:pPr>
      <w:r>
        <w:rPr>
          <w:bdr w:val="nil"/>
        </w:rPr>
        <w:t>Strategic Indicator 2: Proportion of tenants indicating that public housing assists them in participating in the community</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EF18CC" w14:paraId="741D015D" w14:textId="77777777" w:rsidTr="006D3501">
        <w:trPr>
          <w:cantSplit/>
          <w:trHeight w:val="219"/>
          <w:jc w:val="center"/>
        </w:trPr>
        <w:tc>
          <w:tcPr>
            <w:tcW w:w="1821" w:type="dxa"/>
            <w:tcBorders>
              <w:top w:val="single" w:sz="4" w:space="0" w:color="auto"/>
              <w:left w:val="nil"/>
              <w:bottom w:val="nil"/>
              <w:right w:val="nil"/>
            </w:tcBorders>
            <w:vAlign w:val="center"/>
            <w:hideMark/>
          </w:tcPr>
          <w:p w14:paraId="70385B61"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3D169E36"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27C04EC4"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vAlign w:val="center"/>
            <w:hideMark/>
          </w:tcPr>
          <w:p w14:paraId="179A842E"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1DCD9D6C"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2024-25</w:t>
            </w:r>
          </w:p>
        </w:tc>
      </w:tr>
      <w:tr w:rsidR="00EF18CC" w14:paraId="78C5B106" w14:textId="77777777" w:rsidTr="006D3501">
        <w:trPr>
          <w:cantSplit/>
          <w:trHeight w:val="321"/>
          <w:jc w:val="center"/>
        </w:trPr>
        <w:tc>
          <w:tcPr>
            <w:tcW w:w="1821" w:type="dxa"/>
            <w:tcBorders>
              <w:top w:val="nil"/>
              <w:left w:val="nil"/>
              <w:bottom w:val="single" w:sz="4" w:space="0" w:color="auto"/>
              <w:right w:val="nil"/>
            </w:tcBorders>
            <w:vAlign w:val="center"/>
            <w:hideMark/>
          </w:tcPr>
          <w:p w14:paraId="17CA316B"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42D68740"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3B0F70A0"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5A6083D0"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43ADACA9"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EF18CC" w14:paraId="5A7D0DE8" w14:textId="77777777" w:rsidTr="006D3501">
        <w:trPr>
          <w:cantSplit/>
          <w:trHeight w:val="284"/>
          <w:jc w:val="center"/>
        </w:trPr>
        <w:tc>
          <w:tcPr>
            <w:tcW w:w="1821" w:type="dxa"/>
            <w:tcBorders>
              <w:top w:val="single" w:sz="4" w:space="0" w:color="auto"/>
              <w:left w:val="nil"/>
              <w:bottom w:val="single" w:sz="4" w:space="0" w:color="auto"/>
              <w:right w:val="nil"/>
            </w:tcBorders>
            <w:vAlign w:val="center"/>
            <w:hideMark/>
          </w:tcPr>
          <w:p w14:paraId="53252705"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60%</w:t>
            </w:r>
          </w:p>
        </w:tc>
        <w:tc>
          <w:tcPr>
            <w:tcW w:w="1821" w:type="dxa"/>
            <w:tcBorders>
              <w:top w:val="single" w:sz="4" w:space="0" w:color="auto"/>
              <w:left w:val="nil"/>
              <w:bottom w:val="single" w:sz="4" w:space="0" w:color="auto"/>
              <w:right w:val="nil"/>
            </w:tcBorders>
            <w:vAlign w:val="center"/>
            <w:hideMark/>
          </w:tcPr>
          <w:p w14:paraId="5356BDC3"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60%</w:t>
            </w:r>
          </w:p>
        </w:tc>
        <w:tc>
          <w:tcPr>
            <w:tcW w:w="1821" w:type="dxa"/>
            <w:tcBorders>
              <w:top w:val="single" w:sz="4" w:space="0" w:color="auto"/>
              <w:left w:val="nil"/>
              <w:bottom w:val="single" w:sz="4" w:space="0" w:color="auto"/>
              <w:right w:val="nil"/>
            </w:tcBorders>
            <w:vAlign w:val="center"/>
            <w:hideMark/>
          </w:tcPr>
          <w:p w14:paraId="41BABE9A"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65%</w:t>
            </w:r>
          </w:p>
        </w:tc>
        <w:tc>
          <w:tcPr>
            <w:tcW w:w="1821" w:type="dxa"/>
            <w:tcBorders>
              <w:top w:val="single" w:sz="4" w:space="0" w:color="auto"/>
              <w:left w:val="nil"/>
              <w:bottom w:val="single" w:sz="4" w:space="0" w:color="auto"/>
              <w:right w:val="nil"/>
            </w:tcBorders>
            <w:vAlign w:val="center"/>
            <w:hideMark/>
          </w:tcPr>
          <w:p w14:paraId="342EEED7"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70%</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078D803B" w14:textId="77777777" w:rsidR="00EF18CC" w:rsidRPr="002622C1"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70%</w:t>
            </w:r>
          </w:p>
        </w:tc>
      </w:tr>
    </w:tbl>
    <w:p w14:paraId="0A8B5926" w14:textId="77777777" w:rsidR="00EF18CC" w:rsidRDefault="00EF18CC" w:rsidP="001F1756">
      <w:pPr>
        <w:pStyle w:val="Heading32"/>
      </w:pPr>
      <w:r>
        <w:rPr>
          <w:bdr w:val="nil"/>
        </w:rPr>
        <w:t xml:space="preserve">Strategic </w:t>
      </w:r>
      <w:r w:rsidRPr="001F1756">
        <w:t>Objective</w:t>
      </w:r>
      <w:r>
        <w:rPr>
          <w:bdr w:val="nil"/>
        </w:rPr>
        <w:t xml:space="preserve"> 3 </w:t>
      </w:r>
    </w:p>
    <w:p w14:paraId="1EE7AE72" w14:textId="77777777" w:rsidR="00EF18CC" w:rsidRDefault="00EF18CC" w:rsidP="00EF18CC">
      <w:pPr>
        <w:pStyle w:val="Heading4"/>
        <w:pBdr>
          <w:top w:val="nil"/>
          <w:left w:val="nil"/>
          <w:bottom w:val="nil"/>
          <w:right w:val="nil"/>
          <w:between w:val="nil"/>
          <w:bar w:val="nil"/>
        </w:pBdr>
        <w:rPr>
          <w:bdr w:val="nil"/>
        </w:rPr>
      </w:pPr>
      <w:r>
        <w:rPr>
          <w:bdr w:val="nil"/>
        </w:rPr>
        <w:t>Prevention and reduction of homelessness</w:t>
      </w:r>
    </w:p>
    <w:p w14:paraId="391C0243" w14:textId="77777777" w:rsidR="00EF18CC" w:rsidRDefault="00EF18CC" w:rsidP="00EF18CC">
      <w:pPr>
        <w:pStyle w:val="Normal2"/>
        <w:pBdr>
          <w:top w:val="nil"/>
          <w:left w:val="nil"/>
          <w:bottom w:val="nil"/>
          <w:right w:val="nil"/>
          <w:between w:val="nil"/>
          <w:bar w:val="nil"/>
        </w:pBdr>
        <w:rPr>
          <w:rFonts w:eastAsia="Calibri"/>
          <w:bdr w:val="nil"/>
        </w:rPr>
      </w:pPr>
      <w:r>
        <w:rPr>
          <w:rFonts w:eastAsia="Calibri"/>
          <w:bdr w:val="nil"/>
        </w:rPr>
        <w:t>A key to successful housing outcomes for those transitioning from homelessness or crisis accommodation is access to appropriate and adequate supports to assist them in achieving sustainable housing.</w:t>
      </w:r>
    </w:p>
    <w:p w14:paraId="028F9CAF" w14:textId="77777777" w:rsidR="00EF18CC" w:rsidRDefault="00EF18CC" w:rsidP="001F1756">
      <w:pPr>
        <w:pStyle w:val="Heading32"/>
      </w:pPr>
      <w:bookmarkStart w:id="53" w:name="_Toc514926355"/>
      <w:r>
        <w:rPr>
          <w:bdr w:val="nil"/>
        </w:rPr>
        <w:t>Strategic Indicator 3</w:t>
      </w:r>
      <w:bookmarkEnd w:id="53"/>
    </w:p>
    <w:p w14:paraId="5A7A9EF8" w14:textId="77777777" w:rsidR="00EF18CC" w:rsidRDefault="00EF18CC" w:rsidP="00EF18CC">
      <w:pPr>
        <w:pStyle w:val="Heading4"/>
        <w:pBdr>
          <w:top w:val="nil"/>
          <w:left w:val="nil"/>
          <w:bottom w:val="nil"/>
          <w:right w:val="nil"/>
          <w:between w:val="nil"/>
          <w:bar w:val="nil"/>
        </w:pBdr>
        <w:rPr>
          <w:bdr w:val="nil"/>
        </w:rPr>
      </w:pPr>
      <w:r>
        <w:rPr>
          <w:bdr w:val="nil"/>
        </w:rPr>
        <w:t>People who are homeless or at risk of homelessness are assisted to achieve independent housing</w:t>
      </w:r>
    </w:p>
    <w:p w14:paraId="2D316F2E" w14:textId="77777777" w:rsidR="00EF18CC" w:rsidRDefault="00EF18CC" w:rsidP="00EF18CC">
      <w:pPr>
        <w:pStyle w:val="Normal2"/>
        <w:pBdr>
          <w:top w:val="nil"/>
          <w:left w:val="nil"/>
          <w:bottom w:val="nil"/>
          <w:right w:val="nil"/>
          <w:between w:val="nil"/>
          <w:bar w:val="nil"/>
        </w:pBdr>
        <w:spacing w:after="120"/>
        <w:rPr>
          <w:rFonts w:eastAsia="Calibri"/>
          <w:bdr w:val="nil"/>
        </w:rPr>
      </w:pPr>
      <w:r>
        <w:rPr>
          <w:rFonts w:eastAsia="Calibri"/>
          <w:bdr w:val="nil"/>
        </w:rPr>
        <w:t xml:space="preserve">Specialist homelessness services support people who are homeless or at risk of homelessness to achieve sustainable housing, social </w:t>
      </w:r>
      <w:proofErr w:type="gramStart"/>
      <w:r>
        <w:rPr>
          <w:rFonts w:eastAsia="Calibri"/>
          <w:bdr w:val="nil"/>
        </w:rPr>
        <w:t>inclusion</w:t>
      </w:r>
      <w:proofErr w:type="gramEnd"/>
      <w:r>
        <w:rPr>
          <w:rFonts w:eastAsia="Calibri"/>
          <w:bdr w:val="nil"/>
        </w:rPr>
        <w:t xml:space="preserve"> and greater economic participation – re-establishing their capacity to live independently – through the delivery of a range of support services which may include supported accommodation. This indicator shows the achievement of independent housing outcomes </w:t>
      </w:r>
      <w:proofErr w:type="gramStart"/>
      <w:r>
        <w:rPr>
          <w:rFonts w:eastAsia="Calibri"/>
          <w:bdr w:val="nil"/>
        </w:rPr>
        <w:t>as a result of</w:t>
      </w:r>
      <w:proofErr w:type="gramEnd"/>
      <w:r>
        <w:rPr>
          <w:rFonts w:eastAsia="Calibri"/>
          <w:bdr w:val="nil"/>
        </w:rPr>
        <w:t xml:space="preserve"> the support and assistance provided through specialist homelessness services. It is measured as the proportion of all specialist homelessness services clients (with a closed support period in the financial year) who achieve independent housing at the end of support.  Independent housing refers to public or community housing (whether renter or rent free) and private or other housing (whether renter, rent free or owner). </w:t>
      </w:r>
    </w:p>
    <w:p w14:paraId="5C831572" w14:textId="77777777" w:rsidR="00EF18CC" w:rsidRDefault="00EF18CC" w:rsidP="00EF18CC">
      <w:pPr>
        <w:pStyle w:val="Heading4"/>
        <w:pBdr>
          <w:top w:val="nil"/>
          <w:left w:val="nil"/>
          <w:bottom w:val="nil"/>
          <w:right w:val="nil"/>
          <w:between w:val="nil"/>
          <w:bar w:val="nil"/>
        </w:pBdr>
        <w:rPr>
          <w:bdr w:val="nil"/>
        </w:rPr>
      </w:pPr>
      <w:r>
        <w:rPr>
          <w:bdr w:val="nil"/>
        </w:rPr>
        <w:t>Strategic Indicator 3: Proportion of homelessness services clients who are homeless or at risk of homelessness who achieve independent housing after support</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EF18CC" w14:paraId="2D5A5733" w14:textId="77777777" w:rsidTr="006D3501">
        <w:trPr>
          <w:cantSplit/>
          <w:trHeight w:val="219"/>
          <w:jc w:val="center"/>
        </w:trPr>
        <w:tc>
          <w:tcPr>
            <w:tcW w:w="1821" w:type="dxa"/>
            <w:tcBorders>
              <w:top w:val="single" w:sz="4" w:space="0" w:color="auto"/>
              <w:left w:val="nil"/>
              <w:bottom w:val="nil"/>
              <w:right w:val="nil"/>
            </w:tcBorders>
            <w:vAlign w:val="center"/>
            <w:hideMark/>
          </w:tcPr>
          <w:p w14:paraId="2BDA992C"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7C32EFE4"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492A05E6"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vAlign w:val="center"/>
            <w:hideMark/>
          </w:tcPr>
          <w:p w14:paraId="6C311CFF"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333257AD"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2024-25</w:t>
            </w:r>
          </w:p>
        </w:tc>
      </w:tr>
      <w:tr w:rsidR="00EF18CC" w14:paraId="3D68CD16" w14:textId="77777777" w:rsidTr="006D3501">
        <w:trPr>
          <w:cantSplit/>
          <w:trHeight w:val="321"/>
          <w:jc w:val="center"/>
        </w:trPr>
        <w:tc>
          <w:tcPr>
            <w:tcW w:w="1821" w:type="dxa"/>
            <w:tcBorders>
              <w:top w:val="nil"/>
              <w:left w:val="nil"/>
              <w:bottom w:val="single" w:sz="4" w:space="0" w:color="auto"/>
              <w:right w:val="nil"/>
            </w:tcBorders>
            <w:vAlign w:val="center"/>
            <w:hideMark/>
          </w:tcPr>
          <w:p w14:paraId="7DD000B6"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cs="Calibri"/>
                <w:bdr w:val="nil"/>
              </w:rPr>
              <w:t>Target</w:t>
            </w:r>
          </w:p>
        </w:tc>
        <w:tc>
          <w:tcPr>
            <w:tcW w:w="1821" w:type="dxa"/>
            <w:tcBorders>
              <w:top w:val="nil"/>
              <w:left w:val="nil"/>
              <w:bottom w:val="single" w:sz="4" w:space="0" w:color="auto"/>
              <w:right w:val="nil"/>
            </w:tcBorders>
            <w:vAlign w:val="center"/>
            <w:hideMark/>
          </w:tcPr>
          <w:p w14:paraId="2FB8475F"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cs="Calibri"/>
                <w:bdr w:val="nil"/>
              </w:rPr>
              <w:t>Target</w:t>
            </w:r>
          </w:p>
        </w:tc>
        <w:tc>
          <w:tcPr>
            <w:tcW w:w="1821" w:type="dxa"/>
            <w:tcBorders>
              <w:top w:val="nil"/>
              <w:left w:val="nil"/>
              <w:bottom w:val="single" w:sz="4" w:space="0" w:color="auto"/>
              <w:right w:val="nil"/>
            </w:tcBorders>
            <w:vAlign w:val="center"/>
            <w:hideMark/>
          </w:tcPr>
          <w:p w14:paraId="4B96C7BA"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7278F798"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25BF77EF" w14:textId="77777777" w:rsidR="00EF18CC" w:rsidRDefault="00EF18CC" w:rsidP="006D3501">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EF18CC" w14:paraId="7FB3B376" w14:textId="77777777" w:rsidTr="006D3501">
        <w:trPr>
          <w:cantSplit/>
          <w:trHeight w:val="284"/>
          <w:jc w:val="center"/>
        </w:trPr>
        <w:tc>
          <w:tcPr>
            <w:tcW w:w="1821" w:type="dxa"/>
            <w:tcBorders>
              <w:top w:val="single" w:sz="4" w:space="0" w:color="auto"/>
              <w:left w:val="nil"/>
              <w:bottom w:val="single" w:sz="4" w:space="0" w:color="auto"/>
              <w:right w:val="nil"/>
            </w:tcBorders>
            <w:vAlign w:val="center"/>
            <w:hideMark/>
          </w:tcPr>
          <w:p w14:paraId="7890A6D8" w14:textId="77777777" w:rsidR="00EF18CC" w:rsidRDefault="00EF18CC" w:rsidP="006D3501">
            <w:pPr>
              <w:pStyle w:val="BStablefigures0"/>
              <w:pBdr>
                <w:top w:val="nil"/>
                <w:left w:val="nil"/>
                <w:bottom w:val="nil"/>
                <w:right w:val="nil"/>
                <w:between w:val="nil"/>
                <w:bar w:val="nil"/>
              </w:pBdr>
              <w:rPr>
                <w:sz w:val="20"/>
                <w:szCs w:val="20"/>
                <w:bdr w:val="nil"/>
              </w:rPr>
            </w:pPr>
            <w:r>
              <w:rPr>
                <w:sz w:val="20"/>
                <w:szCs w:val="20"/>
                <w:bdr w:val="nil"/>
              </w:rPr>
              <w:t>63%</w:t>
            </w:r>
          </w:p>
        </w:tc>
        <w:tc>
          <w:tcPr>
            <w:tcW w:w="1821" w:type="dxa"/>
            <w:tcBorders>
              <w:top w:val="single" w:sz="4" w:space="0" w:color="auto"/>
              <w:left w:val="nil"/>
              <w:bottom w:val="single" w:sz="4" w:space="0" w:color="auto"/>
              <w:right w:val="nil"/>
            </w:tcBorders>
            <w:vAlign w:val="center"/>
            <w:hideMark/>
          </w:tcPr>
          <w:p w14:paraId="605DB536" w14:textId="77777777" w:rsidR="00EF18CC"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63%</w:t>
            </w:r>
          </w:p>
        </w:tc>
        <w:tc>
          <w:tcPr>
            <w:tcW w:w="1821" w:type="dxa"/>
            <w:tcBorders>
              <w:top w:val="single" w:sz="4" w:space="0" w:color="auto"/>
              <w:left w:val="nil"/>
              <w:bottom w:val="single" w:sz="4" w:space="0" w:color="auto"/>
              <w:right w:val="nil"/>
            </w:tcBorders>
            <w:vAlign w:val="center"/>
            <w:hideMark/>
          </w:tcPr>
          <w:p w14:paraId="05FDC57E" w14:textId="77777777" w:rsidR="00EF18CC"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63%</w:t>
            </w:r>
          </w:p>
        </w:tc>
        <w:tc>
          <w:tcPr>
            <w:tcW w:w="1821" w:type="dxa"/>
            <w:tcBorders>
              <w:top w:val="single" w:sz="4" w:space="0" w:color="auto"/>
              <w:left w:val="nil"/>
              <w:bottom w:val="single" w:sz="4" w:space="0" w:color="auto"/>
              <w:right w:val="nil"/>
            </w:tcBorders>
            <w:vAlign w:val="center"/>
            <w:hideMark/>
          </w:tcPr>
          <w:p w14:paraId="738E2353" w14:textId="77777777" w:rsidR="00EF18CC"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63%</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2EEE1BF8" w14:textId="77777777" w:rsidR="00EF18CC" w:rsidRDefault="00EF18CC" w:rsidP="006D3501">
            <w:pPr>
              <w:pStyle w:val="BStablefigures0"/>
              <w:pBdr>
                <w:top w:val="nil"/>
                <w:left w:val="nil"/>
                <w:bottom w:val="nil"/>
                <w:right w:val="nil"/>
                <w:between w:val="nil"/>
                <w:bar w:val="nil"/>
              </w:pBdr>
              <w:rPr>
                <w:sz w:val="20"/>
                <w:szCs w:val="20"/>
                <w:highlight w:val="yellow"/>
                <w:bdr w:val="nil"/>
              </w:rPr>
            </w:pPr>
            <w:r>
              <w:rPr>
                <w:sz w:val="20"/>
                <w:szCs w:val="20"/>
                <w:bdr w:val="nil"/>
              </w:rPr>
              <w:t>63%</w:t>
            </w:r>
          </w:p>
        </w:tc>
      </w:tr>
    </w:tbl>
    <w:p w14:paraId="2BF8A2D1" w14:textId="77777777" w:rsidR="00EF18CC" w:rsidRDefault="00EF18CC" w:rsidP="00EF18CC">
      <w:pPr>
        <w:pStyle w:val="Heading2"/>
        <w:pageBreakBefore/>
        <w:pBdr>
          <w:top w:val="nil"/>
          <w:left w:val="nil"/>
          <w:bottom w:val="nil"/>
          <w:right w:val="nil"/>
          <w:between w:val="nil"/>
          <w:bar w:val="nil"/>
        </w:pBdr>
        <w:rPr>
          <w:bdr w:val="nil"/>
        </w:rPr>
      </w:pPr>
      <w:bookmarkStart w:id="54" w:name="_Toc84071145"/>
      <w:r>
        <w:rPr>
          <w:bdr w:val="nil"/>
        </w:rPr>
        <w:lastRenderedPageBreak/>
        <w:t>Output Classes</w:t>
      </w:r>
      <w:bookmarkEnd w:id="54"/>
    </w:p>
    <w:p w14:paraId="7C8AE398" w14:textId="77777777" w:rsidR="00EF18CC" w:rsidRDefault="00EF18CC" w:rsidP="00EF18CC">
      <w:pPr>
        <w:pBdr>
          <w:top w:val="nil"/>
          <w:left w:val="nil"/>
          <w:bottom w:val="nil"/>
          <w:right w:val="nil"/>
          <w:between w:val="nil"/>
          <w:bar w:val="nil"/>
        </w:pBdr>
        <w:rPr>
          <w:bdr w:val="nil"/>
        </w:rPr>
      </w:pPr>
      <w:r>
        <w:rPr>
          <w:bdr w:val="nil"/>
        </w:rPr>
        <w:t xml:space="preserve">Social housing primarily occurs through the provision of affordable rental housing.  A rental subsidy is provided to eligible tenants, based upon them paying no more than 25% of their assessable household income. In addition, social housing is provided to community housing providers, homelessness service providers and other specialist housing providers for their use to accommodate and support high needs and </w:t>
      </w:r>
      <w:proofErr w:type="gramStart"/>
      <w:r>
        <w:rPr>
          <w:bdr w:val="nil"/>
        </w:rPr>
        <w:t>low income</w:t>
      </w:r>
      <w:proofErr w:type="gramEnd"/>
      <w:r>
        <w:rPr>
          <w:bdr w:val="nil"/>
        </w:rPr>
        <w:t xml:space="preserve"> individuals and families.</w:t>
      </w:r>
    </w:p>
    <w:p w14:paraId="774A3CD8" w14:textId="77777777" w:rsidR="00EF18CC" w:rsidRDefault="00EF18CC" w:rsidP="00EF18CC">
      <w:pPr>
        <w:pBdr>
          <w:top w:val="nil"/>
          <w:left w:val="nil"/>
          <w:bottom w:val="nil"/>
          <w:right w:val="nil"/>
          <w:between w:val="nil"/>
          <w:bar w:val="nil"/>
        </w:pBdr>
        <w:rPr>
          <w:bdr w:val="nil"/>
        </w:rPr>
      </w:pPr>
      <w:r>
        <w:rPr>
          <w:bdr w:val="nil"/>
        </w:rPr>
        <w:t>Housing ACT also funds homelessness service providers to provide intensive support and assistance to individuals and families who are experiencing homelessness, and those who are at risk of experiencing homelessness, to address their individual circumstances and needs, and provide them with the skills and capacity to secure and sustain long term housing and better participate in the community.</w:t>
      </w:r>
    </w:p>
    <w:p w14:paraId="760D29C5" w14:textId="77777777" w:rsidR="00EF18CC" w:rsidRDefault="00EF18CC" w:rsidP="00EF18CC">
      <w:pPr>
        <w:pBdr>
          <w:top w:val="nil"/>
          <w:left w:val="nil"/>
          <w:bottom w:val="nil"/>
          <w:right w:val="nil"/>
          <w:between w:val="nil"/>
          <w:bar w:val="nil"/>
        </w:pBdr>
        <w:rPr>
          <w:bdr w:val="nil"/>
        </w:rPr>
      </w:pPr>
      <w:r>
        <w:rPr>
          <w:bdr w:val="nil"/>
        </w:rPr>
        <w:t>There is only one output class for the provision of social housing services.</w:t>
      </w:r>
    </w:p>
    <w:p w14:paraId="72085BC8" w14:textId="77777777" w:rsidR="00EF18CC" w:rsidRDefault="00EF18CC" w:rsidP="001F1756">
      <w:pPr>
        <w:pStyle w:val="Heading32"/>
      </w:pPr>
      <w:r>
        <w:rPr>
          <w:bdr w:val="nil"/>
        </w:rPr>
        <w:t xml:space="preserve">Output Class 1: </w:t>
      </w:r>
      <w:r w:rsidRPr="002E2C3A">
        <w:rPr>
          <w:bdr w:val="nil"/>
        </w:rPr>
        <w:t>Social Housing Services</w:t>
      </w:r>
    </w:p>
    <w:p w14:paraId="45B5F32E" w14:textId="54801A1B" w:rsidR="00EF18CC" w:rsidRDefault="00E5563D" w:rsidP="001F1756">
      <w:pPr>
        <w:pStyle w:val="Caption"/>
        <w:rPr>
          <w:bdr w:val="nil"/>
        </w:rPr>
      </w:pPr>
      <w:r>
        <w:t xml:space="preserve">Table </w:t>
      </w:r>
      <w:fldSimple w:instr=" SEQ Table \* ARABIC ">
        <w:r w:rsidR="001E4FEE">
          <w:rPr>
            <w:noProof/>
          </w:rPr>
          <w:t>34</w:t>
        </w:r>
      </w:fldSimple>
      <w:r w:rsidR="00EF18CC">
        <w:rPr>
          <w:bdr w:val="nil"/>
        </w:rPr>
        <w:t xml:space="preserve">: Output Class 1: </w:t>
      </w:r>
      <w:r w:rsidR="00EF18CC" w:rsidRPr="002E2C3A">
        <w:rPr>
          <w:bdr w:val="nil"/>
        </w:rPr>
        <w:t>Social Housing Services</w:t>
      </w:r>
    </w:p>
    <w:tbl>
      <w:tblPr>
        <w:tblW w:w="9060" w:type="dxa"/>
        <w:tblLayout w:type="fixed"/>
        <w:tblLook w:val="0600" w:firstRow="0" w:lastRow="0" w:firstColumn="0" w:lastColumn="0" w:noHBand="1" w:noVBand="1"/>
      </w:tblPr>
      <w:tblGrid>
        <w:gridCol w:w="4695"/>
        <w:gridCol w:w="540"/>
        <w:gridCol w:w="2175"/>
        <w:gridCol w:w="1650"/>
      </w:tblGrid>
      <w:tr w:rsidR="00EF18CC" w14:paraId="1D1C54A7" w14:textId="77777777" w:rsidTr="006D3501">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03EF85C" w14:textId="77777777" w:rsidR="00EF18CC" w:rsidRDefault="00EF18CC" w:rsidP="006D3501">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ACADAA8" w14:textId="77777777" w:rsidR="00EF18CC" w:rsidRDefault="00EF18CC" w:rsidP="006D3501">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33334FA" w14:textId="77777777" w:rsidR="00EF18CC" w:rsidRDefault="00EF18CC" w:rsidP="006D3501">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E841B69" w14:textId="77777777" w:rsidR="00EF18CC" w:rsidRDefault="00EF18CC" w:rsidP="006D3501">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2021-22</w:t>
            </w:r>
          </w:p>
        </w:tc>
      </w:tr>
      <w:tr w:rsidR="00EF18CC" w14:paraId="230188B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62E84569" w14:textId="77777777" w:rsidR="00EF18CC" w:rsidRDefault="00EF18CC" w:rsidP="006D3501">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3BBB693" w14:textId="77777777" w:rsidR="00EF18CC" w:rsidRDefault="00EF18CC" w:rsidP="006D3501">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357C851" w14:textId="77777777" w:rsidR="00EF18CC" w:rsidRDefault="00EF18CC" w:rsidP="006D3501">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Interim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9ACBDFD" w14:textId="77777777" w:rsidR="00EF18CC" w:rsidRDefault="00EF18CC" w:rsidP="006D3501">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EF18CC" w14:paraId="790CFEB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CE60330" w14:textId="77777777" w:rsidR="00EF18CC" w:rsidRDefault="00EF18CC" w:rsidP="006D3501">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F14F8D7" w14:textId="77777777" w:rsidR="00EF18CC" w:rsidRDefault="00EF18CC" w:rsidP="006D3501">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29B36FC" w14:textId="77777777" w:rsidR="00EF18CC" w:rsidRDefault="00EF18CC" w:rsidP="006D3501">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7992428" w14:textId="77777777" w:rsidR="00EF18CC" w:rsidRDefault="00EF18CC" w:rsidP="006D3501">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EF18CC" w14:paraId="04175D8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2950A81" w14:textId="60531E53" w:rsidR="00EF18CC" w:rsidRDefault="00EF18CC" w:rsidP="006D3501">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r w:rsidR="006D3501">
              <w:rPr>
                <w:rFonts w:eastAsia="Calibri" w:cs="Calibri"/>
                <w:b/>
                <w:color w:val="000000"/>
                <w:sz w:val="18"/>
                <w:bdr w:val="nil"/>
              </w:rPr>
              <w:t xml:space="preserve"> </w:t>
            </w:r>
            <w:r w:rsidR="006D3501" w:rsidRPr="001F1756">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AC09DC1" w14:textId="77777777" w:rsidR="00EF18CC" w:rsidRDefault="00EF18CC" w:rsidP="006D3501">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A70B302" w14:textId="77777777" w:rsidR="00EF18CC" w:rsidRDefault="00EF18CC" w:rsidP="006D350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226,020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0901F8F" w14:textId="77777777" w:rsidR="00EF18CC" w:rsidRDefault="00EF18CC" w:rsidP="006D350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255,952</w:t>
            </w:r>
          </w:p>
        </w:tc>
      </w:tr>
      <w:tr w:rsidR="00EF18CC" w14:paraId="3F19EE8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F6C072C" w14:textId="77777777" w:rsidR="00EF18CC" w:rsidRDefault="00EF18CC" w:rsidP="006D3501">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E5BD184" w14:textId="77777777" w:rsidR="00EF18CC" w:rsidRDefault="00EF18CC" w:rsidP="006D3501">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3818713" w14:textId="77777777" w:rsidR="00EF18CC" w:rsidRDefault="00EF18CC" w:rsidP="006D350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54,883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B27C0BC" w14:textId="77777777" w:rsidR="00EF18CC" w:rsidRDefault="00EF18CC" w:rsidP="006D3501">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57,786</w:t>
            </w:r>
          </w:p>
        </w:tc>
      </w:tr>
    </w:tbl>
    <w:p w14:paraId="60E058D4" w14:textId="51765CE4" w:rsidR="00EF18CC" w:rsidRDefault="00EF18CC" w:rsidP="00EF18CC">
      <w:pPr>
        <w:pStyle w:val="BSnote"/>
        <w:pBdr>
          <w:top w:val="nil"/>
          <w:left w:val="nil"/>
          <w:bottom w:val="nil"/>
          <w:right w:val="nil"/>
          <w:between w:val="nil"/>
          <w:bar w:val="nil"/>
        </w:pBdr>
        <w:rPr>
          <w:bdr w:val="nil"/>
        </w:rPr>
      </w:pPr>
      <w:r>
        <w:rPr>
          <w:bdr w:val="nil"/>
        </w:rPr>
        <w:t>Note:</w:t>
      </w:r>
    </w:p>
    <w:p w14:paraId="19BCA82A" w14:textId="77777777" w:rsidR="00EF18CC" w:rsidRDefault="00EF18CC" w:rsidP="001F1756">
      <w:pPr>
        <w:pStyle w:val="BSnoteslist"/>
        <w:numPr>
          <w:ilvl w:val="0"/>
          <w:numId w:val="52"/>
        </w:numPr>
        <w:pBdr>
          <w:top w:val="nil"/>
          <w:left w:val="nil"/>
          <w:bottom w:val="nil"/>
          <w:right w:val="nil"/>
          <w:between w:val="nil"/>
          <w:bar w:val="nil"/>
        </w:pBdr>
        <w:rPr>
          <w:bdr w:val="nil"/>
        </w:rPr>
      </w:pPr>
      <w:r>
        <w:rPr>
          <w:bdr w:val="nil"/>
        </w:rPr>
        <w:t xml:space="preserve">Total cost </w:t>
      </w:r>
      <w:r w:rsidRPr="002E2C3A">
        <w:rPr>
          <w:szCs w:val="16"/>
          <w:bdr w:val="nil"/>
        </w:rPr>
        <w:t>includes</w:t>
      </w:r>
      <w:r>
        <w:rPr>
          <w:bdr w:val="nil"/>
        </w:rPr>
        <w:t xml:space="preserve"> depreciation and amortisation </w:t>
      </w:r>
      <w:r w:rsidRPr="002E2C3A">
        <w:rPr>
          <w:bdr w:val="nil"/>
        </w:rPr>
        <w:t>of $</w:t>
      </w:r>
      <w:r>
        <w:rPr>
          <w:bdr w:val="nil"/>
        </w:rPr>
        <w:t xml:space="preserve">40.190 million in 2020-21 </w:t>
      </w:r>
      <w:r w:rsidRPr="002E2C3A">
        <w:rPr>
          <w:bdr w:val="nil"/>
        </w:rPr>
        <w:t>and $</w:t>
      </w:r>
      <w:r>
        <w:rPr>
          <w:bdr w:val="nil"/>
        </w:rPr>
        <w:t>50.259 million in 2021-22.</w:t>
      </w:r>
    </w:p>
    <w:p w14:paraId="1C353A92" w14:textId="77777777" w:rsidR="00EF18CC" w:rsidRDefault="00EF18CC" w:rsidP="00EF18CC">
      <w:pPr>
        <w:pStyle w:val="Heading4"/>
        <w:pBdr>
          <w:top w:val="nil"/>
          <w:left w:val="nil"/>
          <w:bottom w:val="nil"/>
          <w:right w:val="nil"/>
          <w:between w:val="nil"/>
          <w:bar w:val="nil"/>
        </w:pBdr>
        <w:rPr>
          <w:bdr w:val="nil"/>
        </w:rPr>
      </w:pPr>
      <w:r>
        <w:rPr>
          <w:bdr w:val="nil"/>
        </w:rPr>
        <w:t xml:space="preserve">Output </w:t>
      </w:r>
      <w:r w:rsidRPr="002E2C3A">
        <w:rPr>
          <w:bdr w:val="nil"/>
        </w:rPr>
        <w:t>1.1: Social Housing Services</w:t>
      </w:r>
    </w:p>
    <w:p w14:paraId="4114A4B7" w14:textId="77777777" w:rsidR="00EF18CC" w:rsidRDefault="00EF18CC" w:rsidP="00DB6E11">
      <w:pPr>
        <w:pBdr>
          <w:top w:val="nil"/>
          <w:left w:val="nil"/>
          <w:bottom w:val="nil"/>
          <w:right w:val="nil"/>
          <w:between w:val="nil"/>
          <w:bar w:val="nil"/>
        </w:pBdr>
        <w:rPr>
          <w:bdr w:val="nil"/>
        </w:rPr>
      </w:pPr>
      <w:r>
        <w:rPr>
          <w:bdr w:val="nil"/>
        </w:rPr>
        <w:t xml:space="preserve">The provision of safe, </w:t>
      </w:r>
      <w:proofErr w:type="gramStart"/>
      <w:r>
        <w:rPr>
          <w:bdr w:val="nil"/>
        </w:rPr>
        <w:t>affordable</w:t>
      </w:r>
      <w:proofErr w:type="gramEnd"/>
      <w:r>
        <w:rPr>
          <w:bdr w:val="nil"/>
        </w:rPr>
        <w:t xml:space="preserve"> and appropriate housing that supports tenants to sustain their housing long term through:</w:t>
      </w:r>
    </w:p>
    <w:p w14:paraId="4FFFEABA" w14:textId="77777777" w:rsidR="00EF18CC" w:rsidRDefault="00EF18CC" w:rsidP="001F1756">
      <w:pPr>
        <w:pStyle w:val="BSbullet1"/>
        <w:numPr>
          <w:ilvl w:val="0"/>
          <w:numId w:val="5"/>
        </w:numPr>
        <w:pBdr>
          <w:top w:val="nil"/>
          <w:left w:val="nil"/>
          <w:bottom w:val="nil"/>
          <w:right w:val="nil"/>
          <w:between w:val="nil"/>
          <w:bar w:val="nil"/>
        </w:pBdr>
        <w:tabs>
          <w:tab w:val="num" w:pos="360"/>
        </w:tabs>
        <w:ind w:left="357" w:hanging="357"/>
        <w:rPr>
          <w:bdr w:val="nil"/>
        </w:rPr>
      </w:pPr>
      <w:r>
        <w:rPr>
          <w:bdr w:val="nil"/>
        </w:rPr>
        <w:t xml:space="preserve">assessing an applicant’s eligibility for housing, priority category and their support </w:t>
      </w:r>
      <w:proofErr w:type="gramStart"/>
      <w:r>
        <w:rPr>
          <w:bdr w:val="nil"/>
        </w:rPr>
        <w:t>needs;</w:t>
      </w:r>
      <w:proofErr w:type="gramEnd"/>
    </w:p>
    <w:p w14:paraId="27DCD124" w14:textId="77777777" w:rsidR="00EF18CC" w:rsidRDefault="00EF18CC" w:rsidP="001F1756">
      <w:pPr>
        <w:pStyle w:val="BSbullet1"/>
        <w:numPr>
          <w:ilvl w:val="0"/>
          <w:numId w:val="5"/>
        </w:numPr>
        <w:pBdr>
          <w:top w:val="nil"/>
          <w:left w:val="nil"/>
          <w:bottom w:val="nil"/>
          <w:right w:val="nil"/>
          <w:between w:val="nil"/>
          <w:bar w:val="nil"/>
        </w:pBdr>
        <w:tabs>
          <w:tab w:val="num" w:pos="360"/>
        </w:tabs>
        <w:ind w:left="357" w:hanging="357"/>
        <w:rPr>
          <w:bdr w:val="nil"/>
        </w:rPr>
      </w:pPr>
      <w:r>
        <w:rPr>
          <w:bdr w:val="nil"/>
        </w:rPr>
        <w:t>allocating housing to eligible applicants and community housing providers and other community sector support providers that best meets the needs of tenants; and</w:t>
      </w:r>
    </w:p>
    <w:p w14:paraId="5D50174F" w14:textId="77777777" w:rsidR="00EF18CC" w:rsidRDefault="00EF18CC" w:rsidP="001F1756">
      <w:pPr>
        <w:pStyle w:val="BSbullet1"/>
        <w:numPr>
          <w:ilvl w:val="0"/>
          <w:numId w:val="5"/>
        </w:numPr>
        <w:pBdr>
          <w:top w:val="nil"/>
          <w:left w:val="nil"/>
          <w:bottom w:val="nil"/>
          <w:right w:val="nil"/>
          <w:between w:val="nil"/>
          <w:bar w:val="nil"/>
        </w:pBdr>
        <w:tabs>
          <w:tab w:val="num" w:pos="360"/>
        </w:tabs>
        <w:ind w:left="357" w:hanging="357"/>
        <w:rPr>
          <w:bdr w:val="nil"/>
        </w:rPr>
      </w:pPr>
      <w:r>
        <w:rPr>
          <w:bdr w:val="nil"/>
        </w:rPr>
        <w:t xml:space="preserve">managing the public housing property portfolio to ensure that it best meets the needs of </w:t>
      </w:r>
      <w:proofErr w:type="gramStart"/>
      <w:r>
        <w:rPr>
          <w:bdr w:val="nil"/>
        </w:rPr>
        <w:t>tenants, and</w:t>
      </w:r>
      <w:proofErr w:type="gramEnd"/>
      <w:r>
        <w:rPr>
          <w:bdr w:val="nil"/>
        </w:rPr>
        <w:t xml:space="preserve"> managing the social housing tenancies.</w:t>
      </w:r>
    </w:p>
    <w:p w14:paraId="6C8C5C14" w14:textId="66F08B33" w:rsidR="00EF18CC" w:rsidRDefault="00EF18CC" w:rsidP="00EF18CC">
      <w:pPr>
        <w:pBdr>
          <w:top w:val="nil"/>
          <w:left w:val="nil"/>
          <w:bottom w:val="nil"/>
          <w:right w:val="nil"/>
          <w:between w:val="nil"/>
          <w:bar w:val="nil"/>
        </w:pBdr>
        <w:rPr>
          <w:bdr w:val="nil"/>
        </w:rPr>
      </w:pPr>
      <w:r>
        <w:rPr>
          <w:bdr w:val="nil"/>
        </w:rPr>
        <w:t>Providing funding and support to the homelessness and community housing service providers to address homelessness and provide sustainable long term housing options.</w:t>
      </w:r>
    </w:p>
    <w:p w14:paraId="5FB5524A" w14:textId="77777777" w:rsidR="00EF18CC" w:rsidRDefault="00EF18CC" w:rsidP="00EF18CC">
      <w:pPr>
        <w:pStyle w:val="Heading2"/>
        <w:pageBreakBefore/>
        <w:pBdr>
          <w:top w:val="nil"/>
          <w:left w:val="nil"/>
          <w:bottom w:val="nil"/>
          <w:right w:val="nil"/>
          <w:between w:val="nil"/>
          <w:bar w:val="nil"/>
        </w:pBdr>
        <w:rPr>
          <w:bdr w:val="nil"/>
        </w:rPr>
      </w:pPr>
      <w:bookmarkStart w:id="55" w:name="_Toc84071146"/>
      <w:r>
        <w:rPr>
          <w:bdr w:val="nil"/>
        </w:rPr>
        <w:lastRenderedPageBreak/>
        <w:t>Accountability Indicators</w:t>
      </w:r>
      <w:bookmarkEnd w:id="55"/>
    </w:p>
    <w:p w14:paraId="5801ABE0" w14:textId="35190CE1" w:rsidR="00DB6E11" w:rsidRPr="00B07A79" w:rsidRDefault="00EF18CC" w:rsidP="00EF18CC">
      <w:pPr>
        <w:rPr>
          <w:bdr w:val="nil"/>
        </w:rPr>
      </w:pPr>
      <w:r w:rsidRPr="00B07A79">
        <w:rPr>
          <w:bdr w:val="nil"/>
        </w:rPr>
        <w:t>Due to the release of the 2021-22 Budget on 6 October 2021, the 2020-21 Interim Outcome column reflects the interim outcome included in the draft 2020-21 Statement</w:t>
      </w:r>
      <w:r>
        <w:rPr>
          <w:bdr w:val="nil"/>
        </w:rPr>
        <w:t xml:space="preserve"> of Performance</w:t>
      </w:r>
      <w:r w:rsidRPr="00B07A79">
        <w:rPr>
          <w:bdr w:val="nil"/>
        </w:rPr>
        <w:t>, which were unaudited at the time of preparing these budget statements.</w:t>
      </w:r>
    </w:p>
    <w:p w14:paraId="35BD6AB4" w14:textId="77777777" w:rsidR="00EF18CC" w:rsidRDefault="00EF18CC" w:rsidP="001F1756">
      <w:pPr>
        <w:pStyle w:val="Heading32"/>
      </w:pPr>
      <w:r>
        <w:rPr>
          <w:bdr w:val="nil"/>
        </w:rPr>
        <w:t>Output Class 1: Social Housing Services</w:t>
      </w:r>
    </w:p>
    <w:p w14:paraId="3EB33AB5" w14:textId="77777777" w:rsidR="00EF18CC" w:rsidRDefault="00EF18CC" w:rsidP="00EF18CC">
      <w:pPr>
        <w:pStyle w:val="Heading4"/>
        <w:pBdr>
          <w:top w:val="nil"/>
          <w:left w:val="nil"/>
          <w:bottom w:val="nil"/>
          <w:right w:val="nil"/>
          <w:between w:val="nil"/>
          <w:bar w:val="nil"/>
        </w:pBdr>
        <w:rPr>
          <w:bdr w:val="nil"/>
        </w:rPr>
      </w:pPr>
      <w:r>
        <w:rPr>
          <w:bdr w:val="nil"/>
        </w:rPr>
        <w:t>Output 1.1: Social Housing Services</w:t>
      </w:r>
    </w:p>
    <w:p w14:paraId="7CDFF7E2" w14:textId="1D0FD60D" w:rsidR="00EF18CC" w:rsidRDefault="00E5563D" w:rsidP="001F1756">
      <w:pPr>
        <w:pStyle w:val="Caption"/>
        <w:rPr>
          <w:noProof/>
          <w:bdr w:val="nil"/>
        </w:rPr>
      </w:pPr>
      <w:r>
        <w:t xml:space="preserve">Table </w:t>
      </w:r>
      <w:fldSimple w:instr=" SEQ Table \* ARABIC ">
        <w:r w:rsidR="001E4FEE">
          <w:rPr>
            <w:noProof/>
          </w:rPr>
          <w:t>35</w:t>
        </w:r>
      </w:fldSimple>
      <w:r w:rsidR="00EF18CC">
        <w:rPr>
          <w:noProof/>
          <w:bdr w:val="nil"/>
        </w:rPr>
        <w:t>:</w:t>
      </w:r>
      <w:r w:rsidR="00EF18CC">
        <w:rPr>
          <w:bdr w:val="nil"/>
        </w:rPr>
        <w:t xml:space="preserve"> Accountability Indicators</w:t>
      </w:r>
      <w:r w:rsidR="00EF18CC">
        <w:rPr>
          <w:noProof/>
          <w:bdr w:val="nil"/>
        </w:rPr>
        <w:t xml:space="preserve"> Output 1.1</w:t>
      </w:r>
    </w:p>
    <w:tbl>
      <w:tblPr>
        <w:tblW w:w="9100" w:type="dxa"/>
        <w:tblBorders>
          <w:top w:val="single" w:sz="12" w:space="0" w:color="000000"/>
          <w:bottom w:val="single" w:sz="12" w:space="0" w:color="000000"/>
        </w:tblBorders>
        <w:tblLook w:val="04A0" w:firstRow="1" w:lastRow="0" w:firstColumn="1" w:lastColumn="0" w:noHBand="0" w:noVBand="1"/>
      </w:tblPr>
      <w:tblGrid>
        <w:gridCol w:w="3799"/>
        <w:gridCol w:w="1767"/>
        <w:gridCol w:w="1767"/>
        <w:gridCol w:w="1767"/>
      </w:tblGrid>
      <w:tr w:rsidR="00EF18CC" w14:paraId="6436FA57" w14:textId="77777777" w:rsidTr="006D3501">
        <w:trPr>
          <w:tblHeader/>
        </w:trPr>
        <w:tc>
          <w:tcPr>
            <w:tcW w:w="2087" w:type="pct"/>
            <w:tcBorders>
              <w:top w:val="single" w:sz="12" w:space="0" w:color="000000"/>
              <w:left w:val="nil"/>
              <w:bottom w:val="single" w:sz="12" w:space="0" w:color="000000"/>
              <w:right w:val="nil"/>
            </w:tcBorders>
          </w:tcPr>
          <w:p w14:paraId="373599E7" w14:textId="77777777" w:rsidR="00EF18CC" w:rsidRDefault="00EF18CC" w:rsidP="006D3501">
            <w:pPr>
              <w:pStyle w:val="BStabletext"/>
              <w:pBdr>
                <w:top w:val="nil"/>
                <w:left w:val="nil"/>
                <w:bottom w:val="nil"/>
                <w:right w:val="nil"/>
                <w:between w:val="nil"/>
                <w:bar w:val="nil"/>
              </w:pBdr>
              <w:rPr>
                <w:bdr w:val="nil"/>
              </w:rPr>
            </w:pPr>
          </w:p>
        </w:tc>
        <w:tc>
          <w:tcPr>
            <w:tcW w:w="971" w:type="pct"/>
            <w:tcBorders>
              <w:top w:val="single" w:sz="12" w:space="0" w:color="000000"/>
              <w:left w:val="nil"/>
              <w:bottom w:val="single" w:sz="12" w:space="0" w:color="000000"/>
              <w:right w:val="nil"/>
            </w:tcBorders>
            <w:hideMark/>
          </w:tcPr>
          <w:p w14:paraId="1E5E160D"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2020-21</w:t>
            </w:r>
          </w:p>
          <w:p w14:paraId="1A80B01D"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Targets</w:t>
            </w:r>
          </w:p>
        </w:tc>
        <w:tc>
          <w:tcPr>
            <w:tcW w:w="971" w:type="pct"/>
            <w:tcBorders>
              <w:top w:val="single" w:sz="12" w:space="0" w:color="000000"/>
              <w:left w:val="nil"/>
              <w:bottom w:val="single" w:sz="12" w:space="0" w:color="000000"/>
              <w:right w:val="nil"/>
            </w:tcBorders>
            <w:hideMark/>
          </w:tcPr>
          <w:p w14:paraId="55F115A3"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2021-22</w:t>
            </w:r>
          </w:p>
          <w:p w14:paraId="1CD7E489"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Interim Outcome</w:t>
            </w:r>
          </w:p>
        </w:tc>
        <w:tc>
          <w:tcPr>
            <w:tcW w:w="971" w:type="pct"/>
            <w:tcBorders>
              <w:top w:val="single" w:sz="12" w:space="0" w:color="000000"/>
              <w:left w:val="nil"/>
              <w:bottom w:val="single" w:sz="12" w:space="0" w:color="000000"/>
              <w:right w:val="nil"/>
            </w:tcBorders>
            <w:hideMark/>
          </w:tcPr>
          <w:p w14:paraId="216718D7"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2021-22</w:t>
            </w:r>
          </w:p>
          <w:p w14:paraId="0B30A502" w14:textId="77777777" w:rsidR="00EF18CC" w:rsidRDefault="00EF18CC" w:rsidP="006D3501">
            <w:pPr>
              <w:pStyle w:val="BStableheading1"/>
              <w:framePr w:wrap="around"/>
              <w:pBdr>
                <w:top w:val="nil"/>
                <w:left w:val="nil"/>
                <w:bottom w:val="nil"/>
                <w:right w:val="nil"/>
                <w:between w:val="nil"/>
                <w:bar w:val="nil"/>
              </w:pBdr>
              <w:rPr>
                <w:bdr w:val="nil"/>
              </w:rPr>
            </w:pPr>
            <w:r>
              <w:rPr>
                <w:bdr w:val="nil"/>
              </w:rPr>
              <w:t>Targets</w:t>
            </w:r>
          </w:p>
        </w:tc>
      </w:tr>
      <w:tr w:rsidR="00EF18CC" w14:paraId="236F54BC" w14:textId="77777777" w:rsidTr="006D3501">
        <w:trPr>
          <w:trHeight w:val="397"/>
        </w:trPr>
        <w:tc>
          <w:tcPr>
            <w:tcW w:w="2087" w:type="pct"/>
            <w:tcBorders>
              <w:top w:val="nil"/>
              <w:left w:val="nil"/>
              <w:bottom w:val="nil"/>
              <w:right w:val="nil"/>
            </w:tcBorders>
            <w:hideMark/>
          </w:tcPr>
          <w:p w14:paraId="2C2ED9C9"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Allocation of housing to those in greatest need</w:t>
            </w:r>
            <w:r>
              <w:rPr>
                <w:bdr w:val="nil"/>
              </w:rPr>
              <w:br/>
              <w:t xml:space="preserve">Percentage of public housing applications to priority and high need applicants </w:t>
            </w:r>
          </w:p>
        </w:tc>
        <w:tc>
          <w:tcPr>
            <w:tcW w:w="971" w:type="pct"/>
            <w:tcBorders>
              <w:top w:val="nil"/>
              <w:left w:val="nil"/>
              <w:bottom w:val="nil"/>
              <w:right w:val="nil"/>
            </w:tcBorders>
          </w:tcPr>
          <w:p w14:paraId="1C65C95E" w14:textId="77777777" w:rsidR="00EF18CC" w:rsidRDefault="00EF18CC" w:rsidP="006D3501">
            <w:pPr>
              <w:pStyle w:val="BStablefigures"/>
              <w:pBdr>
                <w:top w:val="nil"/>
                <w:left w:val="nil"/>
                <w:bottom w:val="nil"/>
                <w:right w:val="nil"/>
                <w:between w:val="nil"/>
                <w:bar w:val="nil"/>
              </w:pBdr>
              <w:spacing w:before="120" w:after="120"/>
              <w:rPr>
                <w:bdr w:val="nil"/>
              </w:rPr>
            </w:pPr>
            <w:r>
              <w:rPr>
                <w:bCs/>
                <w:bdr w:val="nil"/>
              </w:rPr>
              <w:t>99%</w:t>
            </w:r>
          </w:p>
        </w:tc>
        <w:tc>
          <w:tcPr>
            <w:tcW w:w="971" w:type="pct"/>
            <w:tcBorders>
              <w:top w:val="nil"/>
              <w:left w:val="nil"/>
              <w:bottom w:val="nil"/>
              <w:right w:val="nil"/>
            </w:tcBorders>
          </w:tcPr>
          <w:p w14:paraId="07EACA5B" w14:textId="77777777" w:rsidR="00EF18CC" w:rsidRDefault="00EF18CC" w:rsidP="006D3501">
            <w:pPr>
              <w:pStyle w:val="BStablefigures"/>
              <w:pBdr>
                <w:top w:val="nil"/>
                <w:left w:val="nil"/>
                <w:bottom w:val="nil"/>
                <w:right w:val="nil"/>
                <w:between w:val="nil"/>
                <w:bar w:val="nil"/>
              </w:pBdr>
              <w:spacing w:before="120" w:after="120"/>
              <w:rPr>
                <w:bdr w:val="nil"/>
              </w:rPr>
            </w:pPr>
            <w:r>
              <w:rPr>
                <w:bCs/>
                <w:bdr w:val="nil"/>
              </w:rPr>
              <w:t>98%</w:t>
            </w:r>
          </w:p>
        </w:tc>
        <w:tc>
          <w:tcPr>
            <w:tcW w:w="971" w:type="pct"/>
            <w:tcBorders>
              <w:top w:val="nil"/>
              <w:left w:val="nil"/>
              <w:bottom w:val="nil"/>
              <w:right w:val="nil"/>
            </w:tcBorders>
          </w:tcPr>
          <w:p w14:paraId="5561C92B"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99%</w:t>
            </w:r>
          </w:p>
        </w:tc>
      </w:tr>
      <w:tr w:rsidR="00EF18CC" w14:paraId="3130CC21" w14:textId="77777777" w:rsidTr="006D3501">
        <w:trPr>
          <w:trHeight w:val="397"/>
        </w:trPr>
        <w:tc>
          <w:tcPr>
            <w:tcW w:w="2087" w:type="pct"/>
            <w:tcBorders>
              <w:top w:val="nil"/>
              <w:left w:val="nil"/>
              <w:bottom w:val="nil"/>
              <w:right w:val="nil"/>
            </w:tcBorders>
            <w:hideMark/>
          </w:tcPr>
          <w:p w14:paraId="0112692C" w14:textId="0393810D"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Number of social housing properties</w:t>
            </w:r>
            <w:r>
              <w:rPr>
                <w:bdr w:val="nil"/>
              </w:rPr>
              <w:br/>
              <w:t xml:space="preserve">Includes all Housing ACT properties whether tenanted by public housing tenants or head leased to community service providers </w:t>
            </w:r>
            <w:r w:rsidR="00142BDE">
              <w:rPr>
                <w:bdr w:val="nil"/>
                <w:vertAlign w:val="superscript"/>
              </w:rPr>
              <w:t>1</w:t>
            </w:r>
          </w:p>
        </w:tc>
        <w:tc>
          <w:tcPr>
            <w:tcW w:w="971" w:type="pct"/>
            <w:tcBorders>
              <w:top w:val="nil"/>
              <w:left w:val="nil"/>
              <w:bottom w:val="nil"/>
              <w:right w:val="nil"/>
            </w:tcBorders>
          </w:tcPr>
          <w:p w14:paraId="3A596B4A"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11,691</w:t>
            </w:r>
          </w:p>
        </w:tc>
        <w:tc>
          <w:tcPr>
            <w:tcW w:w="971" w:type="pct"/>
            <w:tcBorders>
              <w:top w:val="nil"/>
              <w:left w:val="nil"/>
              <w:bottom w:val="nil"/>
              <w:right w:val="nil"/>
            </w:tcBorders>
          </w:tcPr>
          <w:p w14:paraId="1375D977"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11,595</w:t>
            </w:r>
          </w:p>
        </w:tc>
        <w:tc>
          <w:tcPr>
            <w:tcW w:w="971" w:type="pct"/>
            <w:tcBorders>
              <w:top w:val="nil"/>
              <w:left w:val="nil"/>
              <w:bottom w:val="nil"/>
              <w:right w:val="nil"/>
            </w:tcBorders>
          </w:tcPr>
          <w:p w14:paraId="2B247888"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11,570</w:t>
            </w:r>
          </w:p>
        </w:tc>
      </w:tr>
      <w:tr w:rsidR="00EF18CC" w14:paraId="7893D616" w14:textId="77777777" w:rsidTr="006D3501">
        <w:trPr>
          <w:trHeight w:val="397"/>
        </w:trPr>
        <w:tc>
          <w:tcPr>
            <w:tcW w:w="2087" w:type="pct"/>
            <w:tcBorders>
              <w:top w:val="nil"/>
              <w:left w:val="nil"/>
              <w:bottom w:val="nil"/>
              <w:right w:val="nil"/>
            </w:tcBorders>
          </w:tcPr>
          <w:p w14:paraId="3813D5D8"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Percentage of public housing tenants receiving a rebate</w:t>
            </w:r>
          </w:p>
        </w:tc>
        <w:tc>
          <w:tcPr>
            <w:tcW w:w="971" w:type="pct"/>
            <w:tcBorders>
              <w:top w:val="nil"/>
              <w:left w:val="nil"/>
              <w:bottom w:val="nil"/>
              <w:right w:val="nil"/>
            </w:tcBorders>
          </w:tcPr>
          <w:p w14:paraId="6BFFA0B9"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95%</w:t>
            </w:r>
          </w:p>
        </w:tc>
        <w:tc>
          <w:tcPr>
            <w:tcW w:w="971" w:type="pct"/>
            <w:tcBorders>
              <w:top w:val="nil"/>
              <w:left w:val="nil"/>
              <w:bottom w:val="nil"/>
              <w:right w:val="nil"/>
            </w:tcBorders>
          </w:tcPr>
          <w:p w14:paraId="48C5D091"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94%</w:t>
            </w:r>
          </w:p>
        </w:tc>
        <w:tc>
          <w:tcPr>
            <w:tcW w:w="971" w:type="pct"/>
            <w:tcBorders>
              <w:top w:val="nil"/>
              <w:left w:val="nil"/>
              <w:bottom w:val="nil"/>
              <w:right w:val="nil"/>
            </w:tcBorders>
          </w:tcPr>
          <w:p w14:paraId="67DF3226"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95%</w:t>
            </w:r>
          </w:p>
        </w:tc>
      </w:tr>
      <w:tr w:rsidR="00EF18CC" w14:paraId="4AE9C573" w14:textId="77777777" w:rsidTr="006D3501">
        <w:trPr>
          <w:trHeight w:val="397"/>
        </w:trPr>
        <w:tc>
          <w:tcPr>
            <w:tcW w:w="2087" w:type="pct"/>
            <w:tcBorders>
              <w:top w:val="nil"/>
              <w:left w:val="nil"/>
              <w:bottom w:val="nil"/>
              <w:right w:val="nil"/>
            </w:tcBorders>
          </w:tcPr>
          <w:p w14:paraId="5A88F49D"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 xml:space="preserve">Number of client service visits </w:t>
            </w:r>
          </w:p>
        </w:tc>
        <w:tc>
          <w:tcPr>
            <w:tcW w:w="971" w:type="pct"/>
            <w:tcBorders>
              <w:top w:val="nil"/>
              <w:left w:val="nil"/>
              <w:bottom w:val="nil"/>
              <w:right w:val="nil"/>
            </w:tcBorders>
          </w:tcPr>
          <w:p w14:paraId="531D1728"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11,000</w:t>
            </w:r>
          </w:p>
        </w:tc>
        <w:tc>
          <w:tcPr>
            <w:tcW w:w="971" w:type="pct"/>
            <w:tcBorders>
              <w:top w:val="nil"/>
              <w:left w:val="nil"/>
              <w:bottom w:val="nil"/>
              <w:right w:val="nil"/>
            </w:tcBorders>
          </w:tcPr>
          <w:p w14:paraId="1E0E377E"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8,349</w:t>
            </w:r>
          </w:p>
        </w:tc>
        <w:tc>
          <w:tcPr>
            <w:tcW w:w="971" w:type="pct"/>
            <w:tcBorders>
              <w:top w:val="nil"/>
              <w:left w:val="nil"/>
              <w:bottom w:val="nil"/>
              <w:right w:val="nil"/>
            </w:tcBorders>
          </w:tcPr>
          <w:p w14:paraId="2273AE13"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11,000</w:t>
            </w:r>
          </w:p>
        </w:tc>
      </w:tr>
      <w:tr w:rsidR="00EF18CC" w14:paraId="39D2DBF8" w14:textId="77777777" w:rsidTr="006D3501">
        <w:trPr>
          <w:trHeight w:val="397"/>
        </w:trPr>
        <w:tc>
          <w:tcPr>
            <w:tcW w:w="2087" w:type="pct"/>
            <w:tcBorders>
              <w:top w:val="nil"/>
              <w:left w:val="nil"/>
              <w:bottom w:val="nil"/>
              <w:right w:val="nil"/>
            </w:tcBorders>
          </w:tcPr>
          <w:p w14:paraId="0548AF9D"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Satisfaction with provision of public housing</w:t>
            </w:r>
          </w:p>
        </w:tc>
        <w:tc>
          <w:tcPr>
            <w:tcW w:w="971" w:type="pct"/>
            <w:tcBorders>
              <w:top w:val="nil"/>
              <w:left w:val="nil"/>
              <w:bottom w:val="nil"/>
              <w:right w:val="nil"/>
            </w:tcBorders>
          </w:tcPr>
          <w:p w14:paraId="5085BD8D"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76%</w:t>
            </w:r>
          </w:p>
        </w:tc>
        <w:tc>
          <w:tcPr>
            <w:tcW w:w="971" w:type="pct"/>
            <w:tcBorders>
              <w:top w:val="nil"/>
              <w:left w:val="nil"/>
              <w:bottom w:val="nil"/>
              <w:right w:val="nil"/>
            </w:tcBorders>
          </w:tcPr>
          <w:p w14:paraId="35C5A7CF"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63%</w:t>
            </w:r>
          </w:p>
        </w:tc>
        <w:tc>
          <w:tcPr>
            <w:tcW w:w="971" w:type="pct"/>
            <w:tcBorders>
              <w:top w:val="nil"/>
              <w:left w:val="nil"/>
              <w:bottom w:val="nil"/>
              <w:right w:val="nil"/>
            </w:tcBorders>
          </w:tcPr>
          <w:p w14:paraId="7AC38504"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76%</w:t>
            </w:r>
          </w:p>
        </w:tc>
      </w:tr>
      <w:tr w:rsidR="00EF18CC" w14:paraId="0878303F" w14:textId="77777777" w:rsidTr="006D3501">
        <w:trPr>
          <w:trHeight w:val="397"/>
        </w:trPr>
        <w:tc>
          <w:tcPr>
            <w:tcW w:w="2087" w:type="pct"/>
            <w:tcBorders>
              <w:top w:val="nil"/>
              <w:left w:val="nil"/>
              <w:bottom w:val="nil"/>
              <w:right w:val="nil"/>
            </w:tcBorders>
          </w:tcPr>
          <w:p w14:paraId="694D9A20" w14:textId="4CCA7869"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 xml:space="preserve">Average cost per dwelling of public housing </w:t>
            </w:r>
            <w:r w:rsidR="00142BDE">
              <w:rPr>
                <w:bdr w:val="nil"/>
                <w:vertAlign w:val="superscript"/>
              </w:rPr>
              <w:t>2</w:t>
            </w:r>
          </w:p>
        </w:tc>
        <w:tc>
          <w:tcPr>
            <w:tcW w:w="971" w:type="pct"/>
            <w:tcBorders>
              <w:top w:val="nil"/>
              <w:left w:val="nil"/>
              <w:bottom w:val="nil"/>
              <w:right w:val="nil"/>
            </w:tcBorders>
          </w:tcPr>
          <w:p w14:paraId="611EA014" w14:textId="77777777" w:rsidR="00EF18CC" w:rsidRPr="00290EB5" w:rsidRDefault="00EF18CC" w:rsidP="006D3501">
            <w:pPr>
              <w:pStyle w:val="BStablefigures"/>
              <w:pBdr>
                <w:top w:val="nil"/>
                <w:left w:val="nil"/>
                <w:bottom w:val="nil"/>
                <w:right w:val="nil"/>
                <w:between w:val="nil"/>
                <w:bar w:val="nil"/>
              </w:pBdr>
              <w:spacing w:before="120" w:after="120"/>
              <w:rPr>
                <w:bdr w:val="nil"/>
              </w:rPr>
            </w:pPr>
            <w:r w:rsidRPr="00290EB5">
              <w:rPr>
                <w:bdr w:val="nil"/>
              </w:rPr>
              <w:t>$</w:t>
            </w:r>
            <w:r>
              <w:rPr>
                <w:bdr w:val="nil"/>
              </w:rPr>
              <w:t>16,523</w:t>
            </w:r>
          </w:p>
        </w:tc>
        <w:tc>
          <w:tcPr>
            <w:tcW w:w="971" w:type="pct"/>
            <w:tcBorders>
              <w:top w:val="nil"/>
              <w:left w:val="nil"/>
              <w:bottom w:val="nil"/>
              <w:right w:val="nil"/>
            </w:tcBorders>
          </w:tcPr>
          <w:p w14:paraId="6EF01307" w14:textId="77777777" w:rsidR="00EF18CC" w:rsidRPr="00290EB5" w:rsidRDefault="00EF18CC" w:rsidP="006D3501">
            <w:pPr>
              <w:pStyle w:val="BStablefigures"/>
              <w:pBdr>
                <w:top w:val="nil"/>
                <w:left w:val="nil"/>
                <w:bottom w:val="nil"/>
                <w:right w:val="nil"/>
                <w:between w:val="nil"/>
                <w:bar w:val="nil"/>
              </w:pBdr>
              <w:spacing w:before="120" w:after="120"/>
              <w:rPr>
                <w:bdr w:val="nil"/>
              </w:rPr>
            </w:pPr>
            <w:r>
              <w:rPr>
                <w:bdr w:val="nil"/>
              </w:rPr>
              <w:t>$17,122</w:t>
            </w:r>
          </w:p>
        </w:tc>
        <w:tc>
          <w:tcPr>
            <w:tcW w:w="971" w:type="pct"/>
            <w:tcBorders>
              <w:top w:val="nil"/>
              <w:left w:val="nil"/>
              <w:bottom w:val="nil"/>
              <w:right w:val="nil"/>
            </w:tcBorders>
          </w:tcPr>
          <w:p w14:paraId="0B16E5BD" w14:textId="77777777" w:rsidR="00EF18CC" w:rsidRPr="00290EB5" w:rsidRDefault="00EF18CC" w:rsidP="006D3501">
            <w:pPr>
              <w:pStyle w:val="BStablefigures"/>
              <w:pBdr>
                <w:top w:val="nil"/>
                <w:left w:val="nil"/>
                <w:bottom w:val="nil"/>
                <w:right w:val="nil"/>
                <w:between w:val="nil"/>
                <w:bar w:val="nil"/>
              </w:pBdr>
              <w:spacing w:before="120" w:after="120"/>
              <w:rPr>
                <w:bdr w:val="nil"/>
              </w:rPr>
            </w:pPr>
            <w:r>
              <w:rPr>
                <w:bdr w:val="nil"/>
              </w:rPr>
              <w:t>$19,264</w:t>
            </w:r>
          </w:p>
        </w:tc>
      </w:tr>
      <w:tr w:rsidR="00EF18CC" w14:paraId="552EA903" w14:textId="77777777" w:rsidTr="006D3501">
        <w:trPr>
          <w:trHeight w:val="397"/>
        </w:trPr>
        <w:tc>
          <w:tcPr>
            <w:tcW w:w="2087" w:type="pct"/>
            <w:tcBorders>
              <w:top w:val="nil"/>
              <w:left w:val="nil"/>
              <w:bottom w:val="nil"/>
              <w:right w:val="nil"/>
            </w:tcBorders>
          </w:tcPr>
          <w:p w14:paraId="05DF974A"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Satisfaction with provision of community housing</w:t>
            </w:r>
            <w:r w:rsidRPr="00614919">
              <w:rPr>
                <w:b/>
                <w:bdr w:val="nil"/>
              </w:rPr>
              <w:t xml:space="preserve"> </w:t>
            </w:r>
          </w:p>
        </w:tc>
        <w:tc>
          <w:tcPr>
            <w:tcW w:w="971" w:type="pct"/>
            <w:tcBorders>
              <w:top w:val="nil"/>
              <w:left w:val="nil"/>
              <w:bottom w:val="nil"/>
              <w:right w:val="nil"/>
            </w:tcBorders>
          </w:tcPr>
          <w:p w14:paraId="6DBBA069"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79%</w:t>
            </w:r>
          </w:p>
        </w:tc>
        <w:tc>
          <w:tcPr>
            <w:tcW w:w="971" w:type="pct"/>
            <w:tcBorders>
              <w:top w:val="nil"/>
              <w:left w:val="nil"/>
              <w:bottom w:val="nil"/>
              <w:right w:val="nil"/>
            </w:tcBorders>
          </w:tcPr>
          <w:p w14:paraId="5205D4A1"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73%</w:t>
            </w:r>
          </w:p>
        </w:tc>
        <w:tc>
          <w:tcPr>
            <w:tcW w:w="971" w:type="pct"/>
            <w:tcBorders>
              <w:top w:val="nil"/>
              <w:left w:val="nil"/>
              <w:bottom w:val="nil"/>
              <w:right w:val="nil"/>
            </w:tcBorders>
          </w:tcPr>
          <w:p w14:paraId="44BB0153"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79%</w:t>
            </w:r>
          </w:p>
        </w:tc>
      </w:tr>
      <w:tr w:rsidR="00EF18CC" w14:paraId="1D9C24A1" w14:textId="77777777" w:rsidTr="006D3501">
        <w:trPr>
          <w:trHeight w:val="397"/>
        </w:trPr>
        <w:tc>
          <w:tcPr>
            <w:tcW w:w="2087" w:type="pct"/>
            <w:tcBorders>
              <w:top w:val="nil"/>
              <w:left w:val="nil"/>
              <w:bottom w:val="nil"/>
              <w:right w:val="nil"/>
            </w:tcBorders>
          </w:tcPr>
          <w:p w14:paraId="7A16CC73"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Occupancy rate for public housing</w:t>
            </w:r>
          </w:p>
        </w:tc>
        <w:tc>
          <w:tcPr>
            <w:tcW w:w="971" w:type="pct"/>
            <w:tcBorders>
              <w:top w:val="nil"/>
              <w:left w:val="nil"/>
              <w:bottom w:val="nil"/>
              <w:right w:val="nil"/>
            </w:tcBorders>
          </w:tcPr>
          <w:p w14:paraId="57AE5B5A"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96%</w:t>
            </w:r>
          </w:p>
        </w:tc>
        <w:tc>
          <w:tcPr>
            <w:tcW w:w="971" w:type="pct"/>
            <w:tcBorders>
              <w:top w:val="nil"/>
              <w:left w:val="nil"/>
              <w:bottom w:val="nil"/>
              <w:right w:val="nil"/>
            </w:tcBorders>
          </w:tcPr>
          <w:p w14:paraId="56F36409"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96%</w:t>
            </w:r>
          </w:p>
        </w:tc>
        <w:tc>
          <w:tcPr>
            <w:tcW w:w="971" w:type="pct"/>
            <w:tcBorders>
              <w:top w:val="nil"/>
              <w:left w:val="nil"/>
              <w:bottom w:val="nil"/>
              <w:right w:val="nil"/>
            </w:tcBorders>
          </w:tcPr>
          <w:p w14:paraId="52518D07"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96%</w:t>
            </w:r>
          </w:p>
        </w:tc>
      </w:tr>
      <w:tr w:rsidR="00EF18CC" w14:paraId="7083462E" w14:textId="77777777" w:rsidTr="006D3501">
        <w:trPr>
          <w:trHeight w:val="397"/>
        </w:trPr>
        <w:tc>
          <w:tcPr>
            <w:tcW w:w="2087" w:type="pct"/>
            <w:tcBorders>
              <w:top w:val="nil"/>
              <w:left w:val="nil"/>
              <w:bottom w:val="nil"/>
              <w:right w:val="nil"/>
            </w:tcBorders>
          </w:tcPr>
          <w:p w14:paraId="0A35FB39"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 xml:space="preserve">Percentage of public housing households with no rental debt </w:t>
            </w:r>
          </w:p>
        </w:tc>
        <w:tc>
          <w:tcPr>
            <w:tcW w:w="971" w:type="pct"/>
            <w:tcBorders>
              <w:top w:val="nil"/>
              <w:left w:val="nil"/>
              <w:bottom w:val="nil"/>
              <w:right w:val="nil"/>
            </w:tcBorders>
          </w:tcPr>
          <w:p w14:paraId="53F37F2A"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87%</w:t>
            </w:r>
          </w:p>
        </w:tc>
        <w:tc>
          <w:tcPr>
            <w:tcW w:w="971" w:type="pct"/>
            <w:tcBorders>
              <w:top w:val="nil"/>
              <w:left w:val="nil"/>
              <w:bottom w:val="nil"/>
              <w:right w:val="nil"/>
            </w:tcBorders>
          </w:tcPr>
          <w:p w14:paraId="3F6256B5"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86%</w:t>
            </w:r>
          </w:p>
        </w:tc>
        <w:tc>
          <w:tcPr>
            <w:tcW w:w="971" w:type="pct"/>
            <w:tcBorders>
              <w:top w:val="nil"/>
              <w:left w:val="nil"/>
              <w:bottom w:val="nil"/>
              <w:right w:val="nil"/>
            </w:tcBorders>
          </w:tcPr>
          <w:p w14:paraId="3AA53F89" w14:textId="77777777" w:rsidR="00EF18CC" w:rsidRDefault="00EF18CC" w:rsidP="006D3501">
            <w:pPr>
              <w:pStyle w:val="BStablefigures"/>
              <w:pBdr>
                <w:top w:val="nil"/>
                <w:left w:val="nil"/>
                <w:bottom w:val="nil"/>
                <w:right w:val="nil"/>
                <w:between w:val="nil"/>
                <w:bar w:val="nil"/>
              </w:pBdr>
              <w:spacing w:before="120" w:after="120"/>
              <w:rPr>
                <w:bdr w:val="nil"/>
              </w:rPr>
            </w:pPr>
            <w:r>
              <w:rPr>
                <w:bdr w:val="nil"/>
              </w:rPr>
              <w:t>87%</w:t>
            </w:r>
          </w:p>
        </w:tc>
      </w:tr>
      <w:tr w:rsidR="00EF18CC" w14:paraId="0D43408F" w14:textId="77777777" w:rsidTr="006D3501">
        <w:trPr>
          <w:trHeight w:val="397"/>
        </w:trPr>
        <w:tc>
          <w:tcPr>
            <w:tcW w:w="2087" w:type="pct"/>
            <w:tcBorders>
              <w:top w:val="nil"/>
              <w:left w:val="nil"/>
              <w:bottom w:val="single" w:sz="4" w:space="0" w:color="auto"/>
              <w:right w:val="nil"/>
            </w:tcBorders>
          </w:tcPr>
          <w:p w14:paraId="772843A0" w14:textId="77777777" w:rsidR="00EF18CC" w:rsidRDefault="00EF18CC" w:rsidP="001F1756">
            <w:pPr>
              <w:pStyle w:val="BStablelist"/>
              <w:numPr>
                <w:ilvl w:val="0"/>
                <w:numId w:val="54"/>
              </w:numPr>
              <w:pBdr>
                <w:top w:val="nil"/>
                <w:left w:val="nil"/>
                <w:bottom w:val="nil"/>
                <w:right w:val="nil"/>
                <w:between w:val="nil"/>
                <w:bar w:val="nil"/>
              </w:pBdr>
              <w:spacing w:before="120" w:after="120"/>
              <w:rPr>
                <w:bdr w:val="nil"/>
              </w:rPr>
            </w:pPr>
            <w:r>
              <w:rPr>
                <w:bdr w:val="nil"/>
              </w:rPr>
              <w:t>Percentage of rent received</w:t>
            </w:r>
          </w:p>
        </w:tc>
        <w:tc>
          <w:tcPr>
            <w:tcW w:w="971" w:type="pct"/>
            <w:tcBorders>
              <w:top w:val="nil"/>
              <w:left w:val="nil"/>
              <w:bottom w:val="single" w:sz="4" w:space="0" w:color="auto"/>
              <w:right w:val="nil"/>
            </w:tcBorders>
          </w:tcPr>
          <w:p w14:paraId="5EB74723" w14:textId="77777777" w:rsidR="00EF18CC" w:rsidRPr="00F01FE5" w:rsidRDefault="00EF18CC" w:rsidP="006D3501">
            <w:pPr>
              <w:pStyle w:val="BStablefigures"/>
              <w:pBdr>
                <w:top w:val="nil"/>
                <w:left w:val="nil"/>
                <w:bottom w:val="nil"/>
                <w:right w:val="nil"/>
                <w:between w:val="nil"/>
                <w:bar w:val="nil"/>
              </w:pBdr>
              <w:spacing w:before="120" w:after="120"/>
              <w:rPr>
                <w:bdr w:val="nil"/>
              </w:rPr>
            </w:pPr>
            <w:r>
              <w:rPr>
                <w:bdr w:val="nil"/>
              </w:rPr>
              <w:t>98%</w:t>
            </w:r>
          </w:p>
        </w:tc>
        <w:tc>
          <w:tcPr>
            <w:tcW w:w="971" w:type="pct"/>
            <w:tcBorders>
              <w:top w:val="nil"/>
              <w:left w:val="nil"/>
              <w:bottom w:val="single" w:sz="4" w:space="0" w:color="auto"/>
              <w:right w:val="nil"/>
            </w:tcBorders>
          </w:tcPr>
          <w:p w14:paraId="3830E6DA" w14:textId="77777777" w:rsidR="00EF18CC" w:rsidRPr="00F01FE5" w:rsidRDefault="00EF18CC" w:rsidP="006D3501">
            <w:pPr>
              <w:pStyle w:val="BStablefigures"/>
              <w:pBdr>
                <w:top w:val="nil"/>
                <w:left w:val="nil"/>
                <w:bottom w:val="nil"/>
                <w:right w:val="nil"/>
                <w:between w:val="nil"/>
                <w:bar w:val="nil"/>
              </w:pBdr>
              <w:spacing w:before="120" w:after="120"/>
              <w:rPr>
                <w:bdr w:val="nil"/>
              </w:rPr>
            </w:pPr>
            <w:r w:rsidRPr="00F01FE5">
              <w:rPr>
                <w:bdr w:val="nil"/>
              </w:rPr>
              <w:t>9</w:t>
            </w:r>
            <w:r>
              <w:rPr>
                <w:bdr w:val="nil"/>
              </w:rPr>
              <w:t>6</w:t>
            </w:r>
            <w:r w:rsidRPr="00F01FE5">
              <w:rPr>
                <w:bdr w:val="nil"/>
              </w:rPr>
              <w:t>%</w:t>
            </w:r>
          </w:p>
        </w:tc>
        <w:tc>
          <w:tcPr>
            <w:tcW w:w="971" w:type="pct"/>
            <w:tcBorders>
              <w:top w:val="nil"/>
              <w:left w:val="nil"/>
              <w:bottom w:val="single" w:sz="4" w:space="0" w:color="auto"/>
              <w:right w:val="nil"/>
            </w:tcBorders>
          </w:tcPr>
          <w:p w14:paraId="47150A91" w14:textId="77777777" w:rsidR="00EF18CC" w:rsidRPr="00F01FE5" w:rsidRDefault="00EF18CC" w:rsidP="006D3501">
            <w:pPr>
              <w:pStyle w:val="BStablefigures"/>
              <w:pBdr>
                <w:top w:val="nil"/>
                <w:left w:val="nil"/>
                <w:bottom w:val="nil"/>
                <w:right w:val="nil"/>
                <w:between w:val="nil"/>
                <w:bar w:val="nil"/>
              </w:pBdr>
              <w:spacing w:before="120" w:after="120"/>
              <w:rPr>
                <w:bdr w:val="nil"/>
              </w:rPr>
            </w:pPr>
            <w:r>
              <w:rPr>
                <w:bdr w:val="nil"/>
              </w:rPr>
              <w:t>98%</w:t>
            </w:r>
          </w:p>
        </w:tc>
      </w:tr>
    </w:tbl>
    <w:p w14:paraId="6810664B" w14:textId="7E23A6A8" w:rsidR="00EF18CC" w:rsidRPr="00E31FF7" w:rsidRDefault="00EF18CC" w:rsidP="00EF18CC">
      <w:pPr>
        <w:pStyle w:val="BSnote2"/>
        <w:pBdr>
          <w:top w:val="nil"/>
          <w:left w:val="nil"/>
          <w:bottom w:val="nil"/>
          <w:right w:val="nil"/>
          <w:between w:val="nil"/>
          <w:bar w:val="nil"/>
        </w:pBdr>
        <w:rPr>
          <w:bdr w:val="nil"/>
        </w:rPr>
      </w:pPr>
      <w:bookmarkStart w:id="56" w:name="_Hlk57851104"/>
      <w:r w:rsidRPr="00E31FF7">
        <w:rPr>
          <w:bdr w:val="nil"/>
        </w:rPr>
        <w:t>Notes:</w:t>
      </w:r>
    </w:p>
    <w:p w14:paraId="58313BDD" w14:textId="77777777" w:rsidR="00EF18CC" w:rsidRPr="00125433" w:rsidRDefault="00EF18CC" w:rsidP="001F1756">
      <w:pPr>
        <w:pStyle w:val="BSnoteslist2"/>
        <w:keepLines/>
        <w:widowControl w:val="0"/>
        <w:numPr>
          <w:ilvl w:val="0"/>
          <w:numId w:val="53"/>
        </w:numPr>
        <w:pBdr>
          <w:top w:val="nil"/>
          <w:left w:val="nil"/>
          <w:bottom w:val="nil"/>
          <w:right w:val="nil"/>
          <w:between w:val="nil"/>
          <w:bar w:val="nil"/>
        </w:pBdr>
        <w:rPr>
          <w:bdr w:val="nil"/>
        </w:rPr>
      </w:pPr>
      <w:r w:rsidRPr="00125433">
        <w:rPr>
          <w:bdr w:val="nil"/>
        </w:rPr>
        <w:t>The 202</w:t>
      </w:r>
      <w:r>
        <w:rPr>
          <w:bdr w:val="nil"/>
        </w:rPr>
        <w:t>1-22</w:t>
      </w:r>
      <w:r w:rsidRPr="00125433">
        <w:rPr>
          <w:bdr w:val="nil"/>
        </w:rPr>
        <w:t xml:space="preserve"> proposed target for Number of social housing properties (indicator b) is 11,</w:t>
      </w:r>
      <w:r>
        <w:rPr>
          <w:bdr w:val="nil"/>
        </w:rPr>
        <w:t>570</w:t>
      </w:r>
      <w:r w:rsidRPr="00125433">
        <w:rPr>
          <w:bdr w:val="nil"/>
        </w:rPr>
        <w:t>. This is based on projected acquisitions and disposals expected to occur in the 202</w:t>
      </w:r>
      <w:r>
        <w:rPr>
          <w:bdr w:val="nil"/>
        </w:rPr>
        <w:t>1-22</w:t>
      </w:r>
      <w:r w:rsidRPr="00125433">
        <w:rPr>
          <w:bdr w:val="nil"/>
        </w:rPr>
        <w:t xml:space="preserve"> year under the Growing and Renewing Public Housing Program.</w:t>
      </w:r>
    </w:p>
    <w:p w14:paraId="73D26759" w14:textId="083A8B57" w:rsidR="00EF18CC" w:rsidRPr="00ED1FA6" w:rsidRDefault="00EF18CC" w:rsidP="001F1756">
      <w:pPr>
        <w:pStyle w:val="BSnoteslist2"/>
        <w:keepLines/>
        <w:widowControl w:val="0"/>
        <w:numPr>
          <w:ilvl w:val="0"/>
          <w:numId w:val="53"/>
        </w:numPr>
        <w:pBdr>
          <w:top w:val="nil"/>
          <w:left w:val="nil"/>
          <w:bottom w:val="nil"/>
          <w:right w:val="nil"/>
          <w:between w:val="nil"/>
          <w:bar w:val="nil"/>
        </w:pBdr>
        <w:rPr>
          <w:bdr w:val="nil"/>
        </w:rPr>
      </w:pPr>
      <w:r w:rsidRPr="00125433">
        <w:rPr>
          <w:bdr w:val="nil"/>
        </w:rPr>
        <w:t>The 202</w:t>
      </w:r>
      <w:r>
        <w:rPr>
          <w:bdr w:val="nil"/>
        </w:rPr>
        <w:t>1-22</w:t>
      </w:r>
      <w:r w:rsidRPr="00125433">
        <w:rPr>
          <w:bdr w:val="nil"/>
        </w:rPr>
        <w:t xml:space="preserve"> proposed target for Average cost per dwelling of public housing (indicator f) is </w:t>
      </w:r>
      <w:r w:rsidR="00F36609">
        <w:rPr>
          <w:bdr w:val="nil"/>
        </w:rPr>
        <w:t>$</w:t>
      </w:r>
      <w:r w:rsidRPr="00125433">
        <w:rPr>
          <w:bdr w:val="nil"/>
        </w:rPr>
        <w:t>1</w:t>
      </w:r>
      <w:r>
        <w:rPr>
          <w:bdr w:val="nil"/>
        </w:rPr>
        <w:t>9,264</w:t>
      </w:r>
      <w:r w:rsidRPr="00125433">
        <w:rPr>
          <w:bdr w:val="nil"/>
        </w:rPr>
        <w:t>. This increase is reflective of a</w:t>
      </w:r>
      <w:r>
        <w:rPr>
          <w:bdr w:val="nil"/>
        </w:rPr>
        <w:t>n</w:t>
      </w:r>
      <w:r w:rsidRPr="00125433">
        <w:rPr>
          <w:bdr w:val="nil"/>
        </w:rPr>
        <w:t xml:space="preserve"> increase in costs</w:t>
      </w:r>
      <w:r>
        <w:rPr>
          <w:bdr w:val="nil"/>
        </w:rPr>
        <w:t>, particularly repairs and maintenance expenditure</w:t>
      </w:r>
      <w:r w:rsidRPr="00125433">
        <w:rPr>
          <w:bdr w:val="nil"/>
        </w:rPr>
        <w:t xml:space="preserve"> and a lower targeted number of social housing properties in 202</w:t>
      </w:r>
      <w:r>
        <w:rPr>
          <w:bdr w:val="nil"/>
        </w:rPr>
        <w:t>1-22</w:t>
      </w:r>
      <w:r w:rsidRPr="00125433">
        <w:rPr>
          <w:bdr w:val="nil"/>
        </w:rPr>
        <w:t xml:space="preserve"> in comparison to the 20</w:t>
      </w:r>
      <w:r>
        <w:rPr>
          <w:bdr w:val="nil"/>
        </w:rPr>
        <w:t>20-21</w:t>
      </w:r>
      <w:r w:rsidRPr="00125433">
        <w:rPr>
          <w:bdr w:val="nil"/>
        </w:rPr>
        <w:t xml:space="preserve"> targets</w:t>
      </w:r>
      <w:bookmarkEnd w:id="56"/>
      <w:r>
        <w:rPr>
          <w:bdr w:val="nil"/>
        </w:rPr>
        <w:t>.</w:t>
      </w:r>
    </w:p>
    <w:p w14:paraId="69D3A7E8" w14:textId="77777777" w:rsidR="00EF18CC" w:rsidRPr="00104120" w:rsidRDefault="00EF18CC" w:rsidP="001F1756">
      <w:pPr>
        <w:pStyle w:val="Heading2"/>
        <w:rPr>
          <w:bdr w:val="nil"/>
        </w:rPr>
      </w:pPr>
      <w:bookmarkStart w:id="57" w:name="_Toc84071147"/>
      <w:r w:rsidRPr="00104120">
        <w:rPr>
          <w:bdr w:val="nil"/>
        </w:rPr>
        <w:lastRenderedPageBreak/>
        <w:t>Changes to Appropr</w:t>
      </w:r>
      <w:r>
        <w:rPr>
          <w:bdr w:val="nil"/>
        </w:rPr>
        <w:t>ia</w:t>
      </w:r>
      <w:r w:rsidRPr="00104120">
        <w:rPr>
          <w:bdr w:val="nil"/>
        </w:rPr>
        <w:t>tion</w:t>
      </w:r>
      <w:bookmarkEnd w:id="57"/>
    </w:p>
    <w:p w14:paraId="03220FB5" w14:textId="13553CB2" w:rsidR="00EF18CC" w:rsidRDefault="00E5563D" w:rsidP="001F1756">
      <w:pPr>
        <w:pStyle w:val="Caption"/>
        <w:pBdr>
          <w:top w:val="nil"/>
          <w:left w:val="nil"/>
          <w:bottom w:val="nil"/>
          <w:right w:val="nil"/>
          <w:between w:val="nil"/>
          <w:bar w:val="nil"/>
        </w:pBdr>
      </w:pPr>
      <w:r>
        <w:t xml:space="preserve">Table </w:t>
      </w:r>
      <w:fldSimple w:instr=" SEQ Table \* ARABIC ">
        <w:r w:rsidR="001E4FEE">
          <w:rPr>
            <w:noProof/>
          </w:rPr>
          <w:t>36</w:t>
        </w:r>
      </w:fldSimple>
      <w:r w:rsidR="00EF18CC" w:rsidRPr="003B439B">
        <w:rPr>
          <w:bdr w:val="nil"/>
        </w:rPr>
        <w:t>: Changes to appropriation –</w:t>
      </w:r>
      <w:r w:rsidR="00EF18CC" w:rsidRPr="003B439B">
        <w:rPr>
          <w:szCs w:val="20"/>
          <w:bdr w:val="nil"/>
        </w:rPr>
        <w:t xml:space="preserve"> </w:t>
      </w:r>
      <w:r w:rsidR="00EF18CC">
        <w:rPr>
          <w:bdr w:val="nil"/>
        </w:rPr>
        <w:t>Controlled Recurrent Payments</w:t>
      </w:r>
    </w:p>
    <w:tbl>
      <w:tblPr>
        <w:tblStyle w:val="CDMRange1"/>
        <w:tblW w:w="9498" w:type="dxa"/>
        <w:tblLayout w:type="fixed"/>
        <w:tblLook w:val="0600" w:firstRow="0" w:lastRow="0" w:firstColumn="0" w:lastColumn="0" w:noHBand="1" w:noVBand="1"/>
      </w:tblPr>
      <w:tblGrid>
        <w:gridCol w:w="4395"/>
        <w:gridCol w:w="1134"/>
        <w:gridCol w:w="992"/>
        <w:gridCol w:w="992"/>
        <w:gridCol w:w="992"/>
        <w:gridCol w:w="993"/>
      </w:tblGrid>
      <w:tr w:rsidR="00EF18CC" w14:paraId="64B23E19" w14:textId="77777777" w:rsidTr="001F1756">
        <w:trPr>
          <w:trHeight w:val="990"/>
        </w:trPr>
        <w:tc>
          <w:tcPr>
            <w:tcW w:w="439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CC14FD2" w14:textId="77777777" w:rsidR="00EF18CC" w:rsidRDefault="00EF18CC" w:rsidP="006D3501">
            <w:pPr>
              <w:pStyle w:val="Normal0"/>
              <w:rPr>
                <w:rFonts w:ascii="Calibri" w:eastAsia="Calibri" w:hAnsi="Calibri" w:cs="Calibri"/>
                <w:color w:val="000000"/>
                <w:sz w:val="18"/>
              </w:rPr>
            </w:pPr>
          </w:p>
        </w:tc>
        <w:tc>
          <w:tcPr>
            <w:tcW w:w="1134"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F20068E"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2020-21 Interim Outcome</w:t>
            </w:r>
          </w:p>
          <w:p w14:paraId="7AA84934"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50D4501"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2021-22 Budget</w:t>
            </w:r>
          </w:p>
          <w:p w14:paraId="091D0D9C" w14:textId="77777777" w:rsidR="00EF18CC" w:rsidRDefault="00EF18CC" w:rsidP="006D3501">
            <w:pPr>
              <w:pStyle w:val="Normal0"/>
              <w:jc w:val="right"/>
              <w:rPr>
                <w:rFonts w:ascii="Calibri" w:eastAsia="Calibri" w:hAnsi="Calibri" w:cs="Calibri"/>
                <w:b/>
                <w:color w:val="000000"/>
                <w:sz w:val="18"/>
              </w:rPr>
            </w:pPr>
          </w:p>
          <w:p w14:paraId="3A9FCFC5"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F297F4"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38BC27E2" w14:textId="77777777" w:rsidR="00EF18CC" w:rsidRDefault="00EF18CC" w:rsidP="006D3501">
            <w:pPr>
              <w:pStyle w:val="Normal0"/>
              <w:jc w:val="right"/>
              <w:rPr>
                <w:rFonts w:ascii="Calibri" w:eastAsia="Calibri" w:hAnsi="Calibri" w:cs="Calibri"/>
                <w:b/>
                <w:color w:val="000000"/>
                <w:sz w:val="18"/>
              </w:rPr>
            </w:pPr>
          </w:p>
          <w:p w14:paraId="2552E471"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81286A2"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79C3EEE8" w14:textId="77777777" w:rsidR="00EF18CC" w:rsidRDefault="00EF18CC" w:rsidP="006D3501">
            <w:pPr>
              <w:pStyle w:val="Normal0"/>
              <w:jc w:val="right"/>
              <w:rPr>
                <w:rFonts w:ascii="Calibri" w:eastAsia="Calibri" w:hAnsi="Calibri" w:cs="Calibri"/>
                <w:b/>
                <w:color w:val="000000"/>
                <w:sz w:val="18"/>
              </w:rPr>
            </w:pPr>
          </w:p>
          <w:p w14:paraId="6CB1366F"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5823FC6"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2024-25 Estimate</w:t>
            </w:r>
          </w:p>
          <w:p w14:paraId="50D58E15" w14:textId="77777777" w:rsidR="00EF18CC" w:rsidRDefault="00EF18CC" w:rsidP="006D3501">
            <w:pPr>
              <w:pStyle w:val="Normal0"/>
              <w:jc w:val="right"/>
              <w:rPr>
                <w:rFonts w:ascii="Calibri" w:eastAsia="Calibri" w:hAnsi="Calibri" w:cs="Calibri"/>
                <w:b/>
                <w:color w:val="000000"/>
                <w:sz w:val="18"/>
              </w:rPr>
            </w:pPr>
          </w:p>
          <w:p w14:paraId="2BB89ED6"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EF18CC" w14:paraId="7D98A382"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39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505346D" w14:textId="77777777" w:rsidR="00EF18CC" w:rsidRDefault="00EF18CC" w:rsidP="006D3501">
            <w:pPr>
              <w:pStyle w:val="Normal0"/>
              <w:rPr>
                <w:rFonts w:ascii="Calibri" w:eastAsia="Calibri" w:hAnsi="Calibri" w:cs="Calibri"/>
                <w:color w:val="000000"/>
                <w:sz w:val="18"/>
              </w:rPr>
            </w:pPr>
          </w:p>
        </w:tc>
        <w:tc>
          <w:tcPr>
            <w:tcW w:w="1134"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3B9104A" w14:textId="77777777" w:rsidR="00EF18CC" w:rsidRDefault="00EF18CC" w:rsidP="006D3501">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DB2C6CA" w14:textId="77777777" w:rsidR="00EF18CC" w:rsidRDefault="00EF18CC" w:rsidP="006D3501">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E812067" w14:textId="77777777" w:rsidR="00EF18CC" w:rsidRDefault="00EF18CC" w:rsidP="006D3501">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AC4F459" w14:textId="77777777" w:rsidR="00EF18CC" w:rsidRDefault="00EF18CC" w:rsidP="006D3501">
            <w:pPr>
              <w:pStyle w:val="Normal0"/>
              <w:rPr>
                <w:rFonts w:ascii="Calibri" w:eastAsia="Calibri" w:hAnsi="Calibri" w:cs="Calibri"/>
                <w:color w:val="000000"/>
                <w:sz w:val="18"/>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0DEC783" w14:textId="77777777" w:rsidR="00EF18CC" w:rsidRDefault="00EF18CC" w:rsidP="006D3501">
            <w:pPr>
              <w:pStyle w:val="Normal0"/>
              <w:rPr>
                <w:rFonts w:ascii="Calibri" w:eastAsia="Calibri" w:hAnsi="Calibri" w:cs="Calibri"/>
                <w:color w:val="000000"/>
                <w:sz w:val="18"/>
              </w:rPr>
            </w:pPr>
          </w:p>
        </w:tc>
      </w:tr>
      <w:tr w:rsidR="00EF18CC" w14:paraId="0CAFDFDC"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395" w:type="dxa"/>
            <w:tcBorders>
              <w:top w:val="nil"/>
              <w:left w:val="nil"/>
              <w:bottom w:val="nil"/>
              <w:right w:val="nil"/>
              <w:tl2br w:val="nil"/>
              <w:tr2bl w:val="nil"/>
            </w:tcBorders>
            <w:shd w:val="clear" w:color="auto" w:fill="auto"/>
            <w:noWrap/>
            <w:tcMar>
              <w:left w:w="0" w:type="dxa"/>
              <w:right w:w="0" w:type="dxa"/>
            </w:tcMar>
            <w:vAlign w:val="bottom"/>
          </w:tcPr>
          <w:p w14:paraId="63C5B7E6" w14:textId="77777777" w:rsidR="00EF18CC" w:rsidRDefault="00EF18CC" w:rsidP="006D3501">
            <w:pPr>
              <w:pStyle w:val="Normal0"/>
              <w:rPr>
                <w:rFonts w:ascii="Calibri" w:eastAsia="Calibri" w:hAnsi="Calibri" w:cs="Calibri"/>
                <w:color w:val="000000"/>
                <w:sz w:val="18"/>
              </w:rPr>
            </w:pP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332CD9BB"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5AA9B958"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3C3839B7"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540AE5AA" w14:textId="77777777" w:rsidR="00EF18CC" w:rsidRDefault="00EF18CC" w:rsidP="006D3501">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41198FD6" w14:textId="77777777" w:rsidR="00EF18CC" w:rsidRDefault="00EF18CC" w:rsidP="006D3501">
            <w:pPr>
              <w:pStyle w:val="Normal0"/>
              <w:rPr>
                <w:rFonts w:ascii="Calibri" w:eastAsia="Calibri" w:hAnsi="Calibri" w:cs="Calibri"/>
                <w:color w:val="000000"/>
                <w:sz w:val="18"/>
              </w:rPr>
            </w:pPr>
          </w:p>
        </w:tc>
      </w:tr>
      <w:tr w:rsidR="00EF18CC" w14:paraId="50E43686"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395" w:type="dxa"/>
            <w:tcBorders>
              <w:top w:val="nil"/>
              <w:left w:val="nil"/>
              <w:bottom w:val="nil"/>
              <w:right w:val="nil"/>
              <w:tl2br w:val="nil"/>
              <w:tr2bl w:val="nil"/>
            </w:tcBorders>
            <w:shd w:val="clear" w:color="auto" w:fill="auto"/>
            <w:noWrap/>
            <w:tcMar>
              <w:left w:w="101" w:type="dxa"/>
              <w:right w:w="101" w:type="dxa"/>
            </w:tcMar>
            <w:vAlign w:val="center"/>
          </w:tcPr>
          <w:p w14:paraId="522BA99A" w14:textId="77777777" w:rsidR="00EF18CC" w:rsidRDefault="00EF18CC" w:rsidP="006D3501">
            <w:pPr>
              <w:pStyle w:val="Normal0"/>
              <w:rPr>
                <w:rFonts w:ascii="Calibri" w:eastAsia="Calibri" w:hAnsi="Calibri" w:cs="Calibri"/>
                <w:b/>
                <w:color w:val="000000"/>
                <w:sz w:val="18"/>
              </w:rPr>
            </w:pPr>
            <w:r>
              <w:rPr>
                <w:rFonts w:ascii="Calibri" w:eastAsia="Calibri" w:hAnsi="Calibri" w:cs="Calibri"/>
                <w:b/>
                <w:color w:val="000000"/>
                <w:sz w:val="18"/>
              </w:rPr>
              <w:t>2020-21 Budget</w:t>
            </w:r>
          </w:p>
        </w:tc>
        <w:tc>
          <w:tcPr>
            <w:tcW w:w="1134" w:type="dxa"/>
            <w:tcBorders>
              <w:top w:val="nil"/>
              <w:left w:val="nil"/>
              <w:bottom w:val="nil"/>
              <w:right w:val="nil"/>
              <w:tl2br w:val="nil"/>
              <w:tr2bl w:val="nil"/>
            </w:tcBorders>
            <w:shd w:val="clear" w:color="auto" w:fill="auto"/>
            <w:noWrap/>
            <w:tcMar>
              <w:left w:w="101" w:type="dxa"/>
              <w:right w:w="101" w:type="dxa"/>
            </w:tcMar>
            <w:vAlign w:val="bottom"/>
          </w:tcPr>
          <w:p w14:paraId="70165900"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54,883</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24614FF6"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52,545</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444546B1"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50,880</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30B5C23A"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51,195</w:t>
            </w:r>
          </w:p>
        </w:tc>
        <w:tc>
          <w:tcPr>
            <w:tcW w:w="993" w:type="dxa"/>
            <w:tcBorders>
              <w:top w:val="nil"/>
              <w:left w:val="nil"/>
              <w:bottom w:val="nil"/>
              <w:right w:val="nil"/>
              <w:tl2br w:val="nil"/>
              <w:tr2bl w:val="nil"/>
            </w:tcBorders>
            <w:shd w:val="clear" w:color="auto" w:fill="auto"/>
            <w:noWrap/>
            <w:tcMar>
              <w:left w:w="101" w:type="dxa"/>
              <w:right w:w="101" w:type="dxa"/>
            </w:tcMar>
            <w:vAlign w:val="bottom"/>
          </w:tcPr>
          <w:p w14:paraId="47E90150"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51,195</w:t>
            </w:r>
          </w:p>
        </w:tc>
      </w:tr>
      <w:tr w:rsidR="00EF18CC" w14:paraId="1E543C89"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95" w:type="dxa"/>
            <w:tcBorders>
              <w:top w:val="nil"/>
              <w:left w:val="nil"/>
              <w:bottom w:val="nil"/>
              <w:right w:val="nil"/>
              <w:tl2br w:val="nil"/>
              <w:tr2bl w:val="nil"/>
            </w:tcBorders>
            <w:shd w:val="clear" w:color="auto" w:fill="auto"/>
            <w:tcMar>
              <w:left w:w="0" w:type="dxa"/>
              <w:right w:w="0" w:type="dxa"/>
            </w:tcMar>
            <w:vAlign w:val="center"/>
          </w:tcPr>
          <w:p w14:paraId="5E0C9210" w14:textId="77777777" w:rsidR="00EF18CC" w:rsidRDefault="00EF18CC" w:rsidP="006D3501">
            <w:pPr>
              <w:pStyle w:val="Normal0"/>
              <w:rPr>
                <w:rFonts w:ascii="Calibri" w:eastAsia="Calibri" w:hAnsi="Calibri" w:cs="Calibri"/>
                <w:color w:val="000000"/>
                <w:sz w:val="18"/>
              </w:rPr>
            </w:pP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234C526C"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202AE35"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7BE21133"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2ABACB96" w14:textId="77777777" w:rsidR="00EF18CC" w:rsidRDefault="00EF18CC" w:rsidP="006D3501">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5B210F49" w14:textId="77777777" w:rsidR="00EF18CC" w:rsidRDefault="00EF18CC" w:rsidP="006D3501">
            <w:pPr>
              <w:pStyle w:val="Normal0"/>
              <w:rPr>
                <w:rFonts w:ascii="Calibri" w:eastAsia="Calibri" w:hAnsi="Calibri" w:cs="Calibri"/>
                <w:color w:val="000000"/>
                <w:sz w:val="18"/>
              </w:rPr>
            </w:pPr>
          </w:p>
        </w:tc>
      </w:tr>
      <w:tr w:rsidR="00EF18CC" w14:paraId="061F0BAC"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95" w:type="dxa"/>
            <w:tcBorders>
              <w:top w:val="nil"/>
              <w:left w:val="nil"/>
              <w:bottom w:val="nil"/>
              <w:right w:val="nil"/>
              <w:tl2br w:val="nil"/>
              <w:tr2bl w:val="nil"/>
            </w:tcBorders>
            <w:shd w:val="clear" w:color="auto" w:fill="auto"/>
            <w:tcMar>
              <w:left w:w="101" w:type="dxa"/>
              <w:right w:w="101" w:type="dxa"/>
            </w:tcMar>
            <w:vAlign w:val="center"/>
          </w:tcPr>
          <w:p w14:paraId="20A32585" w14:textId="77777777" w:rsidR="00EF18CC" w:rsidRDefault="00EF18CC" w:rsidP="006D3501">
            <w:pPr>
              <w:pStyle w:val="Normal0"/>
              <w:rPr>
                <w:rFonts w:ascii="Calibri" w:eastAsia="Calibri" w:hAnsi="Calibri" w:cs="Calibri"/>
                <w:b/>
                <w:color w:val="000000"/>
                <w:sz w:val="18"/>
              </w:rPr>
            </w:pPr>
            <w:r>
              <w:rPr>
                <w:rFonts w:ascii="Calibri" w:eastAsia="Calibri" w:hAnsi="Calibri" w:cs="Calibri"/>
                <w:b/>
                <w:color w:val="000000"/>
                <w:sz w:val="18"/>
              </w:rPr>
              <w:t>2021-22 Budget Policy Decisions</w:t>
            </w: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2DE31950" w14:textId="77777777" w:rsidR="00EF18CC" w:rsidRDefault="00EF18CC" w:rsidP="006D3501">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7C4EDC2A" w14:textId="77777777" w:rsidR="00EF18CC" w:rsidRDefault="00EF18CC" w:rsidP="006D3501">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786129BF" w14:textId="77777777" w:rsidR="00EF18CC" w:rsidRDefault="00EF18CC" w:rsidP="006D3501">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28B7335" w14:textId="77777777" w:rsidR="00EF18CC" w:rsidRDefault="00EF18CC" w:rsidP="006D3501">
            <w:pPr>
              <w:pStyle w:val="Normal0"/>
              <w:rPr>
                <w:rFonts w:ascii="Calibri" w:eastAsia="Calibri" w:hAnsi="Calibri" w:cs="Calibri"/>
                <w:color w:val="FFFFFF"/>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7ACF849A" w14:textId="77777777" w:rsidR="00EF18CC" w:rsidRDefault="00EF18CC" w:rsidP="006D3501">
            <w:pPr>
              <w:pStyle w:val="Normal0"/>
              <w:rPr>
                <w:rFonts w:ascii="Calibri" w:eastAsia="Calibri" w:hAnsi="Calibri" w:cs="Calibri"/>
                <w:color w:val="FFFFFF"/>
                <w:sz w:val="18"/>
              </w:rPr>
            </w:pPr>
          </w:p>
        </w:tc>
      </w:tr>
      <w:tr w:rsidR="00EF18CC" w14:paraId="624B97F5"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700F858C"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Safer Families Levy – Private rental assistance for people experiencing domestic violence</w:t>
            </w:r>
          </w:p>
        </w:tc>
        <w:tc>
          <w:tcPr>
            <w:tcW w:w="1134" w:type="dxa"/>
            <w:tcBorders>
              <w:top w:val="nil"/>
              <w:left w:val="nil"/>
              <w:bottom w:val="nil"/>
              <w:right w:val="nil"/>
              <w:tl2br w:val="nil"/>
              <w:tr2bl w:val="nil"/>
            </w:tcBorders>
            <w:shd w:val="clear" w:color="auto" w:fill="auto"/>
            <w:noWrap/>
            <w:tcMar>
              <w:left w:w="101" w:type="dxa"/>
              <w:right w:w="101" w:type="dxa"/>
            </w:tcMar>
          </w:tcPr>
          <w:p w14:paraId="1E833151"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A07A1CE"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120</w:t>
            </w:r>
          </w:p>
        </w:tc>
        <w:tc>
          <w:tcPr>
            <w:tcW w:w="992" w:type="dxa"/>
            <w:tcBorders>
              <w:top w:val="nil"/>
              <w:left w:val="nil"/>
              <w:bottom w:val="nil"/>
              <w:right w:val="nil"/>
              <w:tl2br w:val="nil"/>
              <w:tr2bl w:val="nil"/>
            </w:tcBorders>
            <w:shd w:val="clear" w:color="auto" w:fill="auto"/>
            <w:noWrap/>
            <w:tcMar>
              <w:left w:w="101" w:type="dxa"/>
              <w:right w:w="101" w:type="dxa"/>
            </w:tcMar>
          </w:tcPr>
          <w:p w14:paraId="01D72A37"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123</w:t>
            </w:r>
          </w:p>
        </w:tc>
        <w:tc>
          <w:tcPr>
            <w:tcW w:w="992" w:type="dxa"/>
            <w:tcBorders>
              <w:top w:val="nil"/>
              <w:left w:val="nil"/>
              <w:bottom w:val="nil"/>
              <w:right w:val="nil"/>
              <w:tl2br w:val="nil"/>
              <w:tr2bl w:val="nil"/>
            </w:tcBorders>
            <w:shd w:val="clear" w:color="auto" w:fill="auto"/>
            <w:noWrap/>
            <w:tcMar>
              <w:left w:w="101" w:type="dxa"/>
              <w:right w:w="101" w:type="dxa"/>
            </w:tcMar>
          </w:tcPr>
          <w:p w14:paraId="367B334F"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126</w:t>
            </w:r>
          </w:p>
        </w:tc>
        <w:tc>
          <w:tcPr>
            <w:tcW w:w="993" w:type="dxa"/>
            <w:tcBorders>
              <w:top w:val="nil"/>
              <w:left w:val="nil"/>
              <w:bottom w:val="nil"/>
              <w:right w:val="nil"/>
              <w:tl2br w:val="nil"/>
              <w:tr2bl w:val="nil"/>
            </w:tcBorders>
            <w:shd w:val="clear" w:color="auto" w:fill="auto"/>
            <w:noWrap/>
            <w:tcMar>
              <w:left w:w="101" w:type="dxa"/>
              <w:right w:w="101" w:type="dxa"/>
            </w:tcMar>
          </w:tcPr>
          <w:p w14:paraId="2F6C2170"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130</w:t>
            </w:r>
          </w:p>
        </w:tc>
      </w:tr>
      <w:tr w:rsidR="00EF18CC" w14:paraId="08FC0374"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09117CC8"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Expanding specialist homelessness service capacity</w:t>
            </w:r>
          </w:p>
        </w:tc>
        <w:tc>
          <w:tcPr>
            <w:tcW w:w="1134" w:type="dxa"/>
            <w:tcBorders>
              <w:top w:val="nil"/>
              <w:left w:val="nil"/>
              <w:bottom w:val="nil"/>
              <w:right w:val="nil"/>
              <w:tl2br w:val="nil"/>
              <w:tr2bl w:val="nil"/>
            </w:tcBorders>
            <w:shd w:val="clear" w:color="auto" w:fill="auto"/>
            <w:noWrap/>
            <w:tcMar>
              <w:left w:w="101" w:type="dxa"/>
              <w:right w:w="101" w:type="dxa"/>
            </w:tcMar>
          </w:tcPr>
          <w:p w14:paraId="7EECB1E9"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9722CC2"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3,467</w:t>
            </w:r>
          </w:p>
        </w:tc>
        <w:tc>
          <w:tcPr>
            <w:tcW w:w="992" w:type="dxa"/>
            <w:tcBorders>
              <w:top w:val="nil"/>
              <w:left w:val="nil"/>
              <w:bottom w:val="nil"/>
              <w:right w:val="nil"/>
              <w:tl2br w:val="nil"/>
              <w:tr2bl w:val="nil"/>
            </w:tcBorders>
            <w:shd w:val="clear" w:color="auto" w:fill="auto"/>
            <w:noWrap/>
            <w:tcMar>
              <w:left w:w="101" w:type="dxa"/>
              <w:right w:w="101" w:type="dxa"/>
            </w:tcMar>
          </w:tcPr>
          <w:p w14:paraId="0C2BE4B9"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4,865</w:t>
            </w:r>
          </w:p>
        </w:tc>
        <w:tc>
          <w:tcPr>
            <w:tcW w:w="992" w:type="dxa"/>
            <w:tcBorders>
              <w:top w:val="nil"/>
              <w:left w:val="nil"/>
              <w:bottom w:val="nil"/>
              <w:right w:val="nil"/>
              <w:tl2br w:val="nil"/>
              <w:tr2bl w:val="nil"/>
            </w:tcBorders>
            <w:shd w:val="clear" w:color="auto" w:fill="auto"/>
            <w:noWrap/>
            <w:tcMar>
              <w:left w:w="101" w:type="dxa"/>
              <w:right w:w="101" w:type="dxa"/>
            </w:tcMar>
          </w:tcPr>
          <w:p w14:paraId="0AF2434F"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298</w:t>
            </w:r>
          </w:p>
        </w:tc>
        <w:tc>
          <w:tcPr>
            <w:tcW w:w="993" w:type="dxa"/>
            <w:tcBorders>
              <w:top w:val="nil"/>
              <w:left w:val="nil"/>
              <w:bottom w:val="nil"/>
              <w:right w:val="nil"/>
              <w:tl2br w:val="nil"/>
              <w:tr2bl w:val="nil"/>
            </w:tcBorders>
            <w:shd w:val="clear" w:color="auto" w:fill="auto"/>
            <w:noWrap/>
            <w:tcMar>
              <w:left w:w="101" w:type="dxa"/>
              <w:right w:w="101" w:type="dxa"/>
            </w:tcMar>
          </w:tcPr>
          <w:p w14:paraId="0B0CE6B9"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EF18CC" w14:paraId="05A4A6A4"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471D2E1D"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Whole of Government – 2021-22 COVID-19 Response -- Savings</w:t>
            </w:r>
          </w:p>
        </w:tc>
        <w:tc>
          <w:tcPr>
            <w:tcW w:w="1134" w:type="dxa"/>
            <w:tcBorders>
              <w:top w:val="nil"/>
              <w:left w:val="nil"/>
              <w:bottom w:val="nil"/>
              <w:right w:val="nil"/>
              <w:tl2br w:val="nil"/>
              <w:tr2bl w:val="nil"/>
            </w:tcBorders>
            <w:shd w:val="clear" w:color="auto" w:fill="auto"/>
            <w:noWrap/>
            <w:tcMar>
              <w:left w:w="101" w:type="dxa"/>
              <w:right w:w="101" w:type="dxa"/>
            </w:tcMar>
          </w:tcPr>
          <w:p w14:paraId="457EF87C"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330F80BE"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-96</w:t>
            </w:r>
          </w:p>
        </w:tc>
        <w:tc>
          <w:tcPr>
            <w:tcW w:w="992" w:type="dxa"/>
            <w:tcBorders>
              <w:top w:val="nil"/>
              <w:left w:val="nil"/>
              <w:bottom w:val="nil"/>
              <w:right w:val="nil"/>
              <w:tl2br w:val="nil"/>
              <w:tr2bl w:val="nil"/>
            </w:tcBorders>
            <w:shd w:val="clear" w:color="auto" w:fill="auto"/>
            <w:noWrap/>
            <w:tcMar>
              <w:left w:w="101" w:type="dxa"/>
              <w:right w:w="101" w:type="dxa"/>
            </w:tcMar>
          </w:tcPr>
          <w:p w14:paraId="74CACEBD"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36A2112"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3983857C"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EF18CC" w14:paraId="24886068"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189984B9"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Drug and Alcohol Court – more support</w:t>
            </w:r>
          </w:p>
        </w:tc>
        <w:tc>
          <w:tcPr>
            <w:tcW w:w="1134" w:type="dxa"/>
            <w:tcBorders>
              <w:top w:val="nil"/>
              <w:left w:val="nil"/>
              <w:bottom w:val="nil"/>
              <w:right w:val="nil"/>
              <w:tl2br w:val="nil"/>
              <w:tr2bl w:val="nil"/>
            </w:tcBorders>
            <w:shd w:val="clear" w:color="auto" w:fill="auto"/>
            <w:noWrap/>
            <w:tcMar>
              <w:left w:w="101" w:type="dxa"/>
              <w:right w:w="101" w:type="dxa"/>
            </w:tcMar>
          </w:tcPr>
          <w:p w14:paraId="548567F3"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1CF1BEB4"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241</w:t>
            </w:r>
          </w:p>
        </w:tc>
        <w:tc>
          <w:tcPr>
            <w:tcW w:w="992" w:type="dxa"/>
            <w:tcBorders>
              <w:top w:val="nil"/>
              <w:left w:val="nil"/>
              <w:bottom w:val="nil"/>
              <w:right w:val="nil"/>
              <w:tl2br w:val="nil"/>
              <w:tr2bl w:val="nil"/>
            </w:tcBorders>
            <w:shd w:val="clear" w:color="auto" w:fill="auto"/>
            <w:noWrap/>
            <w:tcMar>
              <w:left w:w="101" w:type="dxa"/>
              <w:right w:w="101" w:type="dxa"/>
            </w:tcMar>
          </w:tcPr>
          <w:p w14:paraId="012DC8AD"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248</w:t>
            </w:r>
          </w:p>
        </w:tc>
        <w:tc>
          <w:tcPr>
            <w:tcW w:w="992" w:type="dxa"/>
            <w:tcBorders>
              <w:top w:val="nil"/>
              <w:left w:val="nil"/>
              <w:bottom w:val="nil"/>
              <w:right w:val="nil"/>
              <w:tl2br w:val="nil"/>
              <w:tr2bl w:val="nil"/>
            </w:tcBorders>
            <w:shd w:val="clear" w:color="auto" w:fill="auto"/>
            <w:noWrap/>
            <w:tcMar>
              <w:left w:w="101" w:type="dxa"/>
              <w:right w:w="101" w:type="dxa"/>
            </w:tcMar>
          </w:tcPr>
          <w:p w14:paraId="54783AAF"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2370415D"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EF18CC" w14:paraId="0AB6E7EB"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1EE74489"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Vulnerable Household Energy Support Scheme</w:t>
            </w:r>
          </w:p>
        </w:tc>
        <w:tc>
          <w:tcPr>
            <w:tcW w:w="1134" w:type="dxa"/>
            <w:tcBorders>
              <w:top w:val="nil"/>
              <w:left w:val="nil"/>
              <w:bottom w:val="nil"/>
              <w:right w:val="nil"/>
              <w:tl2br w:val="nil"/>
              <w:tr2bl w:val="nil"/>
            </w:tcBorders>
            <w:shd w:val="clear" w:color="auto" w:fill="auto"/>
            <w:noWrap/>
            <w:tcMar>
              <w:left w:w="101" w:type="dxa"/>
              <w:right w:w="101" w:type="dxa"/>
            </w:tcMar>
          </w:tcPr>
          <w:p w14:paraId="293CEB93"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1263BE6"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2D4A3B2"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134</w:t>
            </w:r>
          </w:p>
        </w:tc>
        <w:tc>
          <w:tcPr>
            <w:tcW w:w="992" w:type="dxa"/>
            <w:tcBorders>
              <w:top w:val="nil"/>
              <w:left w:val="nil"/>
              <w:bottom w:val="nil"/>
              <w:right w:val="nil"/>
              <w:tl2br w:val="nil"/>
              <w:tr2bl w:val="nil"/>
            </w:tcBorders>
            <w:shd w:val="clear" w:color="auto" w:fill="auto"/>
            <w:noWrap/>
            <w:tcMar>
              <w:left w:w="101" w:type="dxa"/>
              <w:right w:w="101" w:type="dxa"/>
            </w:tcMar>
          </w:tcPr>
          <w:p w14:paraId="4298C5E5"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137</w:t>
            </w:r>
          </w:p>
        </w:tc>
        <w:tc>
          <w:tcPr>
            <w:tcW w:w="993" w:type="dxa"/>
            <w:tcBorders>
              <w:top w:val="nil"/>
              <w:left w:val="nil"/>
              <w:bottom w:val="nil"/>
              <w:right w:val="nil"/>
              <w:tl2br w:val="nil"/>
              <w:tr2bl w:val="nil"/>
            </w:tcBorders>
            <w:shd w:val="clear" w:color="auto" w:fill="auto"/>
            <w:noWrap/>
            <w:tcMar>
              <w:left w:w="101" w:type="dxa"/>
              <w:right w:w="101" w:type="dxa"/>
            </w:tcMar>
          </w:tcPr>
          <w:p w14:paraId="79ECC10C"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139</w:t>
            </w:r>
          </w:p>
        </w:tc>
      </w:tr>
      <w:tr w:rsidR="00EF18CC" w14:paraId="0CC0AA11"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95" w:type="dxa"/>
            <w:tcBorders>
              <w:top w:val="nil"/>
              <w:left w:val="nil"/>
              <w:bottom w:val="nil"/>
              <w:right w:val="nil"/>
              <w:tl2br w:val="nil"/>
              <w:tr2bl w:val="nil"/>
            </w:tcBorders>
            <w:shd w:val="clear" w:color="auto" w:fill="auto"/>
            <w:tcMar>
              <w:left w:w="0" w:type="dxa"/>
              <w:right w:w="0" w:type="dxa"/>
            </w:tcMar>
            <w:vAlign w:val="bottom"/>
          </w:tcPr>
          <w:p w14:paraId="25EBCDE8" w14:textId="77777777" w:rsidR="00EF18CC" w:rsidRDefault="00EF18CC" w:rsidP="006D3501">
            <w:pPr>
              <w:pStyle w:val="Normal0"/>
              <w:rPr>
                <w:rFonts w:ascii="Calibri" w:eastAsia="Calibri" w:hAnsi="Calibri" w:cs="Calibri"/>
                <w:color w:val="000000"/>
                <w:sz w:val="18"/>
              </w:rPr>
            </w:pP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62470536"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599FD0D7"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631BBB58"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39EF06BF" w14:textId="77777777" w:rsidR="00EF18CC" w:rsidRDefault="00EF18CC" w:rsidP="006D3501">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21E296D2" w14:textId="77777777" w:rsidR="00EF18CC" w:rsidRDefault="00EF18CC" w:rsidP="006D3501">
            <w:pPr>
              <w:pStyle w:val="Normal0"/>
              <w:rPr>
                <w:rFonts w:ascii="Calibri" w:eastAsia="Calibri" w:hAnsi="Calibri" w:cs="Calibri"/>
                <w:color w:val="000000"/>
                <w:sz w:val="18"/>
              </w:rPr>
            </w:pPr>
          </w:p>
        </w:tc>
      </w:tr>
      <w:tr w:rsidR="00EF18CC" w14:paraId="4C604A40"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95" w:type="dxa"/>
            <w:tcBorders>
              <w:top w:val="nil"/>
              <w:left w:val="nil"/>
              <w:bottom w:val="nil"/>
              <w:right w:val="nil"/>
              <w:tl2br w:val="nil"/>
              <w:tr2bl w:val="nil"/>
            </w:tcBorders>
            <w:shd w:val="clear" w:color="auto" w:fill="auto"/>
            <w:tcMar>
              <w:left w:w="101" w:type="dxa"/>
              <w:right w:w="101" w:type="dxa"/>
            </w:tcMar>
            <w:vAlign w:val="center"/>
          </w:tcPr>
          <w:p w14:paraId="5649155B" w14:textId="77777777" w:rsidR="00EF18CC" w:rsidRDefault="00EF18CC" w:rsidP="006D3501">
            <w:pPr>
              <w:pStyle w:val="Normal0"/>
              <w:rPr>
                <w:rFonts w:ascii="Calibri" w:eastAsia="Calibri" w:hAnsi="Calibri" w:cs="Calibri"/>
                <w:b/>
                <w:color w:val="000000"/>
                <w:sz w:val="18"/>
              </w:rPr>
            </w:pPr>
            <w:r>
              <w:rPr>
                <w:rFonts w:ascii="Calibri" w:eastAsia="Calibri" w:hAnsi="Calibri" w:cs="Calibri"/>
                <w:b/>
                <w:color w:val="000000"/>
                <w:sz w:val="18"/>
              </w:rPr>
              <w:t>2021-22 Budget Technical Adjustments</w:t>
            </w: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4CC53354" w14:textId="77777777" w:rsidR="00EF18CC" w:rsidRDefault="00EF18CC" w:rsidP="006D3501">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44EED3D" w14:textId="77777777" w:rsidR="00EF18CC" w:rsidRDefault="00EF18CC" w:rsidP="006D3501">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22F02131" w14:textId="77777777" w:rsidR="00EF18CC" w:rsidRDefault="00EF18CC" w:rsidP="006D3501">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71361B15" w14:textId="77777777" w:rsidR="00EF18CC" w:rsidRDefault="00EF18CC" w:rsidP="006D3501">
            <w:pPr>
              <w:pStyle w:val="Normal0"/>
              <w:rPr>
                <w:rFonts w:ascii="Calibri" w:eastAsia="Calibri" w:hAnsi="Calibri" w:cs="Calibri"/>
                <w:color w:val="FFFFFF"/>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43B9DD01" w14:textId="77777777" w:rsidR="00EF18CC" w:rsidRDefault="00EF18CC" w:rsidP="006D3501">
            <w:pPr>
              <w:pStyle w:val="Normal0"/>
              <w:rPr>
                <w:rFonts w:ascii="Calibri" w:eastAsia="Calibri" w:hAnsi="Calibri" w:cs="Calibri"/>
                <w:color w:val="FFFFFF"/>
                <w:sz w:val="18"/>
              </w:rPr>
            </w:pPr>
          </w:p>
        </w:tc>
      </w:tr>
      <w:tr w:rsidR="00EF18CC" w14:paraId="5F007BCE"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250D5FC1"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Commonwealth Grant Adjustments</w:t>
            </w:r>
          </w:p>
        </w:tc>
        <w:tc>
          <w:tcPr>
            <w:tcW w:w="1134" w:type="dxa"/>
            <w:tcBorders>
              <w:top w:val="nil"/>
              <w:left w:val="nil"/>
              <w:bottom w:val="nil"/>
              <w:right w:val="nil"/>
              <w:tl2br w:val="nil"/>
              <w:tr2bl w:val="nil"/>
            </w:tcBorders>
            <w:shd w:val="clear" w:color="auto" w:fill="auto"/>
            <w:noWrap/>
            <w:tcMar>
              <w:left w:w="101" w:type="dxa"/>
              <w:right w:w="101" w:type="dxa"/>
            </w:tcMar>
          </w:tcPr>
          <w:p w14:paraId="0D1F352D"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4</w:t>
            </w:r>
          </w:p>
        </w:tc>
        <w:tc>
          <w:tcPr>
            <w:tcW w:w="992" w:type="dxa"/>
            <w:tcBorders>
              <w:top w:val="nil"/>
              <w:left w:val="nil"/>
              <w:bottom w:val="nil"/>
              <w:right w:val="nil"/>
              <w:tl2br w:val="nil"/>
              <w:tr2bl w:val="nil"/>
            </w:tcBorders>
            <w:shd w:val="clear" w:color="auto" w:fill="auto"/>
            <w:noWrap/>
            <w:tcMar>
              <w:left w:w="101" w:type="dxa"/>
              <w:right w:w="101" w:type="dxa"/>
            </w:tcMar>
          </w:tcPr>
          <w:p w14:paraId="0147AC75"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1,723</w:t>
            </w:r>
          </w:p>
        </w:tc>
        <w:tc>
          <w:tcPr>
            <w:tcW w:w="992" w:type="dxa"/>
            <w:tcBorders>
              <w:top w:val="nil"/>
              <w:left w:val="nil"/>
              <w:bottom w:val="nil"/>
              <w:right w:val="nil"/>
              <w:tl2br w:val="nil"/>
              <w:tr2bl w:val="nil"/>
            </w:tcBorders>
            <w:shd w:val="clear" w:color="auto" w:fill="auto"/>
            <w:noWrap/>
            <w:tcMar>
              <w:left w:w="101" w:type="dxa"/>
              <w:right w:w="101" w:type="dxa"/>
            </w:tcMar>
          </w:tcPr>
          <w:p w14:paraId="35AFC551"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1,970</w:t>
            </w:r>
          </w:p>
        </w:tc>
        <w:tc>
          <w:tcPr>
            <w:tcW w:w="992" w:type="dxa"/>
            <w:tcBorders>
              <w:top w:val="nil"/>
              <w:left w:val="nil"/>
              <w:bottom w:val="nil"/>
              <w:right w:val="nil"/>
              <w:tl2br w:val="nil"/>
              <w:tr2bl w:val="nil"/>
            </w:tcBorders>
            <w:shd w:val="clear" w:color="auto" w:fill="auto"/>
            <w:noWrap/>
            <w:tcMar>
              <w:left w:w="101" w:type="dxa"/>
              <w:right w:w="101" w:type="dxa"/>
            </w:tcMar>
          </w:tcPr>
          <w:p w14:paraId="333192D6"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-10</w:t>
            </w:r>
          </w:p>
        </w:tc>
        <w:tc>
          <w:tcPr>
            <w:tcW w:w="993" w:type="dxa"/>
            <w:tcBorders>
              <w:top w:val="nil"/>
              <w:left w:val="nil"/>
              <w:bottom w:val="nil"/>
              <w:right w:val="nil"/>
              <w:tl2br w:val="nil"/>
              <w:tr2bl w:val="nil"/>
            </w:tcBorders>
            <w:shd w:val="clear" w:color="auto" w:fill="auto"/>
            <w:noWrap/>
            <w:tcMar>
              <w:left w:w="101" w:type="dxa"/>
              <w:right w:w="101" w:type="dxa"/>
            </w:tcMar>
          </w:tcPr>
          <w:p w14:paraId="0FDAFBF4"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242</w:t>
            </w:r>
          </w:p>
        </w:tc>
      </w:tr>
      <w:tr w:rsidR="00EF18CC" w14:paraId="289A3BF3"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309A8892" w14:textId="77777777"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 xml:space="preserve">COVID-19 Stimulus Measure – Extension of Rent Relief for </w:t>
            </w:r>
            <w:proofErr w:type="gramStart"/>
            <w:r>
              <w:rPr>
                <w:rFonts w:ascii="Calibri" w:eastAsia="Calibri" w:hAnsi="Calibri" w:cs="Calibri"/>
                <w:color w:val="000000"/>
                <w:sz w:val="18"/>
              </w:rPr>
              <w:t>the  Community</w:t>
            </w:r>
            <w:proofErr w:type="gramEnd"/>
            <w:r>
              <w:rPr>
                <w:rFonts w:ascii="Calibri" w:eastAsia="Calibri" w:hAnsi="Calibri" w:cs="Calibri"/>
                <w:color w:val="000000"/>
                <w:sz w:val="18"/>
              </w:rPr>
              <w:t xml:space="preserve"> Provider</w:t>
            </w:r>
          </w:p>
        </w:tc>
        <w:tc>
          <w:tcPr>
            <w:tcW w:w="1134" w:type="dxa"/>
            <w:tcBorders>
              <w:top w:val="nil"/>
              <w:left w:val="nil"/>
              <w:bottom w:val="nil"/>
              <w:right w:val="nil"/>
              <w:tl2br w:val="nil"/>
              <w:tr2bl w:val="nil"/>
            </w:tcBorders>
            <w:shd w:val="clear" w:color="auto" w:fill="auto"/>
            <w:noWrap/>
            <w:tcMar>
              <w:left w:w="101" w:type="dxa"/>
              <w:right w:w="101" w:type="dxa"/>
            </w:tcMar>
          </w:tcPr>
          <w:p w14:paraId="337610BF"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36D42B5"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-214</w:t>
            </w:r>
          </w:p>
        </w:tc>
        <w:tc>
          <w:tcPr>
            <w:tcW w:w="992" w:type="dxa"/>
            <w:tcBorders>
              <w:top w:val="nil"/>
              <w:left w:val="nil"/>
              <w:bottom w:val="nil"/>
              <w:right w:val="nil"/>
              <w:tl2br w:val="nil"/>
              <w:tr2bl w:val="nil"/>
            </w:tcBorders>
            <w:shd w:val="clear" w:color="auto" w:fill="auto"/>
            <w:noWrap/>
            <w:tcMar>
              <w:left w:w="101" w:type="dxa"/>
              <w:right w:w="101" w:type="dxa"/>
            </w:tcMar>
          </w:tcPr>
          <w:p w14:paraId="21A4F2FF"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00AE0ED"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4C63B818"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EF18CC" w14:paraId="4D29B421"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3FFA9AD7" w14:textId="7D97DF7F" w:rsidR="00EF18CC" w:rsidRDefault="00EF18CC" w:rsidP="006D3501">
            <w:pPr>
              <w:pStyle w:val="Normal0"/>
              <w:rPr>
                <w:rFonts w:ascii="Calibri" w:eastAsia="Calibri" w:hAnsi="Calibri" w:cs="Calibri"/>
                <w:color w:val="000000"/>
                <w:sz w:val="18"/>
              </w:rPr>
            </w:pPr>
            <w:r>
              <w:rPr>
                <w:rFonts w:ascii="Calibri" w:eastAsia="Calibri" w:hAnsi="Calibri" w:cs="Calibri"/>
                <w:color w:val="000000"/>
                <w:sz w:val="18"/>
              </w:rPr>
              <w:t xml:space="preserve">2020-21 </w:t>
            </w:r>
            <w:r w:rsidR="00F36609">
              <w:rPr>
                <w:rFonts w:ascii="Calibri" w:eastAsia="Calibri" w:hAnsi="Calibri" w:cs="Calibri"/>
                <w:color w:val="000000"/>
                <w:sz w:val="18"/>
              </w:rPr>
              <w:t>Interim</w:t>
            </w:r>
            <w:r>
              <w:rPr>
                <w:rFonts w:ascii="Calibri" w:eastAsia="Calibri" w:hAnsi="Calibri" w:cs="Calibri"/>
                <w:color w:val="000000"/>
                <w:sz w:val="18"/>
              </w:rPr>
              <w:t xml:space="preserve"> Outcome</w:t>
            </w:r>
          </w:p>
        </w:tc>
        <w:tc>
          <w:tcPr>
            <w:tcW w:w="1134" w:type="dxa"/>
            <w:tcBorders>
              <w:top w:val="nil"/>
              <w:left w:val="nil"/>
              <w:bottom w:val="nil"/>
              <w:right w:val="nil"/>
              <w:tl2br w:val="nil"/>
              <w:tr2bl w:val="nil"/>
            </w:tcBorders>
            <w:shd w:val="clear" w:color="auto" w:fill="auto"/>
            <w:noWrap/>
            <w:tcMar>
              <w:left w:w="101" w:type="dxa"/>
              <w:right w:w="101" w:type="dxa"/>
            </w:tcMar>
          </w:tcPr>
          <w:p w14:paraId="0C13017A"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-4</w:t>
            </w:r>
          </w:p>
        </w:tc>
        <w:tc>
          <w:tcPr>
            <w:tcW w:w="992" w:type="dxa"/>
            <w:tcBorders>
              <w:top w:val="nil"/>
              <w:left w:val="nil"/>
              <w:bottom w:val="nil"/>
              <w:right w:val="nil"/>
              <w:tl2br w:val="nil"/>
              <w:tr2bl w:val="nil"/>
            </w:tcBorders>
            <w:shd w:val="clear" w:color="auto" w:fill="auto"/>
            <w:noWrap/>
            <w:tcMar>
              <w:left w:w="101" w:type="dxa"/>
              <w:right w:w="101" w:type="dxa"/>
            </w:tcMar>
          </w:tcPr>
          <w:p w14:paraId="502C50DA"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4F26A97D"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194108A3"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6EF52217" w14:textId="77777777" w:rsidR="00EF18CC" w:rsidRDefault="00EF18CC" w:rsidP="006D350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EF18CC" w14:paraId="281CA15C"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39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3F045DB" w14:textId="77777777" w:rsidR="00EF18CC" w:rsidRDefault="00EF18CC" w:rsidP="006D3501">
            <w:pPr>
              <w:pStyle w:val="Normal0"/>
              <w:rPr>
                <w:rFonts w:ascii="Calibri" w:eastAsia="Calibri" w:hAnsi="Calibri" w:cs="Calibri"/>
                <w:color w:val="000000"/>
                <w:sz w:val="18"/>
              </w:rPr>
            </w:pPr>
          </w:p>
        </w:tc>
        <w:tc>
          <w:tcPr>
            <w:tcW w:w="1134"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3B4C3AA"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8C33A30"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49BE65B" w14:textId="77777777" w:rsidR="00EF18CC" w:rsidRDefault="00EF18CC" w:rsidP="006D3501">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BE0FD43" w14:textId="77777777" w:rsidR="00EF18CC" w:rsidRDefault="00EF18CC" w:rsidP="006D3501">
            <w:pPr>
              <w:pStyle w:val="Normal0"/>
              <w:rPr>
                <w:rFonts w:ascii="Calibri" w:eastAsia="Calibri" w:hAnsi="Calibri" w:cs="Calibri"/>
                <w:color w:val="000000"/>
                <w:sz w:val="18"/>
              </w:rPr>
            </w:pPr>
          </w:p>
        </w:tc>
        <w:tc>
          <w:tcPr>
            <w:tcW w:w="99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160C2C3" w14:textId="77777777" w:rsidR="00EF18CC" w:rsidRDefault="00EF18CC" w:rsidP="006D3501">
            <w:pPr>
              <w:pStyle w:val="Normal0"/>
              <w:rPr>
                <w:rFonts w:ascii="Calibri" w:eastAsia="Calibri" w:hAnsi="Calibri" w:cs="Calibri"/>
                <w:color w:val="000000"/>
                <w:sz w:val="18"/>
              </w:rPr>
            </w:pPr>
          </w:p>
        </w:tc>
      </w:tr>
      <w:tr w:rsidR="00EF18CC" w14:paraId="1DEE475A"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95"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center"/>
          </w:tcPr>
          <w:p w14:paraId="6D671D43" w14:textId="77777777" w:rsidR="00EF18CC" w:rsidRDefault="00EF18CC" w:rsidP="006D3501">
            <w:pPr>
              <w:pStyle w:val="Normal0"/>
              <w:rPr>
                <w:rFonts w:ascii="Calibri" w:eastAsia="Calibri" w:hAnsi="Calibri" w:cs="Calibri"/>
                <w:b/>
                <w:color w:val="000000"/>
                <w:sz w:val="18"/>
              </w:rPr>
            </w:pPr>
            <w:r>
              <w:rPr>
                <w:rFonts w:ascii="Calibri" w:eastAsia="Calibri" w:hAnsi="Calibri" w:cs="Calibri"/>
                <w:b/>
                <w:color w:val="000000"/>
                <w:sz w:val="18"/>
              </w:rPr>
              <w:t>2021-22 Budget</w:t>
            </w:r>
          </w:p>
        </w:tc>
        <w:tc>
          <w:tcPr>
            <w:tcW w:w="1134"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7DA8130"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54,883</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49ACD02"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57,786</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1B76C8A"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58,220</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34CBC76B"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51,746</w:t>
            </w:r>
          </w:p>
        </w:tc>
        <w:tc>
          <w:tcPr>
            <w:tcW w:w="99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8AE332F" w14:textId="77777777" w:rsidR="00EF18CC" w:rsidRDefault="00EF18CC" w:rsidP="006D3501">
            <w:pPr>
              <w:pStyle w:val="Normal0"/>
              <w:jc w:val="right"/>
              <w:rPr>
                <w:rFonts w:ascii="Calibri" w:eastAsia="Calibri" w:hAnsi="Calibri" w:cs="Calibri"/>
                <w:b/>
                <w:color w:val="000000"/>
                <w:sz w:val="18"/>
              </w:rPr>
            </w:pPr>
            <w:r>
              <w:rPr>
                <w:rFonts w:ascii="Calibri" w:eastAsia="Calibri" w:hAnsi="Calibri" w:cs="Calibri"/>
                <w:b/>
                <w:color w:val="000000"/>
                <w:sz w:val="18"/>
              </w:rPr>
              <w:t>51,706</w:t>
            </w:r>
          </w:p>
        </w:tc>
      </w:tr>
    </w:tbl>
    <w:p w14:paraId="64CDBAEE" w14:textId="77777777" w:rsidR="00E5563D" w:rsidRDefault="00E5563D" w:rsidP="00E5563D">
      <w:pPr>
        <w:pStyle w:val="Caption"/>
      </w:pPr>
    </w:p>
    <w:p w14:paraId="7FC43BA3" w14:textId="77777777" w:rsidR="00E5563D" w:rsidRDefault="00E5563D">
      <w:pPr>
        <w:spacing w:before="0" w:after="0"/>
        <w:rPr>
          <w:b/>
          <w:bCs/>
          <w:color w:val="000000"/>
          <w:sz w:val="22"/>
          <w:szCs w:val="18"/>
        </w:rPr>
      </w:pPr>
      <w:r>
        <w:br w:type="page"/>
      </w:r>
    </w:p>
    <w:p w14:paraId="3B0F2EF5" w14:textId="2D940C9D" w:rsidR="00EF18CC" w:rsidRDefault="00E5563D" w:rsidP="001F1756">
      <w:pPr>
        <w:pStyle w:val="Caption"/>
      </w:pPr>
      <w:r>
        <w:lastRenderedPageBreak/>
        <w:t xml:space="preserve">Table </w:t>
      </w:r>
      <w:fldSimple w:instr=" SEQ Table \* ARABIC ">
        <w:r w:rsidR="001E4FEE">
          <w:rPr>
            <w:noProof/>
          </w:rPr>
          <w:t>37</w:t>
        </w:r>
      </w:fldSimple>
      <w:r w:rsidR="00EF18CC" w:rsidRPr="002168B4">
        <w:rPr>
          <w:bdr w:val="nil"/>
        </w:rPr>
        <w:t>: Changes to appropriation –</w:t>
      </w:r>
      <w:r w:rsidR="00EF18CC" w:rsidRPr="002168B4">
        <w:rPr>
          <w:szCs w:val="20"/>
          <w:bdr w:val="nil"/>
        </w:rPr>
        <w:t xml:space="preserve"> </w:t>
      </w:r>
      <w:r w:rsidR="00EF18CC">
        <w:rPr>
          <w:bdr w:val="nil"/>
        </w:rPr>
        <w:t>Capital Injections, Controlled</w:t>
      </w:r>
    </w:p>
    <w:tbl>
      <w:tblPr>
        <w:tblStyle w:val="CDMRange2"/>
        <w:tblW w:w="9498" w:type="dxa"/>
        <w:tblLayout w:type="fixed"/>
        <w:tblLook w:val="0600" w:firstRow="0" w:lastRow="0" w:firstColumn="0" w:lastColumn="0" w:noHBand="1" w:noVBand="1"/>
      </w:tblPr>
      <w:tblGrid>
        <w:gridCol w:w="4395"/>
        <w:gridCol w:w="1134"/>
        <w:gridCol w:w="992"/>
        <w:gridCol w:w="992"/>
        <w:gridCol w:w="992"/>
        <w:gridCol w:w="993"/>
      </w:tblGrid>
      <w:tr w:rsidR="00EF18CC" w14:paraId="5D3F6605" w14:textId="77777777" w:rsidTr="001F1756">
        <w:trPr>
          <w:trHeight w:val="990"/>
        </w:trPr>
        <w:tc>
          <w:tcPr>
            <w:tcW w:w="439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0894438" w14:textId="77777777" w:rsidR="00EF18CC" w:rsidRDefault="00EF18CC" w:rsidP="006D3501">
            <w:pPr>
              <w:pStyle w:val="Normal1"/>
              <w:rPr>
                <w:rFonts w:eastAsia="Calibri" w:cs="Calibri"/>
                <w:color w:val="000000"/>
                <w:sz w:val="18"/>
              </w:rPr>
            </w:pPr>
          </w:p>
        </w:tc>
        <w:tc>
          <w:tcPr>
            <w:tcW w:w="1134"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D0B02AB" w14:textId="77777777" w:rsidR="00EF18CC" w:rsidRPr="001F1756" w:rsidRDefault="00EF18CC" w:rsidP="001F1756">
            <w:pPr>
              <w:pStyle w:val="BStablefigures00"/>
              <w:rPr>
                <w:b/>
                <w:bCs/>
              </w:rPr>
            </w:pPr>
            <w:r w:rsidRPr="001F1756">
              <w:rPr>
                <w:b/>
                <w:bCs/>
              </w:rPr>
              <w:t>2020-21 Interim Outcome</w:t>
            </w:r>
          </w:p>
          <w:p w14:paraId="6A722A4B" w14:textId="77777777" w:rsidR="00EF18CC" w:rsidRPr="001F1756" w:rsidRDefault="00EF18CC" w:rsidP="001F1756">
            <w:pPr>
              <w:pStyle w:val="BStablefigures00"/>
              <w:rPr>
                <w:b/>
                <w:bCs/>
              </w:rPr>
            </w:pPr>
            <w:r w:rsidRPr="001F1756">
              <w:rPr>
                <w:b/>
                <w:bCs/>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AEA9B21" w14:textId="23B4A81F" w:rsidR="00EF18CC" w:rsidRPr="001F1756" w:rsidRDefault="00EF18CC" w:rsidP="001F1756">
            <w:pPr>
              <w:pStyle w:val="BStablefigures00"/>
              <w:rPr>
                <w:b/>
                <w:bCs/>
              </w:rPr>
            </w:pPr>
            <w:r w:rsidRPr="001F1756">
              <w:rPr>
                <w:b/>
                <w:bCs/>
              </w:rPr>
              <w:t>2021-22 Budget</w:t>
            </w:r>
          </w:p>
          <w:p w14:paraId="554E053F" w14:textId="77777777" w:rsidR="00EF18CC" w:rsidRPr="001F1756" w:rsidRDefault="00EF18CC" w:rsidP="001F1756">
            <w:pPr>
              <w:pStyle w:val="BStablefigures00"/>
              <w:rPr>
                <w:b/>
                <w:bCs/>
              </w:rPr>
            </w:pPr>
            <w:r w:rsidRPr="001F1756">
              <w:rPr>
                <w:b/>
                <w:bCs/>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2EB00D2" w14:textId="64A272DE" w:rsidR="00EF18CC" w:rsidRPr="001F1756" w:rsidRDefault="00EF18CC" w:rsidP="001F1756">
            <w:pPr>
              <w:pStyle w:val="BStablefigures00"/>
              <w:rPr>
                <w:b/>
                <w:bCs/>
              </w:rPr>
            </w:pPr>
            <w:r w:rsidRPr="001F1756">
              <w:rPr>
                <w:b/>
                <w:bCs/>
              </w:rPr>
              <w:t>2022-23 Estimate</w:t>
            </w:r>
          </w:p>
          <w:p w14:paraId="5C8B2758" w14:textId="77777777" w:rsidR="00EF18CC" w:rsidRPr="001F1756" w:rsidRDefault="00EF18CC" w:rsidP="001F1756">
            <w:pPr>
              <w:pStyle w:val="BStablefigures00"/>
              <w:rPr>
                <w:b/>
                <w:bCs/>
              </w:rPr>
            </w:pPr>
            <w:r w:rsidRPr="001F1756">
              <w:rPr>
                <w:b/>
                <w:bCs/>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F6B3637" w14:textId="471DA509" w:rsidR="00EF18CC" w:rsidRPr="001F1756" w:rsidRDefault="00EF18CC" w:rsidP="001F1756">
            <w:pPr>
              <w:pStyle w:val="BStablefigures00"/>
              <w:rPr>
                <w:b/>
                <w:bCs/>
              </w:rPr>
            </w:pPr>
            <w:r w:rsidRPr="001F1756">
              <w:rPr>
                <w:b/>
                <w:bCs/>
              </w:rPr>
              <w:t>2023-24 Estimate</w:t>
            </w:r>
          </w:p>
          <w:p w14:paraId="5F0BBA77" w14:textId="77777777" w:rsidR="00EF18CC" w:rsidRPr="001F1756" w:rsidRDefault="00EF18CC" w:rsidP="001F1756">
            <w:pPr>
              <w:pStyle w:val="BStablefigures00"/>
              <w:rPr>
                <w:b/>
                <w:bCs/>
              </w:rPr>
            </w:pPr>
            <w:r w:rsidRPr="001F1756">
              <w:rPr>
                <w:b/>
                <w:bCs/>
              </w:rPr>
              <w:t>$'000</w:t>
            </w:r>
          </w:p>
        </w:tc>
        <w:tc>
          <w:tcPr>
            <w:tcW w:w="99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FDFDFB" w14:textId="575123CF" w:rsidR="00EF18CC" w:rsidRPr="001F1756" w:rsidRDefault="00EF18CC" w:rsidP="001F1756">
            <w:pPr>
              <w:pStyle w:val="BStablefigures00"/>
              <w:rPr>
                <w:b/>
                <w:bCs/>
              </w:rPr>
            </w:pPr>
            <w:r w:rsidRPr="001F1756">
              <w:rPr>
                <w:b/>
                <w:bCs/>
              </w:rPr>
              <w:t>2024-25 Estimate</w:t>
            </w:r>
          </w:p>
          <w:p w14:paraId="58054546" w14:textId="77777777" w:rsidR="00EF18CC" w:rsidRPr="001F1756" w:rsidRDefault="00EF18CC" w:rsidP="001F1756">
            <w:pPr>
              <w:pStyle w:val="BStablefigures00"/>
              <w:rPr>
                <w:b/>
                <w:bCs/>
              </w:rPr>
            </w:pPr>
            <w:r w:rsidRPr="001F1756">
              <w:rPr>
                <w:b/>
                <w:bCs/>
              </w:rPr>
              <w:t>$'000</w:t>
            </w:r>
          </w:p>
        </w:tc>
      </w:tr>
      <w:tr w:rsidR="00EF18CC" w14:paraId="63412C43"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39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439B49E" w14:textId="77777777" w:rsidR="00EF18CC" w:rsidRDefault="00EF18CC" w:rsidP="006D3501">
            <w:pPr>
              <w:pStyle w:val="Normal1"/>
              <w:rPr>
                <w:rFonts w:eastAsia="Calibri" w:cs="Calibri"/>
                <w:color w:val="000000"/>
                <w:sz w:val="18"/>
              </w:rPr>
            </w:pPr>
          </w:p>
        </w:tc>
        <w:tc>
          <w:tcPr>
            <w:tcW w:w="1134"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4D2F355" w14:textId="77777777" w:rsidR="00EF18CC" w:rsidRDefault="00EF18CC" w:rsidP="006D3501">
            <w:pPr>
              <w:pStyle w:val="Normal1"/>
              <w:rPr>
                <w:rFonts w:eastAsia="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BCDC6DD" w14:textId="77777777" w:rsidR="00EF18CC" w:rsidRDefault="00EF18CC" w:rsidP="006D3501">
            <w:pPr>
              <w:pStyle w:val="Normal1"/>
              <w:rPr>
                <w:rFonts w:eastAsia="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052F4F6" w14:textId="77777777" w:rsidR="00EF18CC" w:rsidRDefault="00EF18CC" w:rsidP="006D3501">
            <w:pPr>
              <w:pStyle w:val="Normal1"/>
              <w:rPr>
                <w:rFonts w:eastAsia="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98C51C4" w14:textId="77777777" w:rsidR="00EF18CC" w:rsidRDefault="00EF18CC" w:rsidP="006D3501">
            <w:pPr>
              <w:pStyle w:val="Normal1"/>
              <w:rPr>
                <w:rFonts w:eastAsia="Calibri" w:cs="Calibri"/>
                <w:color w:val="000000"/>
                <w:sz w:val="18"/>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729A239" w14:textId="77777777" w:rsidR="00EF18CC" w:rsidRDefault="00EF18CC" w:rsidP="006D3501">
            <w:pPr>
              <w:pStyle w:val="Normal1"/>
              <w:rPr>
                <w:rFonts w:eastAsia="Calibri" w:cs="Calibri"/>
                <w:color w:val="000000"/>
                <w:sz w:val="18"/>
              </w:rPr>
            </w:pPr>
          </w:p>
        </w:tc>
      </w:tr>
      <w:tr w:rsidR="00F36609" w14:paraId="191E09FC" w14:textId="77777777" w:rsidTr="00F36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395" w:type="dxa"/>
            <w:tcBorders>
              <w:top w:val="nil"/>
              <w:left w:val="nil"/>
              <w:bottom w:val="nil"/>
              <w:right w:val="nil"/>
              <w:tl2br w:val="nil"/>
              <w:tr2bl w:val="nil"/>
            </w:tcBorders>
            <w:shd w:val="clear" w:color="auto" w:fill="auto"/>
            <w:tcMar>
              <w:left w:w="101" w:type="dxa"/>
              <w:right w:w="101" w:type="dxa"/>
            </w:tcMar>
            <w:vAlign w:val="center"/>
          </w:tcPr>
          <w:p w14:paraId="3E550D74" w14:textId="52FEB4D9" w:rsidR="00F36609" w:rsidRPr="00F36609" w:rsidRDefault="00F36609" w:rsidP="00F36609">
            <w:pPr>
              <w:pStyle w:val="BSnoteslist"/>
              <w:rPr>
                <w:rFonts w:eastAsia="Calibri"/>
                <w:b/>
                <w:bCs/>
              </w:rPr>
            </w:pPr>
            <w:r>
              <w:rPr>
                <w:rFonts w:eastAsia="Calibri"/>
                <w:b/>
                <w:bCs/>
              </w:rPr>
              <w:t>2020-21 Budget</w:t>
            </w:r>
          </w:p>
        </w:tc>
        <w:tc>
          <w:tcPr>
            <w:tcW w:w="1134" w:type="dxa"/>
            <w:tcBorders>
              <w:top w:val="nil"/>
              <w:left w:val="nil"/>
              <w:bottom w:val="nil"/>
              <w:right w:val="nil"/>
              <w:tl2br w:val="nil"/>
              <w:tr2bl w:val="nil"/>
            </w:tcBorders>
            <w:shd w:val="clear" w:color="auto" w:fill="auto"/>
            <w:noWrap/>
            <w:tcMar>
              <w:left w:w="0" w:type="dxa"/>
              <w:right w:w="0" w:type="dxa"/>
            </w:tcMar>
          </w:tcPr>
          <w:p w14:paraId="5FF1EE16" w14:textId="2676C08B" w:rsidR="00F36609" w:rsidRPr="00F36609" w:rsidRDefault="00F36609" w:rsidP="00F36609">
            <w:pPr>
              <w:pStyle w:val="BStablefigures0"/>
              <w:rPr>
                <w:b/>
                <w:bCs/>
              </w:rPr>
            </w:pPr>
            <w:r>
              <w:rPr>
                <w:b/>
                <w:bCs/>
                <w:color w:val="000000"/>
              </w:rPr>
              <w:t>83,133</w:t>
            </w:r>
          </w:p>
        </w:tc>
        <w:tc>
          <w:tcPr>
            <w:tcW w:w="992" w:type="dxa"/>
            <w:tcBorders>
              <w:top w:val="nil"/>
              <w:left w:val="nil"/>
              <w:bottom w:val="nil"/>
              <w:right w:val="nil"/>
              <w:tl2br w:val="nil"/>
              <w:tr2bl w:val="nil"/>
            </w:tcBorders>
            <w:shd w:val="clear" w:color="auto" w:fill="auto"/>
            <w:noWrap/>
            <w:tcMar>
              <w:left w:w="0" w:type="dxa"/>
              <w:right w:w="0" w:type="dxa"/>
            </w:tcMar>
          </w:tcPr>
          <w:p w14:paraId="5F479EC0" w14:textId="63229327" w:rsidR="00F36609" w:rsidRPr="00F36609" w:rsidRDefault="00F36609" w:rsidP="00F36609">
            <w:pPr>
              <w:pStyle w:val="BStablefigures0"/>
              <w:rPr>
                <w:b/>
                <w:bCs/>
              </w:rPr>
            </w:pPr>
            <w:r>
              <w:rPr>
                <w:b/>
                <w:bCs/>
                <w:color w:val="000000"/>
              </w:rPr>
              <w:t>11,900</w:t>
            </w:r>
          </w:p>
        </w:tc>
        <w:tc>
          <w:tcPr>
            <w:tcW w:w="992" w:type="dxa"/>
            <w:tcBorders>
              <w:top w:val="nil"/>
              <w:left w:val="nil"/>
              <w:bottom w:val="nil"/>
              <w:right w:val="nil"/>
              <w:tl2br w:val="nil"/>
              <w:tr2bl w:val="nil"/>
            </w:tcBorders>
            <w:shd w:val="clear" w:color="auto" w:fill="auto"/>
            <w:noWrap/>
            <w:tcMar>
              <w:left w:w="0" w:type="dxa"/>
              <w:right w:w="0" w:type="dxa"/>
            </w:tcMar>
          </w:tcPr>
          <w:p w14:paraId="59A22701" w14:textId="1A296CD6" w:rsidR="00F36609" w:rsidRPr="00F36609" w:rsidRDefault="00F36609" w:rsidP="00F36609">
            <w:pPr>
              <w:pStyle w:val="BStablefigures0"/>
              <w:rPr>
                <w:b/>
                <w:bCs/>
              </w:rPr>
            </w:pPr>
            <w:r>
              <w:rPr>
                <w:b/>
                <w:bCs/>
                <w:color w:val="000000"/>
              </w:rPr>
              <w:t>5</w:t>
            </w:r>
            <w:r w:rsidRPr="00F36609">
              <w:rPr>
                <w:b/>
                <w:bCs/>
                <w:color w:val="000000"/>
              </w:rPr>
              <w:t>,000</w:t>
            </w:r>
          </w:p>
        </w:tc>
        <w:tc>
          <w:tcPr>
            <w:tcW w:w="992" w:type="dxa"/>
            <w:tcBorders>
              <w:top w:val="nil"/>
              <w:left w:val="nil"/>
              <w:bottom w:val="nil"/>
              <w:right w:val="nil"/>
              <w:tl2br w:val="nil"/>
              <w:tr2bl w:val="nil"/>
            </w:tcBorders>
            <w:shd w:val="clear" w:color="auto" w:fill="auto"/>
            <w:noWrap/>
            <w:tcMar>
              <w:left w:w="0" w:type="dxa"/>
              <w:right w:w="0" w:type="dxa"/>
            </w:tcMar>
          </w:tcPr>
          <w:p w14:paraId="3CBF49D9" w14:textId="2F8B35AF" w:rsidR="00F36609" w:rsidRPr="00F36609" w:rsidRDefault="00F36609" w:rsidP="00F36609">
            <w:pPr>
              <w:pStyle w:val="BStablefigures0"/>
              <w:rPr>
                <w:b/>
                <w:bCs/>
              </w:rPr>
            </w:pPr>
            <w:r>
              <w:rPr>
                <w:b/>
                <w:bCs/>
                <w:color w:val="000000"/>
              </w:rPr>
              <w:t>5</w:t>
            </w:r>
            <w:r w:rsidRPr="00F36609">
              <w:rPr>
                <w:b/>
                <w:bCs/>
                <w:color w:val="000000"/>
              </w:rPr>
              <w:t>,000</w:t>
            </w:r>
          </w:p>
        </w:tc>
        <w:tc>
          <w:tcPr>
            <w:tcW w:w="993" w:type="dxa"/>
            <w:tcBorders>
              <w:top w:val="nil"/>
              <w:left w:val="nil"/>
              <w:bottom w:val="nil"/>
              <w:right w:val="nil"/>
              <w:tl2br w:val="nil"/>
              <w:tr2bl w:val="nil"/>
            </w:tcBorders>
            <w:shd w:val="clear" w:color="auto" w:fill="auto"/>
            <w:noWrap/>
            <w:tcMar>
              <w:left w:w="0" w:type="dxa"/>
              <w:right w:w="0" w:type="dxa"/>
            </w:tcMar>
          </w:tcPr>
          <w:p w14:paraId="1180E6AC" w14:textId="028B9CB3" w:rsidR="00F36609" w:rsidRPr="00F36609" w:rsidRDefault="00F36609" w:rsidP="00F36609">
            <w:pPr>
              <w:pStyle w:val="BStablefigures0"/>
              <w:rPr>
                <w:b/>
                <w:bCs/>
              </w:rPr>
            </w:pPr>
            <w:r>
              <w:rPr>
                <w:b/>
                <w:bCs/>
                <w:color w:val="000000"/>
              </w:rPr>
              <w:t>5,00</w:t>
            </w:r>
            <w:r w:rsidRPr="00F36609">
              <w:rPr>
                <w:b/>
                <w:bCs/>
                <w:color w:val="000000"/>
              </w:rPr>
              <w:t>0</w:t>
            </w:r>
          </w:p>
        </w:tc>
      </w:tr>
      <w:tr w:rsidR="00F36609" w14:paraId="08A57DBF"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395" w:type="dxa"/>
            <w:tcBorders>
              <w:top w:val="nil"/>
              <w:left w:val="nil"/>
              <w:bottom w:val="nil"/>
              <w:right w:val="nil"/>
              <w:tl2br w:val="nil"/>
              <w:tr2bl w:val="nil"/>
            </w:tcBorders>
            <w:shd w:val="clear" w:color="auto" w:fill="auto"/>
            <w:tcMar>
              <w:left w:w="101" w:type="dxa"/>
              <w:right w:w="101" w:type="dxa"/>
            </w:tcMar>
            <w:vAlign w:val="center"/>
          </w:tcPr>
          <w:p w14:paraId="0A0E0A84" w14:textId="77777777" w:rsidR="00F36609" w:rsidRPr="001F1756" w:rsidRDefault="00F36609" w:rsidP="001F1756">
            <w:pPr>
              <w:pStyle w:val="BSnoteslist"/>
              <w:rPr>
                <w:rFonts w:eastAsia="Calibri"/>
                <w:b/>
                <w:bCs/>
              </w:rPr>
            </w:pP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57B61F3A" w14:textId="77777777" w:rsidR="00F36609" w:rsidRPr="001F1756" w:rsidRDefault="00F36609" w:rsidP="001F1756">
            <w:pPr>
              <w:pStyle w:val="BStablefigures0"/>
              <w:rPr>
                <w:b/>
                <w:bCs/>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00D8D388" w14:textId="77777777" w:rsidR="00F36609" w:rsidRPr="001F1756" w:rsidRDefault="00F36609" w:rsidP="001F1756">
            <w:pPr>
              <w:pStyle w:val="BStablefigures0"/>
              <w:rPr>
                <w:b/>
                <w:bCs/>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1937CB9F" w14:textId="77777777" w:rsidR="00F36609" w:rsidRPr="001F1756" w:rsidRDefault="00F36609" w:rsidP="001F1756">
            <w:pPr>
              <w:pStyle w:val="BStablefigures0"/>
              <w:rPr>
                <w:b/>
                <w:bCs/>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0C8B439F" w14:textId="77777777" w:rsidR="00F36609" w:rsidRPr="001F1756" w:rsidRDefault="00F36609" w:rsidP="001F1756">
            <w:pPr>
              <w:pStyle w:val="BStablefigures0"/>
              <w:rPr>
                <w:b/>
                <w:bCs/>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55ADD3DC" w14:textId="77777777" w:rsidR="00F36609" w:rsidRPr="001F1756" w:rsidRDefault="00F36609" w:rsidP="001F1756">
            <w:pPr>
              <w:pStyle w:val="BStablefigures0"/>
              <w:rPr>
                <w:b/>
                <w:bCs/>
              </w:rPr>
            </w:pPr>
          </w:p>
        </w:tc>
      </w:tr>
      <w:tr w:rsidR="00EF18CC" w14:paraId="783E20C2"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395" w:type="dxa"/>
            <w:tcBorders>
              <w:top w:val="nil"/>
              <w:left w:val="nil"/>
              <w:bottom w:val="nil"/>
              <w:right w:val="nil"/>
              <w:tl2br w:val="nil"/>
              <w:tr2bl w:val="nil"/>
            </w:tcBorders>
            <w:shd w:val="clear" w:color="auto" w:fill="auto"/>
            <w:tcMar>
              <w:left w:w="101" w:type="dxa"/>
              <w:right w:w="101" w:type="dxa"/>
            </w:tcMar>
            <w:vAlign w:val="center"/>
          </w:tcPr>
          <w:p w14:paraId="22AD51CD" w14:textId="77777777" w:rsidR="00EF18CC" w:rsidRPr="001F1756" w:rsidRDefault="00EF18CC" w:rsidP="001F1756">
            <w:pPr>
              <w:pStyle w:val="BSnoteslist"/>
              <w:rPr>
                <w:rFonts w:eastAsia="Calibri"/>
                <w:b/>
                <w:bCs/>
              </w:rPr>
            </w:pPr>
            <w:r w:rsidRPr="001F1756">
              <w:rPr>
                <w:rFonts w:eastAsia="Calibri"/>
                <w:b/>
                <w:bCs/>
              </w:rPr>
              <w:t>2021-22 Budget Policy Decisions</w:t>
            </w:r>
          </w:p>
        </w:tc>
        <w:tc>
          <w:tcPr>
            <w:tcW w:w="1134" w:type="dxa"/>
            <w:tcBorders>
              <w:top w:val="nil"/>
              <w:left w:val="nil"/>
              <w:bottom w:val="nil"/>
              <w:right w:val="nil"/>
              <w:tl2br w:val="nil"/>
              <w:tr2bl w:val="nil"/>
            </w:tcBorders>
            <w:shd w:val="clear" w:color="auto" w:fill="auto"/>
            <w:noWrap/>
            <w:tcMar>
              <w:left w:w="0" w:type="dxa"/>
              <w:right w:w="0" w:type="dxa"/>
            </w:tcMar>
            <w:vAlign w:val="bottom"/>
          </w:tcPr>
          <w:p w14:paraId="6E27D7AC" w14:textId="77777777" w:rsidR="00EF18CC" w:rsidRPr="001F1756" w:rsidRDefault="00EF18CC" w:rsidP="001F1756">
            <w:pPr>
              <w:pStyle w:val="BStablefigures0"/>
              <w:rPr>
                <w:b/>
                <w:bCs/>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0989D627" w14:textId="77777777" w:rsidR="00EF18CC" w:rsidRPr="001F1756" w:rsidRDefault="00EF18CC" w:rsidP="001F1756">
            <w:pPr>
              <w:pStyle w:val="BStablefigures0"/>
              <w:rPr>
                <w:b/>
                <w:bCs/>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07E9429B" w14:textId="77777777" w:rsidR="00EF18CC" w:rsidRPr="001F1756" w:rsidRDefault="00EF18CC" w:rsidP="001F1756">
            <w:pPr>
              <w:pStyle w:val="BStablefigures0"/>
              <w:rPr>
                <w:b/>
                <w:bCs/>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1AACDCC6" w14:textId="77777777" w:rsidR="00EF18CC" w:rsidRPr="001F1756" w:rsidRDefault="00EF18CC" w:rsidP="001F1756">
            <w:pPr>
              <w:pStyle w:val="BStablefigures0"/>
              <w:rPr>
                <w:b/>
                <w:bCs/>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749E4EB3" w14:textId="77777777" w:rsidR="00EF18CC" w:rsidRPr="001F1756" w:rsidRDefault="00EF18CC" w:rsidP="001F1756">
            <w:pPr>
              <w:pStyle w:val="BStablefigures0"/>
              <w:rPr>
                <w:b/>
                <w:bCs/>
              </w:rPr>
            </w:pPr>
          </w:p>
        </w:tc>
      </w:tr>
      <w:tr w:rsidR="00EF18CC" w14:paraId="076B618E"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trPr>
        <w:tc>
          <w:tcPr>
            <w:tcW w:w="4395" w:type="dxa"/>
            <w:tcBorders>
              <w:top w:val="nil"/>
              <w:left w:val="nil"/>
              <w:bottom w:val="nil"/>
              <w:right w:val="nil"/>
              <w:tl2br w:val="nil"/>
              <w:tr2bl w:val="nil"/>
            </w:tcBorders>
            <w:shd w:val="clear" w:color="auto" w:fill="auto"/>
            <w:tcMar>
              <w:left w:w="101" w:type="dxa"/>
              <w:right w:w="101" w:type="dxa"/>
            </w:tcMar>
            <w:vAlign w:val="center"/>
          </w:tcPr>
          <w:p w14:paraId="027BBCE0" w14:textId="40B2C12B" w:rsidR="00EF18CC" w:rsidRDefault="00EF18CC" w:rsidP="001F1756">
            <w:pPr>
              <w:pStyle w:val="BSnoteslist"/>
              <w:rPr>
                <w:rFonts w:eastAsia="Calibri"/>
              </w:rPr>
            </w:pPr>
            <w:r>
              <w:rPr>
                <w:rFonts w:eastAsia="Calibri"/>
              </w:rPr>
              <w:t>Growing and Renewing Public Housing - Securing high quality public housing</w:t>
            </w:r>
          </w:p>
        </w:tc>
        <w:tc>
          <w:tcPr>
            <w:tcW w:w="1134" w:type="dxa"/>
            <w:tcBorders>
              <w:top w:val="nil"/>
              <w:left w:val="nil"/>
              <w:bottom w:val="nil"/>
              <w:right w:val="nil"/>
              <w:tl2br w:val="nil"/>
              <w:tr2bl w:val="nil"/>
            </w:tcBorders>
            <w:shd w:val="clear" w:color="auto" w:fill="auto"/>
            <w:noWrap/>
            <w:tcMar>
              <w:left w:w="101" w:type="dxa"/>
              <w:right w:w="101" w:type="dxa"/>
            </w:tcMar>
          </w:tcPr>
          <w:p w14:paraId="60097D5E"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671B6E7E" w14:textId="77777777" w:rsidR="00EF18CC" w:rsidRDefault="00EF18CC" w:rsidP="001F1756">
            <w:pPr>
              <w:pStyle w:val="BStablefigures0"/>
              <w:rPr>
                <w:color w:val="000000"/>
              </w:rPr>
            </w:pPr>
            <w:r>
              <w:rPr>
                <w:color w:val="000000"/>
              </w:rPr>
              <w:t>40,000</w:t>
            </w:r>
          </w:p>
        </w:tc>
        <w:tc>
          <w:tcPr>
            <w:tcW w:w="992" w:type="dxa"/>
            <w:tcBorders>
              <w:top w:val="nil"/>
              <w:left w:val="nil"/>
              <w:bottom w:val="nil"/>
              <w:right w:val="nil"/>
              <w:tl2br w:val="nil"/>
              <w:tr2bl w:val="nil"/>
            </w:tcBorders>
            <w:shd w:val="clear" w:color="auto" w:fill="auto"/>
            <w:noWrap/>
            <w:tcMar>
              <w:left w:w="101" w:type="dxa"/>
              <w:right w:w="101" w:type="dxa"/>
            </w:tcMar>
          </w:tcPr>
          <w:p w14:paraId="226AC578" w14:textId="77777777" w:rsidR="00EF18CC" w:rsidRDefault="00EF18CC" w:rsidP="001F1756">
            <w:pPr>
              <w:pStyle w:val="BStablefigures0"/>
              <w:rPr>
                <w:color w:val="000000"/>
              </w:rPr>
            </w:pPr>
            <w:r>
              <w:rPr>
                <w:color w:val="000000"/>
              </w:rPr>
              <w:t>20,000</w:t>
            </w:r>
          </w:p>
        </w:tc>
        <w:tc>
          <w:tcPr>
            <w:tcW w:w="992" w:type="dxa"/>
            <w:tcBorders>
              <w:top w:val="nil"/>
              <w:left w:val="nil"/>
              <w:bottom w:val="nil"/>
              <w:right w:val="nil"/>
              <w:tl2br w:val="nil"/>
              <w:tr2bl w:val="nil"/>
            </w:tcBorders>
            <w:shd w:val="clear" w:color="auto" w:fill="auto"/>
            <w:noWrap/>
            <w:tcMar>
              <w:left w:w="101" w:type="dxa"/>
              <w:right w:w="101" w:type="dxa"/>
            </w:tcMar>
          </w:tcPr>
          <w:p w14:paraId="7526636F" w14:textId="77777777" w:rsidR="00EF18CC" w:rsidRDefault="00EF18CC" w:rsidP="001F1756">
            <w:pPr>
              <w:pStyle w:val="BStablefigures0"/>
              <w:rPr>
                <w:color w:val="000000"/>
              </w:rPr>
            </w:pPr>
            <w:r>
              <w:rPr>
                <w:color w:val="000000"/>
              </w:rPr>
              <w:t>20,000</w:t>
            </w:r>
          </w:p>
        </w:tc>
        <w:tc>
          <w:tcPr>
            <w:tcW w:w="993" w:type="dxa"/>
            <w:tcBorders>
              <w:top w:val="nil"/>
              <w:left w:val="nil"/>
              <w:bottom w:val="nil"/>
              <w:right w:val="nil"/>
              <w:tl2br w:val="nil"/>
              <w:tr2bl w:val="nil"/>
            </w:tcBorders>
            <w:shd w:val="clear" w:color="auto" w:fill="auto"/>
            <w:noWrap/>
            <w:tcMar>
              <w:left w:w="101" w:type="dxa"/>
              <w:right w:w="101" w:type="dxa"/>
            </w:tcMar>
          </w:tcPr>
          <w:p w14:paraId="5CC1872B" w14:textId="77777777" w:rsidR="00EF18CC" w:rsidRDefault="00EF18CC" w:rsidP="001F1756">
            <w:pPr>
              <w:pStyle w:val="BStablefigures0"/>
              <w:rPr>
                <w:color w:val="000000"/>
              </w:rPr>
            </w:pPr>
            <w:r>
              <w:rPr>
                <w:color w:val="000000"/>
              </w:rPr>
              <w:t>0</w:t>
            </w:r>
          </w:p>
        </w:tc>
      </w:tr>
      <w:tr w:rsidR="00EF18CC" w14:paraId="1B7CA7B5"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3D8A2B66" w14:textId="77777777" w:rsidR="00EF18CC" w:rsidRDefault="00EF18CC" w:rsidP="001F1756">
            <w:pPr>
              <w:pStyle w:val="BSnoteslist"/>
              <w:rPr>
                <w:rFonts w:eastAsia="Calibri"/>
              </w:rPr>
            </w:pPr>
            <w:r>
              <w:rPr>
                <w:rFonts w:eastAsia="Calibri"/>
              </w:rPr>
              <w:t>Vulnerable Household Energy Support Scheme</w:t>
            </w:r>
          </w:p>
        </w:tc>
        <w:tc>
          <w:tcPr>
            <w:tcW w:w="1134" w:type="dxa"/>
            <w:tcBorders>
              <w:top w:val="nil"/>
              <w:left w:val="nil"/>
              <w:bottom w:val="nil"/>
              <w:right w:val="nil"/>
              <w:tl2br w:val="nil"/>
              <w:tr2bl w:val="nil"/>
            </w:tcBorders>
            <w:shd w:val="clear" w:color="auto" w:fill="auto"/>
            <w:noWrap/>
            <w:tcMar>
              <w:left w:w="101" w:type="dxa"/>
              <w:right w:w="101" w:type="dxa"/>
            </w:tcMar>
          </w:tcPr>
          <w:p w14:paraId="78AFC556"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0A3279EB" w14:textId="77777777" w:rsidR="00EF18CC" w:rsidRDefault="00EF18CC" w:rsidP="001F1756">
            <w:pPr>
              <w:pStyle w:val="BStablefigures0"/>
              <w:rPr>
                <w:color w:val="000000"/>
              </w:rPr>
            </w:pPr>
            <w:r>
              <w:rPr>
                <w:color w:val="000000"/>
              </w:rPr>
              <w:t>1,362</w:t>
            </w:r>
          </w:p>
        </w:tc>
        <w:tc>
          <w:tcPr>
            <w:tcW w:w="992" w:type="dxa"/>
            <w:tcBorders>
              <w:top w:val="nil"/>
              <w:left w:val="nil"/>
              <w:bottom w:val="nil"/>
              <w:right w:val="nil"/>
              <w:tl2br w:val="nil"/>
              <w:tr2bl w:val="nil"/>
            </w:tcBorders>
            <w:shd w:val="clear" w:color="auto" w:fill="auto"/>
            <w:noWrap/>
            <w:tcMar>
              <w:left w:w="101" w:type="dxa"/>
              <w:right w:w="101" w:type="dxa"/>
            </w:tcMar>
          </w:tcPr>
          <w:p w14:paraId="4D7BE1A5"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48C5667"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36DB70A1" w14:textId="77777777" w:rsidR="00EF18CC" w:rsidRDefault="00EF18CC" w:rsidP="001F1756">
            <w:pPr>
              <w:pStyle w:val="BStablefigures0"/>
              <w:rPr>
                <w:color w:val="000000"/>
              </w:rPr>
            </w:pPr>
            <w:r>
              <w:rPr>
                <w:color w:val="000000"/>
              </w:rPr>
              <w:t>0</w:t>
            </w:r>
          </w:p>
        </w:tc>
      </w:tr>
      <w:tr w:rsidR="00EF18CC" w14:paraId="6E956DFC"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395" w:type="dxa"/>
            <w:tcBorders>
              <w:top w:val="nil"/>
              <w:left w:val="nil"/>
              <w:bottom w:val="nil"/>
              <w:right w:val="nil"/>
              <w:tl2br w:val="nil"/>
              <w:tr2bl w:val="nil"/>
            </w:tcBorders>
            <w:shd w:val="clear" w:color="auto" w:fill="auto"/>
            <w:tcMar>
              <w:left w:w="0" w:type="dxa"/>
              <w:right w:w="0" w:type="dxa"/>
            </w:tcMar>
            <w:vAlign w:val="center"/>
          </w:tcPr>
          <w:p w14:paraId="183A8EB7" w14:textId="77777777" w:rsidR="00EF18CC" w:rsidRDefault="00EF18CC" w:rsidP="001F1756">
            <w:pPr>
              <w:pStyle w:val="BSnoteslist"/>
              <w:rPr>
                <w:rFonts w:eastAsia="Calibri"/>
              </w:rPr>
            </w:pPr>
          </w:p>
        </w:tc>
        <w:tc>
          <w:tcPr>
            <w:tcW w:w="1134" w:type="dxa"/>
            <w:tcBorders>
              <w:top w:val="nil"/>
              <w:left w:val="nil"/>
              <w:bottom w:val="nil"/>
              <w:right w:val="nil"/>
              <w:tl2br w:val="nil"/>
              <w:tr2bl w:val="nil"/>
            </w:tcBorders>
            <w:shd w:val="clear" w:color="auto" w:fill="auto"/>
            <w:noWrap/>
            <w:tcMar>
              <w:left w:w="0" w:type="dxa"/>
              <w:right w:w="0" w:type="dxa"/>
            </w:tcMar>
          </w:tcPr>
          <w:p w14:paraId="1981D2A8" w14:textId="77777777" w:rsidR="00EF18CC" w:rsidRDefault="00EF18CC" w:rsidP="001F1756">
            <w:pPr>
              <w:pStyle w:val="BStablefigures0"/>
              <w:rPr>
                <w:color w:val="000000"/>
              </w:rPr>
            </w:pPr>
          </w:p>
        </w:tc>
        <w:tc>
          <w:tcPr>
            <w:tcW w:w="992" w:type="dxa"/>
            <w:tcBorders>
              <w:top w:val="nil"/>
              <w:left w:val="nil"/>
              <w:bottom w:val="nil"/>
              <w:right w:val="nil"/>
              <w:tl2br w:val="nil"/>
              <w:tr2bl w:val="nil"/>
            </w:tcBorders>
            <w:shd w:val="clear" w:color="auto" w:fill="auto"/>
            <w:noWrap/>
            <w:tcMar>
              <w:left w:w="0" w:type="dxa"/>
              <w:right w:w="0" w:type="dxa"/>
            </w:tcMar>
          </w:tcPr>
          <w:p w14:paraId="247B3825" w14:textId="77777777" w:rsidR="00EF18CC" w:rsidRDefault="00EF18CC" w:rsidP="001F1756">
            <w:pPr>
              <w:pStyle w:val="BStablefigures0"/>
              <w:rPr>
                <w:color w:val="000000"/>
              </w:rPr>
            </w:pPr>
          </w:p>
        </w:tc>
        <w:tc>
          <w:tcPr>
            <w:tcW w:w="992" w:type="dxa"/>
            <w:tcBorders>
              <w:top w:val="nil"/>
              <w:left w:val="nil"/>
              <w:bottom w:val="nil"/>
              <w:right w:val="nil"/>
              <w:tl2br w:val="nil"/>
              <w:tr2bl w:val="nil"/>
            </w:tcBorders>
            <w:shd w:val="clear" w:color="auto" w:fill="auto"/>
            <w:noWrap/>
            <w:tcMar>
              <w:left w:w="0" w:type="dxa"/>
              <w:right w:w="0" w:type="dxa"/>
            </w:tcMar>
          </w:tcPr>
          <w:p w14:paraId="2625B75D" w14:textId="77777777" w:rsidR="00EF18CC" w:rsidRDefault="00EF18CC" w:rsidP="001F1756">
            <w:pPr>
              <w:pStyle w:val="BStablefigures0"/>
              <w:rPr>
                <w:color w:val="000000"/>
              </w:rPr>
            </w:pPr>
          </w:p>
        </w:tc>
        <w:tc>
          <w:tcPr>
            <w:tcW w:w="992" w:type="dxa"/>
            <w:tcBorders>
              <w:top w:val="nil"/>
              <w:left w:val="nil"/>
              <w:bottom w:val="nil"/>
              <w:right w:val="nil"/>
              <w:tl2br w:val="nil"/>
              <w:tr2bl w:val="nil"/>
            </w:tcBorders>
            <w:shd w:val="clear" w:color="auto" w:fill="auto"/>
            <w:noWrap/>
            <w:tcMar>
              <w:left w:w="0" w:type="dxa"/>
              <w:right w:w="0" w:type="dxa"/>
            </w:tcMar>
          </w:tcPr>
          <w:p w14:paraId="0FF82F0C" w14:textId="77777777" w:rsidR="00EF18CC" w:rsidRDefault="00EF18CC" w:rsidP="001F1756">
            <w:pPr>
              <w:pStyle w:val="BStablefigures0"/>
              <w:rPr>
                <w:color w:val="000000"/>
              </w:rPr>
            </w:pPr>
          </w:p>
        </w:tc>
        <w:tc>
          <w:tcPr>
            <w:tcW w:w="993" w:type="dxa"/>
            <w:tcBorders>
              <w:top w:val="nil"/>
              <w:left w:val="nil"/>
              <w:bottom w:val="nil"/>
              <w:right w:val="nil"/>
              <w:tl2br w:val="nil"/>
              <w:tr2bl w:val="nil"/>
            </w:tcBorders>
            <w:shd w:val="clear" w:color="auto" w:fill="auto"/>
            <w:noWrap/>
            <w:tcMar>
              <w:left w:w="0" w:type="dxa"/>
              <w:right w:w="0" w:type="dxa"/>
            </w:tcMar>
          </w:tcPr>
          <w:p w14:paraId="3F31A50B" w14:textId="77777777" w:rsidR="00EF18CC" w:rsidRDefault="00EF18CC" w:rsidP="001F1756">
            <w:pPr>
              <w:pStyle w:val="BStablefigures0"/>
              <w:rPr>
                <w:color w:val="000000"/>
              </w:rPr>
            </w:pPr>
          </w:p>
        </w:tc>
      </w:tr>
      <w:tr w:rsidR="00EF18CC" w14:paraId="209DF575"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95" w:type="dxa"/>
            <w:tcBorders>
              <w:top w:val="nil"/>
              <w:left w:val="nil"/>
              <w:bottom w:val="nil"/>
              <w:right w:val="nil"/>
              <w:tl2br w:val="nil"/>
              <w:tr2bl w:val="nil"/>
            </w:tcBorders>
            <w:shd w:val="clear" w:color="auto" w:fill="auto"/>
            <w:tcMar>
              <w:left w:w="101" w:type="dxa"/>
              <w:right w:w="101" w:type="dxa"/>
            </w:tcMar>
            <w:vAlign w:val="center"/>
          </w:tcPr>
          <w:p w14:paraId="75A95853" w14:textId="77777777" w:rsidR="00EF18CC" w:rsidRPr="001F1756" w:rsidRDefault="00EF18CC" w:rsidP="001F1756">
            <w:pPr>
              <w:pStyle w:val="BSnoteslist"/>
              <w:rPr>
                <w:rFonts w:eastAsia="Calibri"/>
                <w:b/>
                <w:bCs/>
              </w:rPr>
            </w:pPr>
            <w:r w:rsidRPr="001F1756">
              <w:rPr>
                <w:rFonts w:eastAsia="Calibri"/>
                <w:b/>
                <w:bCs/>
              </w:rPr>
              <w:t>2021-22 Budget Technical Adjustments</w:t>
            </w:r>
          </w:p>
        </w:tc>
        <w:tc>
          <w:tcPr>
            <w:tcW w:w="1134" w:type="dxa"/>
            <w:tcBorders>
              <w:top w:val="nil"/>
              <w:left w:val="nil"/>
              <w:bottom w:val="nil"/>
              <w:right w:val="nil"/>
              <w:tl2br w:val="nil"/>
              <w:tr2bl w:val="nil"/>
            </w:tcBorders>
            <w:shd w:val="clear" w:color="auto" w:fill="auto"/>
            <w:noWrap/>
            <w:tcMar>
              <w:left w:w="0" w:type="dxa"/>
              <w:right w:w="0" w:type="dxa"/>
            </w:tcMar>
          </w:tcPr>
          <w:p w14:paraId="7CAE6B0C" w14:textId="77777777" w:rsidR="00EF18CC" w:rsidRDefault="00EF18CC" w:rsidP="001F1756">
            <w:pPr>
              <w:pStyle w:val="BStablefigures0"/>
              <w:rPr>
                <w:color w:val="000000"/>
              </w:rPr>
            </w:pPr>
          </w:p>
        </w:tc>
        <w:tc>
          <w:tcPr>
            <w:tcW w:w="992" w:type="dxa"/>
            <w:tcBorders>
              <w:top w:val="nil"/>
              <w:left w:val="nil"/>
              <w:bottom w:val="nil"/>
              <w:right w:val="nil"/>
              <w:tl2br w:val="nil"/>
              <w:tr2bl w:val="nil"/>
            </w:tcBorders>
            <w:shd w:val="clear" w:color="auto" w:fill="auto"/>
            <w:noWrap/>
            <w:tcMar>
              <w:left w:w="0" w:type="dxa"/>
              <w:right w:w="0" w:type="dxa"/>
            </w:tcMar>
          </w:tcPr>
          <w:p w14:paraId="4A4DB826" w14:textId="77777777" w:rsidR="00EF18CC" w:rsidRDefault="00EF18CC" w:rsidP="001F1756">
            <w:pPr>
              <w:pStyle w:val="BStablefigures0"/>
              <w:rPr>
                <w:color w:val="000000"/>
              </w:rPr>
            </w:pPr>
          </w:p>
        </w:tc>
        <w:tc>
          <w:tcPr>
            <w:tcW w:w="992" w:type="dxa"/>
            <w:tcBorders>
              <w:top w:val="nil"/>
              <w:left w:val="nil"/>
              <w:bottom w:val="nil"/>
              <w:right w:val="nil"/>
              <w:tl2br w:val="nil"/>
              <w:tr2bl w:val="nil"/>
            </w:tcBorders>
            <w:shd w:val="clear" w:color="auto" w:fill="auto"/>
            <w:noWrap/>
            <w:tcMar>
              <w:left w:w="0" w:type="dxa"/>
              <w:right w:w="0" w:type="dxa"/>
            </w:tcMar>
          </w:tcPr>
          <w:p w14:paraId="229E6F56" w14:textId="77777777" w:rsidR="00EF18CC" w:rsidRDefault="00EF18CC" w:rsidP="001F1756">
            <w:pPr>
              <w:pStyle w:val="BStablefigures0"/>
              <w:rPr>
                <w:color w:val="000000"/>
              </w:rPr>
            </w:pPr>
          </w:p>
        </w:tc>
        <w:tc>
          <w:tcPr>
            <w:tcW w:w="992" w:type="dxa"/>
            <w:tcBorders>
              <w:top w:val="nil"/>
              <w:left w:val="nil"/>
              <w:bottom w:val="nil"/>
              <w:right w:val="nil"/>
              <w:tl2br w:val="nil"/>
              <w:tr2bl w:val="nil"/>
            </w:tcBorders>
            <w:shd w:val="clear" w:color="auto" w:fill="auto"/>
            <w:noWrap/>
            <w:tcMar>
              <w:left w:w="0" w:type="dxa"/>
              <w:right w:w="0" w:type="dxa"/>
            </w:tcMar>
          </w:tcPr>
          <w:p w14:paraId="3321EE71" w14:textId="77777777" w:rsidR="00EF18CC" w:rsidRDefault="00EF18CC" w:rsidP="001F1756">
            <w:pPr>
              <w:pStyle w:val="BStablefigures0"/>
              <w:rPr>
                <w:color w:val="000000"/>
              </w:rPr>
            </w:pPr>
          </w:p>
        </w:tc>
        <w:tc>
          <w:tcPr>
            <w:tcW w:w="993" w:type="dxa"/>
            <w:tcBorders>
              <w:top w:val="nil"/>
              <w:left w:val="nil"/>
              <w:bottom w:val="nil"/>
              <w:right w:val="nil"/>
              <w:tl2br w:val="nil"/>
              <w:tr2bl w:val="nil"/>
            </w:tcBorders>
            <w:shd w:val="clear" w:color="auto" w:fill="auto"/>
            <w:noWrap/>
            <w:tcMar>
              <w:left w:w="0" w:type="dxa"/>
              <w:right w:w="0" w:type="dxa"/>
            </w:tcMar>
          </w:tcPr>
          <w:p w14:paraId="37C5215E" w14:textId="77777777" w:rsidR="00EF18CC" w:rsidRDefault="00EF18CC" w:rsidP="001F1756">
            <w:pPr>
              <w:pStyle w:val="BStablefigures0"/>
              <w:rPr>
                <w:color w:val="000000"/>
              </w:rPr>
            </w:pPr>
          </w:p>
        </w:tc>
      </w:tr>
      <w:tr w:rsidR="00EF18CC" w14:paraId="5A04BF90"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95" w:type="dxa"/>
            <w:tcBorders>
              <w:top w:val="nil"/>
              <w:left w:val="nil"/>
              <w:bottom w:val="nil"/>
              <w:right w:val="nil"/>
              <w:tl2br w:val="nil"/>
              <w:tr2bl w:val="nil"/>
            </w:tcBorders>
            <w:shd w:val="clear" w:color="auto" w:fill="auto"/>
            <w:tcMar>
              <w:left w:w="101" w:type="dxa"/>
              <w:right w:w="101" w:type="dxa"/>
            </w:tcMar>
            <w:vAlign w:val="center"/>
          </w:tcPr>
          <w:p w14:paraId="66DE48F7" w14:textId="77777777" w:rsidR="00EF18CC" w:rsidRDefault="00EF18CC" w:rsidP="001F1756">
            <w:pPr>
              <w:pStyle w:val="BSnoteslist"/>
              <w:rPr>
                <w:rFonts w:eastAsia="Calibri"/>
              </w:rPr>
            </w:pPr>
            <w:r>
              <w:rPr>
                <w:rFonts w:eastAsia="Calibri"/>
              </w:rPr>
              <w:t>Growing and Renewing Public Housing – Year three of the Growth and Renewal Program</w:t>
            </w:r>
          </w:p>
        </w:tc>
        <w:tc>
          <w:tcPr>
            <w:tcW w:w="1134" w:type="dxa"/>
            <w:tcBorders>
              <w:top w:val="nil"/>
              <w:left w:val="nil"/>
              <w:bottom w:val="nil"/>
              <w:right w:val="nil"/>
              <w:tl2br w:val="nil"/>
              <w:tr2bl w:val="nil"/>
            </w:tcBorders>
            <w:shd w:val="clear" w:color="auto" w:fill="auto"/>
            <w:noWrap/>
            <w:tcMar>
              <w:left w:w="101" w:type="dxa"/>
              <w:right w:w="101" w:type="dxa"/>
            </w:tcMar>
          </w:tcPr>
          <w:p w14:paraId="78A22629"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7F9EEB73" w14:textId="77777777" w:rsidR="00EF18CC" w:rsidRDefault="00EF18CC" w:rsidP="001F1756">
            <w:pPr>
              <w:pStyle w:val="BStablefigures0"/>
              <w:rPr>
                <w:color w:val="000000"/>
              </w:rPr>
            </w:pPr>
            <w:r>
              <w:rPr>
                <w:color w:val="000000"/>
              </w:rPr>
              <w:t>21,760</w:t>
            </w:r>
          </w:p>
        </w:tc>
        <w:tc>
          <w:tcPr>
            <w:tcW w:w="992" w:type="dxa"/>
            <w:tcBorders>
              <w:top w:val="nil"/>
              <w:left w:val="nil"/>
              <w:bottom w:val="nil"/>
              <w:right w:val="nil"/>
              <w:tl2br w:val="nil"/>
              <w:tr2bl w:val="nil"/>
            </w:tcBorders>
            <w:shd w:val="clear" w:color="auto" w:fill="auto"/>
            <w:noWrap/>
            <w:tcMar>
              <w:left w:w="101" w:type="dxa"/>
              <w:right w:w="101" w:type="dxa"/>
            </w:tcMar>
          </w:tcPr>
          <w:p w14:paraId="0EBBA506"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4FB68F9A"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29AFD82B" w14:textId="77777777" w:rsidR="00EF18CC" w:rsidRDefault="00EF18CC" w:rsidP="001F1756">
            <w:pPr>
              <w:pStyle w:val="BStablefigures0"/>
              <w:rPr>
                <w:color w:val="000000"/>
              </w:rPr>
            </w:pPr>
            <w:r>
              <w:rPr>
                <w:color w:val="000000"/>
              </w:rPr>
              <w:t>0</w:t>
            </w:r>
          </w:p>
        </w:tc>
      </w:tr>
      <w:tr w:rsidR="00EF18CC" w14:paraId="0AFAAE56"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395" w:type="dxa"/>
            <w:tcBorders>
              <w:top w:val="nil"/>
              <w:left w:val="nil"/>
              <w:bottom w:val="nil"/>
              <w:right w:val="nil"/>
              <w:tl2br w:val="nil"/>
              <w:tr2bl w:val="nil"/>
            </w:tcBorders>
            <w:shd w:val="clear" w:color="auto" w:fill="auto"/>
            <w:tcMar>
              <w:left w:w="101" w:type="dxa"/>
              <w:right w:w="101" w:type="dxa"/>
            </w:tcMar>
            <w:vAlign w:val="center"/>
          </w:tcPr>
          <w:p w14:paraId="0335DE45" w14:textId="77777777" w:rsidR="00EF18CC" w:rsidRDefault="00EF18CC" w:rsidP="001F1756">
            <w:pPr>
              <w:pStyle w:val="BSnoteslist"/>
              <w:rPr>
                <w:rFonts w:eastAsia="Calibri"/>
              </w:rPr>
            </w:pPr>
            <w:r>
              <w:rPr>
                <w:rFonts w:eastAsia="Calibri"/>
              </w:rPr>
              <w:t>Reducing homelessness by delivering another Common Ground</w:t>
            </w:r>
          </w:p>
        </w:tc>
        <w:tc>
          <w:tcPr>
            <w:tcW w:w="1134" w:type="dxa"/>
            <w:tcBorders>
              <w:top w:val="nil"/>
              <w:left w:val="nil"/>
              <w:bottom w:val="nil"/>
              <w:right w:val="nil"/>
              <w:tl2br w:val="nil"/>
              <w:tr2bl w:val="nil"/>
            </w:tcBorders>
            <w:shd w:val="clear" w:color="auto" w:fill="auto"/>
            <w:noWrap/>
            <w:tcMar>
              <w:left w:w="101" w:type="dxa"/>
              <w:right w:w="101" w:type="dxa"/>
            </w:tcMar>
          </w:tcPr>
          <w:p w14:paraId="449CA035"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47BAF25D" w14:textId="77777777" w:rsidR="00EF18CC" w:rsidRDefault="00EF18CC" w:rsidP="001F1756">
            <w:pPr>
              <w:pStyle w:val="BStablefigures0"/>
              <w:rPr>
                <w:color w:val="000000"/>
              </w:rPr>
            </w:pPr>
            <w:r>
              <w:rPr>
                <w:color w:val="000000"/>
              </w:rPr>
              <w:t>20,697</w:t>
            </w:r>
          </w:p>
        </w:tc>
        <w:tc>
          <w:tcPr>
            <w:tcW w:w="992" w:type="dxa"/>
            <w:tcBorders>
              <w:top w:val="nil"/>
              <w:left w:val="nil"/>
              <w:bottom w:val="nil"/>
              <w:right w:val="nil"/>
              <w:tl2br w:val="nil"/>
              <w:tr2bl w:val="nil"/>
            </w:tcBorders>
            <w:shd w:val="clear" w:color="auto" w:fill="auto"/>
            <w:noWrap/>
            <w:tcMar>
              <w:left w:w="101" w:type="dxa"/>
              <w:right w:w="101" w:type="dxa"/>
            </w:tcMar>
          </w:tcPr>
          <w:p w14:paraId="69F0B3D9"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2307268"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27A1F32C" w14:textId="77777777" w:rsidR="00EF18CC" w:rsidRDefault="00EF18CC" w:rsidP="001F1756">
            <w:pPr>
              <w:pStyle w:val="BStablefigures0"/>
              <w:rPr>
                <w:color w:val="000000"/>
              </w:rPr>
            </w:pPr>
            <w:r>
              <w:rPr>
                <w:color w:val="000000"/>
              </w:rPr>
              <w:t>0</w:t>
            </w:r>
          </w:p>
        </w:tc>
      </w:tr>
      <w:tr w:rsidR="00EF18CC" w14:paraId="4777E27B"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395" w:type="dxa"/>
            <w:tcBorders>
              <w:top w:val="nil"/>
              <w:left w:val="nil"/>
              <w:bottom w:val="nil"/>
              <w:right w:val="nil"/>
              <w:tl2br w:val="nil"/>
              <w:tr2bl w:val="nil"/>
            </w:tcBorders>
            <w:shd w:val="clear" w:color="auto" w:fill="auto"/>
            <w:tcMar>
              <w:left w:w="101" w:type="dxa"/>
              <w:right w:w="101" w:type="dxa"/>
            </w:tcMar>
            <w:vAlign w:val="center"/>
          </w:tcPr>
          <w:p w14:paraId="4DFEDA6E" w14:textId="77777777" w:rsidR="00EF18CC" w:rsidRDefault="00EF18CC" w:rsidP="001F1756">
            <w:pPr>
              <w:pStyle w:val="BSnoteslist"/>
              <w:rPr>
                <w:rFonts w:eastAsia="Calibri"/>
              </w:rPr>
            </w:pPr>
            <w:r>
              <w:rPr>
                <w:rFonts w:eastAsia="Calibri"/>
              </w:rPr>
              <w:t xml:space="preserve">Revised Funding Profile - Better healthcare for a growing </w:t>
            </w:r>
            <w:proofErr w:type="gramStart"/>
            <w:r>
              <w:rPr>
                <w:rFonts w:eastAsia="Calibri"/>
              </w:rPr>
              <w:t>community  -</w:t>
            </w:r>
            <w:proofErr w:type="gramEnd"/>
            <w:r>
              <w:rPr>
                <w:rFonts w:eastAsia="Calibri"/>
              </w:rPr>
              <w:t xml:space="preserve"> More mental health accommodation</w:t>
            </w:r>
          </w:p>
        </w:tc>
        <w:tc>
          <w:tcPr>
            <w:tcW w:w="1134" w:type="dxa"/>
            <w:tcBorders>
              <w:top w:val="nil"/>
              <w:left w:val="nil"/>
              <w:bottom w:val="nil"/>
              <w:right w:val="nil"/>
              <w:tl2br w:val="nil"/>
              <w:tr2bl w:val="nil"/>
            </w:tcBorders>
            <w:shd w:val="clear" w:color="auto" w:fill="auto"/>
            <w:noWrap/>
            <w:tcMar>
              <w:left w:w="101" w:type="dxa"/>
              <w:right w:w="101" w:type="dxa"/>
            </w:tcMar>
          </w:tcPr>
          <w:p w14:paraId="450E88D9" w14:textId="77777777" w:rsidR="00EF18CC" w:rsidRDefault="00EF18CC" w:rsidP="001F1756">
            <w:pPr>
              <w:pStyle w:val="BStablefigures0"/>
              <w:rPr>
                <w:color w:val="000000"/>
              </w:rPr>
            </w:pPr>
            <w:r>
              <w:rPr>
                <w:color w:val="000000"/>
              </w:rPr>
              <w:t>-398</w:t>
            </w:r>
          </w:p>
        </w:tc>
        <w:tc>
          <w:tcPr>
            <w:tcW w:w="992" w:type="dxa"/>
            <w:tcBorders>
              <w:top w:val="nil"/>
              <w:left w:val="nil"/>
              <w:bottom w:val="nil"/>
              <w:right w:val="nil"/>
              <w:tl2br w:val="nil"/>
              <w:tr2bl w:val="nil"/>
            </w:tcBorders>
            <w:shd w:val="clear" w:color="auto" w:fill="auto"/>
            <w:noWrap/>
            <w:tcMar>
              <w:left w:w="101" w:type="dxa"/>
              <w:right w:w="101" w:type="dxa"/>
            </w:tcMar>
          </w:tcPr>
          <w:p w14:paraId="59A4D355" w14:textId="77777777" w:rsidR="00EF18CC" w:rsidRDefault="00EF18CC" w:rsidP="001F1756">
            <w:pPr>
              <w:pStyle w:val="BStablefigures0"/>
              <w:rPr>
                <w:color w:val="000000"/>
              </w:rPr>
            </w:pPr>
            <w:r>
              <w:rPr>
                <w:color w:val="000000"/>
              </w:rPr>
              <w:t>398</w:t>
            </w:r>
          </w:p>
        </w:tc>
        <w:tc>
          <w:tcPr>
            <w:tcW w:w="992" w:type="dxa"/>
            <w:tcBorders>
              <w:top w:val="nil"/>
              <w:left w:val="nil"/>
              <w:bottom w:val="nil"/>
              <w:right w:val="nil"/>
              <w:tl2br w:val="nil"/>
              <w:tr2bl w:val="nil"/>
            </w:tcBorders>
            <w:shd w:val="clear" w:color="auto" w:fill="auto"/>
            <w:noWrap/>
            <w:tcMar>
              <w:left w:w="101" w:type="dxa"/>
              <w:right w:w="101" w:type="dxa"/>
            </w:tcMar>
          </w:tcPr>
          <w:p w14:paraId="234C504D"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41B16D71"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4EC06F3A" w14:textId="77777777" w:rsidR="00EF18CC" w:rsidRDefault="00EF18CC" w:rsidP="001F1756">
            <w:pPr>
              <w:pStyle w:val="BStablefigures0"/>
              <w:rPr>
                <w:color w:val="000000"/>
              </w:rPr>
            </w:pPr>
            <w:r>
              <w:rPr>
                <w:color w:val="000000"/>
              </w:rPr>
              <w:t>0</w:t>
            </w:r>
          </w:p>
        </w:tc>
      </w:tr>
      <w:tr w:rsidR="00EF18CC" w14:paraId="5C7C7CD4"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395" w:type="dxa"/>
            <w:tcBorders>
              <w:top w:val="nil"/>
              <w:left w:val="nil"/>
              <w:bottom w:val="nil"/>
              <w:right w:val="nil"/>
              <w:tl2br w:val="nil"/>
              <w:tr2bl w:val="nil"/>
            </w:tcBorders>
            <w:shd w:val="clear" w:color="auto" w:fill="auto"/>
            <w:tcMar>
              <w:left w:w="101" w:type="dxa"/>
              <w:right w:w="101" w:type="dxa"/>
            </w:tcMar>
            <w:vAlign w:val="center"/>
          </w:tcPr>
          <w:p w14:paraId="5D385D6D" w14:textId="77777777" w:rsidR="00EF18CC" w:rsidRDefault="00EF18CC" w:rsidP="001F1756">
            <w:pPr>
              <w:pStyle w:val="BSnoteslist"/>
              <w:rPr>
                <w:rFonts w:eastAsia="Calibri"/>
              </w:rPr>
            </w:pPr>
            <w:r>
              <w:rPr>
                <w:rFonts w:eastAsia="Calibri"/>
              </w:rPr>
              <w:t>Revised Funding Profile - Better Housing for Aboriginal and Torres Strait Islander - Older People</w:t>
            </w:r>
          </w:p>
        </w:tc>
        <w:tc>
          <w:tcPr>
            <w:tcW w:w="1134" w:type="dxa"/>
            <w:tcBorders>
              <w:top w:val="nil"/>
              <w:left w:val="nil"/>
              <w:bottom w:val="nil"/>
              <w:right w:val="nil"/>
              <w:tl2br w:val="nil"/>
              <w:tr2bl w:val="nil"/>
            </w:tcBorders>
            <w:shd w:val="clear" w:color="auto" w:fill="auto"/>
            <w:noWrap/>
            <w:tcMar>
              <w:left w:w="101" w:type="dxa"/>
              <w:right w:w="101" w:type="dxa"/>
            </w:tcMar>
          </w:tcPr>
          <w:p w14:paraId="56650925" w14:textId="77777777" w:rsidR="00EF18CC" w:rsidRDefault="00EF18CC" w:rsidP="001F1756">
            <w:pPr>
              <w:pStyle w:val="BStablefigures0"/>
              <w:rPr>
                <w:color w:val="000000"/>
              </w:rPr>
            </w:pPr>
            <w:r>
              <w:rPr>
                <w:color w:val="000000"/>
              </w:rPr>
              <w:t>-1,665</w:t>
            </w:r>
          </w:p>
        </w:tc>
        <w:tc>
          <w:tcPr>
            <w:tcW w:w="992" w:type="dxa"/>
            <w:tcBorders>
              <w:top w:val="nil"/>
              <w:left w:val="nil"/>
              <w:bottom w:val="nil"/>
              <w:right w:val="nil"/>
              <w:tl2br w:val="nil"/>
              <w:tr2bl w:val="nil"/>
            </w:tcBorders>
            <w:shd w:val="clear" w:color="auto" w:fill="auto"/>
            <w:noWrap/>
            <w:tcMar>
              <w:left w:w="101" w:type="dxa"/>
              <w:right w:w="101" w:type="dxa"/>
            </w:tcMar>
          </w:tcPr>
          <w:p w14:paraId="7D1CB584" w14:textId="77777777" w:rsidR="00EF18CC" w:rsidRDefault="00EF18CC" w:rsidP="001F1756">
            <w:pPr>
              <w:pStyle w:val="BStablefigures0"/>
              <w:rPr>
                <w:color w:val="000000"/>
              </w:rPr>
            </w:pPr>
            <w:r>
              <w:rPr>
                <w:color w:val="000000"/>
              </w:rPr>
              <w:t>1,665</w:t>
            </w:r>
          </w:p>
        </w:tc>
        <w:tc>
          <w:tcPr>
            <w:tcW w:w="992" w:type="dxa"/>
            <w:tcBorders>
              <w:top w:val="nil"/>
              <w:left w:val="nil"/>
              <w:bottom w:val="nil"/>
              <w:right w:val="nil"/>
              <w:tl2br w:val="nil"/>
              <w:tr2bl w:val="nil"/>
            </w:tcBorders>
            <w:shd w:val="clear" w:color="auto" w:fill="auto"/>
            <w:noWrap/>
            <w:tcMar>
              <w:left w:w="101" w:type="dxa"/>
              <w:right w:w="101" w:type="dxa"/>
            </w:tcMar>
          </w:tcPr>
          <w:p w14:paraId="516C8A6E"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4C077301"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54D3CD6C" w14:textId="77777777" w:rsidR="00EF18CC" w:rsidRDefault="00EF18CC" w:rsidP="001F1756">
            <w:pPr>
              <w:pStyle w:val="BStablefigures0"/>
              <w:rPr>
                <w:color w:val="000000"/>
              </w:rPr>
            </w:pPr>
            <w:r>
              <w:rPr>
                <w:color w:val="000000"/>
              </w:rPr>
              <w:t>0</w:t>
            </w:r>
          </w:p>
        </w:tc>
      </w:tr>
      <w:tr w:rsidR="00EF18CC" w14:paraId="6A816D58"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395" w:type="dxa"/>
            <w:tcBorders>
              <w:top w:val="nil"/>
              <w:left w:val="nil"/>
              <w:bottom w:val="nil"/>
              <w:right w:val="nil"/>
              <w:tl2br w:val="nil"/>
              <w:tr2bl w:val="nil"/>
            </w:tcBorders>
            <w:shd w:val="clear" w:color="auto" w:fill="auto"/>
            <w:tcMar>
              <w:left w:w="101" w:type="dxa"/>
              <w:right w:w="101" w:type="dxa"/>
            </w:tcMar>
            <w:vAlign w:val="center"/>
          </w:tcPr>
          <w:p w14:paraId="2ECDADA1" w14:textId="77777777" w:rsidR="00EF18CC" w:rsidRDefault="00EF18CC" w:rsidP="001F1756">
            <w:pPr>
              <w:pStyle w:val="BSnoteslist"/>
              <w:rPr>
                <w:rFonts w:eastAsia="Calibri"/>
              </w:rPr>
            </w:pPr>
            <w:r>
              <w:rPr>
                <w:rFonts w:eastAsia="Calibri"/>
              </w:rPr>
              <w:t>Revised Funding Profile - Growing and Renewing Public Housing</w:t>
            </w:r>
          </w:p>
        </w:tc>
        <w:tc>
          <w:tcPr>
            <w:tcW w:w="1134" w:type="dxa"/>
            <w:tcBorders>
              <w:top w:val="nil"/>
              <w:left w:val="nil"/>
              <w:bottom w:val="nil"/>
              <w:right w:val="nil"/>
              <w:tl2br w:val="nil"/>
              <w:tr2bl w:val="nil"/>
            </w:tcBorders>
            <w:shd w:val="clear" w:color="auto" w:fill="auto"/>
            <w:noWrap/>
            <w:tcMar>
              <w:left w:w="101" w:type="dxa"/>
              <w:right w:w="101" w:type="dxa"/>
            </w:tcMar>
          </w:tcPr>
          <w:p w14:paraId="238AC073" w14:textId="77777777" w:rsidR="00EF18CC" w:rsidRDefault="00EF18CC" w:rsidP="001F1756">
            <w:pPr>
              <w:pStyle w:val="BStablefigures0"/>
              <w:rPr>
                <w:color w:val="000000"/>
              </w:rPr>
            </w:pPr>
            <w:r>
              <w:rPr>
                <w:color w:val="000000"/>
              </w:rPr>
              <w:t>3,242</w:t>
            </w:r>
          </w:p>
        </w:tc>
        <w:tc>
          <w:tcPr>
            <w:tcW w:w="992" w:type="dxa"/>
            <w:tcBorders>
              <w:top w:val="nil"/>
              <w:left w:val="nil"/>
              <w:bottom w:val="nil"/>
              <w:right w:val="nil"/>
              <w:tl2br w:val="nil"/>
              <w:tr2bl w:val="nil"/>
            </w:tcBorders>
            <w:shd w:val="clear" w:color="auto" w:fill="auto"/>
            <w:noWrap/>
            <w:tcMar>
              <w:left w:w="101" w:type="dxa"/>
              <w:right w:w="101" w:type="dxa"/>
            </w:tcMar>
          </w:tcPr>
          <w:p w14:paraId="1D05AFC8" w14:textId="77777777" w:rsidR="00EF18CC" w:rsidRDefault="00EF18CC" w:rsidP="001F1756">
            <w:pPr>
              <w:pStyle w:val="BStablefigures0"/>
              <w:rPr>
                <w:color w:val="000000"/>
              </w:rPr>
            </w:pPr>
            <w:r>
              <w:rPr>
                <w:color w:val="000000"/>
              </w:rPr>
              <w:t>-3,242</w:t>
            </w:r>
          </w:p>
        </w:tc>
        <w:tc>
          <w:tcPr>
            <w:tcW w:w="992" w:type="dxa"/>
            <w:tcBorders>
              <w:top w:val="nil"/>
              <w:left w:val="nil"/>
              <w:bottom w:val="nil"/>
              <w:right w:val="nil"/>
              <w:tl2br w:val="nil"/>
              <w:tr2bl w:val="nil"/>
            </w:tcBorders>
            <w:shd w:val="clear" w:color="auto" w:fill="auto"/>
            <w:noWrap/>
            <w:tcMar>
              <w:left w:w="101" w:type="dxa"/>
              <w:right w:w="101" w:type="dxa"/>
            </w:tcMar>
          </w:tcPr>
          <w:p w14:paraId="7E354160"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C1A0924"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6DDDA149" w14:textId="77777777" w:rsidR="00EF18CC" w:rsidRDefault="00EF18CC" w:rsidP="001F1756">
            <w:pPr>
              <w:pStyle w:val="BStablefigures0"/>
              <w:rPr>
                <w:color w:val="000000"/>
              </w:rPr>
            </w:pPr>
            <w:r>
              <w:rPr>
                <w:color w:val="000000"/>
              </w:rPr>
              <w:t>0</w:t>
            </w:r>
          </w:p>
        </w:tc>
      </w:tr>
      <w:tr w:rsidR="00EF18CC" w14:paraId="6692DC49"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395" w:type="dxa"/>
            <w:tcBorders>
              <w:top w:val="nil"/>
              <w:left w:val="nil"/>
              <w:bottom w:val="nil"/>
              <w:right w:val="nil"/>
              <w:tl2br w:val="nil"/>
              <w:tr2bl w:val="nil"/>
            </w:tcBorders>
            <w:shd w:val="clear" w:color="auto" w:fill="auto"/>
            <w:tcMar>
              <w:left w:w="101" w:type="dxa"/>
              <w:right w:w="101" w:type="dxa"/>
            </w:tcMar>
            <w:vAlign w:val="center"/>
          </w:tcPr>
          <w:p w14:paraId="024CC4AE" w14:textId="77777777" w:rsidR="00EF18CC" w:rsidRDefault="00EF18CC" w:rsidP="001F1756">
            <w:pPr>
              <w:pStyle w:val="BSnoteslist"/>
              <w:rPr>
                <w:rFonts w:eastAsia="Calibri"/>
              </w:rPr>
            </w:pPr>
            <w:r>
              <w:rPr>
                <w:rFonts w:eastAsia="Calibri"/>
              </w:rPr>
              <w:t>Revised Funding Profile - Improved Energy Efficiency for Public Housing</w:t>
            </w:r>
          </w:p>
        </w:tc>
        <w:tc>
          <w:tcPr>
            <w:tcW w:w="1134" w:type="dxa"/>
            <w:tcBorders>
              <w:top w:val="nil"/>
              <w:left w:val="nil"/>
              <w:bottom w:val="nil"/>
              <w:right w:val="nil"/>
              <w:tl2br w:val="nil"/>
              <w:tr2bl w:val="nil"/>
            </w:tcBorders>
            <w:shd w:val="clear" w:color="auto" w:fill="auto"/>
            <w:noWrap/>
            <w:tcMar>
              <w:left w:w="101" w:type="dxa"/>
              <w:right w:w="101" w:type="dxa"/>
            </w:tcMar>
          </w:tcPr>
          <w:p w14:paraId="5621F66A" w14:textId="77777777" w:rsidR="00EF18CC" w:rsidRDefault="00EF18CC" w:rsidP="001F1756">
            <w:pPr>
              <w:pStyle w:val="BStablefigures0"/>
              <w:rPr>
                <w:color w:val="000000"/>
              </w:rPr>
            </w:pPr>
            <w:r>
              <w:rPr>
                <w:color w:val="000000"/>
              </w:rPr>
              <w:t>-70</w:t>
            </w:r>
          </w:p>
        </w:tc>
        <w:tc>
          <w:tcPr>
            <w:tcW w:w="992" w:type="dxa"/>
            <w:tcBorders>
              <w:top w:val="nil"/>
              <w:left w:val="nil"/>
              <w:bottom w:val="nil"/>
              <w:right w:val="nil"/>
              <w:tl2br w:val="nil"/>
              <w:tr2bl w:val="nil"/>
            </w:tcBorders>
            <w:shd w:val="clear" w:color="auto" w:fill="auto"/>
            <w:noWrap/>
            <w:tcMar>
              <w:left w:w="101" w:type="dxa"/>
              <w:right w:w="101" w:type="dxa"/>
            </w:tcMar>
          </w:tcPr>
          <w:p w14:paraId="6FF72AFB" w14:textId="77777777" w:rsidR="00EF18CC" w:rsidRDefault="00EF18CC" w:rsidP="001F1756">
            <w:pPr>
              <w:pStyle w:val="BStablefigures0"/>
              <w:rPr>
                <w:color w:val="000000"/>
              </w:rPr>
            </w:pPr>
            <w:r>
              <w:rPr>
                <w:color w:val="000000"/>
              </w:rPr>
              <w:t>70</w:t>
            </w:r>
          </w:p>
        </w:tc>
        <w:tc>
          <w:tcPr>
            <w:tcW w:w="992" w:type="dxa"/>
            <w:tcBorders>
              <w:top w:val="nil"/>
              <w:left w:val="nil"/>
              <w:bottom w:val="nil"/>
              <w:right w:val="nil"/>
              <w:tl2br w:val="nil"/>
              <w:tr2bl w:val="nil"/>
            </w:tcBorders>
            <w:shd w:val="clear" w:color="auto" w:fill="auto"/>
            <w:noWrap/>
            <w:tcMar>
              <w:left w:w="101" w:type="dxa"/>
              <w:right w:w="101" w:type="dxa"/>
            </w:tcMar>
          </w:tcPr>
          <w:p w14:paraId="7838D44B"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37353DDA"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1092B0BC" w14:textId="77777777" w:rsidR="00EF18CC" w:rsidRDefault="00EF18CC" w:rsidP="001F1756">
            <w:pPr>
              <w:pStyle w:val="BStablefigures0"/>
              <w:rPr>
                <w:color w:val="000000"/>
              </w:rPr>
            </w:pPr>
            <w:r>
              <w:rPr>
                <w:color w:val="000000"/>
              </w:rPr>
              <w:t>0</w:t>
            </w:r>
          </w:p>
        </w:tc>
      </w:tr>
      <w:tr w:rsidR="00EF18CC" w14:paraId="225320CF"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395" w:type="dxa"/>
            <w:tcBorders>
              <w:top w:val="nil"/>
              <w:left w:val="nil"/>
              <w:bottom w:val="nil"/>
              <w:right w:val="nil"/>
              <w:tl2br w:val="nil"/>
              <w:tr2bl w:val="nil"/>
            </w:tcBorders>
            <w:shd w:val="clear" w:color="auto" w:fill="auto"/>
            <w:tcMar>
              <w:left w:w="101" w:type="dxa"/>
              <w:right w:w="101" w:type="dxa"/>
            </w:tcMar>
            <w:vAlign w:val="center"/>
          </w:tcPr>
          <w:p w14:paraId="2B19BB01" w14:textId="77777777" w:rsidR="00EF18CC" w:rsidRDefault="00EF18CC" w:rsidP="001F1756">
            <w:pPr>
              <w:pStyle w:val="BSnoteslist"/>
              <w:rPr>
                <w:rFonts w:eastAsia="Calibri"/>
              </w:rPr>
            </w:pPr>
            <w:r>
              <w:rPr>
                <w:rFonts w:eastAsia="Calibri"/>
              </w:rPr>
              <w:t>Revised Funding Profile - Maintenance and Upgrade Program for Social Housing</w:t>
            </w:r>
          </w:p>
        </w:tc>
        <w:tc>
          <w:tcPr>
            <w:tcW w:w="1134" w:type="dxa"/>
            <w:tcBorders>
              <w:top w:val="nil"/>
              <w:left w:val="nil"/>
              <w:bottom w:val="nil"/>
              <w:right w:val="nil"/>
              <w:tl2br w:val="nil"/>
              <w:tr2bl w:val="nil"/>
            </w:tcBorders>
            <w:shd w:val="clear" w:color="auto" w:fill="auto"/>
            <w:noWrap/>
            <w:tcMar>
              <w:left w:w="101" w:type="dxa"/>
              <w:right w:w="101" w:type="dxa"/>
            </w:tcMar>
          </w:tcPr>
          <w:p w14:paraId="1527F114" w14:textId="77777777" w:rsidR="00EF18CC" w:rsidRDefault="00EF18CC" w:rsidP="001F1756">
            <w:pPr>
              <w:pStyle w:val="BStablefigures0"/>
              <w:rPr>
                <w:color w:val="000000"/>
              </w:rPr>
            </w:pPr>
            <w:r>
              <w:rPr>
                <w:color w:val="000000"/>
              </w:rPr>
              <w:t>-700</w:t>
            </w:r>
          </w:p>
        </w:tc>
        <w:tc>
          <w:tcPr>
            <w:tcW w:w="992" w:type="dxa"/>
            <w:tcBorders>
              <w:top w:val="nil"/>
              <w:left w:val="nil"/>
              <w:bottom w:val="nil"/>
              <w:right w:val="nil"/>
              <w:tl2br w:val="nil"/>
              <w:tr2bl w:val="nil"/>
            </w:tcBorders>
            <w:shd w:val="clear" w:color="auto" w:fill="auto"/>
            <w:noWrap/>
            <w:tcMar>
              <w:left w:w="101" w:type="dxa"/>
              <w:right w:w="101" w:type="dxa"/>
            </w:tcMar>
          </w:tcPr>
          <w:p w14:paraId="38584C55" w14:textId="77777777" w:rsidR="00EF18CC" w:rsidRDefault="00EF18CC" w:rsidP="001F1756">
            <w:pPr>
              <w:pStyle w:val="BStablefigures0"/>
              <w:rPr>
                <w:color w:val="000000"/>
              </w:rPr>
            </w:pPr>
            <w:r>
              <w:rPr>
                <w:color w:val="000000"/>
              </w:rPr>
              <w:t>700</w:t>
            </w:r>
          </w:p>
        </w:tc>
        <w:tc>
          <w:tcPr>
            <w:tcW w:w="992" w:type="dxa"/>
            <w:tcBorders>
              <w:top w:val="nil"/>
              <w:left w:val="nil"/>
              <w:bottom w:val="nil"/>
              <w:right w:val="nil"/>
              <w:tl2br w:val="nil"/>
              <w:tr2bl w:val="nil"/>
            </w:tcBorders>
            <w:shd w:val="clear" w:color="auto" w:fill="auto"/>
            <w:noWrap/>
            <w:tcMar>
              <w:left w:w="101" w:type="dxa"/>
              <w:right w:w="101" w:type="dxa"/>
            </w:tcMar>
          </w:tcPr>
          <w:p w14:paraId="2E7517F8"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D255CAF"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7D618C5F" w14:textId="77777777" w:rsidR="00EF18CC" w:rsidRDefault="00EF18CC" w:rsidP="001F1756">
            <w:pPr>
              <w:pStyle w:val="BStablefigures0"/>
              <w:rPr>
                <w:color w:val="000000"/>
              </w:rPr>
            </w:pPr>
            <w:r>
              <w:rPr>
                <w:color w:val="000000"/>
              </w:rPr>
              <w:t>0</w:t>
            </w:r>
          </w:p>
        </w:tc>
      </w:tr>
      <w:tr w:rsidR="00EF18CC" w14:paraId="1F964137"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4395" w:type="dxa"/>
            <w:tcBorders>
              <w:top w:val="nil"/>
              <w:left w:val="nil"/>
              <w:bottom w:val="nil"/>
              <w:right w:val="nil"/>
              <w:tl2br w:val="nil"/>
              <w:tr2bl w:val="nil"/>
            </w:tcBorders>
            <w:shd w:val="clear" w:color="auto" w:fill="auto"/>
            <w:tcMar>
              <w:left w:w="101" w:type="dxa"/>
              <w:right w:w="101" w:type="dxa"/>
            </w:tcMar>
            <w:vAlign w:val="center"/>
          </w:tcPr>
          <w:p w14:paraId="6A1E6842" w14:textId="77777777" w:rsidR="00EF18CC" w:rsidRDefault="00EF18CC" w:rsidP="001F1756">
            <w:pPr>
              <w:pStyle w:val="BSnoteslist"/>
              <w:rPr>
                <w:rFonts w:eastAsia="Calibri"/>
              </w:rPr>
            </w:pPr>
            <w:r>
              <w:rPr>
                <w:rFonts w:eastAsia="Calibri"/>
              </w:rPr>
              <w:t>Revised Funding Profile - Reducing homelessness by delivering another Common Ground</w:t>
            </w:r>
          </w:p>
        </w:tc>
        <w:tc>
          <w:tcPr>
            <w:tcW w:w="1134" w:type="dxa"/>
            <w:tcBorders>
              <w:top w:val="nil"/>
              <w:left w:val="nil"/>
              <w:bottom w:val="nil"/>
              <w:right w:val="nil"/>
              <w:tl2br w:val="nil"/>
              <w:tr2bl w:val="nil"/>
            </w:tcBorders>
            <w:shd w:val="clear" w:color="auto" w:fill="auto"/>
            <w:noWrap/>
            <w:tcMar>
              <w:left w:w="101" w:type="dxa"/>
              <w:right w:w="101" w:type="dxa"/>
            </w:tcMar>
          </w:tcPr>
          <w:p w14:paraId="2B929B9F" w14:textId="77777777" w:rsidR="00EF18CC" w:rsidRDefault="00EF18CC" w:rsidP="001F1756">
            <w:pPr>
              <w:pStyle w:val="BStablefigures0"/>
              <w:rPr>
                <w:color w:val="000000"/>
              </w:rPr>
            </w:pPr>
            <w:r>
              <w:rPr>
                <w:color w:val="000000"/>
              </w:rPr>
              <w:t>-1,600</w:t>
            </w:r>
          </w:p>
        </w:tc>
        <w:tc>
          <w:tcPr>
            <w:tcW w:w="992" w:type="dxa"/>
            <w:tcBorders>
              <w:top w:val="nil"/>
              <w:left w:val="nil"/>
              <w:bottom w:val="nil"/>
              <w:right w:val="nil"/>
              <w:tl2br w:val="nil"/>
              <w:tr2bl w:val="nil"/>
            </w:tcBorders>
            <w:shd w:val="clear" w:color="auto" w:fill="auto"/>
            <w:noWrap/>
            <w:tcMar>
              <w:left w:w="101" w:type="dxa"/>
              <w:right w:w="101" w:type="dxa"/>
            </w:tcMar>
          </w:tcPr>
          <w:p w14:paraId="3268EEF7" w14:textId="77777777" w:rsidR="00EF18CC" w:rsidRDefault="00EF18CC" w:rsidP="001F1756">
            <w:pPr>
              <w:pStyle w:val="BStablefigures0"/>
              <w:rPr>
                <w:color w:val="000000"/>
              </w:rPr>
            </w:pPr>
            <w:r>
              <w:rPr>
                <w:color w:val="000000"/>
              </w:rPr>
              <w:t>1,600</w:t>
            </w:r>
          </w:p>
        </w:tc>
        <w:tc>
          <w:tcPr>
            <w:tcW w:w="992" w:type="dxa"/>
            <w:tcBorders>
              <w:top w:val="nil"/>
              <w:left w:val="nil"/>
              <w:bottom w:val="nil"/>
              <w:right w:val="nil"/>
              <w:tl2br w:val="nil"/>
              <w:tr2bl w:val="nil"/>
            </w:tcBorders>
            <w:shd w:val="clear" w:color="auto" w:fill="auto"/>
            <w:noWrap/>
            <w:tcMar>
              <w:left w:w="101" w:type="dxa"/>
              <w:right w:w="101" w:type="dxa"/>
            </w:tcMar>
          </w:tcPr>
          <w:p w14:paraId="7EA44927" w14:textId="77777777" w:rsidR="00EF18CC" w:rsidRDefault="00EF18CC" w:rsidP="001F1756">
            <w:pPr>
              <w:pStyle w:val="BStablefigures0"/>
              <w:rPr>
                <w:color w:val="000000"/>
              </w:rPr>
            </w:pPr>
            <w:r>
              <w:rPr>
                <w:color w:val="000000"/>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7F974BAF" w14:textId="77777777" w:rsidR="00EF18CC" w:rsidRDefault="00EF18CC" w:rsidP="001F1756">
            <w:pPr>
              <w:pStyle w:val="BStablefigures0"/>
              <w:rPr>
                <w:color w:val="000000"/>
              </w:rPr>
            </w:pPr>
            <w:r>
              <w:rPr>
                <w:color w:val="000000"/>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6A3F75C7" w14:textId="77777777" w:rsidR="00EF18CC" w:rsidRDefault="00EF18CC" w:rsidP="001F1756">
            <w:pPr>
              <w:pStyle w:val="BStablefigures0"/>
              <w:rPr>
                <w:color w:val="000000"/>
              </w:rPr>
            </w:pPr>
            <w:r>
              <w:rPr>
                <w:color w:val="000000"/>
              </w:rPr>
              <w:t>0</w:t>
            </w:r>
          </w:p>
        </w:tc>
      </w:tr>
      <w:tr w:rsidR="00EF18CC" w14:paraId="609866A9"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39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250A05D" w14:textId="77777777" w:rsidR="00EF18CC" w:rsidRDefault="00EF18CC" w:rsidP="001F1756">
            <w:pPr>
              <w:pStyle w:val="BSnoteslist"/>
              <w:rPr>
                <w:rFonts w:eastAsia="Calibri"/>
              </w:rPr>
            </w:pPr>
          </w:p>
        </w:tc>
        <w:tc>
          <w:tcPr>
            <w:tcW w:w="1134"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A24F144" w14:textId="77777777" w:rsidR="00EF18CC" w:rsidRDefault="00EF18CC" w:rsidP="001F1756">
            <w:pPr>
              <w:pStyle w:val="BStablefigures0"/>
              <w:rPr>
                <w:color w:val="000000"/>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648A39C" w14:textId="77777777" w:rsidR="00EF18CC" w:rsidRDefault="00EF18CC" w:rsidP="001F1756">
            <w:pPr>
              <w:pStyle w:val="BStablefigures0"/>
              <w:rPr>
                <w:color w:val="000000"/>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BB94C59" w14:textId="77777777" w:rsidR="00EF18CC" w:rsidRDefault="00EF18CC" w:rsidP="001F1756">
            <w:pPr>
              <w:pStyle w:val="BStablefigures0"/>
              <w:rPr>
                <w:color w:val="000000"/>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EB2C067" w14:textId="77777777" w:rsidR="00EF18CC" w:rsidRDefault="00EF18CC" w:rsidP="001F1756">
            <w:pPr>
              <w:pStyle w:val="BStablefigures0"/>
              <w:rPr>
                <w:color w:val="000000"/>
              </w:rPr>
            </w:pPr>
          </w:p>
        </w:tc>
        <w:tc>
          <w:tcPr>
            <w:tcW w:w="99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A8C39F6" w14:textId="77777777" w:rsidR="00EF18CC" w:rsidRDefault="00EF18CC" w:rsidP="001F1756">
            <w:pPr>
              <w:pStyle w:val="BStablefigures0"/>
              <w:rPr>
                <w:color w:val="000000"/>
              </w:rPr>
            </w:pPr>
          </w:p>
        </w:tc>
      </w:tr>
      <w:tr w:rsidR="00EF18CC" w14:paraId="34CD6C72" w14:textId="77777777" w:rsidTr="001F1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95"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center"/>
          </w:tcPr>
          <w:p w14:paraId="51A7487F" w14:textId="77777777" w:rsidR="00EF18CC" w:rsidRPr="001F1756" w:rsidRDefault="00EF18CC" w:rsidP="001F1756">
            <w:pPr>
              <w:pStyle w:val="BSnoteslist"/>
              <w:rPr>
                <w:rFonts w:eastAsia="Calibri"/>
                <w:b/>
                <w:bCs/>
              </w:rPr>
            </w:pPr>
            <w:r w:rsidRPr="001F1756">
              <w:rPr>
                <w:rFonts w:eastAsia="Calibri"/>
                <w:b/>
                <w:bCs/>
              </w:rPr>
              <w:t>2021-22 Budget</w:t>
            </w:r>
          </w:p>
        </w:tc>
        <w:tc>
          <w:tcPr>
            <w:tcW w:w="1134"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9950795" w14:textId="77777777" w:rsidR="00EF18CC" w:rsidRDefault="00EF18CC" w:rsidP="001F1756">
            <w:pPr>
              <w:pStyle w:val="BStablefigures0"/>
              <w:rPr>
                <w:b/>
                <w:color w:val="000000"/>
              </w:rPr>
            </w:pPr>
            <w:r>
              <w:rPr>
                <w:b/>
                <w:color w:val="000000"/>
              </w:rPr>
              <w:t>81,942</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55091A2" w14:textId="77777777" w:rsidR="00EF18CC" w:rsidRDefault="00EF18CC" w:rsidP="001F1756">
            <w:pPr>
              <w:pStyle w:val="BStablefigures0"/>
              <w:rPr>
                <w:b/>
                <w:color w:val="000000"/>
              </w:rPr>
            </w:pPr>
            <w:r>
              <w:rPr>
                <w:b/>
                <w:color w:val="000000"/>
              </w:rPr>
              <w:t>96,910</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EEFB7A8" w14:textId="77777777" w:rsidR="00EF18CC" w:rsidRDefault="00EF18CC" w:rsidP="001F1756">
            <w:pPr>
              <w:pStyle w:val="BStablefigures0"/>
              <w:rPr>
                <w:b/>
                <w:color w:val="000000"/>
              </w:rPr>
            </w:pPr>
            <w:r>
              <w:rPr>
                <w:b/>
                <w:color w:val="000000"/>
              </w:rPr>
              <w:t>25,000</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D65B6FE" w14:textId="77777777" w:rsidR="00EF18CC" w:rsidRDefault="00EF18CC" w:rsidP="001F1756">
            <w:pPr>
              <w:pStyle w:val="BStablefigures0"/>
              <w:rPr>
                <w:b/>
                <w:color w:val="000000"/>
              </w:rPr>
            </w:pPr>
            <w:r>
              <w:rPr>
                <w:b/>
                <w:color w:val="000000"/>
              </w:rPr>
              <w:t>25,000</w:t>
            </w:r>
          </w:p>
        </w:tc>
        <w:tc>
          <w:tcPr>
            <w:tcW w:w="99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22A1DFE" w14:textId="77777777" w:rsidR="00EF18CC" w:rsidRDefault="00EF18CC" w:rsidP="001F1756">
            <w:pPr>
              <w:pStyle w:val="BStablefigures0"/>
              <w:rPr>
                <w:b/>
                <w:color w:val="000000"/>
              </w:rPr>
            </w:pPr>
            <w:r>
              <w:rPr>
                <w:b/>
                <w:color w:val="000000"/>
              </w:rPr>
              <w:t>5,000</w:t>
            </w:r>
          </w:p>
        </w:tc>
      </w:tr>
    </w:tbl>
    <w:p w14:paraId="47C61CB8" w14:textId="2ADB9E42" w:rsidR="00EF18CC" w:rsidRDefault="00EF18CC" w:rsidP="00EF18CC">
      <w:pPr>
        <w:pStyle w:val="Heading2"/>
        <w:pageBreakBefore/>
        <w:pBdr>
          <w:top w:val="nil"/>
          <w:left w:val="nil"/>
          <w:bottom w:val="nil"/>
          <w:right w:val="nil"/>
          <w:between w:val="nil"/>
          <w:bar w:val="nil"/>
        </w:pBdr>
        <w:rPr>
          <w:bdr w:val="nil"/>
        </w:rPr>
      </w:pPr>
      <w:bookmarkStart w:id="58" w:name="_Toc452127417"/>
      <w:bookmarkStart w:id="59" w:name="_Toc84071148"/>
      <w:r>
        <w:rPr>
          <w:bdr w:val="nil"/>
        </w:rPr>
        <w:lastRenderedPageBreak/>
        <w:t xml:space="preserve">Summary of </w:t>
      </w:r>
      <w:r w:rsidRPr="00A6684D">
        <w:rPr>
          <w:bdr w:val="nil"/>
        </w:rPr>
        <w:t>2021-22 Housing ACT</w:t>
      </w:r>
      <w:r>
        <w:rPr>
          <w:bdr w:val="nil"/>
        </w:rPr>
        <w:t xml:space="preserve"> </w:t>
      </w:r>
      <w:r w:rsidRPr="00A6684D">
        <w:rPr>
          <w:bdr w:val="nil"/>
        </w:rPr>
        <w:t>Infrastructure Program</w:t>
      </w:r>
      <w:bookmarkEnd w:id="58"/>
      <w:bookmarkEnd w:id="59"/>
    </w:p>
    <w:p w14:paraId="16488761" w14:textId="0FFCEB4C" w:rsidR="00EF18CC" w:rsidRPr="00EC7E1F" w:rsidRDefault="001E4FEE" w:rsidP="001F1756">
      <w:pPr>
        <w:pStyle w:val="Caption"/>
        <w:rPr>
          <w:bdr w:val="nil"/>
        </w:rPr>
      </w:pPr>
      <w:r>
        <w:t xml:space="preserve">Table </w:t>
      </w:r>
      <w:fldSimple w:instr=" SEQ Table \* ARABIC ">
        <w:r>
          <w:rPr>
            <w:noProof/>
          </w:rPr>
          <w:t>38</w:t>
        </w:r>
      </w:fldSimple>
      <w:r w:rsidR="00EF18CC" w:rsidRPr="00A6684D">
        <w:rPr>
          <w:bdr w:val="nil"/>
        </w:rPr>
        <w:t>: 2021-22 Housing ACT Infrastructure</w:t>
      </w:r>
      <w:r w:rsidR="00EF18CC">
        <w:rPr>
          <w:bdr w:val="nil"/>
        </w:rPr>
        <w:t xml:space="preserve"> Program</w:t>
      </w:r>
    </w:p>
    <w:tbl>
      <w:tblPr>
        <w:tblStyle w:val="CDMRange10"/>
        <w:tblW w:w="9375" w:type="dxa"/>
        <w:tblLayout w:type="fixed"/>
        <w:tblLook w:val="0600" w:firstRow="0" w:lastRow="0" w:firstColumn="0" w:lastColumn="0" w:noHBand="1" w:noVBand="1"/>
      </w:tblPr>
      <w:tblGrid>
        <w:gridCol w:w="3225"/>
        <w:gridCol w:w="975"/>
        <w:gridCol w:w="975"/>
        <w:gridCol w:w="975"/>
        <w:gridCol w:w="975"/>
        <w:gridCol w:w="1125"/>
        <w:gridCol w:w="1125"/>
      </w:tblGrid>
      <w:tr w:rsidR="00EF18CC" w14:paraId="2E2CA867" w14:textId="77777777" w:rsidTr="006D3501">
        <w:trPr>
          <w:trHeight w:val="750"/>
        </w:trPr>
        <w:tc>
          <w:tcPr>
            <w:tcW w:w="32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77E411E" w14:textId="77777777" w:rsidR="00EF18CC" w:rsidRPr="001F1756" w:rsidRDefault="00EF18CC" w:rsidP="001F1756">
            <w:pPr>
              <w:pStyle w:val="BStabletext00"/>
              <w:jc w:val="left"/>
              <w:rPr>
                <w:b/>
              </w:rPr>
            </w:pPr>
            <w:r w:rsidRPr="001F1756">
              <w:rPr>
                <w:b/>
                <w:bCs w:val="0"/>
              </w:rPr>
              <w:t>Project</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951489" w14:textId="77777777" w:rsidR="00EF18CC" w:rsidRPr="001F1756" w:rsidRDefault="00EF18CC" w:rsidP="001F1756">
            <w:pPr>
              <w:pStyle w:val="BStabletext00"/>
              <w:rPr>
                <w:b/>
              </w:rPr>
            </w:pPr>
            <w:r w:rsidRPr="001F1756">
              <w:rPr>
                <w:b/>
                <w:bCs w:val="0"/>
              </w:rPr>
              <w:t>2021-22</w:t>
            </w:r>
          </w:p>
          <w:p w14:paraId="0F419055" w14:textId="77777777" w:rsidR="00EF18CC" w:rsidRPr="001F1756" w:rsidRDefault="00EF18CC" w:rsidP="001F1756">
            <w:pPr>
              <w:pStyle w:val="BStabletext00"/>
              <w:rPr>
                <w:b/>
              </w:rPr>
            </w:pPr>
            <w:r w:rsidRPr="001F1756">
              <w:rPr>
                <w:b/>
                <w:bCs w:val="0"/>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4AC812" w14:textId="77777777" w:rsidR="00EF18CC" w:rsidRPr="001F1756" w:rsidRDefault="00EF18CC" w:rsidP="001F1756">
            <w:pPr>
              <w:pStyle w:val="BStabletext00"/>
              <w:rPr>
                <w:b/>
              </w:rPr>
            </w:pPr>
            <w:r w:rsidRPr="001F1756">
              <w:rPr>
                <w:b/>
                <w:bCs w:val="0"/>
              </w:rPr>
              <w:t>2022-23</w:t>
            </w:r>
          </w:p>
          <w:p w14:paraId="0CEA476A" w14:textId="77777777" w:rsidR="00EF18CC" w:rsidRPr="001F1756" w:rsidRDefault="00EF18CC" w:rsidP="001F1756">
            <w:pPr>
              <w:pStyle w:val="BStabletext00"/>
              <w:rPr>
                <w:b/>
              </w:rPr>
            </w:pPr>
            <w:r w:rsidRPr="001F1756">
              <w:rPr>
                <w:b/>
                <w:bCs w:val="0"/>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2C25E10" w14:textId="77777777" w:rsidR="00EF18CC" w:rsidRPr="001F1756" w:rsidRDefault="00EF18CC" w:rsidP="001F1756">
            <w:pPr>
              <w:pStyle w:val="BStabletext00"/>
              <w:rPr>
                <w:b/>
              </w:rPr>
            </w:pPr>
            <w:r w:rsidRPr="001F1756">
              <w:rPr>
                <w:b/>
                <w:bCs w:val="0"/>
              </w:rPr>
              <w:t>2023-24</w:t>
            </w:r>
          </w:p>
          <w:p w14:paraId="459F5A43" w14:textId="77777777" w:rsidR="00EF18CC" w:rsidRPr="001F1756" w:rsidRDefault="00EF18CC" w:rsidP="001F1756">
            <w:pPr>
              <w:pStyle w:val="BStabletext00"/>
              <w:rPr>
                <w:b/>
              </w:rPr>
            </w:pPr>
            <w:r w:rsidRPr="001F1756">
              <w:rPr>
                <w:b/>
                <w:bCs w:val="0"/>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D569D00" w14:textId="77777777" w:rsidR="00EF18CC" w:rsidRPr="001F1756" w:rsidRDefault="00EF18CC" w:rsidP="001F1756">
            <w:pPr>
              <w:pStyle w:val="BStabletext00"/>
              <w:rPr>
                <w:b/>
              </w:rPr>
            </w:pPr>
            <w:r w:rsidRPr="001F1756">
              <w:rPr>
                <w:b/>
                <w:bCs w:val="0"/>
              </w:rPr>
              <w:t>2024-25</w:t>
            </w:r>
          </w:p>
          <w:p w14:paraId="4ED1C89D" w14:textId="77777777" w:rsidR="00EF18CC" w:rsidRPr="001F1756" w:rsidRDefault="00EF18CC" w:rsidP="001F1756">
            <w:pPr>
              <w:pStyle w:val="BStabletext00"/>
              <w:rPr>
                <w:b/>
              </w:rPr>
            </w:pPr>
            <w:r w:rsidRPr="001F1756">
              <w:rPr>
                <w:b/>
                <w:bCs w:val="0"/>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0A110A" w14:textId="77777777" w:rsidR="00EF18CC" w:rsidRPr="001F1756" w:rsidRDefault="00EF18CC" w:rsidP="001F1756">
            <w:pPr>
              <w:pStyle w:val="BStabletext00"/>
              <w:rPr>
                <w:b/>
              </w:rPr>
            </w:pPr>
            <w:r w:rsidRPr="001F1756">
              <w:rPr>
                <w:b/>
                <w:bCs w:val="0"/>
              </w:rPr>
              <w:t>Four Year</w:t>
            </w:r>
          </w:p>
          <w:p w14:paraId="5A3C9CF3" w14:textId="77777777" w:rsidR="00EF18CC" w:rsidRPr="001F1756" w:rsidRDefault="00EF18CC" w:rsidP="001F1756">
            <w:pPr>
              <w:pStyle w:val="BStabletext00"/>
              <w:rPr>
                <w:b/>
              </w:rPr>
            </w:pPr>
            <w:r w:rsidRPr="001F1756">
              <w:rPr>
                <w:b/>
                <w:bCs w:val="0"/>
              </w:rPr>
              <w:t>Investment</w:t>
            </w:r>
          </w:p>
          <w:p w14:paraId="625DFAD4" w14:textId="77777777" w:rsidR="00EF18CC" w:rsidRPr="001F1756" w:rsidRDefault="00EF18CC" w:rsidP="001F1756">
            <w:pPr>
              <w:pStyle w:val="BStabletext00"/>
              <w:rPr>
                <w:b/>
              </w:rPr>
            </w:pPr>
            <w:r w:rsidRPr="001F1756">
              <w:rPr>
                <w:b/>
                <w:bCs w:val="0"/>
              </w:rPr>
              <w:t>$'000</w:t>
            </w:r>
          </w:p>
          <w:p w14:paraId="4A6C8E14" w14:textId="77777777" w:rsidR="00EF18CC" w:rsidRPr="001F1756" w:rsidRDefault="00EF18CC" w:rsidP="001F1756">
            <w:pPr>
              <w:pStyle w:val="BStabletext00"/>
              <w:rPr>
                <w:b/>
              </w:rPr>
            </w:pP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9360CB" w14:textId="77777777" w:rsidR="00EF18CC" w:rsidRPr="001F1756" w:rsidRDefault="00EF18CC" w:rsidP="001F1756">
            <w:pPr>
              <w:pStyle w:val="BStabletext00"/>
              <w:rPr>
                <w:b/>
              </w:rPr>
            </w:pPr>
            <w:r w:rsidRPr="001F1756">
              <w:rPr>
                <w:b/>
                <w:bCs w:val="0"/>
              </w:rPr>
              <w:t>Physical</w:t>
            </w:r>
          </w:p>
          <w:p w14:paraId="4DF5292E" w14:textId="77777777" w:rsidR="00EF18CC" w:rsidRPr="001F1756" w:rsidRDefault="00EF18CC" w:rsidP="001F1756">
            <w:pPr>
              <w:pStyle w:val="BStabletext00"/>
              <w:rPr>
                <w:b/>
              </w:rPr>
            </w:pPr>
            <w:r w:rsidRPr="001F1756">
              <w:rPr>
                <w:b/>
                <w:bCs w:val="0"/>
              </w:rPr>
              <w:t>Completion</w:t>
            </w:r>
          </w:p>
          <w:p w14:paraId="5139B6F5" w14:textId="77777777" w:rsidR="00EF18CC" w:rsidRPr="001F1756" w:rsidRDefault="00EF18CC" w:rsidP="001F1756">
            <w:pPr>
              <w:pStyle w:val="BStabletext00"/>
              <w:rPr>
                <w:b/>
              </w:rPr>
            </w:pPr>
            <w:r w:rsidRPr="001F1756">
              <w:rPr>
                <w:b/>
                <w:bCs w:val="0"/>
              </w:rPr>
              <w:t>Date</w:t>
            </w:r>
          </w:p>
        </w:tc>
      </w:tr>
      <w:tr w:rsidR="00EF18CC" w14:paraId="60700DE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000000"/>
              <w:left w:val="nil"/>
              <w:bottom w:val="nil"/>
              <w:right w:val="nil"/>
              <w:tl2br w:val="nil"/>
              <w:tr2bl w:val="nil"/>
            </w:tcBorders>
            <w:shd w:val="clear" w:color="auto" w:fill="auto"/>
            <w:tcMar>
              <w:left w:w="0" w:type="dxa"/>
              <w:right w:w="0" w:type="dxa"/>
            </w:tcMar>
          </w:tcPr>
          <w:p w14:paraId="02453144" w14:textId="77777777" w:rsidR="00EF18CC" w:rsidRDefault="00EF18CC" w:rsidP="001F1756">
            <w:pPr>
              <w:pStyle w:val="BSnoteslist"/>
              <w:rPr>
                <w:rFonts w:eastAsia="Calibri"/>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337FB9DF" w14:textId="77777777" w:rsidR="00EF18CC" w:rsidRDefault="00EF18CC" w:rsidP="001F1756">
            <w:pPr>
              <w:pStyle w:val="BStablefigures0"/>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460A7462" w14:textId="77777777" w:rsidR="00EF18CC" w:rsidRDefault="00EF18CC" w:rsidP="001F1756">
            <w:pPr>
              <w:pStyle w:val="BStablefigures0"/>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1A1FB250" w14:textId="77777777" w:rsidR="00EF18CC" w:rsidRDefault="00EF18CC" w:rsidP="001F1756">
            <w:pPr>
              <w:pStyle w:val="BStablefigures0"/>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4D087151" w14:textId="77777777" w:rsidR="00EF18CC" w:rsidRDefault="00EF18CC" w:rsidP="001F1756">
            <w:pPr>
              <w:pStyle w:val="BStablefigures0"/>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57F00A7D" w14:textId="77777777" w:rsidR="00EF18CC" w:rsidRDefault="00EF18CC" w:rsidP="001F1756">
            <w:pPr>
              <w:pStyle w:val="BStablefigures0"/>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2ECF43FD" w14:textId="77777777" w:rsidR="00EF18CC" w:rsidRDefault="00EF18CC" w:rsidP="001F1756">
            <w:pPr>
              <w:pStyle w:val="BStablefigures0"/>
            </w:pPr>
          </w:p>
        </w:tc>
      </w:tr>
      <w:tr w:rsidR="00EF18CC" w14:paraId="71D017B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5D37F89" w14:textId="77777777" w:rsidR="00EF18CC" w:rsidRDefault="00EF18CC" w:rsidP="001F1756">
            <w:pPr>
              <w:pStyle w:val="BSnoteslist"/>
              <w:rPr>
                <w:rFonts w:eastAsia="Calibri"/>
                <w:b/>
              </w:rPr>
            </w:pPr>
            <w:r>
              <w:rPr>
                <w:rFonts w:eastAsia="Calibri"/>
                <w:b/>
              </w:rPr>
              <w:t>CAPITAL WORKS PROGRAM</w:t>
            </w:r>
          </w:p>
        </w:tc>
        <w:tc>
          <w:tcPr>
            <w:tcW w:w="975" w:type="dxa"/>
            <w:tcBorders>
              <w:top w:val="nil"/>
              <w:left w:val="nil"/>
              <w:bottom w:val="nil"/>
              <w:right w:val="nil"/>
              <w:tl2br w:val="nil"/>
              <w:tr2bl w:val="nil"/>
            </w:tcBorders>
            <w:shd w:val="clear" w:color="auto" w:fill="auto"/>
            <w:noWrap/>
            <w:tcMar>
              <w:left w:w="0" w:type="dxa"/>
              <w:right w:w="0" w:type="dxa"/>
            </w:tcMar>
          </w:tcPr>
          <w:p w14:paraId="5DD09252"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258A2EAE"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412D895A"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0AFB07C2"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5B654A95"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57EB1D4E" w14:textId="77777777" w:rsidR="00EF18CC" w:rsidRDefault="00EF18CC" w:rsidP="001F1756">
            <w:pPr>
              <w:pStyle w:val="BStablefigures0"/>
            </w:pPr>
          </w:p>
        </w:tc>
      </w:tr>
      <w:tr w:rsidR="00EF18CC" w14:paraId="78F14D8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572BCF21" w14:textId="77777777" w:rsidR="00EF18CC" w:rsidRDefault="00EF18CC" w:rsidP="001F1756">
            <w:pPr>
              <w:pStyle w:val="BSnoteslist"/>
              <w:rPr>
                <w:rFonts w:eastAsia="Calibri"/>
                <w:b/>
              </w:rPr>
            </w:pPr>
          </w:p>
        </w:tc>
        <w:tc>
          <w:tcPr>
            <w:tcW w:w="975" w:type="dxa"/>
            <w:tcBorders>
              <w:top w:val="nil"/>
              <w:left w:val="nil"/>
              <w:bottom w:val="nil"/>
              <w:right w:val="nil"/>
              <w:tl2br w:val="nil"/>
              <w:tr2bl w:val="nil"/>
            </w:tcBorders>
            <w:shd w:val="clear" w:color="auto" w:fill="auto"/>
            <w:noWrap/>
            <w:tcMar>
              <w:left w:w="0" w:type="dxa"/>
              <w:right w:w="0" w:type="dxa"/>
            </w:tcMar>
          </w:tcPr>
          <w:p w14:paraId="46B60F9C"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5181BFB8"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79A4CCD5"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42530329"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05AD186F"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5C8F1A50" w14:textId="77777777" w:rsidR="00EF18CC" w:rsidRDefault="00EF18CC" w:rsidP="001F1756">
            <w:pPr>
              <w:pStyle w:val="BStablefigures0"/>
            </w:pPr>
          </w:p>
        </w:tc>
      </w:tr>
      <w:tr w:rsidR="00EF18CC" w14:paraId="4B1B2D2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C38CF92" w14:textId="77777777" w:rsidR="00EF18CC" w:rsidRDefault="00EF18CC" w:rsidP="001F1756">
            <w:pPr>
              <w:pStyle w:val="BSnoteslist"/>
              <w:rPr>
                <w:rFonts w:eastAsia="Calibri"/>
                <w:b/>
              </w:rPr>
            </w:pPr>
            <w:r>
              <w:rPr>
                <w:rFonts w:eastAsia="Calibri"/>
                <w:b/>
              </w:rPr>
              <w:t xml:space="preserve">Work </w:t>
            </w:r>
            <w:proofErr w:type="gramStart"/>
            <w:r>
              <w:rPr>
                <w:rFonts w:eastAsia="Calibri"/>
                <w:b/>
              </w:rPr>
              <w:t>In</w:t>
            </w:r>
            <w:proofErr w:type="gramEnd"/>
            <w:r>
              <w:rPr>
                <w:rFonts w:eastAsia="Calibri"/>
                <w:b/>
              </w:rPr>
              <w:t xml:space="preserve"> Progress</w:t>
            </w:r>
          </w:p>
        </w:tc>
        <w:tc>
          <w:tcPr>
            <w:tcW w:w="975" w:type="dxa"/>
            <w:tcBorders>
              <w:top w:val="nil"/>
              <w:left w:val="nil"/>
              <w:bottom w:val="nil"/>
              <w:right w:val="nil"/>
              <w:tl2br w:val="nil"/>
              <w:tr2bl w:val="nil"/>
            </w:tcBorders>
            <w:shd w:val="clear" w:color="auto" w:fill="auto"/>
            <w:noWrap/>
            <w:tcMar>
              <w:left w:w="0" w:type="dxa"/>
              <w:right w:w="0" w:type="dxa"/>
            </w:tcMar>
          </w:tcPr>
          <w:p w14:paraId="0A7FFA78"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6AB88CAE"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44F9ED2A"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430C4B0F"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49A86061"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5B865296" w14:textId="77777777" w:rsidR="00EF18CC" w:rsidRDefault="00EF18CC" w:rsidP="001F1756">
            <w:pPr>
              <w:pStyle w:val="BStablefigures0"/>
            </w:pPr>
          </w:p>
        </w:tc>
      </w:tr>
      <w:tr w:rsidR="00EF18CC" w14:paraId="027D8EC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6CA09AF1" w14:textId="77777777" w:rsidR="00EF18CC" w:rsidRDefault="00EF18CC" w:rsidP="001F1756">
            <w:pPr>
              <w:pStyle w:val="BSnoteslist"/>
              <w:rPr>
                <w:rFonts w:eastAsia="Calibri"/>
              </w:rPr>
            </w:pPr>
          </w:p>
        </w:tc>
        <w:tc>
          <w:tcPr>
            <w:tcW w:w="975" w:type="dxa"/>
            <w:tcBorders>
              <w:top w:val="nil"/>
              <w:left w:val="nil"/>
              <w:bottom w:val="nil"/>
              <w:right w:val="nil"/>
              <w:tl2br w:val="nil"/>
              <w:tr2bl w:val="nil"/>
            </w:tcBorders>
            <w:shd w:val="clear" w:color="auto" w:fill="auto"/>
            <w:noWrap/>
            <w:tcMar>
              <w:left w:w="0" w:type="dxa"/>
              <w:right w:w="0" w:type="dxa"/>
            </w:tcMar>
          </w:tcPr>
          <w:p w14:paraId="686504F6"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067C437D"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6835B806" w14:textId="77777777" w:rsidR="00EF18CC" w:rsidRDefault="00EF18CC" w:rsidP="001F1756">
            <w:pPr>
              <w:pStyle w:val="BStablefigures0"/>
            </w:pPr>
          </w:p>
        </w:tc>
        <w:tc>
          <w:tcPr>
            <w:tcW w:w="975" w:type="dxa"/>
            <w:tcBorders>
              <w:top w:val="nil"/>
              <w:left w:val="nil"/>
              <w:bottom w:val="nil"/>
              <w:right w:val="nil"/>
              <w:tl2br w:val="nil"/>
              <w:tr2bl w:val="nil"/>
            </w:tcBorders>
            <w:shd w:val="clear" w:color="auto" w:fill="auto"/>
            <w:noWrap/>
            <w:tcMar>
              <w:left w:w="0" w:type="dxa"/>
              <w:right w:w="0" w:type="dxa"/>
            </w:tcMar>
          </w:tcPr>
          <w:p w14:paraId="6FE19F0F"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3D9FFD55" w14:textId="77777777" w:rsidR="00EF18CC" w:rsidRDefault="00EF18CC" w:rsidP="001F1756">
            <w:pPr>
              <w:pStyle w:val="BStablefigures0"/>
            </w:pPr>
          </w:p>
        </w:tc>
        <w:tc>
          <w:tcPr>
            <w:tcW w:w="1125" w:type="dxa"/>
            <w:tcBorders>
              <w:top w:val="nil"/>
              <w:left w:val="nil"/>
              <w:bottom w:val="nil"/>
              <w:right w:val="nil"/>
              <w:tl2br w:val="nil"/>
              <w:tr2bl w:val="nil"/>
            </w:tcBorders>
            <w:shd w:val="clear" w:color="auto" w:fill="auto"/>
            <w:noWrap/>
            <w:tcMar>
              <w:left w:w="0" w:type="dxa"/>
              <w:right w:w="0" w:type="dxa"/>
            </w:tcMar>
          </w:tcPr>
          <w:p w14:paraId="3DC67B86" w14:textId="77777777" w:rsidR="00EF18CC" w:rsidRDefault="00EF18CC" w:rsidP="001F1756">
            <w:pPr>
              <w:pStyle w:val="BStablefigures0"/>
            </w:pPr>
          </w:p>
        </w:tc>
      </w:tr>
      <w:tr w:rsidR="00EF18CC" w14:paraId="6D55732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225" w:type="dxa"/>
            <w:tcBorders>
              <w:top w:val="nil"/>
              <w:left w:val="nil"/>
              <w:bottom w:val="nil"/>
              <w:right w:val="nil"/>
              <w:tl2br w:val="nil"/>
              <w:tr2bl w:val="nil"/>
            </w:tcBorders>
            <w:shd w:val="clear" w:color="auto" w:fill="auto"/>
            <w:tcMar>
              <w:left w:w="101" w:type="dxa"/>
              <w:right w:w="101" w:type="dxa"/>
            </w:tcMar>
          </w:tcPr>
          <w:p w14:paraId="25DA8278" w14:textId="77777777" w:rsidR="00EF18CC" w:rsidRPr="001F1756" w:rsidRDefault="00EF18CC" w:rsidP="001F1756">
            <w:pPr>
              <w:pStyle w:val="BSnoteslist"/>
              <w:rPr>
                <w:rFonts w:eastAsia="Calibri"/>
              </w:rPr>
            </w:pPr>
            <w:r w:rsidRPr="00DB6E11">
              <w:rPr>
                <w:rFonts w:eastAsia="Calibri"/>
              </w:rPr>
              <w:t>Commonwealth Funding</w:t>
            </w:r>
          </w:p>
        </w:tc>
        <w:tc>
          <w:tcPr>
            <w:tcW w:w="975" w:type="dxa"/>
            <w:tcBorders>
              <w:top w:val="nil"/>
              <w:left w:val="nil"/>
              <w:bottom w:val="nil"/>
              <w:right w:val="nil"/>
              <w:tl2br w:val="nil"/>
              <w:tr2bl w:val="nil"/>
            </w:tcBorders>
            <w:shd w:val="clear" w:color="auto" w:fill="auto"/>
            <w:noWrap/>
            <w:tcMar>
              <w:left w:w="101" w:type="dxa"/>
              <w:right w:w="101" w:type="dxa"/>
            </w:tcMar>
          </w:tcPr>
          <w:p w14:paraId="4ACBEED7" w14:textId="77777777" w:rsidR="00EF18CC" w:rsidRDefault="00EF18CC" w:rsidP="001F1756">
            <w:pPr>
              <w:pStyle w:val="BStablefigures0"/>
            </w:pPr>
            <w:r>
              <w:t>5,000</w:t>
            </w:r>
          </w:p>
        </w:tc>
        <w:tc>
          <w:tcPr>
            <w:tcW w:w="975" w:type="dxa"/>
            <w:tcBorders>
              <w:top w:val="nil"/>
              <w:left w:val="nil"/>
              <w:bottom w:val="nil"/>
              <w:right w:val="nil"/>
              <w:tl2br w:val="nil"/>
              <w:tr2bl w:val="nil"/>
            </w:tcBorders>
            <w:shd w:val="clear" w:color="auto" w:fill="auto"/>
            <w:noWrap/>
            <w:tcMar>
              <w:left w:w="101" w:type="dxa"/>
              <w:right w:w="101" w:type="dxa"/>
            </w:tcMar>
          </w:tcPr>
          <w:p w14:paraId="0C969642" w14:textId="77777777" w:rsidR="00EF18CC" w:rsidRDefault="00EF18CC" w:rsidP="001F1756">
            <w:pPr>
              <w:pStyle w:val="BStablefigures0"/>
            </w:pPr>
            <w:r>
              <w:t>5,000</w:t>
            </w:r>
          </w:p>
        </w:tc>
        <w:tc>
          <w:tcPr>
            <w:tcW w:w="975" w:type="dxa"/>
            <w:tcBorders>
              <w:top w:val="nil"/>
              <w:left w:val="nil"/>
              <w:bottom w:val="nil"/>
              <w:right w:val="nil"/>
              <w:tl2br w:val="nil"/>
              <w:tr2bl w:val="nil"/>
            </w:tcBorders>
            <w:shd w:val="clear" w:color="auto" w:fill="auto"/>
            <w:noWrap/>
            <w:tcMar>
              <w:left w:w="101" w:type="dxa"/>
              <w:right w:w="101" w:type="dxa"/>
            </w:tcMar>
          </w:tcPr>
          <w:p w14:paraId="080F27E3" w14:textId="77777777" w:rsidR="00EF18CC" w:rsidRDefault="00EF18CC" w:rsidP="001F1756">
            <w:pPr>
              <w:pStyle w:val="BStablefigures0"/>
            </w:pPr>
            <w:r>
              <w:t>5,000</w:t>
            </w:r>
          </w:p>
        </w:tc>
        <w:tc>
          <w:tcPr>
            <w:tcW w:w="975" w:type="dxa"/>
            <w:tcBorders>
              <w:top w:val="nil"/>
              <w:left w:val="nil"/>
              <w:bottom w:val="nil"/>
              <w:right w:val="nil"/>
              <w:tl2br w:val="nil"/>
              <w:tr2bl w:val="nil"/>
            </w:tcBorders>
            <w:shd w:val="clear" w:color="auto" w:fill="auto"/>
            <w:noWrap/>
            <w:tcMar>
              <w:left w:w="101" w:type="dxa"/>
              <w:right w:w="101" w:type="dxa"/>
            </w:tcMar>
          </w:tcPr>
          <w:p w14:paraId="4879F500" w14:textId="77777777" w:rsidR="00EF18CC" w:rsidRDefault="00EF18CC" w:rsidP="001F1756">
            <w:pPr>
              <w:pStyle w:val="BStablefigures0"/>
            </w:pPr>
            <w:r>
              <w:t>5,000</w:t>
            </w:r>
          </w:p>
        </w:tc>
        <w:tc>
          <w:tcPr>
            <w:tcW w:w="1125" w:type="dxa"/>
            <w:tcBorders>
              <w:top w:val="nil"/>
              <w:left w:val="nil"/>
              <w:bottom w:val="nil"/>
              <w:right w:val="nil"/>
              <w:tl2br w:val="nil"/>
              <w:tr2bl w:val="nil"/>
            </w:tcBorders>
            <w:shd w:val="clear" w:color="auto" w:fill="auto"/>
            <w:noWrap/>
            <w:tcMar>
              <w:left w:w="101" w:type="dxa"/>
              <w:right w:w="101" w:type="dxa"/>
            </w:tcMar>
          </w:tcPr>
          <w:p w14:paraId="09B8CA0F" w14:textId="77777777" w:rsidR="00EF18CC" w:rsidRDefault="00EF18CC" w:rsidP="001F1756">
            <w:pPr>
              <w:pStyle w:val="BStablefigures0"/>
            </w:pPr>
            <w:r>
              <w:t>20,000</w:t>
            </w:r>
          </w:p>
        </w:tc>
        <w:tc>
          <w:tcPr>
            <w:tcW w:w="1125" w:type="dxa"/>
            <w:tcBorders>
              <w:top w:val="nil"/>
              <w:left w:val="nil"/>
              <w:bottom w:val="nil"/>
              <w:right w:val="nil"/>
              <w:tl2br w:val="nil"/>
              <w:tr2bl w:val="nil"/>
            </w:tcBorders>
            <w:shd w:val="clear" w:color="auto" w:fill="auto"/>
            <w:noWrap/>
            <w:tcMar>
              <w:left w:w="101" w:type="dxa"/>
              <w:right w:w="101" w:type="dxa"/>
            </w:tcMar>
          </w:tcPr>
          <w:p w14:paraId="112C58C0" w14:textId="77777777" w:rsidR="00EF18CC" w:rsidRDefault="00EF18CC" w:rsidP="001F1756">
            <w:pPr>
              <w:pStyle w:val="BStablefigures0"/>
            </w:pPr>
            <w:r>
              <w:t>n/a</w:t>
            </w:r>
          </w:p>
        </w:tc>
      </w:tr>
      <w:tr w:rsidR="00EF18CC" w14:paraId="17CB86E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02304C62" w14:textId="77777777" w:rsidR="00EF18CC" w:rsidRDefault="00EF18CC" w:rsidP="001F1756">
            <w:pPr>
              <w:pStyle w:val="BSnoteslist"/>
              <w:rPr>
                <w:rFonts w:eastAsia="Calibri"/>
              </w:rPr>
            </w:pPr>
            <w:r>
              <w:rPr>
                <w:rFonts w:eastAsia="Calibri"/>
              </w:rPr>
              <w:t xml:space="preserve">Better healthcare for a growing </w:t>
            </w:r>
            <w:proofErr w:type="gramStart"/>
            <w:r>
              <w:rPr>
                <w:rFonts w:eastAsia="Calibri"/>
              </w:rPr>
              <w:t>community  -</w:t>
            </w:r>
            <w:proofErr w:type="gramEnd"/>
            <w:r>
              <w:rPr>
                <w:rFonts w:eastAsia="Calibri"/>
              </w:rPr>
              <w:t xml:space="preserve"> More mental health accommodation</w:t>
            </w:r>
          </w:p>
        </w:tc>
        <w:tc>
          <w:tcPr>
            <w:tcW w:w="975" w:type="dxa"/>
            <w:tcBorders>
              <w:top w:val="nil"/>
              <w:left w:val="nil"/>
              <w:bottom w:val="nil"/>
              <w:right w:val="nil"/>
              <w:tl2br w:val="nil"/>
              <w:tr2bl w:val="nil"/>
            </w:tcBorders>
            <w:shd w:val="clear" w:color="auto" w:fill="auto"/>
            <w:noWrap/>
            <w:tcMar>
              <w:left w:w="101" w:type="dxa"/>
              <w:right w:w="101" w:type="dxa"/>
            </w:tcMar>
          </w:tcPr>
          <w:p w14:paraId="11EF0693" w14:textId="77777777" w:rsidR="00EF18CC" w:rsidRDefault="00EF18CC" w:rsidP="001F1756">
            <w:pPr>
              <w:pStyle w:val="BStablefigures0"/>
            </w:pPr>
            <w:r>
              <w:t>398</w:t>
            </w:r>
          </w:p>
        </w:tc>
        <w:tc>
          <w:tcPr>
            <w:tcW w:w="975" w:type="dxa"/>
            <w:tcBorders>
              <w:top w:val="nil"/>
              <w:left w:val="nil"/>
              <w:bottom w:val="nil"/>
              <w:right w:val="nil"/>
              <w:tl2br w:val="nil"/>
              <w:tr2bl w:val="nil"/>
            </w:tcBorders>
            <w:shd w:val="clear" w:color="auto" w:fill="auto"/>
            <w:noWrap/>
            <w:tcMar>
              <w:left w:w="101" w:type="dxa"/>
              <w:right w:w="101" w:type="dxa"/>
            </w:tcMar>
          </w:tcPr>
          <w:p w14:paraId="19DBE703"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243A0BA6"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61DDA390" w14:textId="77777777" w:rsidR="00EF18CC" w:rsidRDefault="00EF18CC" w:rsidP="001F1756">
            <w:pPr>
              <w:pStyle w:val="BStablefigures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0ED8B75D" w14:textId="77777777" w:rsidR="00EF18CC" w:rsidRDefault="00EF18CC" w:rsidP="001F1756">
            <w:pPr>
              <w:pStyle w:val="BStablefigures0"/>
            </w:pPr>
            <w:r>
              <w:t>398</w:t>
            </w:r>
          </w:p>
        </w:tc>
        <w:tc>
          <w:tcPr>
            <w:tcW w:w="1125" w:type="dxa"/>
            <w:tcBorders>
              <w:top w:val="nil"/>
              <w:left w:val="nil"/>
              <w:bottom w:val="nil"/>
              <w:right w:val="nil"/>
              <w:tl2br w:val="nil"/>
              <w:tr2bl w:val="nil"/>
            </w:tcBorders>
            <w:shd w:val="clear" w:color="auto" w:fill="auto"/>
            <w:noWrap/>
            <w:tcMar>
              <w:left w:w="101" w:type="dxa"/>
              <w:right w:w="101" w:type="dxa"/>
            </w:tcMar>
          </w:tcPr>
          <w:p w14:paraId="2AFF1B6A" w14:textId="77777777" w:rsidR="00EF18CC" w:rsidRDefault="00EF18CC" w:rsidP="001F1756">
            <w:pPr>
              <w:pStyle w:val="BStablefigures0"/>
            </w:pPr>
            <w:r>
              <w:t>Nov-20</w:t>
            </w:r>
          </w:p>
        </w:tc>
      </w:tr>
      <w:tr w:rsidR="00EF18CC" w14:paraId="4EF50F2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3225" w:type="dxa"/>
            <w:tcBorders>
              <w:top w:val="nil"/>
              <w:left w:val="nil"/>
              <w:bottom w:val="nil"/>
              <w:right w:val="nil"/>
              <w:tl2br w:val="nil"/>
              <w:tr2bl w:val="nil"/>
            </w:tcBorders>
            <w:shd w:val="clear" w:color="auto" w:fill="auto"/>
            <w:tcMar>
              <w:left w:w="101" w:type="dxa"/>
              <w:right w:w="101" w:type="dxa"/>
            </w:tcMar>
          </w:tcPr>
          <w:p w14:paraId="76040EA2" w14:textId="77777777" w:rsidR="00EF18CC" w:rsidRDefault="00EF18CC" w:rsidP="001F1756">
            <w:pPr>
              <w:pStyle w:val="BSnoteslist"/>
              <w:rPr>
                <w:rFonts w:eastAsia="Calibri"/>
              </w:rPr>
            </w:pPr>
            <w:r>
              <w:rPr>
                <w:rFonts w:eastAsia="Calibri"/>
              </w:rPr>
              <w:t>Growing and Renewing Public Housing program</w:t>
            </w:r>
          </w:p>
        </w:tc>
        <w:tc>
          <w:tcPr>
            <w:tcW w:w="975" w:type="dxa"/>
            <w:tcBorders>
              <w:top w:val="nil"/>
              <w:left w:val="nil"/>
              <w:bottom w:val="nil"/>
              <w:right w:val="nil"/>
              <w:tl2br w:val="nil"/>
              <w:tr2bl w:val="nil"/>
            </w:tcBorders>
            <w:shd w:val="clear" w:color="auto" w:fill="auto"/>
            <w:noWrap/>
            <w:tcMar>
              <w:left w:w="101" w:type="dxa"/>
              <w:right w:w="101" w:type="dxa"/>
            </w:tcMar>
          </w:tcPr>
          <w:p w14:paraId="14B24335" w14:textId="77777777" w:rsidR="00EF18CC" w:rsidRDefault="00EF18CC" w:rsidP="001F1756">
            <w:pPr>
              <w:pStyle w:val="BStablefigures0"/>
            </w:pPr>
            <w:r>
              <w:t>-3,242</w:t>
            </w:r>
          </w:p>
        </w:tc>
        <w:tc>
          <w:tcPr>
            <w:tcW w:w="975" w:type="dxa"/>
            <w:tcBorders>
              <w:top w:val="nil"/>
              <w:left w:val="nil"/>
              <w:bottom w:val="nil"/>
              <w:right w:val="nil"/>
              <w:tl2br w:val="nil"/>
              <w:tr2bl w:val="nil"/>
            </w:tcBorders>
            <w:shd w:val="clear" w:color="auto" w:fill="auto"/>
            <w:noWrap/>
            <w:tcMar>
              <w:left w:w="101" w:type="dxa"/>
              <w:right w:w="101" w:type="dxa"/>
            </w:tcMar>
          </w:tcPr>
          <w:p w14:paraId="15C90087"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5B25FE54"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5B9ABAB3" w14:textId="77777777" w:rsidR="00EF18CC" w:rsidRDefault="00EF18CC" w:rsidP="001F1756">
            <w:pPr>
              <w:pStyle w:val="BStablefigures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59F94B3A" w14:textId="77777777" w:rsidR="00EF18CC" w:rsidRDefault="00EF18CC" w:rsidP="001F1756">
            <w:pPr>
              <w:pStyle w:val="BStablefigures0"/>
            </w:pPr>
            <w:r>
              <w:t>-3,242</w:t>
            </w:r>
          </w:p>
        </w:tc>
        <w:tc>
          <w:tcPr>
            <w:tcW w:w="1125" w:type="dxa"/>
            <w:tcBorders>
              <w:top w:val="nil"/>
              <w:left w:val="nil"/>
              <w:bottom w:val="nil"/>
              <w:right w:val="nil"/>
              <w:tl2br w:val="nil"/>
              <w:tr2bl w:val="nil"/>
            </w:tcBorders>
            <w:shd w:val="clear" w:color="auto" w:fill="auto"/>
            <w:noWrap/>
            <w:tcMar>
              <w:left w:w="101" w:type="dxa"/>
              <w:right w:w="101" w:type="dxa"/>
            </w:tcMar>
          </w:tcPr>
          <w:p w14:paraId="4BC7E6FB" w14:textId="77777777" w:rsidR="00EF18CC" w:rsidRDefault="00EF18CC" w:rsidP="001F1756">
            <w:pPr>
              <w:pStyle w:val="BStablefigures0"/>
            </w:pPr>
            <w:r>
              <w:t>Jun-25</w:t>
            </w:r>
          </w:p>
        </w:tc>
      </w:tr>
      <w:tr w:rsidR="00EF18CC" w14:paraId="2B0BCC5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3225" w:type="dxa"/>
            <w:tcBorders>
              <w:top w:val="nil"/>
              <w:left w:val="nil"/>
              <w:bottom w:val="nil"/>
              <w:right w:val="nil"/>
              <w:tl2br w:val="nil"/>
              <w:tr2bl w:val="nil"/>
            </w:tcBorders>
            <w:shd w:val="clear" w:color="auto" w:fill="auto"/>
            <w:tcMar>
              <w:left w:w="101" w:type="dxa"/>
              <w:right w:w="101" w:type="dxa"/>
            </w:tcMar>
          </w:tcPr>
          <w:p w14:paraId="2A529765" w14:textId="77777777" w:rsidR="00EF18CC" w:rsidRDefault="00EF18CC" w:rsidP="001F1756">
            <w:pPr>
              <w:pStyle w:val="BSnoteslist"/>
              <w:rPr>
                <w:rFonts w:eastAsia="Calibri"/>
              </w:rPr>
            </w:pPr>
            <w:r>
              <w:rPr>
                <w:rFonts w:eastAsia="Calibri"/>
              </w:rPr>
              <w:t>Maintenance and Upgrade Program for Social Housing</w:t>
            </w:r>
          </w:p>
        </w:tc>
        <w:tc>
          <w:tcPr>
            <w:tcW w:w="975" w:type="dxa"/>
            <w:tcBorders>
              <w:top w:val="nil"/>
              <w:left w:val="nil"/>
              <w:bottom w:val="nil"/>
              <w:right w:val="nil"/>
              <w:tl2br w:val="nil"/>
              <w:tr2bl w:val="nil"/>
            </w:tcBorders>
            <w:shd w:val="clear" w:color="auto" w:fill="auto"/>
            <w:noWrap/>
            <w:tcMar>
              <w:left w:w="101" w:type="dxa"/>
              <w:right w:w="101" w:type="dxa"/>
            </w:tcMar>
          </w:tcPr>
          <w:p w14:paraId="3D86C3D3" w14:textId="77777777" w:rsidR="00EF18CC" w:rsidRDefault="00EF18CC" w:rsidP="001F1756">
            <w:pPr>
              <w:pStyle w:val="BStablefigures0"/>
            </w:pPr>
            <w:r>
              <w:t>7,600</w:t>
            </w:r>
          </w:p>
        </w:tc>
        <w:tc>
          <w:tcPr>
            <w:tcW w:w="975" w:type="dxa"/>
            <w:tcBorders>
              <w:top w:val="nil"/>
              <w:left w:val="nil"/>
              <w:bottom w:val="nil"/>
              <w:right w:val="nil"/>
              <w:tl2br w:val="nil"/>
              <w:tr2bl w:val="nil"/>
            </w:tcBorders>
            <w:shd w:val="clear" w:color="auto" w:fill="auto"/>
            <w:noWrap/>
            <w:tcMar>
              <w:left w:w="101" w:type="dxa"/>
              <w:right w:w="101" w:type="dxa"/>
            </w:tcMar>
          </w:tcPr>
          <w:p w14:paraId="76135016"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5DF46569"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03E34C15" w14:textId="77777777" w:rsidR="00EF18CC" w:rsidRDefault="00EF18CC" w:rsidP="001F1756">
            <w:pPr>
              <w:pStyle w:val="BStablefigures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41EA7A6D" w14:textId="77777777" w:rsidR="00EF18CC" w:rsidRDefault="00EF18CC" w:rsidP="001F1756">
            <w:pPr>
              <w:pStyle w:val="BStablefigures0"/>
            </w:pPr>
            <w:r>
              <w:t>7,600</w:t>
            </w:r>
          </w:p>
        </w:tc>
        <w:tc>
          <w:tcPr>
            <w:tcW w:w="1125" w:type="dxa"/>
            <w:tcBorders>
              <w:top w:val="nil"/>
              <w:left w:val="nil"/>
              <w:bottom w:val="nil"/>
              <w:right w:val="nil"/>
              <w:tl2br w:val="nil"/>
              <w:tr2bl w:val="nil"/>
            </w:tcBorders>
            <w:shd w:val="clear" w:color="auto" w:fill="auto"/>
            <w:noWrap/>
            <w:tcMar>
              <w:left w:w="101" w:type="dxa"/>
              <w:right w:w="101" w:type="dxa"/>
            </w:tcMar>
          </w:tcPr>
          <w:p w14:paraId="5B67754C" w14:textId="77777777" w:rsidR="00EF18CC" w:rsidRDefault="00EF18CC" w:rsidP="001F1756">
            <w:pPr>
              <w:pStyle w:val="BStablefigures0"/>
            </w:pPr>
            <w:r>
              <w:t>Jun-22</w:t>
            </w:r>
          </w:p>
        </w:tc>
      </w:tr>
      <w:tr w:rsidR="00EF18CC" w14:paraId="3808293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3225" w:type="dxa"/>
            <w:tcBorders>
              <w:top w:val="nil"/>
              <w:left w:val="nil"/>
              <w:bottom w:val="nil"/>
              <w:right w:val="nil"/>
              <w:tl2br w:val="nil"/>
              <w:tr2bl w:val="nil"/>
            </w:tcBorders>
            <w:shd w:val="clear" w:color="auto" w:fill="auto"/>
            <w:tcMar>
              <w:left w:w="101" w:type="dxa"/>
              <w:right w:w="101" w:type="dxa"/>
            </w:tcMar>
          </w:tcPr>
          <w:p w14:paraId="7EA9DB85" w14:textId="77777777" w:rsidR="00EF18CC" w:rsidRDefault="00EF18CC" w:rsidP="001F1756">
            <w:pPr>
              <w:pStyle w:val="BSnoteslist"/>
              <w:rPr>
                <w:rFonts w:eastAsia="Calibri"/>
              </w:rPr>
            </w:pPr>
            <w:r>
              <w:rPr>
                <w:rFonts w:eastAsia="Calibri"/>
              </w:rPr>
              <w:t>More services for our suburbs - Improved energy efficiency for public housing</w:t>
            </w:r>
          </w:p>
        </w:tc>
        <w:tc>
          <w:tcPr>
            <w:tcW w:w="975" w:type="dxa"/>
            <w:tcBorders>
              <w:top w:val="nil"/>
              <w:left w:val="nil"/>
              <w:bottom w:val="nil"/>
              <w:right w:val="nil"/>
              <w:tl2br w:val="nil"/>
              <w:tr2bl w:val="nil"/>
            </w:tcBorders>
            <w:shd w:val="clear" w:color="auto" w:fill="auto"/>
            <w:noWrap/>
            <w:tcMar>
              <w:left w:w="101" w:type="dxa"/>
              <w:right w:w="101" w:type="dxa"/>
            </w:tcMar>
          </w:tcPr>
          <w:p w14:paraId="555781F0" w14:textId="77777777" w:rsidR="00EF18CC" w:rsidRDefault="00EF18CC" w:rsidP="001F1756">
            <w:pPr>
              <w:pStyle w:val="BStablefigures0"/>
            </w:pPr>
            <w:r>
              <w:t>70</w:t>
            </w:r>
          </w:p>
        </w:tc>
        <w:tc>
          <w:tcPr>
            <w:tcW w:w="975" w:type="dxa"/>
            <w:tcBorders>
              <w:top w:val="nil"/>
              <w:left w:val="nil"/>
              <w:bottom w:val="nil"/>
              <w:right w:val="nil"/>
              <w:tl2br w:val="nil"/>
              <w:tr2bl w:val="nil"/>
            </w:tcBorders>
            <w:shd w:val="clear" w:color="auto" w:fill="auto"/>
            <w:noWrap/>
            <w:tcMar>
              <w:left w:w="101" w:type="dxa"/>
              <w:right w:w="101" w:type="dxa"/>
            </w:tcMar>
          </w:tcPr>
          <w:p w14:paraId="1920C183"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18AC7298"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2AB4E6F2" w14:textId="77777777" w:rsidR="00EF18CC" w:rsidRDefault="00EF18CC" w:rsidP="001F1756">
            <w:pPr>
              <w:pStyle w:val="BStablefigures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790C8E74" w14:textId="77777777" w:rsidR="00EF18CC" w:rsidRDefault="00EF18CC" w:rsidP="001F1756">
            <w:pPr>
              <w:pStyle w:val="BStablefigures0"/>
            </w:pPr>
            <w:r>
              <w:t>70</w:t>
            </w:r>
          </w:p>
        </w:tc>
        <w:tc>
          <w:tcPr>
            <w:tcW w:w="1125" w:type="dxa"/>
            <w:tcBorders>
              <w:top w:val="nil"/>
              <w:left w:val="nil"/>
              <w:bottom w:val="nil"/>
              <w:right w:val="nil"/>
              <w:tl2br w:val="nil"/>
              <w:tr2bl w:val="nil"/>
            </w:tcBorders>
            <w:shd w:val="clear" w:color="auto" w:fill="auto"/>
            <w:noWrap/>
            <w:tcMar>
              <w:left w:w="101" w:type="dxa"/>
              <w:right w:w="101" w:type="dxa"/>
            </w:tcMar>
          </w:tcPr>
          <w:p w14:paraId="71C1EF59" w14:textId="77777777" w:rsidR="00EF18CC" w:rsidRDefault="00EF18CC" w:rsidP="001F1756">
            <w:pPr>
              <w:pStyle w:val="BStablefigures0"/>
            </w:pPr>
            <w:r>
              <w:t>Jun-21</w:t>
            </w:r>
          </w:p>
        </w:tc>
      </w:tr>
      <w:tr w:rsidR="00EF18CC" w14:paraId="7F75915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3225" w:type="dxa"/>
            <w:tcBorders>
              <w:top w:val="nil"/>
              <w:left w:val="nil"/>
              <w:bottom w:val="nil"/>
              <w:right w:val="nil"/>
              <w:tl2br w:val="nil"/>
              <w:tr2bl w:val="nil"/>
            </w:tcBorders>
            <w:shd w:val="clear" w:color="auto" w:fill="auto"/>
            <w:tcMar>
              <w:left w:w="101" w:type="dxa"/>
              <w:right w:w="101" w:type="dxa"/>
            </w:tcMar>
          </w:tcPr>
          <w:p w14:paraId="2C22BF09" w14:textId="77777777" w:rsidR="00EF18CC" w:rsidRDefault="00EF18CC" w:rsidP="001F1756">
            <w:pPr>
              <w:pStyle w:val="BSnoteslist"/>
              <w:rPr>
                <w:rFonts w:eastAsia="Calibri"/>
              </w:rPr>
            </w:pPr>
            <w:r>
              <w:rPr>
                <w:rFonts w:eastAsia="Calibri"/>
              </w:rPr>
              <w:t>More support for families and inclusion - Better housing for Aboriginal and Torres Strait Islander older people</w:t>
            </w:r>
          </w:p>
        </w:tc>
        <w:tc>
          <w:tcPr>
            <w:tcW w:w="975" w:type="dxa"/>
            <w:tcBorders>
              <w:top w:val="nil"/>
              <w:left w:val="nil"/>
              <w:bottom w:val="nil"/>
              <w:right w:val="nil"/>
              <w:tl2br w:val="nil"/>
              <w:tr2bl w:val="nil"/>
            </w:tcBorders>
            <w:shd w:val="clear" w:color="auto" w:fill="auto"/>
            <w:noWrap/>
            <w:tcMar>
              <w:left w:w="101" w:type="dxa"/>
              <w:right w:w="101" w:type="dxa"/>
            </w:tcMar>
          </w:tcPr>
          <w:p w14:paraId="4C0786BF" w14:textId="77777777" w:rsidR="00EF18CC" w:rsidRDefault="00EF18CC" w:rsidP="001F1756">
            <w:pPr>
              <w:pStyle w:val="BStablefigures0"/>
            </w:pPr>
            <w:r>
              <w:t>1,665</w:t>
            </w:r>
          </w:p>
        </w:tc>
        <w:tc>
          <w:tcPr>
            <w:tcW w:w="975" w:type="dxa"/>
            <w:tcBorders>
              <w:top w:val="nil"/>
              <w:left w:val="nil"/>
              <w:bottom w:val="nil"/>
              <w:right w:val="nil"/>
              <w:tl2br w:val="nil"/>
              <w:tr2bl w:val="nil"/>
            </w:tcBorders>
            <w:shd w:val="clear" w:color="auto" w:fill="auto"/>
            <w:noWrap/>
            <w:tcMar>
              <w:left w:w="101" w:type="dxa"/>
              <w:right w:w="101" w:type="dxa"/>
            </w:tcMar>
          </w:tcPr>
          <w:p w14:paraId="57C93C5B"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5E1D4945"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2490D095" w14:textId="77777777" w:rsidR="00EF18CC" w:rsidRDefault="00EF18CC" w:rsidP="001F1756">
            <w:pPr>
              <w:pStyle w:val="BStablefigures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629EA8E9" w14:textId="77777777" w:rsidR="00EF18CC" w:rsidRDefault="00EF18CC" w:rsidP="001F1756">
            <w:pPr>
              <w:pStyle w:val="BStablefigures0"/>
            </w:pPr>
            <w:r>
              <w:t>1,665</w:t>
            </w:r>
          </w:p>
        </w:tc>
        <w:tc>
          <w:tcPr>
            <w:tcW w:w="1125" w:type="dxa"/>
            <w:tcBorders>
              <w:top w:val="nil"/>
              <w:left w:val="nil"/>
              <w:bottom w:val="nil"/>
              <w:right w:val="nil"/>
              <w:tl2br w:val="nil"/>
              <w:tr2bl w:val="nil"/>
            </w:tcBorders>
            <w:shd w:val="clear" w:color="auto" w:fill="auto"/>
            <w:noWrap/>
            <w:tcMar>
              <w:left w:w="101" w:type="dxa"/>
              <w:right w:w="101" w:type="dxa"/>
            </w:tcMar>
          </w:tcPr>
          <w:p w14:paraId="7BC2E91A" w14:textId="77777777" w:rsidR="00EF18CC" w:rsidRDefault="00EF18CC" w:rsidP="001F1756">
            <w:pPr>
              <w:pStyle w:val="BStablefigures0"/>
            </w:pPr>
            <w:r>
              <w:t>Feb-22</w:t>
            </w:r>
          </w:p>
        </w:tc>
      </w:tr>
      <w:tr w:rsidR="00EF18CC" w14:paraId="0509AAF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3225" w:type="dxa"/>
            <w:tcBorders>
              <w:top w:val="nil"/>
              <w:left w:val="nil"/>
              <w:bottom w:val="nil"/>
              <w:right w:val="nil"/>
              <w:tl2br w:val="nil"/>
              <w:tr2bl w:val="nil"/>
            </w:tcBorders>
            <w:shd w:val="clear" w:color="auto" w:fill="auto"/>
            <w:tcMar>
              <w:left w:w="101" w:type="dxa"/>
              <w:right w:w="101" w:type="dxa"/>
            </w:tcMar>
          </w:tcPr>
          <w:p w14:paraId="5C54A877" w14:textId="77777777" w:rsidR="00EF18CC" w:rsidRDefault="00EF18CC" w:rsidP="001F1756">
            <w:pPr>
              <w:pStyle w:val="BSnoteslist"/>
              <w:rPr>
                <w:rFonts w:eastAsia="Calibri"/>
              </w:rPr>
            </w:pPr>
            <w:r>
              <w:rPr>
                <w:rFonts w:eastAsia="Calibri"/>
              </w:rPr>
              <w:t>Reducing homelessness by delivering another Common Ground</w:t>
            </w:r>
          </w:p>
        </w:tc>
        <w:tc>
          <w:tcPr>
            <w:tcW w:w="975" w:type="dxa"/>
            <w:tcBorders>
              <w:top w:val="nil"/>
              <w:left w:val="nil"/>
              <w:bottom w:val="nil"/>
              <w:right w:val="nil"/>
              <w:tl2br w:val="nil"/>
              <w:tr2bl w:val="nil"/>
            </w:tcBorders>
            <w:shd w:val="clear" w:color="auto" w:fill="auto"/>
            <w:noWrap/>
            <w:tcMar>
              <w:left w:w="101" w:type="dxa"/>
              <w:right w:w="101" w:type="dxa"/>
            </w:tcMar>
          </w:tcPr>
          <w:p w14:paraId="36CFC78E" w14:textId="77777777" w:rsidR="00EF18CC" w:rsidRDefault="00EF18CC" w:rsidP="001F1756">
            <w:pPr>
              <w:pStyle w:val="BStablefigures0"/>
            </w:pPr>
            <w:r>
              <w:t>22,297</w:t>
            </w:r>
          </w:p>
        </w:tc>
        <w:tc>
          <w:tcPr>
            <w:tcW w:w="975" w:type="dxa"/>
            <w:tcBorders>
              <w:top w:val="nil"/>
              <w:left w:val="nil"/>
              <w:bottom w:val="nil"/>
              <w:right w:val="nil"/>
              <w:tl2br w:val="nil"/>
              <w:tr2bl w:val="nil"/>
            </w:tcBorders>
            <w:shd w:val="clear" w:color="auto" w:fill="auto"/>
            <w:noWrap/>
            <w:tcMar>
              <w:left w:w="101" w:type="dxa"/>
              <w:right w:w="101" w:type="dxa"/>
            </w:tcMar>
          </w:tcPr>
          <w:p w14:paraId="5C2762C2"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6E0493F3" w14:textId="77777777" w:rsidR="00EF18CC" w:rsidRDefault="00EF18CC" w:rsidP="001F1756">
            <w:pPr>
              <w:pStyle w:val="BStablefigures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40ACCB90" w14:textId="77777777" w:rsidR="00EF18CC" w:rsidRDefault="00EF18CC" w:rsidP="001F1756">
            <w:pPr>
              <w:pStyle w:val="BStablefigures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400A1793" w14:textId="77777777" w:rsidR="00EF18CC" w:rsidRDefault="00EF18CC" w:rsidP="001F1756">
            <w:pPr>
              <w:pStyle w:val="BStablefigures0"/>
            </w:pPr>
            <w:r>
              <w:t>22,297</w:t>
            </w:r>
          </w:p>
        </w:tc>
        <w:tc>
          <w:tcPr>
            <w:tcW w:w="1125" w:type="dxa"/>
            <w:tcBorders>
              <w:top w:val="nil"/>
              <w:left w:val="nil"/>
              <w:bottom w:val="nil"/>
              <w:right w:val="nil"/>
              <w:tl2br w:val="nil"/>
              <w:tr2bl w:val="nil"/>
            </w:tcBorders>
            <w:shd w:val="clear" w:color="auto" w:fill="auto"/>
            <w:noWrap/>
            <w:tcMar>
              <w:left w:w="101" w:type="dxa"/>
              <w:right w:w="101" w:type="dxa"/>
            </w:tcMar>
          </w:tcPr>
          <w:p w14:paraId="5E372816" w14:textId="77777777" w:rsidR="00EF18CC" w:rsidRDefault="00EF18CC" w:rsidP="001F1756">
            <w:pPr>
              <w:pStyle w:val="BStablefigures0"/>
            </w:pPr>
            <w:r>
              <w:t>Jul-23</w:t>
            </w:r>
          </w:p>
        </w:tc>
      </w:tr>
      <w:tr w:rsidR="00EF18CC" w14:paraId="6D5161C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5EF15AF7" w14:textId="77777777" w:rsidR="00EF18CC" w:rsidRDefault="00EF18CC" w:rsidP="001F1756">
            <w:pPr>
              <w:pStyle w:val="BSnoteslist"/>
              <w:rPr>
                <w:rFonts w:eastAsia="Calibri"/>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6C3B9244" w14:textId="77777777" w:rsidR="00EF18CC" w:rsidRDefault="00EF18CC" w:rsidP="001F1756">
            <w:pPr>
              <w:pStyle w:val="BStablefigures0"/>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4467210E" w14:textId="77777777" w:rsidR="00EF18CC" w:rsidRDefault="00EF18CC" w:rsidP="001F1756">
            <w:pPr>
              <w:pStyle w:val="BStablefigures0"/>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436BF4B8" w14:textId="77777777" w:rsidR="00EF18CC" w:rsidRDefault="00EF18CC" w:rsidP="001F1756">
            <w:pPr>
              <w:pStyle w:val="BStablefigures0"/>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1F98207F" w14:textId="77777777" w:rsidR="00EF18CC" w:rsidRDefault="00EF18CC" w:rsidP="001F1756">
            <w:pPr>
              <w:pStyle w:val="BStablefigures0"/>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2A235FF6" w14:textId="77777777" w:rsidR="00EF18CC" w:rsidRDefault="00EF18CC" w:rsidP="001F1756">
            <w:pPr>
              <w:pStyle w:val="BStablefigures0"/>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2A252035" w14:textId="77777777" w:rsidR="00EF18CC" w:rsidRDefault="00EF18CC" w:rsidP="001F1756">
            <w:pPr>
              <w:pStyle w:val="BStablefigures0"/>
            </w:pPr>
          </w:p>
        </w:tc>
      </w:tr>
      <w:tr w:rsidR="00EF18CC" w14:paraId="2D1D8FE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6621D96D" w14:textId="77777777" w:rsidR="00EF18CC" w:rsidRPr="001F1756" w:rsidRDefault="00EF18CC" w:rsidP="001F1756">
            <w:pPr>
              <w:pStyle w:val="BSnoteslist"/>
              <w:rPr>
                <w:rFonts w:eastAsia="Calibri"/>
                <w:b/>
                <w:bCs/>
              </w:rPr>
            </w:pPr>
            <w:r w:rsidRPr="001F1756">
              <w:rPr>
                <w:rFonts w:eastAsia="Calibri"/>
                <w:b/>
                <w:bCs/>
              </w:rPr>
              <w:t xml:space="preserve">Total Work </w:t>
            </w:r>
            <w:proofErr w:type="gramStart"/>
            <w:r w:rsidRPr="001F1756">
              <w:rPr>
                <w:rFonts w:eastAsia="Calibri"/>
                <w:b/>
                <w:bCs/>
              </w:rPr>
              <w:t>In</w:t>
            </w:r>
            <w:proofErr w:type="gramEnd"/>
            <w:r w:rsidRPr="001F1756">
              <w:rPr>
                <w:rFonts w:eastAsia="Calibri"/>
                <w:b/>
                <w:bCs/>
              </w:rPr>
              <w:t xml:space="preserve"> Progress</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3B9F106D" w14:textId="77777777" w:rsidR="00EF18CC" w:rsidRDefault="00EF18CC" w:rsidP="001F1756">
            <w:pPr>
              <w:pStyle w:val="BStablefigures0"/>
              <w:rPr>
                <w:b/>
              </w:rPr>
            </w:pPr>
            <w:r>
              <w:rPr>
                <w:b/>
              </w:rPr>
              <w:t>33,788</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6045F9AA" w14:textId="77777777" w:rsidR="00EF18CC" w:rsidRDefault="00EF18CC" w:rsidP="001F1756">
            <w:pPr>
              <w:pStyle w:val="BStablefigures0"/>
              <w:rPr>
                <w:b/>
              </w:rPr>
            </w:pPr>
            <w:r>
              <w:rPr>
                <w:b/>
              </w:rPr>
              <w:t>5,000</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7787E750" w14:textId="77777777" w:rsidR="00EF18CC" w:rsidRDefault="00EF18CC" w:rsidP="001F1756">
            <w:pPr>
              <w:pStyle w:val="BStablefigures0"/>
              <w:rPr>
                <w:b/>
              </w:rPr>
            </w:pPr>
            <w:r>
              <w:rPr>
                <w:b/>
              </w:rPr>
              <w:t>5,000</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33C1F23B" w14:textId="77777777" w:rsidR="00EF18CC" w:rsidRDefault="00EF18CC" w:rsidP="001F1756">
            <w:pPr>
              <w:pStyle w:val="BStablefigures0"/>
              <w:rPr>
                <w:b/>
              </w:rPr>
            </w:pPr>
            <w:r>
              <w:rPr>
                <w:b/>
              </w:rPr>
              <w:t>5,000</w:t>
            </w:r>
          </w:p>
        </w:tc>
        <w:tc>
          <w:tcPr>
            <w:tcW w:w="1125" w:type="dxa"/>
            <w:tcBorders>
              <w:top w:val="single" w:sz="4" w:space="0" w:color="000000"/>
              <w:left w:val="nil"/>
              <w:bottom w:val="nil"/>
              <w:right w:val="nil"/>
              <w:tl2br w:val="nil"/>
              <w:tr2bl w:val="nil"/>
            </w:tcBorders>
            <w:shd w:val="clear" w:color="auto" w:fill="auto"/>
            <w:noWrap/>
            <w:tcMar>
              <w:left w:w="101" w:type="dxa"/>
              <w:right w:w="101" w:type="dxa"/>
            </w:tcMar>
          </w:tcPr>
          <w:p w14:paraId="3276992D" w14:textId="77777777" w:rsidR="00EF18CC" w:rsidRDefault="00EF18CC" w:rsidP="001F1756">
            <w:pPr>
              <w:pStyle w:val="BStablefigures0"/>
              <w:rPr>
                <w:b/>
              </w:rPr>
            </w:pPr>
            <w:r>
              <w:rPr>
                <w:b/>
              </w:rPr>
              <w:t>48,788</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0ADF21BA" w14:textId="77777777" w:rsidR="00EF18CC" w:rsidRDefault="00EF18CC" w:rsidP="001F1756">
            <w:pPr>
              <w:pStyle w:val="BStablefigures0"/>
            </w:pPr>
          </w:p>
        </w:tc>
      </w:tr>
      <w:tr w:rsidR="00EF18CC" w14:paraId="006D32E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62262E4A" w14:textId="77777777" w:rsidR="00EF18CC" w:rsidRDefault="00EF18CC" w:rsidP="001F1756">
            <w:pPr>
              <w:pStyle w:val="BSnoteslist"/>
              <w:rPr>
                <w:rFonts w:eastAsia="Calibri"/>
              </w:rPr>
            </w:pPr>
          </w:p>
        </w:tc>
        <w:tc>
          <w:tcPr>
            <w:tcW w:w="975" w:type="dxa"/>
            <w:tcBorders>
              <w:top w:val="nil"/>
              <w:left w:val="nil"/>
              <w:bottom w:val="nil"/>
              <w:right w:val="nil"/>
              <w:tl2br w:val="nil"/>
              <w:tr2bl w:val="nil"/>
            </w:tcBorders>
            <w:shd w:val="clear" w:color="auto" w:fill="auto"/>
            <w:noWrap/>
            <w:tcMar>
              <w:left w:w="0" w:type="dxa"/>
              <w:right w:w="0" w:type="dxa"/>
            </w:tcMar>
          </w:tcPr>
          <w:p w14:paraId="6DCAAE83" w14:textId="77777777" w:rsidR="00EF18CC" w:rsidRDefault="00EF18CC" w:rsidP="001F1756">
            <w:pPr>
              <w:pStyle w:val="BStablefigures0"/>
              <w:rPr>
                <w:b/>
              </w:rPr>
            </w:pPr>
          </w:p>
        </w:tc>
        <w:tc>
          <w:tcPr>
            <w:tcW w:w="975" w:type="dxa"/>
            <w:tcBorders>
              <w:top w:val="nil"/>
              <w:left w:val="nil"/>
              <w:bottom w:val="nil"/>
              <w:right w:val="nil"/>
              <w:tl2br w:val="nil"/>
              <w:tr2bl w:val="nil"/>
            </w:tcBorders>
            <w:shd w:val="clear" w:color="auto" w:fill="auto"/>
            <w:noWrap/>
            <w:tcMar>
              <w:left w:w="0" w:type="dxa"/>
              <w:right w:w="0" w:type="dxa"/>
            </w:tcMar>
          </w:tcPr>
          <w:p w14:paraId="1395CB6F" w14:textId="77777777" w:rsidR="00EF18CC" w:rsidRDefault="00EF18CC" w:rsidP="001F1756">
            <w:pPr>
              <w:pStyle w:val="BStablefigures0"/>
              <w:rPr>
                <w:b/>
              </w:rPr>
            </w:pPr>
          </w:p>
        </w:tc>
        <w:tc>
          <w:tcPr>
            <w:tcW w:w="975" w:type="dxa"/>
            <w:tcBorders>
              <w:top w:val="nil"/>
              <w:left w:val="nil"/>
              <w:bottom w:val="nil"/>
              <w:right w:val="nil"/>
              <w:tl2br w:val="nil"/>
              <w:tr2bl w:val="nil"/>
            </w:tcBorders>
            <w:shd w:val="clear" w:color="auto" w:fill="auto"/>
            <w:noWrap/>
            <w:tcMar>
              <w:left w:w="0" w:type="dxa"/>
              <w:right w:w="0" w:type="dxa"/>
            </w:tcMar>
          </w:tcPr>
          <w:p w14:paraId="74AA0DE7" w14:textId="77777777" w:rsidR="00EF18CC" w:rsidRDefault="00EF18CC" w:rsidP="001F1756">
            <w:pPr>
              <w:pStyle w:val="BStablefigures0"/>
              <w:rPr>
                <w:b/>
              </w:rPr>
            </w:pPr>
          </w:p>
        </w:tc>
        <w:tc>
          <w:tcPr>
            <w:tcW w:w="975" w:type="dxa"/>
            <w:tcBorders>
              <w:top w:val="nil"/>
              <w:left w:val="nil"/>
              <w:bottom w:val="nil"/>
              <w:right w:val="nil"/>
              <w:tl2br w:val="nil"/>
              <w:tr2bl w:val="nil"/>
            </w:tcBorders>
            <w:shd w:val="clear" w:color="auto" w:fill="auto"/>
            <w:noWrap/>
            <w:tcMar>
              <w:left w:w="0" w:type="dxa"/>
              <w:right w:w="0" w:type="dxa"/>
            </w:tcMar>
          </w:tcPr>
          <w:p w14:paraId="3AE45A0B" w14:textId="77777777" w:rsidR="00EF18CC" w:rsidRDefault="00EF18CC" w:rsidP="001F1756">
            <w:pPr>
              <w:pStyle w:val="BStablefigures0"/>
              <w:rPr>
                <w:b/>
              </w:rPr>
            </w:pPr>
          </w:p>
        </w:tc>
        <w:tc>
          <w:tcPr>
            <w:tcW w:w="1125" w:type="dxa"/>
            <w:tcBorders>
              <w:top w:val="nil"/>
              <w:left w:val="nil"/>
              <w:bottom w:val="nil"/>
              <w:right w:val="nil"/>
              <w:tl2br w:val="nil"/>
              <w:tr2bl w:val="nil"/>
            </w:tcBorders>
            <w:shd w:val="clear" w:color="auto" w:fill="auto"/>
            <w:noWrap/>
            <w:tcMar>
              <w:left w:w="0" w:type="dxa"/>
              <w:right w:w="0" w:type="dxa"/>
            </w:tcMar>
          </w:tcPr>
          <w:p w14:paraId="655F2D0A" w14:textId="77777777" w:rsidR="00EF18CC" w:rsidRDefault="00EF18CC" w:rsidP="001F1756">
            <w:pPr>
              <w:pStyle w:val="BStablefigures0"/>
              <w:rPr>
                <w:b/>
              </w:rPr>
            </w:pPr>
          </w:p>
        </w:tc>
        <w:tc>
          <w:tcPr>
            <w:tcW w:w="1125" w:type="dxa"/>
            <w:tcBorders>
              <w:top w:val="nil"/>
              <w:left w:val="nil"/>
              <w:bottom w:val="nil"/>
              <w:right w:val="nil"/>
              <w:tl2br w:val="nil"/>
              <w:tr2bl w:val="nil"/>
            </w:tcBorders>
            <w:shd w:val="clear" w:color="auto" w:fill="auto"/>
            <w:noWrap/>
            <w:tcMar>
              <w:left w:w="0" w:type="dxa"/>
              <w:right w:w="0" w:type="dxa"/>
            </w:tcMar>
          </w:tcPr>
          <w:p w14:paraId="0F4FB8B2" w14:textId="77777777" w:rsidR="00EF18CC" w:rsidRDefault="00EF18CC" w:rsidP="001F1756">
            <w:pPr>
              <w:pStyle w:val="BStablefigures0"/>
            </w:pPr>
          </w:p>
        </w:tc>
      </w:tr>
    </w:tbl>
    <w:tbl>
      <w:tblPr>
        <w:tblStyle w:val="CDMRange20"/>
        <w:tblW w:w="9375" w:type="dxa"/>
        <w:tblLayout w:type="fixed"/>
        <w:tblLook w:val="0600" w:firstRow="0" w:lastRow="0" w:firstColumn="0" w:lastColumn="0" w:noHBand="1" w:noVBand="1"/>
      </w:tblPr>
      <w:tblGrid>
        <w:gridCol w:w="3225"/>
        <w:gridCol w:w="975"/>
        <w:gridCol w:w="975"/>
        <w:gridCol w:w="975"/>
        <w:gridCol w:w="975"/>
        <w:gridCol w:w="1125"/>
        <w:gridCol w:w="1125"/>
      </w:tblGrid>
      <w:tr w:rsidR="00EF18CC" w14:paraId="67211FB7" w14:textId="77777777" w:rsidTr="006D3501">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84657CD" w14:textId="77777777" w:rsidR="00EF18CC" w:rsidRPr="001F1756" w:rsidRDefault="00EF18CC" w:rsidP="001F1756">
            <w:pPr>
              <w:pStyle w:val="BSnoteslist"/>
              <w:rPr>
                <w:rFonts w:eastAsia="Calibri"/>
                <w:b/>
                <w:bCs/>
              </w:rPr>
            </w:pPr>
            <w:r w:rsidRPr="001F1756">
              <w:rPr>
                <w:rFonts w:eastAsia="Calibri"/>
                <w:b/>
                <w:bCs/>
              </w:rPr>
              <w:t>New Work</w:t>
            </w:r>
          </w:p>
        </w:tc>
        <w:tc>
          <w:tcPr>
            <w:tcW w:w="975" w:type="dxa"/>
            <w:tcBorders>
              <w:top w:val="nil"/>
              <w:left w:val="nil"/>
              <w:bottom w:val="nil"/>
              <w:right w:val="nil"/>
              <w:tl2br w:val="nil"/>
              <w:tr2bl w:val="nil"/>
            </w:tcBorders>
            <w:shd w:val="clear" w:color="auto" w:fill="auto"/>
            <w:noWrap/>
            <w:tcMar>
              <w:left w:w="0" w:type="dxa"/>
              <w:right w:w="0" w:type="dxa"/>
            </w:tcMar>
          </w:tcPr>
          <w:p w14:paraId="3DA340CB" w14:textId="77777777" w:rsidR="00EF18CC" w:rsidRDefault="00EF18CC" w:rsidP="001F1756">
            <w:pPr>
              <w:pStyle w:val="BStablefigures00"/>
            </w:pPr>
          </w:p>
        </w:tc>
        <w:tc>
          <w:tcPr>
            <w:tcW w:w="975" w:type="dxa"/>
            <w:tcBorders>
              <w:top w:val="nil"/>
              <w:left w:val="nil"/>
              <w:bottom w:val="nil"/>
              <w:right w:val="nil"/>
              <w:tl2br w:val="nil"/>
              <w:tr2bl w:val="nil"/>
            </w:tcBorders>
            <w:shd w:val="clear" w:color="auto" w:fill="auto"/>
            <w:noWrap/>
            <w:tcMar>
              <w:left w:w="0" w:type="dxa"/>
              <w:right w:w="0" w:type="dxa"/>
            </w:tcMar>
          </w:tcPr>
          <w:p w14:paraId="3AF991B9" w14:textId="77777777" w:rsidR="00EF18CC" w:rsidRDefault="00EF18CC" w:rsidP="001F1756">
            <w:pPr>
              <w:pStyle w:val="BStablefigures00"/>
            </w:pPr>
          </w:p>
        </w:tc>
        <w:tc>
          <w:tcPr>
            <w:tcW w:w="975" w:type="dxa"/>
            <w:tcBorders>
              <w:top w:val="nil"/>
              <w:left w:val="nil"/>
              <w:bottom w:val="nil"/>
              <w:right w:val="nil"/>
              <w:tl2br w:val="nil"/>
              <w:tr2bl w:val="nil"/>
            </w:tcBorders>
            <w:shd w:val="clear" w:color="auto" w:fill="auto"/>
            <w:noWrap/>
            <w:tcMar>
              <w:left w:w="0" w:type="dxa"/>
              <w:right w:w="0" w:type="dxa"/>
            </w:tcMar>
          </w:tcPr>
          <w:p w14:paraId="13584837" w14:textId="77777777" w:rsidR="00EF18CC" w:rsidRDefault="00EF18CC" w:rsidP="001F1756">
            <w:pPr>
              <w:pStyle w:val="BStablefigures00"/>
            </w:pPr>
          </w:p>
        </w:tc>
        <w:tc>
          <w:tcPr>
            <w:tcW w:w="975" w:type="dxa"/>
            <w:tcBorders>
              <w:top w:val="nil"/>
              <w:left w:val="nil"/>
              <w:bottom w:val="nil"/>
              <w:right w:val="nil"/>
              <w:tl2br w:val="nil"/>
              <w:tr2bl w:val="nil"/>
            </w:tcBorders>
            <w:shd w:val="clear" w:color="auto" w:fill="auto"/>
            <w:noWrap/>
            <w:tcMar>
              <w:left w:w="0" w:type="dxa"/>
              <w:right w:w="0" w:type="dxa"/>
            </w:tcMar>
          </w:tcPr>
          <w:p w14:paraId="3CD72FEF" w14:textId="77777777" w:rsidR="00EF18CC" w:rsidRDefault="00EF18CC" w:rsidP="001F1756">
            <w:pPr>
              <w:pStyle w:val="BStablefigures00"/>
            </w:pPr>
          </w:p>
        </w:tc>
        <w:tc>
          <w:tcPr>
            <w:tcW w:w="1125" w:type="dxa"/>
            <w:tcBorders>
              <w:top w:val="nil"/>
              <w:left w:val="nil"/>
              <w:bottom w:val="nil"/>
              <w:right w:val="nil"/>
              <w:tl2br w:val="nil"/>
              <w:tr2bl w:val="nil"/>
            </w:tcBorders>
            <w:shd w:val="clear" w:color="auto" w:fill="auto"/>
            <w:noWrap/>
            <w:tcMar>
              <w:left w:w="0" w:type="dxa"/>
              <w:right w:w="0" w:type="dxa"/>
            </w:tcMar>
          </w:tcPr>
          <w:p w14:paraId="2656C861" w14:textId="77777777" w:rsidR="00EF18CC" w:rsidRDefault="00EF18CC" w:rsidP="001F1756">
            <w:pPr>
              <w:pStyle w:val="BStablefigures00"/>
            </w:pPr>
          </w:p>
        </w:tc>
        <w:tc>
          <w:tcPr>
            <w:tcW w:w="1125" w:type="dxa"/>
            <w:tcBorders>
              <w:top w:val="nil"/>
              <w:left w:val="nil"/>
              <w:bottom w:val="nil"/>
              <w:right w:val="nil"/>
              <w:tl2br w:val="nil"/>
              <w:tr2bl w:val="nil"/>
            </w:tcBorders>
            <w:shd w:val="clear" w:color="auto" w:fill="auto"/>
            <w:noWrap/>
            <w:tcMar>
              <w:left w:w="0" w:type="dxa"/>
              <w:right w:w="0" w:type="dxa"/>
            </w:tcMar>
          </w:tcPr>
          <w:p w14:paraId="6A5201EF" w14:textId="77777777" w:rsidR="00EF18CC" w:rsidRDefault="00EF18CC" w:rsidP="001F1756">
            <w:pPr>
              <w:pStyle w:val="BStablefigures00"/>
            </w:pPr>
          </w:p>
        </w:tc>
      </w:tr>
      <w:tr w:rsidR="00EF18CC" w14:paraId="3FECC86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3225" w:type="dxa"/>
            <w:tcBorders>
              <w:top w:val="nil"/>
              <w:left w:val="nil"/>
              <w:bottom w:val="nil"/>
              <w:right w:val="nil"/>
              <w:tl2br w:val="nil"/>
              <w:tr2bl w:val="nil"/>
            </w:tcBorders>
            <w:shd w:val="clear" w:color="auto" w:fill="auto"/>
            <w:tcMar>
              <w:left w:w="101" w:type="dxa"/>
              <w:right w:w="101" w:type="dxa"/>
            </w:tcMar>
          </w:tcPr>
          <w:p w14:paraId="7CCA8CEA" w14:textId="46660366" w:rsidR="00EF18CC" w:rsidRDefault="00EF18CC" w:rsidP="001F1756">
            <w:pPr>
              <w:pStyle w:val="BSnoteslist"/>
              <w:rPr>
                <w:rFonts w:eastAsia="Calibri"/>
              </w:rPr>
            </w:pPr>
            <w:r>
              <w:rPr>
                <w:rFonts w:eastAsia="Calibri"/>
              </w:rPr>
              <w:t>Growing and Renewing Public Housing Program – Year three of the Growth and Renewal Program</w:t>
            </w:r>
          </w:p>
        </w:tc>
        <w:tc>
          <w:tcPr>
            <w:tcW w:w="975" w:type="dxa"/>
            <w:tcBorders>
              <w:top w:val="nil"/>
              <w:left w:val="nil"/>
              <w:bottom w:val="nil"/>
              <w:right w:val="nil"/>
              <w:tl2br w:val="nil"/>
              <w:tr2bl w:val="nil"/>
            </w:tcBorders>
            <w:shd w:val="clear" w:color="auto" w:fill="auto"/>
            <w:noWrap/>
            <w:tcMar>
              <w:left w:w="101" w:type="dxa"/>
              <w:right w:w="101" w:type="dxa"/>
            </w:tcMar>
          </w:tcPr>
          <w:p w14:paraId="018CDA42" w14:textId="77777777" w:rsidR="00EF18CC" w:rsidRDefault="00EF18CC" w:rsidP="001F1756">
            <w:pPr>
              <w:pStyle w:val="BStablefigures00"/>
            </w:pPr>
            <w:r>
              <w:t>21,760</w:t>
            </w:r>
          </w:p>
        </w:tc>
        <w:tc>
          <w:tcPr>
            <w:tcW w:w="975" w:type="dxa"/>
            <w:tcBorders>
              <w:top w:val="nil"/>
              <w:left w:val="nil"/>
              <w:bottom w:val="nil"/>
              <w:right w:val="nil"/>
              <w:tl2br w:val="nil"/>
              <w:tr2bl w:val="nil"/>
            </w:tcBorders>
            <w:shd w:val="clear" w:color="auto" w:fill="auto"/>
            <w:noWrap/>
            <w:tcMar>
              <w:left w:w="101" w:type="dxa"/>
              <w:right w:w="101" w:type="dxa"/>
            </w:tcMar>
          </w:tcPr>
          <w:p w14:paraId="139DC329" w14:textId="77777777" w:rsidR="00EF18CC" w:rsidRDefault="00EF18CC" w:rsidP="001F1756">
            <w:pPr>
              <w:pStyle w:val="BStablefigures0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2654C3AE" w14:textId="77777777" w:rsidR="00EF18CC" w:rsidRDefault="00EF18CC" w:rsidP="001F1756">
            <w:pPr>
              <w:pStyle w:val="BStablefigures00"/>
            </w:pPr>
            <w:r>
              <w:t>0</w:t>
            </w:r>
          </w:p>
        </w:tc>
        <w:tc>
          <w:tcPr>
            <w:tcW w:w="975" w:type="dxa"/>
            <w:tcBorders>
              <w:top w:val="nil"/>
              <w:left w:val="nil"/>
              <w:bottom w:val="nil"/>
              <w:right w:val="nil"/>
              <w:tl2br w:val="nil"/>
              <w:tr2bl w:val="nil"/>
            </w:tcBorders>
            <w:shd w:val="clear" w:color="auto" w:fill="auto"/>
            <w:noWrap/>
            <w:tcMar>
              <w:left w:w="101" w:type="dxa"/>
              <w:right w:w="101" w:type="dxa"/>
            </w:tcMar>
          </w:tcPr>
          <w:p w14:paraId="1CE3A9A4" w14:textId="77777777" w:rsidR="00EF18CC" w:rsidRDefault="00EF18CC" w:rsidP="001F1756">
            <w:pPr>
              <w:pStyle w:val="BStablefigures0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64EFB5FB" w14:textId="77777777" w:rsidR="00EF18CC" w:rsidRDefault="00EF18CC" w:rsidP="001F1756">
            <w:pPr>
              <w:pStyle w:val="BStablefigures00"/>
            </w:pPr>
            <w:r>
              <w:t>21,760</w:t>
            </w:r>
          </w:p>
        </w:tc>
        <w:tc>
          <w:tcPr>
            <w:tcW w:w="1125" w:type="dxa"/>
            <w:tcBorders>
              <w:top w:val="nil"/>
              <w:left w:val="nil"/>
              <w:bottom w:val="nil"/>
              <w:right w:val="nil"/>
              <w:tl2br w:val="nil"/>
              <w:tr2bl w:val="nil"/>
            </w:tcBorders>
            <w:shd w:val="clear" w:color="auto" w:fill="auto"/>
            <w:noWrap/>
            <w:tcMar>
              <w:left w:w="101" w:type="dxa"/>
              <w:right w:w="101" w:type="dxa"/>
            </w:tcMar>
          </w:tcPr>
          <w:p w14:paraId="5B25459F" w14:textId="77777777" w:rsidR="00EF18CC" w:rsidRDefault="00EF18CC" w:rsidP="001F1756">
            <w:pPr>
              <w:pStyle w:val="BStablefigures00"/>
            </w:pPr>
            <w:r>
              <w:t>Jun-25</w:t>
            </w:r>
          </w:p>
        </w:tc>
      </w:tr>
      <w:tr w:rsidR="00EF18CC" w14:paraId="4A75022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9D17AAC" w14:textId="77777777" w:rsidR="00EF18CC" w:rsidRDefault="00EF18CC" w:rsidP="001F1756">
            <w:pPr>
              <w:pStyle w:val="BSnoteslist"/>
              <w:rPr>
                <w:rFonts w:eastAsia="Calibri"/>
              </w:rPr>
            </w:pPr>
            <w:r>
              <w:rPr>
                <w:rFonts w:eastAsia="Calibri"/>
              </w:rPr>
              <w:t>Growing and Renewing Public Housing - Securing high quality public housing</w:t>
            </w:r>
          </w:p>
        </w:tc>
        <w:tc>
          <w:tcPr>
            <w:tcW w:w="975" w:type="dxa"/>
            <w:tcBorders>
              <w:top w:val="nil"/>
              <w:left w:val="nil"/>
              <w:bottom w:val="nil"/>
              <w:right w:val="nil"/>
              <w:tl2br w:val="nil"/>
              <w:tr2bl w:val="nil"/>
            </w:tcBorders>
            <w:shd w:val="clear" w:color="auto" w:fill="auto"/>
            <w:noWrap/>
            <w:tcMar>
              <w:left w:w="101" w:type="dxa"/>
              <w:right w:w="101" w:type="dxa"/>
            </w:tcMar>
          </w:tcPr>
          <w:p w14:paraId="745C1576" w14:textId="77777777" w:rsidR="00EF18CC" w:rsidRDefault="00EF18CC" w:rsidP="001F1756">
            <w:pPr>
              <w:pStyle w:val="BStablefigures00"/>
            </w:pPr>
            <w:r>
              <w:t>40,000</w:t>
            </w:r>
          </w:p>
        </w:tc>
        <w:tc>
          <w:tcPr>
            <w:tcW w:w="975" w:type="dxa"/>
            <w:tcBorders>
              <w:top w:val="nil"/>
              <w:left w:val="nil"/>
              <w:bottom w:val="nil"/>
              <w:right w:val="nil"/>
              <w:tl2br w:val="nil"/>
              <w:tr2bl w:val="nil"/>
            </w:tcBorders>
            <w:shd w:val="clear" w:color="auto" w:fill="auto"/>
            <w:noWrap/>
            <w:tcMar>
              <w:left w:w="101" w:type="dxa"/>
              <w:right w:w="101" w:type="dxa"/>
            </w:tcMar>
          </w:tcPr>
          <w:p w14:paraId="0BB04F2D" w14:textId="77777777" w:rsidR="00EF18CC" w:rsidRDefault="00EF18CC" w:rsidP="001F1756">
            <w:pPr>
              <w:pStyle w:val="BStablefigures00"/>
            </w:pPr>
            <w:r>
              <w:t>20,000</w:t>
            </w:r>
          </w:p>
        </w:tc>
        <w:tc>
          <w:tcPr>
            <w:tcW w:w="975" w:type="dxa"/>
            <w:tcBorders>
              <w:top w:val="nil"/>
              <w:left w:val="nil"/>
              <w:bottom w:val="nil"/>
              <w:right w:val="nil"/>
              <w:tl2br w:val="nil"/>
              <w:tr2bl w:val="nil"/>
            </w:tcBorders>
            <w:shd w:val="clear" w:color="auto" w:fill="auto"/>
            <w:noWrap/>
            <w:tcMar>
              <w:left w:w="101" w:type="dxa"/>
              <w:right w:w="101" w:type="dxa"/>
            </w:tcMar>
          </w:tcPr>
          <w:p w14:paraId="05DA15D7" w14:textId="77777777" w:rsidR="00EF18CC" w:rsidRDefault="00EF18CC" w:rsidP="001F1756">
            <w:pPr>
              <w:pStyle w:val="BStablefigures00"/>
            </w:pPr>
            <w:r>
              <w:t>20,000</w:t>
            </w:r>
          </w:p>
        </w:tc>
        <w:tc>
          <w:tcPr>
            <w:tcW w:w="975" w:type="dxa"/>
            <w:tcBorders>
              <w:top w:val="nil"/>
              <w:left w:val="nil"/>
              <w:bottom w:val="nil"/>
              <w:right w:val="nil"/>
              <w:tl2br w:val="nil"/>
              <w:tr2bl w:val="nil"/>
            </w:tcBorders>
            <w:shd w:val="clear" w:color="auto" w:fill="auto"/>
            <w:noWrap/>
            <w:tcMar>
              <w:left w:w="101" w:type="dxa"/>
              <w:right w:w="101" w:type="dxa"/>
            </w:tcMar>
          </w:tcPr>
          <w:p w14:paraId="1A849E31" w14:textId="77777777" w:rsidR="00EF18CC" w:rsidRDefault="00EF18CC" w:rsidP="001F1756">
            <w:pPr>
              <w:pStyle w:val="BStablefigures00"/>
            </w:pPr>
            <w:r>
              <w:t>0</w:t>
            </w:r>
          </w:p>
        </w:tc>
        <w:tc>
          <w:tcPr>
            <w:tcW w:w="1125" w:type="dxa"/>
            <w:tcBorders>
              <w:top w:val="nil"/>
              <w:left w:val="nil"/>
              <w:bottom w:val="nil"/>
              <w:right w:val="nil"/>
              <w:tl2br w:val="nil"/>
              <w:tr2bl w:val="nil"/>
            </w:tcBorders>
            <w:shd w:val="clear" w:color="auto" w:fill="auto"/>
            <w:noWrap/>
            <w:tcMar>
              <w:left w:w="101" w:type="dxa"/>
              <w:right w:w="101" w:type="dxa"/>
            </w:tcMar>
          </w:tcPr>
          <w:p w14:paraId="6CB58368" w14:textId="77777777" w:rsidR="00EF18CC" w:rsidRDefault="00EF18CC" w:rsidP="001F1756">
            <w:pPr>
              <w:pStyle w:val="BStablefigures00"/>
            </w:pPr>
            <w:r>
              <w:t>80,000</w:t>
            </w:r>
          </w:p>
        </w:tc>
        <w:tc>
          <w:tcPr>
            <w:tcW w:w="1125" w:type="dxa"/>
            <w:tcBorders>
              <w:top w:val="nil"/>
              <w:left w:val="nil"/>
              <w:bottom w:val="nil"/>
              <w:right w:val="nil"/>
              <w:tl2br w:val="nil"/>
              <w:tr2bl w:val="nil"/>
            </w:tcBorders>
            <w:shd w:val="clear" w:color="auto" w:fill="auto"/>
            <w:noWrap/>
            <w:tcMar>
              <w:left w:w="101" w:type="dxa"/>
              <w:right w:w="101" w:type="dxa"/>
            </w:tcMar>
          </w:tcPr>
          <w:p w14:paraId="0A7F232C" w14:textId="77777777" w:rsidR="00EF18CC" w:rsidRDefault="00EF18CC" w:rsidP="001F1756">
            <w:pPr>
              <w:pStyle w:val="BStablefigures00"/>
            </w:pPr>
            <w:r>
              <w:t>Jun-24</w:t>
            </w:r>
          </w:p>
        </w:tc>
      </w:tr>
      <w:tr w:rsidR="00EF18CC" w14:paraId="1BD41D3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05E0BB0F" w14:textId="77777777" w:rsidR="00EF18CC" w:rsidRDefault="00EF18CC" w:rsidP="001F1756">
            <w:pPr>
              <w:pStyle w:val="BSnoteslist"/>
              <w:rPr>
                <w:rFonts w:eastAsia="Calibri"/>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1974F1F6" w14:textId="77777777" w:rsidR="00EF18CC" w:rsidRDefault="00EF18CC" w:rsidP="001F1756">
            <w:pPr>
              <w:pStyle w:val="BStablefigures00"/>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6733718" w14:textId="77777777" w:rsidR="00EF18CC" w:rsidRDefault="00EF18CC" w:rsidP="001F1756">
            <w:pPr>
              <w:pStyle w:val="BStablefigures00"/>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7D156D8E" w14:textId="77777777" w:rsidR="00EF18CC" w:rsidRDefault="00EF18CC" w:rsidP="001F1756">
            <w:pPr>
              <w:pStyle w:val="BStablefigures00"/>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tcPr>
          <w:p w14:paraId="3A18D89F" w14:textId="77777777" w:rsidR="00EF18CC" w:rsidRDefault="00EF18CC" w:rsidP="001F1756">
            <w:pPr>
              <w:pStyle w:val="BStablefigures00"/>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663B254D" w14:textId="77777777" w:rsidR="00EF18CC" w:rsidRDefault="00EF18CC" w:rsidP="001F1756">
            <w:pPr>
              <w:pStyle w:val="BStablefigures00"/>
            </w:pPr>
          </w:p>
        </w:tc>
        <w:tc>
          <w:tcPr>
            <w:tcW w:w="1125" w:type="dxa"/>
            <w:tcBorders>
              <w:top w:val="nil"/>
              <w:left w:val="nil"/>
              <w:bottom w:val="single" w:sz="4" w:space="0" w:color="000000"/>
              <w:right w:val="nil"/>
              <w:tl2br w:val="nil"/>
              <w:tr2bl w:val="nil"/>
            </w:tcBorders>
            <w:shd w:val="clear" w:color="auto" w:fill="auto"/>
            <w:noWrap/>
            <w:tcMar>
              <w:left w:w="0" w:type="dxa"/>
              <w:right w:w="0" w:type="dxa"/>
            </w:tcMar>
          </w:tcPr>
          <w:p w14:paraId="0612D723" w14:textId="77777777" w:rsidR="00EF18CC" w:rsidRDefault="00EF18CC" w:rsidP="001F1756">
            <w:pPr>
              <w:pStyle w:val="BStablefigures00"/>
            </w:pPr>
          </w:p>
        </w:tc>
      </w:tr>
      <w:tr w:rsidR="00EF18CC" w14:paraId="3F85D14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37206CC" w14:textId="77777777" w:rsidR="00EF18CC" w:rsidRPr="001F1756" w:rsidRDefault="00EF18CC" w:rsidP="001F1756">
            <w:pPr>
              <w:pStyle w:val="BSnoteslist"/>
              <w:rPr>
                <w:rFonts w:eastAsia="Calibri"/>
                <w:b/>
                <w:bCs/>
              </w:rPr>
            </w:pPr>
            <w:r w:rsidRPr="001F1756">
              <w:rPr>
                <w:rFonts w:eastAsia="Calibri"/>
                <w:b/>
                <w:bCs/>
              </w:rPr>
              <w:t>Total New Capital</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387B99F3" w14:textId="77777777" w:rsidR="00EF18CC" w:rsidRDefault="00EF18CC" w:rsidP="001F1756">
            <w:pPr>
              <w:pStyle w:val="BStablefigures00"/>
              <w:rPr>
                <w:b/>
              </w:rPr>
            </w:pPr>
            <w:r>
              <w:rPr>
                <w:b/>
              </w:rPr>
              <w:t>61,760</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78CDD0F2" w14:textId="77777777" w:rsidR="00EF18CC" w:rsidRDefault="00EF18CC" w:rsidP="001F1756">
            <w:pPr>
              <w:pStyle w:val="BStablefigures00"/>
              <w:rPr>
                <w:b/>
              </w:rPr>
            </w:pPr>
            <w:r>
              <w:rPr>
                <w:b/>
              </w:rPr>
              <w:t>20,000</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0AD5D3AC" w14:textId="77777777" w:rsidR="00EF18CC" w:rsidRDefault="00EF18CC" w:rsidP="001F1756">
            <w:pPr>
              <w:pStyle w:val="BStablefigures00"/>
              <w:rPr>
                <w:b/>
              </w:rPr>
            </w:pPr>
            <w:r>
              <w:rPr>
                <w:b/>
              </w:rPr>
              <w:t>20,000</w:t>
            </w:r>
          </w:p>
        </w:tc>
        <w:tc>
          <w:tcPr>
            <w:tcW w:w="975" w:type="dxa"/>
            <w:tcBorders>
              <w:top w:val="single" w:sz="4" w:space="0" w:color="000000"/>
              <w:left w:val="nil"/>
              <w:bottom w:val="nil"/>
              <w:right w:val="nil"/>
              <w:tl2br w:val="nil"/>
              <w:tr2bl w:val="nil"/>
            </w:tcBorders>
            <w:shd w:val="clear" w:color="auto" w:fill="auto"/>
            <w:noWrap/>
            <w:tcMar>
              <w:left w:w="101" w:type="dxa"/>
              <w:right w:w="101" w:type="dxa"/>
            </w:tcMar>
          </w:tcPr>
          <w:p w14:paraId="4826156C" w14:textId="77777777" w:rsidR="00EF18CC" w:rsidRDefault="00EF18CC" w:rsidP="001F1756">
            <w:pPr>
              <w:pStyle w:val="BStablefigures00"/>
              <w:rPr>
                <w:b/>
              </w:rPr>
            </w:pPr>
            <w:r>
              <w:rPr>
                <w:b/>
              </w:rPr>
              <w:t>0</w:t>
            </w:r>
          </w:p>
        </w:tc>
        <w:tc>
          <w:tcPr>
            <w:tcW w:w="1125" w:type="dxa"/>
            <w:tcBorders>
              <w:top w:val="single" w:sz="4" w:space="0" w:color="000000"/>
              <w:left w:val="nil"/>
              <w:bottom w:val="nil"/>
              <w:right w:val="nil"/>
              <w:tl2br w:val="nil"/>
              <w:tr2bl w:val="nil"/>
            </w:tcBorders>
            <w:shd w:val="clear" w:color="auto" w:fill="auto"/>
            <w:noWrap/>
            <w:tcMar>
              <w:left w:w="101" w:type="dxa"/>
              <w:right w:w="101" w:type="dxa"/>
            </w:tcMar>
          </w:tcPr>
          <w:p w14:paraId="7810A2F4" w14:textId="77777777" w:rsidR="00EF18CC" w:rsidRDefault="00EF18CC" w:rsidP="001F1756">
            <w:pPr>
              <w:pStyle w:val="BStablefigures00"/>
              <w:rPr>
                <w:b/>
              </w:rPr>
            </w:pPr>
            <w:r>
              <w:rPr>
                <w:b/>
              </w:rPr>
              <w:t>101,760</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314858DD" w14:textId="77777777" w:rsidR="00EF18CC" w:rsidRDefault="00EF18CC" w:rsidP="001F1756">
            <w:pPr>
              <w:pStyle w:val="BStablefigures00"/>
            </w:pPr>
          </w:p>
        </w:tc>
      </w:tr>
      <w:tr w:rsidR="00EF18CC" w14:paraId="097FF3D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0BB98295" w14:textId="77777777" w:rsidR="00EF18CC" w:rsidRDefault="00EF18CC" w:rsidP="001F1756">
            <w:pPr>
              <w:pStyle w:val="BSnoteslist"/>
              <w:rPr>
                <w:rFonts w:eastAsia="Calibri"/>
              </w:rPr>
            </w:pPr>
          </w:p>
        </w:tc>
        <w:tc>
          <w:tcPr>
            <w:tcW w:w="975" w:type="dxa"/>
            <w:tcBorders>
              <w:top w:val="nil"/>
              <w:left w:val="nil"/>
              <w:bottom w:val="nil"/>
              <w:right w:val="nil"/>
              <w:tl2br w:val="nil"/>
              <w:tr2bl w:val="nil"/>
            </w:tcBorders>
            <w:shd w:val="clear" w:color="auto" w:fill="auto"/>
            <w:noWrap/>
            <w:tcMar>
              <w:left w:w="0" w:type="dxa"/>
              <w:right w:w="0" w:type="dxa"/>
            </w:tcMar>
          </w:tcPr>
          <w:p w14:paraId="66D34B0B" w14:textId="77777777" w:rsidR="00EF18CC" w:rsidRDefault="00EF18CC" w:rsidP="001F1756">
            <w:pPr>
              <w:pStyle w:val="BStablefigures00"/>
              <w:rPr>
                <w:b/>
              </w:rPr>
            </w:pPr>
          </w:p>
        </w:tc>
        <w:tc>
          <w:tcPr>
            <w:tcW w:w="975" w:type="dxa"/>
            <w:tcBorders>
              <w:top w:val="nil"/>
              <w:left w:val="nil"/>
              <w:bottom w:val="nil"/>
              <w:right w:val="nil"/>
              <w:tl2br w:val="nil"/>
              <w:tr2bl w:val="nil"/>
            </w:tcBorders>
            <w:shd w:val="clear" w:color="auto" w:fill="auto"/>
            <w:noWrap/>
            <w:tcMar>
              <w:left w:w="0" w:type="dxa"/>
              <w:right w:w="0" w:type="dxa"/>
            </w:tcMar>
          </w:tcPr>
          <w:p w14:paraId="52F2D8AF" w14:textId="77777777" w:rsidR="00EF18CC" w:rsidRDefault="00EF18CC" w:rsidP="001F1756">
            <w:pPr>
              <w:pStyle w:val="BStablefigures00"/>
              <w:rPr>
                <w:b/>
              </w:rPr>
            </w:pPr>
          </w:p>
        </w:tc>
        <w:tc>
          <w:tcPr>
            <w:tcW w:w="975" w:type="dxa"/>
            <w:tcBorders>
              <w:top w:val="nil"/>
              <w:left w:val="nil"/>
              <w:bottom w:val="nil"/>
              <w:right w:val="nil"/>
              <w:tl2br w:val="nil"/>
              <w:tr2bl w:val="nil"/>
            </w:tcBorders>
            <w:shd w:val="clear" w:color="auto" w:fill="auto"/>
            <w:noWrap/>
            <w:tcMar>
              <w:left w:w="0" w:type="dxa"/>
              <w:right w:w="0" w:type="dxa"/>
            </w:tcMar>
          </w:tcPr>
          <w:p w14:paraId="496F9CCC" w14:textId="77777777" w:rsidR="00EF18CC" w:rsidRDefault="00EF18CC" w:rsidP="001F1756">
            <w:pPr>
              <w:pStyle w:val="BStablefigures00"/>
              <w:rPr>
                <w:b/>
              </w:rPr>
            </w:pPr>
          </w:p>
        </w:tc>
        <w:tc>
          <w:tcPr>
            <w:tcW w:w="975" w:type="dxa"/>
            <w:tcBorders>
              <w:top w:val="nil"/>
              <w:left w:val="nil"/>
              <w:bottom w:val="nil"/>
              <w:right w:val="nil"/>
              <w:tl2br w:val="nil"/>
              <w:tr2bl w:val="nil"/>
            </w:tcBorders>
            <w:shd w:val="clear" w:color="auto" w:fill="auto"/>
            <w:noWrap/>
            <w:tcMar>
              <w:left w:w="0" w:type="dxa"/>
              <w:right w:w="0" w:type="dxa"/>
            </w:tcMar>
          </w:tcPr>
          <w:p w14:paraId="59DF152D" w14:textId="77777777" w:rsidR="00EF18CC" w:rsidRDefault="00EF18CC" w:rsidP="001F1756">
            <w:pPr>
              <w:pStyle w:val="BStablefigures00"/>
              <w:rPr>
                <w:b/>
              </w:rPr>
            </w:pPr>
          </w:p>
        </w:tc>
        <w:tc>
          <w:tcPr>
            <w:tcW w:w="1125" w:type="dxa"/>
            <w:tcBorders>
              <w:top w:val="nil"/>
              <w:left w:val="nil"/>
              <w:bottom w:val="nil"/>
              <w:right w:val="nil"/>
              <w:tl2br w:val="nil"/>
              <w:tr2bl w:val="nil"/>
            </w:tcBorders>
            <w:shd w:val="clear" w:color="auto" w:fill="auto"/>
            <w:noWrap/>
            <w:tcMar>
              <w:left w:w="0" w:type="dxa"/>
              <w:right w:w="0" w:type="dxa"/>
            </w:tcMar>
          </w:tcPr>
          <w:p w14:paraId="5E3C3BBC" w14:textId="77777777" w:rsidR="00EF18CC" w:rsidRDefault="00EF18CC" w:rsidP="001F1756">
            <w:pPr>
              <w:pStyle w:val="BStablefigures00"/>
              <w:rPr>
                <w:b/>
              </w:rPr>
            </w:pPr>
          </w:p>
        </w:tc>
        <w:tc>
          <w:tcPr>
            <w:tcW w:w="1125" w:type="dxa"/>
            <w:tcBorders>
              <w:top w:val="nil"/>
              <w:left w:val="nil"/>
              <w:bottom w:val="nil"/>
              <w:right w:val="nil"/>
              <w:tl2br w:val="nil"/>
              <w:tr2bl w:val="nil"/>
            </w:tcBorders>
            <w:shd w:val="clear" w:color="auto" w:fill="auto"/>
            <w:noWrap/>
            <w:tcMar>
              <w:left w:w="0" w:type="dxa"/>
              <w:right w:w="0" w:type="dxa"/>
            </w:tcMar>
          </w:tcPr>
          <w:p w14:paraId="47CC73B6" w14:textId="77777777" w:rsidR="00EF18CC" w:rsidRDefault="00EF18CC" w:rsidP="001F1756">
            <w:pPr>
              <w:pStyle w:val="BStablefigures00"/>
            </w:pPr>
          </w:p>
        </w:tc>
      </w:tr>
    </w:tbl>
    <w:tbl>
      <w:tblPr>
        <w:tblStyle w:val="CDMRange11"/>
        <w:tblW w:w="9375" w:type="dxa"/>
        <w:tblLayout w:type="fixed"/>
        <w:tblLook w:val="0600" w:firstRow="0" w:lastRow="0" w:firstColumn="0" w:lastColumn="0" w:noHBand="1" w:noVBand="1"/>
      </w:tblPr>
      <w:tblGrid>
        <w:gridCol w:w="3225"/>
        <w:gridCol w:w="975"/>
        <w:gridCol w:w="975"/>
        <w:gridCol w:w="975"/>
        <w:gridCol w:w="975"/>
        <w:gridCol w:w="1125"/>
        <w:gridCol w:w="1125"/>
      </w:tblGrid>
      <w:tr w:rsidR="00EF18CC" w14:paraId="462B0FE3" w14:textId="77777777" w:rsidTr="006D3501">
        <w:trPr>
          <w:trHeight w:val="495"/>
        </w:trPr>
        <w:tc>
          <w:tcPr>
            <w:tcW w:w="3225" w:type="dxa"/>
            <w:tcBorders>
              <w:top w:val="single" w:sz="8" w:space="0" w:color="000000"/>
              <w:left w:val="nil"/>
              <w:bottom w:val="single" w:sz="8" w:space="0" w:color="000000"/>
              <w:right w:val="nil"/>
              <w:tl2br w:val="nil"/>
              <w:tr2bl w:val="nil"/>
            </w:tcBorders>
            <w:shd w:val="clear" w:color="auto" w:fill="auto"/>
            <w:tcMar>
              <w:left w:w="101" w:type="dxa"/>
              <w:right w:w="101" w:type="dxa"/>
            </w:tcMar>
          </w:tcPr>
          <w:p w14:paraId="0CBA806F" w14:textId="77777777" w:rsidR="00EF18CC" w:rsidRPr="001F1756" w:rsidRDefault="00EF18CC" w:rsidP="001F1756">
            <w:pPr>
              <w:pStyle w:val="BSnoteslist"/>
              <w:rPr>
                <w:rFonts w:eastAsia="Calibri"/>
                <w:b/>
                <w:bCs/>
              </w:rPr>
            </w:pPr>
            <w:r w:rsidRPr="001F1756">
              <w:rPr>
                <w:rFonts w:eastAsia="Calibri"/>
                <w:b/>
                <w:bCs/>
              </w:rPr>
              <w:t>TOTAL INFRASTRUCTURE INVESTMENT PROGRAM</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69DDE96E" w14:textId="77777777" w:rsidR="00EF18CC" w:rsidRPr="001F1756" w:rsidRDefault="00EF18CC" w:rsidP="001F1756">
            <w:pPr>
              <w:pStyle w:val="BStablefigures00"/>
              <w:rPr>
                <w:b/>
                <w:bCs/>
              </w:rPr>
            </w:pPr>
            <w:r w:rsidRPr="001F1756">
              <w:rPr>
                <w:b/>
                <w:bCs/>
              </w:rPr>
              <w:t>95,548</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01510944" w14:textId="77777777" w:rsidR="00EF18CC" w:rsidRPr="001F1756" w:rsidRDefault="00EF18CC" w:rsidP="001F1756">
            <w:pPr>
              <w:pStyle w:val="BStablefigures00"/>
              <w:rPr>
                <w:b/>
                <w:bCs/>
              </w:rPr>
            </w:pPr>
            <w:r w:rsidRPr="001F1756">
              <w:rPr>
                <w:b/>
                <w:bCs/>
              </w:rPr>
              <w:t>25,000</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1CDD2330" w14:textId="77777777" w:rsidR="00EF18CC" w:rsidRPr="001F1756" w:rsidRDefault="00EF18CC" w:rsidP="001F1756">
            <w:pPr>
              <w:pStyle w:val="BStablefigures00"/>
              <w:rPr>
                <w:b/>
                <w:bCs/>
              </w:rPr>
            </w:pPr>
            <w:r w:rsidRPr="001F1756">
              <w:rPr>
                <w:b/>
                <w:bCs/>
              </w:rPr>
              <w:t>25,000</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6A9BA5BA" w14:textId="77777777" w:rsidR="00EF18CC" w:rsidRPr="001F1756" w:rsidRDefault="00EF18CC" w:rsidP="001F1756">
            <w:pPr>
              <w:pStyle w:val="BStablefigures00"/>
              <w:rPr>
                <w:b/>
                <w:bCs/>
              </w:rPr>
            </w:pPr>
            <w:r w:rsidRPr="001F1756">
              <w:rPr>
                <w:b/>
                <w:bCs/>
              </w:rPr>
              <w:t>5,000</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7031CC3D" w14:textId="77777777" w:rsidR="00EF18CC" w:rsidRPr="001F1756" w:rsidRDefault="00EF18CC" w:rsidP="001F1756">
            <w:pPr>
              <w:pStyle w:val="BStablefigures00"/>
              <w:rPr>
                <w:b/>
                <w:bCs/>
              </w:rPr>
            </w:pPr>
            <w:r w:rsidRPr="001F1756">
              <w:rPr>
                <w:b/>
                <w:bCs/>
              </w:rPr>
              <w:t>150,548</w:t>
            </w:r>
          </w:p>
        </w:tc>
        <w:tc>
          <w:tcPr>
            <w:tcW w:w="112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41752577" w14:textId="77777777" w:rsidR="00EF18CC" w:rsidRDefault="00EF18CC" w:rsidP="001F1756">
            <w:pPr>
              <w:pStyle w:val="BStablefigures00"/>
            </w:pPr>
          </w:p>
        </w:tc>
      </w:tr>
    </w:tbl>
    <w:p w14:paraId="7D0D4024" w14:textId="77777777" w:rsidR="00EF18CC" w:rsidRPr="005D59C4" w:rsidRDefault="00EF18CC" w:rsidP="00EF18CC"/>
    <w:p w14:paraId="0062ACA1" w14:textId="77777777" w:rsidR="00EF18CC" w:rsidRDefault="00EF18CC" w:rsidP="00EF18CC">
      <w:pPr>
        <w:pStyle w:val="Heading2"/>
        <w:pageBreakBefore/>
        <w:pBdr>
          <w:top w:val="nil"/>
          <w:left w:val="nil"/>
          <w:bottom w:val="nil"/>
          <w:right w:val="nil"/>
          <w:between w:val="nil"/>
          <w:bar w:val="nil"/>
        </w:pBdr>
        <w:ind w:left="-425" w:firstLine="425"/>
        <w:rPr>
          <w:bdr w:val="nil"/>
        </w:rPr>
      </w:pPr>
      <w:bookmarkStart w:id="60" w:name="_Toc84071149"/>
      <w:r>
        <w:rPr>
          <w:bdr w:val="nil"/>
        </w:rPr>
        <w:lastRenderedPageBreak/>
        <w:t>Financial Statements – Controlled (PTE)</w:t>
      </w:r>
      <w:bookmarkEnd w:id="60"/>
    </w:p>
    <w:p w14:paraId="6485403A" w14:textId="77777777" w:rsidR="00EF18CC" w:rsidRPr="00B07A79" w:rsidRDefault="00EF18CC" w:rsidP="00EF18CC">
      <w:pPr>
        <w:rPr>
          <w:bdr w:val="nil"/>
        </w:rPr>
      </w:pPr>
      <w:r w:rsidRPr="00B07A79">
        <w:rPr>
          <w:bdr w:val="nil"/>
        </w:rPr>
        <w:t>Due to the release of the 2021-22 Budget on 6 October 2021, the 2020-21 Interim Outcome column reflects the interim outcome included in the draft 2020-21 Financial Statements, which were unaudited at the time of preparing these budget statements.</w:t>
      </w:r>
    </w:p>
    <w:p w14:paraId="66FDE38F" w14:textId="74DB8F55" w:rsidR="00EF18CC" w:rsidRPr="00625775" w:rsidRDefault="001E4FEE" w:rsidP="001F1756">
      <w:pPr>
        <w:pStyle w:val="Caption"/>
        <w:rPr>
          <w:bdr w:val="nil"/>
        </w:rPr>
      </w:pPr>
      <w:r>
        <w:t xml:space="preserve">Table </w:t>
      </w:r>
      <w:fldSimple w:instr=" SEQ Table \* ARABIC ">
        <w:r>
          <w:rPr>
            <w:noProof/>
          </w:rPr>
          <w:t>39</w:t>
        </w:r>
      </w:fldSimple>
      <w:r w:rsidR="00EF18CC">
        <w:rPr>
          <w:bdr w:val="nil"/>
        </w:rPr>
        <w:t xml:space="preserve">: Housing ACT: Operating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F18CC" w14:paraId="6D01A5BC" w14:textId="77777777" w:rsidTr="001F1756">
        <w:trPr>
          <w:trHeight w:val="960"/>
          <w:tblHeader/>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50FE22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3D63E003" w14:textId="77777777" w:rsidR="00EF18CC" w:rsidRDefault="00EF18CC" w:rsidP="006D3501">
            <w:pPr>
              <w:pStyle w:val="Normal6"/>
              <w:jc w:val="right"/>
              <w:rPr>
                <w:rFonts w:ascii="Calibri" w:eastAsia="Calibri" w:hAnsi="Calibri" w:cs="Calibri"/>
                <w:b/>
                <w:color w:val="000000"/>
                <w:sz w:val="18"/>
              </w:rPr>
            </w:pPr>
          </w:p>
          <w:p w14:paraId="3B95B7DE"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9BBA53F" w14:textId="77777777" w:rsidR="00EF18CC" w:rsidRDefault="00EF18CC" w:rsidP="006D3501">
            <w:pPr>
              <w:pStyle w:val="Normal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BF6DC7"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E349EE"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2A97F2C0" w14:textId="77777777" w:rsidR="00EF18CC" w:rsidRDefault="00EF18CC" w:rsidP="006D3501">
            <w:pPr>
              <w:pStyle w:val="Normal6"/>
              <w:jc w:val="right"/>
              <w:rPr>
                <w:rFonts w:ascii="Calibri" w:eastAsia="Calibri" w:hAnsi="Calibri" w:cs="Calibri"/>
                <w:b/>
                <w:color w:val="000000"/>
                <w:sz w:val="18"/>
              </w:rPr>
            </w:pPr>
          </w:p>
          <w:p w14:paraId="22486793"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BA3DBE"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Var</w:t>
            </w:r>
          </w:p>
          <w:p w14:paraId="59DF813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6D25B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6C4DF982" w14:textId="77777777" w:rsidR="00EF18CC" w:rsidRDefault="00EF18CC" w:rsidP="006D3501">
            <w:pPr>
              <w:pStyle w:val="Normal6"/>
              <w:jc w:val="right"/>
              <w:rPr>
                <w:rFonts w:ascii="Calibri" w:eastAsia="Calibri" w:hAnsi="Calibri" w:cs="Calibri"/>
                <w:b/>
                <w:color w:val="000000"/>
                <w:sz w:val="18"/>
              </w:rPr>
            </w:pPr>
          </w:p>
          <w:p w14:paraId="0669EA70"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853880E"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279751DC" w14:textId="77777777" w:rsidR="00EF18CC" w:rsidRDefault="00EF18CC" w:rsidP="006D3501">
            <w:pPr>
              <w:pStyle w:val="Normal6"/>
              <w:jc w:val="right"/>
              <w:rPr>
                <w:rFonts w:ascii="Calibri" w:eastAsia="Calibri" w:hAnsi="Calibri" w:cs="Calibri"/>
                <w:b/>
                <w:color w:val="000000"/>
                <w:sz w:val="18"/>
              </w:rPr>
            </w:pPr>
          </w:p>
          <w:p w14:paraId="732C376A"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56DD31"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597041B1" w14:textId="77777777" w:rsidR="00EF18CC" w:rsidRDefault="00EF18CC" w:rsidP="006D3501">
            <w:pPr>
              <w:pStyle w:val="Normal6"/>
              <w:jc w:val="right"/>
              <w:rPr>
                <w:rFonts w:ascii="Calibri" w:eastAsia="Calibri" w:hAnsi="Calibri" w:cs="Calibri"/>
                <w:b/>
                <w:color w:val="000000"/>
                <w:sz w:val="18"/>
              </w:rPr>
            </w:pPr>
          </w:p>
          <w:p w14:paraId="4295198A"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EF18CC" w14:paraId="398DF5D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3401EFF" w14:textId="77777777" w:rsidR="00EF18CC" w:rsidRDefault="00EF18CC" w:rsidP="006D3501">
            <w:pPr>
              <w:pStyle w:val="Normal6"/>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DF206A8" w14:textId="77777777" w:rsidR="00EF18CC" w:rsidRDefault="00EF18CC" w:rsidP="006D3501">
            <w:pPr>
              <w:pStyle w:val="Normal6"/>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F65C22"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E395CFE" w14:textId="77777777" w:rsidR="00EF18CC" w:rsidRDefault="00EF18CC" w:rsidP="006D3501">
            <w:pPr>
              <w:pStyle w:val="Normal6"/>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9B1518A"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921018"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805750"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EA275CB" w14:textId="77777777" w:rsidR="00EF18CC" w:rsidRDefault="00EF18CC" w:rsidP="006D3501">
            <w:pPr>
              <w:pStyle w:val="Normal6"/>
              <w:jc w:val="right"/>
              <w:rPr>
                <w:rFonts w:ascii="Calibri" w:eastAsia="Calibri" w:hAnsi="Calibri" w:cs="Calibri"/>
                <w:b/>
                <w:i/>
                <w:color w:val="000000"/>
                <w:sz w:val="18"/>
              </w:rPr>
            </w:pPr>
          </w:p>
        </w:tc>
      </w:tr>
      <w:tr w:rsidR="00EF18CC" w14:paraId="68B2277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1E08B6" w14:textId="77777777" w:rsidR="00EF18CC" w:rsidRDefault="00EF18CC" w:rsidP="006D3501">
            <w:pPr>
              <w:pStyle w:val="Normal6"/>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940F766"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6C5FD041"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C54367" w14:textId="77777777" w:rsidR="00EF18CC" w:rsidRDefault="00EF18CC" w:rsidP="006D3501">
            <w:pPr>
              <w:pStyle w:val="Normal6"/>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B78E93"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E5742C"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A67C80"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02FD0A" w14:textId="77777777" w:rsidR="00EF18CC" w:rsidRDefault="00EF18CC" w:rsidP="006D3501">
            <w:pPr>
              <w:pStyle w:val="Normal6"/>
              <w:jc w:val="right"/>
              <w:rPr>
                <w:rFonts w:ascii="Calibri" w:eastAsia="Calibri" w:hAnsi="Calibri" w:cs="Calibri"/>
                <w:b/>
                <w:i/>
                <w:color w:val="000000"/>
                <w:sz w:val="18"/>
              </w:rPr>
            </w:pPr>
          </w:p>
        </w:tc>
      </w:tr>
      <w:tr w:rsidR="00EF18CC" w14:paraId="651CEDF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A21C30" w14:textId="77777777" w:rsidR="00EF18CC" w:rsidRDefault="00EF18CC" w:rsidP="006D3501">
            <w:pPr>
              <w:pStyle w:val="Normal6"/>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7202A3E"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0146F7"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0C65A5" w14:textId="77777777" w:rsidR="00EF18CC" w:rsidRDefault="00EF18CC" w:rsidP="006D3501">
            <w:pPr>
              <w:pStyle w:val="Normal6"/>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A444C8"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EF7E55"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CE35E7" w14:textId="77777777" w:rsidR="00EF18CC" w:rsidRDefault="00EF18CC" w:rsidP="006D350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F6D382" w14:textId="77777777" w:rsidR="00EF18CC" w:rsidRDefault="00EF18CC" w:rsidP="006D3501">
            <w:pPr>
              <w:pStyle w:val="Normal6"/>
              <w:jc w:val="right"/>
              <w:rPr>
                <w:rFonts w:ascii="Calibri" w:eastAsia="Calibri" w:hAnsi="Calibri" w:cs="Calibri"/>
                <w:b/>
                <w:i/>
                <w:color w:val="000000"/>
                <w:sz w:val="18"/>
              </w:rPr>
            </w:pPr>
          </w:p>
        </w:tc>
      </w:tr>
      <w:tr w:rsidR="00EF18CC" w14:paraId="1800579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1E2822A"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9A83FC8"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16A389D1"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EAC635"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C2AA55"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0D58DE"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171C42"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A3E120" w14:textId="77777777" w:rsidR="00EF18CC" w:rsidRDefault="00EF18CC" w:rsidP="006D3501">
            <w:pPr>
              <w:pStyle w:val="Normal6"/>
              <w:rPr>
                <w:rFonts w:ascii="Calibri" w:eastAsia="Calibri" w:hAnsi="Calibri" w:cs="Calibri"/>
                <w:color w:val="000000"/>
                <w:sz w:val="18"/>
              </w:rPr>
            </w:pPr>
          </w:p>
        </w:tc>
      </w:tr>
      <w:tr w:rsidR="00EF18CC" w14:paraId="4E71C25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2D73A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54,883</w:t>
            </w:r>
          </w:p>
        </w:tc>
        <w:tc>
          <w:tcPr>
            <w:tcW w:w="2385" w:type="dxa"/>
            <w:tcBorders>
              <w:top w:val="nil"/>
              <w:left w:val="nil"/>
              <w:bottom w:val="nil"/>
              <w:right w:val="nil"/>
              <w:tl2br w:val="nil"/>
              <w:tr2bl w:val="nil"/>
            </w:tcBorders>
            <w:shd w:val="clear" w:color="auto" w:fill="auto"/>
            <w:noWrap/>
            <w:tcMar>
              <w:left w:w="101" w:type="dxa"/>
              <w:right w:w="101" w:type="dxa"/>
            </w:tcMar>
          </w:tcPr>
          <w:p w14:paraId="4ABABD29"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8F7B28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54,883</w:t>
            </w:r>
          </w:p>
        </w:tc>
        <w:tc>
          <w:tcPr>
            <w:tcW w:w="1035" w:type="dxa"/>
            <w:tcBorders>
              <w:top w:val="nil"/>
              <w:left w:val="nil"/>
              <w:bottom w:val="nil"/>
              <w:right w:val="nil"/>
              <w:tl2br w:val="nil"/>
              <w:tr2bl w:val="nil"/>
            </w:tcBorders>
            <w:shd w:val="clear" w:color="FFFFFF" w:fill="FFFFFF"/>
            <w:tcMar>
              <w:left w:w="101" w:type="dxa"/>
              <w:right w:w="101" w:type="dxa"/>
            </w:tcMar>
          </w:tcPr>
          <w:p w14:paraId="51889658"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57,786</w:t>
            </w:r>
          </w:p>
        </w:tc>
        <w:tc>
          <w:tcPr>
            <w:tcW w:w="600" w:type="dxa"/>
            <w:tcBorders>
              <w:top w:val="nil"/>
              <w:left w:val="nil"/>
              <w:bottom w:val="nil"/>
              <w:right w:val="nil"/>
              <w:tl2br w:val="nil"/>
              <w:tr2bl w:val="nil"/>
            </w:tcBorders>
            <w:shd w:val="clear" w:color="FFFFFF" w:fill="FFFFFF"/>
            <w:tcMar>
              <w:left w:w="101" w:type="dxa"/>
              <w:right w:w="101" w:type="dxa"/>
            </w:tcMar>
          </w:tcPr>
          <w:p w14:paraId="7FFC9BE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18F53F3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58,220</w:t>
            </w:r>
          </w:p>
        </w:tc>
        <w:tc>
          <w:tcPr>
            <w:tcW w:w="1035" w:type="dxa"/>
            <w:tcBorders>
              <w:top w:val="nil"/>
              <w:left w:val="nil"/>
              <w:bottom w:val="nil"/>
              <w:right w:val="nil"/>
              <w:tl2br w:val="nil"/>
              <w:tr2bl w:val="nil"/>
            </w:tcBorders>
            <w:shd w:val="clear" w:color="FFFFFF" w:fill="FFFFFF"/>
            <w:tcMar>
              <w:left w:w="101" w:type="dxa"/>
              <w:right w:w="101" w:type="dxa"/>
            </w:tcMar>
          </w:tcPr>
          <w:p w14:paraId="1386DC4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51,746</w:t>
            </w:r>
          </w:p>
        </w:tc>
        <w:tc>
          <w:tcPr>
            <w:tcW w:w="1035" w:type="dxa"/>
            <w:tcBorders>
              <w:top w:val="nil"/>
              <w:left w:val="nil"/>
              <w:bottom w:val="nil"/>
              <w:right w:val="nil"/>
              <w:tl2br w:val="nil"/>
              <w:tr2bl w:val="nil"/>
            </w:tcBorders>
            <w:shd w:val="clear" w:color="FFFFFF" w:fill="FFFFFF"/>
            <w:tcMar>
              <w:left w:w="101" w:type="dxa"/>
              <w:right w:w="101" w:type="dxa"/>
            </w:tcMar>
          </w:tcPr>
          <w:p w14:paraId="37BC50B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51,706</w:t>
            </w:r>
          </w:p>
        </w:tc>
      </w:tr>
      <w:tr w:rsidR="00EF18CC" w14:paraId="5CB532E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3A5EF8"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88,547</w:t>
            </w:r>
          </w:p>
        </w:tc>
        <w:tc>
          <w:tcPr>
            <w:tcW w:w="2385" w:type="dxa"/>
            <w:tcBorders>
              <w:top w:val="nil"/>
              <w:left w:val="nil"/>
              <w:bottom w:val="nil"/>
              <w:right w:val="nil"/>
              <w:tl2br w:val="nil"/>
              <w:tr2bl w:val="nil"/>
            </w:tcBorders>
            <w:shd w:val="clear" w:color="auto" w:fill="auto"/>
            <w:noWrap/>
            <w:tcMar>
              <w:left w:w="101" w:type="dxa"/>
              <w:right w:w="101" w:type="dxa"/>
            </w:tcMar>
          </w:tcPr>
          <w:p w14:paraId="435A5398"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7B45BFA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89,345</w:t>
            </w:r>
          </w:p>
        </w:tc>
        <w:tc>
          <w:tcPr>
            <w:tcW w:w="1035" w:type="dxa"/>
            <w:tcBorders>
              <w:top w:val="nil"/>
              <w:left w:val="nil"/>
              <w:bottom w:val="nil"/>
              <w:right w:val="nil"/>
              <w:tl2br w:val="nil"/>
              <w:tr2bl w:val="nil"/>
            </w:tcBorders>
            <w:shd w:val="clear" w:color="FFFFFF" w:fill="FFFFFF"/>
            <w:tcMar>
              <w:left w:w="101" w:type="dxa"/>
              <w:right w:w="101" w:type="dxa"/>
            </w:tcMar>
          </w:tcPr>
          <w:p w14:paraId="3DD6C79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90,614</w:t>
            </w:r>
          </w:p>
        </w:tc>
        <w:tc>
          <w:tcPr>
            <w:tcW w:w="600" w:type="dxa"/>
            <w:tcBorders>
              <w:top w:val="nil"/>
              <w:left w:val="nil"/>
              <w:bottom w:val="nil"/>
              <w:right w:val="nil"/>
              <w:tl2br w:val="nil"/>
              <w:tr2bl w:val="nil"/>
            </w:tcBorders>
            <w:shd w:val="clear" w:color="FFFFFF" w:fill="FFFFFF"/>
            <w:tcMar>
              <w:left w:w="101" w:type="dxa"/>
              <w:right w:w="101" w:type="dxa"/>
            </w:tcMar>
          </w:tcPr>
          <w:p w14:paraId="73B4600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9D584E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91,520</w:t>
            </w:r>
          </w:p>
        </w:tc>
        <w:tc>
          <w:tcPr>
            <w:tcW w:w="1035" w:type="dxa"/>
            <w:tcBorders>
              <w:top w:val="nil"/>
              <w:left w:val="nil"/>
              <w:bottom w:val="nil"/>
              <w:right w:val="nil"/>
              <w:tl2br w:val="nil"/>
              <w:tr2bl w:val="nil"/>
            </w:tcBorders>
            <w:shd w:val="clear" w:color="FFFFFF" w:fill="FFFFFF"/>
            <w:tcMar>
              <w:left w:w="101" w:type="dxa"/>
              <w:right w:w="101" w:type="dxa"/>
            </w:tcMar>
          </w:tcPr>
          <w:p w14:paraId="3F59468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92,435</w:t>
            </w:r>
          </w:p>
        </w:tc>
        <w:tc>
          <w:tcPr>
            <w:tcW w:w="1035" w:type="dxa"/>
            <w:tcBorders>
              <w:top w:val="nil"/>
              <w:left w:val="nil"/>
              <w:bottom w:val="nil"/>
              <w:right w:val="nil"/>
              <w:tl2br w:val="nil"/>
              <w:tr2bl w:val="nil"/>
            </w:tcBorders>
            <w:shd w:val="clear" w:color="FFFFFF" w:fill="FFFFFF"/>
            <w:tcMar>
              <w:left w:w="101" w:type="dxa"/>
              <w:right w:w="101" w:type="dxa"/>
            </w:tcMar>
          </w:tcPr>
          <w:p w14:paraId="5EF44984"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93,359</w:t>
            </w:r>
          </w:p>
        </w:tc>
      </w:tr>
      <w:tr w:rsidR="00EF18CC" w14:paraId="16F19CB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6FB678"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110</w:t>
            </w:r>
          </w:p>
        </w:tc>
        <w:tc>
          <w:tcPr>
            <w:tcW w:w="2385" w:type="dxa"/>
            <w:tcBorders>
              <w:top w:val="nil"/>
              <w:left w:val="nil"/>
              <w:bottom w:val="nil"/>
              <w:right w:val="nil"/>
              <w:tl2br w:val="nil"/>
              <w:tr2bl w:val="nil"/>
            </w:tcBorders>
            <w:shd w:val="clear" w:color="auto" w:fill="auto"/>
            <w:noWrap/>
            <w:tcMar>
              <w:left w:w="101" w:type="dxa"/>
              <w:right w:w="101" w:type="dxa"/>
            </w:tcMar>
          </w:tcPr>
          <w:p w14:paraId="0EB7E38D"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3FA1566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679</w:t>
            </w:r>
          </w:p>
        </w:tc>
        <w:tc>
          <w:tcPr>
            <w:tcW w:w="1035" w:type="dxa"/>
            <w:tcBorders>
              <w:top w:val="nil"/>
              <w:left w:val="nil"/>
              <w:bottom w:val="nil"/>
              <w:right w:val="nil"/>
              <w:tl2br w:val="nil"/>
              <w:tr2bl w:val="nil"/>
            </w:tcBorders>
            <w:shd w:val="clear" w:color="FFFFFF" w:fill="FFFFFF"/>
            <w:tcMar>
              <w:left w:w="101" w:type="dxa"/>
              <w:right w:w="101" w:type="dxa"/>
            </w:tcMar>
          </w:tcPr>
          <w:p w14:paraId="2B7CF13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33E49C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7A15B18"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306EAD"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112BD3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0</w:t>
            </w:r>
          </w:p>
        </w:tc>
      </w:tr>
      <w:tr w:rsidR="00EF18CC" w14:paraId="11552E1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15884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165</w:t>
            </w:r>
          </w:p>
        </w:tc>
        <w:tc>
          <w:tcPr>
            <w:tcW w:w="2385" w:type="dxa"/>
            <w:tcBorders>
              <w:top w:val="nil"/>
              <w:left w:val="nil"/>
              <w:bottom w:val="nil"/>
              <w:right w:val="nil"/>
              <w:tl2br w:val="nil"/>
              <w:tr2bl w:val="nil"/>
            </w:tcBorders>
            <w:shd w:val="clear" w:color="auto" w:fill="auto"/>
            <w:noWrap/>
            <w:tcMar>
              <w:left w:w="101" w:type="dxa"/>
              <w:right w:w="101" w:type="dxa"/>
            </w:tcMar>
          </w:tcPr>
          <w:p w14:paraId="2B1A9C75"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36F10DF8"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316</w:t>
            </w:r>
          </w:p>
        </w:tc>
        <w:tc>
          <w:tcPr>
            <w:tcW w:w="1035" w:type="dxa"/>
            <w:tcBorders>
              <w:top w:val="nil"/>
              <w:left w:val="nil"/>
              <w:bottom w:val="nil"/>
              <w:right w:val="nil"/>
              <w:tl2br w:val="nil"/>
              <w:tr2bl w:val="nil"/>
            </w:tcBorders>
            <w:shd w:val="clear" w:color="FFFFFF" w:fill="FFFFFF"/>
            <w:tcMar>
              <w:left w:w="101" w:type="dxa"/>
              <w:right w:w="101" w:type="dxa"/>
            </w:tcMar>
          </w:tcPr>
          <w:p w14:paraId="58B1B849"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224</w:t>
            </w:r>
          </w:p>
        </w:tc>
        <w:tc>
          <w:tcPr>
            <w:tcW w:w="600" w:type="dxa"/>
            <w:tcBorders>
              <w:top w:val="nil"/>
              <w:left w:val="nil"/>
              <w:bottom w:val="nil"/>
              <w:right w:val="nil"/>
              <w:tl2br w:val="nil"/>
              <w:tr2bl w:val="nil"/>
            </w:tcBorders>
            <w:shd w:val="clear" w:color="FFFFFF" w:fill="FFFFFF"/>
            <w:tcMar>
              <w:left w:w="101" w:type="dxa"/>
              <w:right w:w="101" w:type="dxa"/>
            </w:tcMar>
          </w:tcPr>
          <w:p w14:paraId="34F7B684"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1E21B24F"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0DC237B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32</w:t>
            </w:r>
          </w:p>
        </w:tc>
        <w:tc>
          <w:tcPr>
            <w:tcW w:w="1035" w:type="dxa"/>
            <w:tcBorders>
              <w:top w:val="nil"/>
              <w:left w:val="nil"/>
              <w:bottom w:val="nil"/>
              <w:right w:val="nil"/>
              <w:tl2br w:val="nil"/>
              <w:tr2bl w:val="nil"/>
            </w:tcBorders>
            <w:shd w:val="clear" w:color="FFFFFF" w:fill="FFFFFF"/>
            <w:tcMar>
              <w:left w:w="101" w:type="dxa"/>
              <w:right w:w="101" w:type="dxa"/>
            </w:tcMar>
          </w:tcPr>
          <w:p w14:paraId="6EDF8DF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32</w:t>
            </w:r>
          </w:p>
        </w:tc>
      </w:tr>
      <w:tr w:rsidR="00EF18CC" w14:paraId="61AD720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D5220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14,649</w:t>
            </w:r>
          </w:p>
        </w:tc>
        <w:tc>
          <w:tcPr>
            <w:tcW w:w="2385" w:type="dxa"/>
            <w:tcBorders>
              <w:top w:val="nil"/>
              <w:left w:val="nil"/>
              <w:bottom w:val="nil"/>
              <w:right w:val="nil"/>
              <w:tl2br w:val="nil"/>
              <w:tr2bl w:val="nil"/>
            </w:tcBorders>
            <w:shd w:val="clear" w:color="auto" w:fill="auto"/>
            <w:noWrap/>
            <w:tcMar>
              <w:left w:w="101" w:type="dxa"/>
              <w:right w:w="101" w:type="dxa"/>
            </w:tcMar>
          </w:tcPr>
          <w:p w14:paraId="0A868CC8"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6D39744"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28,260</w:t>
            </w:r>
          </w:p>
        </w:tc>
        <w:tc>
          <w:tcPr>
            <w:tcW w:w="1035" w:type="dxa"/>
            <w:tcBorders>
              <w:top w:val="nil"/>
              <w:left w:val="nil"/>
              <w:bottom w:val="nil"/>
              <w:right w:val="nil"/>
              <w:tl2br w:val="nil"/>
              <w:tr2bl w:val="nil"/>
            </w:tcBorders>
            <w:shd w:val="clear" w:color="FFFFFF" w:fill="FFFFFF"/>
            <w:tcMar>
              <w:left w:w="101" w:type="dxa"/>
              <w:right w:w="101" w:type="dxa"/>
            </w:tcMar>
          </w:tcPr>
          <w:p w14:paraId="5E5EF7E6"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12,100</w:t>
            </w:r>
          </w:p>
        </w:tc>
        <w:tc>
          <w:tcPr>
            <w:tcW w:w="600" w:type="dxa"/>
            <w:tcBorders>
              <w:top w:val="nil"/>
              <w:left w:val="nil"/>
              <w:bottom w:val="nil"/>
              <w:right w:val="nil"/>
              <w:tl2br w:val="nil"/>
              <w:tr2bl w:val="nil"/>
            </w:tcBorders>
            <w:shd w:val="clear" w:color="FFFFFF" w:fill="FFFFFF"/>
            <w:tcMar>
              <w:left w:w="101" w:type="dxa"/>
              <w:right w:w="101" w:type="dxa"/>
            </w:tcMar>
          </w:tcPr>
          <w:p w14:paraId="7C59177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-57 </w:t>
            </w:r>
          </w:p>
        </w:tc>
        <w:tc>
          <w:tcPr>
            <w:tcW w:w="1035" w:type="dxa"/>
            <w:tcBorders>
              <w:top w:val="nil"/>
              <w:left w:val="nil"/>
              <w:bottom w:val="nil"/>
              <w:right w:val="nil"/>
              <w:tl2br w:val="nil"/>
              <w:tr2bl w:val="nil"/>
            </w:tcBorders>
            <w:shd w:val="clear" w:color="FFFFFF" w:fill="FFFFFF"/>
            <w:tcMar>
              <w:left w:w="101" w:type="dxa"/>
              <w:right w:w="101" w:type="dxa"/>
            </w:tcMar>
          </w:tcPr>
          <w:p w14:paraId="00E6BD3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16,800</w:t>
            </w:r>
          </w:p>
        </w:tc>
        <w:tc>
          <w:tcPr>
            <w:tcW w:w="1035" w:type="dxa"/>
            <w:tcBorders>
              <w:top w:val="nil"/>
              <w:left w:val="nil"/>
              <w:bottom w:val="nil"/>
              <w:right w:val="nil"/>
              <w:tl2br w:val="nil"/>
              <w:tr2bl w:val="nil"/>
            </w:tcBorders>
            <w:shd w:val="clear" w:color="FFFFFF" w:fill="FFFFFF"/>
            <w:tcMar>
              <w:left w:w="101" w:type="dxa"/>
              <w:right w:w="101" w:type="dxa"/>
            </w:tcMar>
          </w:tcPr>
          <w:p w14:paraId="2EF6112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14,927</w:t>
            </w:r>
          </w:p>
        </w:tc>
        <w:tc>
          <w:tcPr>
            <w:tcW w:w="1035" w:type="dxa"/>
            <w:tcBorders>
              <w:top w:val="nil"/>
              <w:left w:val="nil"/>
              <w:bottom w:val="nil"/>
              <w:right w:val="nil"/>
              <w:tl2br w:val="nil"/>
              <w:tr2bl w:val="nil"/>
            </w:tcBorders>
            <w:shd w:val="clear" w:color="FFFFFF" w:fill="FFFFFF"/>
            <w:tcMar>
              <w:left w:w="101" w:type="dxa"/>
              <w:right w:w="101" w:type="dxa"/>
            </w:tcMar>
          </w:tcPr>
          <w:p w14:paraId="30FC7F5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7,705</w:t>
            </w:r>
          </w:p>
        </w:tc>
      </w:tr>
      <w:tr w:rsidR="00EF18CC" w14:paraId="6B40334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FD2537"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B8991E2"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AE8251"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CA109B"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EBC01C"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35B5B0"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87C74C"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F5AED1" w14:textId="77777777" w:rsidR="00EF18CC" w:rsidRDefault="00EF18CC" w:rsidP="006D3501">
            <w:pPr>
              <w:pStyle w:val="Normal6"/>
              <w:rPr>
                <w:rFonts w:ascii="Calibri" w:eastAsia="Calibri" w:hAnsi="Calibri" w:cs="Calibri"/>
                <w:color w:val="000000"/>
                <w:sz w:val="18"/>
              </w:rPr>
            </w:pPr>
          </w:p>
        </w:tc>
      </w:tr>
      <w:tr w:rsidR="00EF18CC" w14:paraId="2356C2B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FD3E0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158,354</w:t>
            </w:r>
          </w:p>
        </w:tc>
        <w:tc>
          <w:tcPr>
            <w:tcW w:w="2385" w:type="dxa"/>
            <w:tcBorders>
              <w:top w:val="nil"/>
              <w:left w:val="nil"/>
              <w:bottom w:val="nil"/>
              <w:right w:val="nil"/>
              <w:tl2br w:val="nil"/>
              <w:tr2bl w:val="nil"/>
            </w:tcBorders>
            <w:shd w:val="clear" w:color="FFFFFF" w:fill="FFFFFF"/>
            <w:noWrap/>
            <w:tcMar>
              <w:left w:w="101" w:type="dxa"/>
              <w:right w:w="101" w:type="dxa"/>
            </w:tcMar>
          </w:tcPr>
          <w:p w14:paraId="46428FB4"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028FC675"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173,483</w:t>
            </w:r>
          </w:p>
        </w:tc>
        <w:tc>
          <w:tcPr>
            <w:tcW w:w="1035" w:type="dxa"/>
            <w:tcBorders>
              <w:top w:val="nil"/>
              <w:left w:val="nil"/>
              <w:bottom w:val="nil"/>
              <w:right w:val="nil"/>
              <w:tl2br w:val="nil"/>
              <w:tr2bl w:val="nil"/>
            </w:tcBorders>
            <w:shd w:val="clear" w:color="FFFFFF" w:fill="FFFFFF"/>
            <w:tcMar>
              <w:left w:w="101" w:type="dxa"/>
              <w:right w:w="101" w:type="dxa"/>
            </w:tcMar>
          </w:tcPr>
          <w:p w14:paraId="60BD36B7"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160,724</w:t>
            </w:r>
          </w:p>
        </w:tc>
        <w:tc>
          <w:tcPr>
            <w:tcW w:w="600" w:type="dxa"/>
            <w:tcBorders>
              <w:top w:val="nil"/>
              <w:left w:val="nil"/>
              <w:bottom w:val="nil"/>
              <w:right w:val="nil"/>
              <w:tl2br w:val="nil"/>
              <w:tr2bl w:val="nil"/>
            </w:tcBorders>
            <w:shd w:val="clear" w:color="FFFFFF" w:fill="FFFFFF"/>
            <w:tcMar>
              <w:left w:w="101" w:type="dxa"/>
              <w:right w:w="101" w:type="dxa"/>
            </w:tcMar>
          </w:tcPr>
          <w:p w14:paraId="55E8FDD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66603A5D"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166,574</w:t>
            </w:r>
          </w:p>
        </w:tc>
        <w:tc>
          <w:tcPr>
            <w:tcW w:w="1035" w:type="dxa"/>
            <w:tcBorders>
              <w:top w:val="nil"/>
              <w:left w:val="nil"/>
              <w:bottom w:val="nil"/>
              <w:right w:val="nil"/>
              <w:tl2br w:val="nil"/>
              <w:tr2bl w:val="nil"/>
            </w:tcBorders>
            <w:shd w:val="clear" w:color="FFFFFF" w:fill="FFFFFF"/>
            <w:tcMar>
              <w:left w:w="101" w:type="dxa"/>
              <w:right w:w="101" w:type="dxa"/>
            </w:tcMar>
          </w:tcPr>
          <w:p w14:paraId="14ABE046"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159,140</w:t>
            </w:r>
          </w:p>
        </w:tc>
        <w:tc>
          <w:tcPr>
            <w:tcW w:w="1035" w:type="dxa"/>
            <w:tcBorders>
              <w:top w:val="nil"/>
              <w:left w:val="nil"/>
              <w:bottom w:val="nil"/>
              <w:right w:val="nil"/>
              <w:tl2br w:val="nil"/>
              <w:tr2bl w:val="nil"/>
            </w:tcBorders>
            <w:shd w:val="clear" w:color="FFFFFF" w:fill="FFFFFF"/>
            <w:tcMar>
              <w:left w:w="101" w:type="dxa"/>
              <w:right w:w="101" w:type="dxa"/>
            </w:tcMar>
          </w:tcPr>
          <w:p w14:paraId="20C792C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152,802</w:t>
            </w:r>
          </w:p>
        </w:tc>
      </w:tr>
      <w:tr w:rsidR="00EF18CC" w14:paraId="72CDA32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78F24C"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4F42534"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43FC55"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340473"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9B72C4"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8E8B85"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8B1747"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08CDD8" w14:textId="77777777" w:rsidR="00EF18CC" w:rsidRDefault="00EF18CC" w:rsidP="006D3501">
            <w:pPr>
              <w:pStyle w:val="Normal6"/>
              <w:rPr>
                <w:rFonts w:ascii="Calibri" w:eastAsia="Calibri" w:hAnsi="Calibri" w:cs="Calibri"/>
                <w:color w:val="000000"/>
                <w:sz w:val="18"/>
              </w:rPr>
            </w:pPr>
          </w:p>
        </w:tc>
      </w:tr>
      <w:tr w:rsidR="00EF18CC" w14:paraId="6043876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F8ADD0"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030E9A4"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2F8013B1"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804258"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7E0A07"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538323"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DAB253"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F80779" w14:textId="77777777" w:rsidR="00EF18CC" w:rsidRDefault="00EF18CC" w:rsidP="006D3501">
            <w:pPr>
              <w:pStyle w:val="Normal6"/>
              <w:rPr>
                <w:rFonts w:ascii="Calibri" w:eastAsia="Calibri" w:hAnsi="Calibri" w:cs="Calibri"/>
                <w:color w:val="000000"/>
                <w:sz w:val="18"/>
              </w:rPr>
            </w:pPr>
          </w:p>
        </w:tc>
      </w:tr>
      <w:tr w:rsidR="00EF18CC" w14:paraId="3C5B4A7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AE10C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100</w:t>
            </w:r>
          </w:p>
        </w:tc>
        <w:tc>
          <w:tcPr>
            <w:tcW w:w="2385" w:type="dxa"/>
            <w:tcBorders>
              <w:top w:val="nil"/>
              <w:left w:val="nil"/>
              <w:bottom w:val="nil"/>
              <w:right w:val="nil"/>
              <w:tl2br w:val="nil"/>
              <w:tr2bl w:val="nil"/>
            </w:tcBorders>
            <w:shd w:val="clear" w:color="FFFFFF" w:fill="FFFFFF"/>
            <w:noWrap/>
            <w:tcMar>
              <w:left w:w="101" w:type="dxa"/>
              <w:right w:w="101" w:type="dxa"/>
            </w:tcMar>
          </w:tcPr>
          <w:p w14:paraId="45C54E2C"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3D54BF3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2,440</w:t>
            </w:r>
          </w:p>
        </w:tc>
        <w:tc>
          <w:tcPr>
            <w:tcW w:w="1035" w:type="dxa"/>
            <w:tcBorders>
              <w:top w:val="nil"/>
              <w:left w:val="nil"/>
              <w:bottom w:val="nil"/>
              <w:right w:val="nil"/>
              <w:tl2br w:val="nil"/>
              <w:tr2bl w:val="nil"/>
            </w:tcBorders>
            <w:shd w:val="clear" w:color="FFFFFF" w:fill="FFFFFF"/>
            <w:tcMar>
              <w:left w:w="101" w:type="dxa"/>
              <w:right w:w="101" w:type="dxa"/>
            </w:tcMar>
          </w:tcPr>
          <w:p w14:paraId="77382A32"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100</w:t>
            </w:r>
          </w:p>
        </w:tc>
        <w:tc>
          <w:tcPr>
            <w:tcW w:w="600" w:type="dxa"/>
            <w:tcBorders>
              <w:top w:val="nil"/>
              <w:left w:val="nil"/>
              <w:bottom w:val="nil"/>
              <w:right w:val="nil"/>
              <w:tl2br w:val="nil"/>
              <w:tr2bl w:val="nil"/>
            </w:tcBorders>
            <w:shd w:val="clear" w:color="FFFFFF" w:fill="FFFFFF"/>
            <w:tcMar>
              <w:left w:w="101" w:type="dxa"/>
              <w:right w:w="101" w:type="dxa"/>
            </w:tcMar>
          </w:tcPr>
          <w:p w14:paraId="40B7A71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-96 </w:t>
            </w:r>
          </w:p>
        </w:tc>
        <w:tc>
          <w:tcPr>
            <w:tcW w:w="1035" w:type="dxa"/>
            <w:tcBorders>
              <w:top w:val="nil"/>
              <w:left w:val="nil"/>
              <w:bottom w:val="nil"/>
              <w:right w:val="nil"/>
              <w:tl2br w:val="nil"/>
              <w:tr2bl w:val="nil"/>
            </w:tcBorders>
            <w:shd w:val="clear" w:color="FFFFFF" w:fill="FFFFFF"/>
            <w:tcMar>
              <w:left w:w="101" w:type="dxa"/>
              <w:right w:w="101" w:type="dxa"/>
            </w:tcMar>
          </w:tcPr>
          <w:p w14:paraId="6092F38D"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0096574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229EACE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100</w:t>
            </w:r>
          </w:p>
        </w:tc>
      </w:tr>
      <w:tr w:rsidR="00EF18CC" w14:paraId="5143D4E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45BACD"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F1BFF60"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20C27E"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D23396"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11FD34"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2B6318"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857A31"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AD87E9" w14:textId="77777777" w:rsidR="00EF18CC" w:rsidRDefault="00EF18CC" w:rsidP="006D3501">
            <w:pPr>
              <w:pStyle w:val="Normal6"/>
              <w:rPr>
                <w:rFonts w:ascii="Calibri" w:eastAsia="Calibri" w:hAnsi="Calibri" w:cs="Calibri"/>
                <w:color w:val="000000"/>
                <w:sz w:val="18"/>
              </w:rPr>
            </w:pPr>
          </w:p>
        </w:tc>
      </w:tr>
      <w:tr w:rsidR="00EF18CC" w14:paraId="5F30269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4A9069"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100</w:t>
            </w:r>
          </w:p>
        </w:tc>
        <w:tc>
          <w:tcPr>
            <w:tcW w:w="2385" w:type="dxa"/>
            <w:tcBorders>
              <w:top w:val="nil"/>
              <w:left w:val="nil"/>
              <w:bottom w:val="nil"/>
              <w:right w:val="nil"/>
              <w:tl2br w:val="nil"/>
              <w:tr2bl w:val="nil"/>
            </w:tcBorders>
            <w:shd w:val="clear" w:color="FFFFFF" w:fill="FFFFFF"/>
            <w:noWrap/>
            <w:tcMar>
              <w:left w:w="101" w:type="dxa"/>
              <w:right w:w="101" w:type="dxa"/>
            </w:tcMar>
          </w:tcPr>
          <w:p w14:paraId="7192C95C"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2743B79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2,440</w:t>
            </w:r>
          </w:p>
        </w:tc>
        <w:tc>
          <w:tcPr>
            <w:tcW w:w="1035" w:type="dxa"/>
            <w:tcBorders>
              <w:top w:val="nil"/>
              <w:left w:val="nil"/>
              <w:bottom w:val="nil"/>
              <w:right w:val="nil"/>
              <w:tl2br w:val="nil"/>
              <w:tr2bl w:val="nil"/>
            </w:tcBorders>
            <w:shd w:val="clear" w:color="FFFFFF" w:fill="FFFFFF"/>
            <w:tcMar>
              <w:left w:w="101" w:type="dxa"/>
              <w:right w:w="101" w:type="dxa"/>
            </w:tcMar>
          </w:tcPr>
          <w:p w14:paraId="6BE8297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100</w:t>
            </w:r>
          </w:p>
        </w:tc>
        <w:tc>
          <w:tcPr>
            <w:tcW w:w="600" w:type="dxa"/>
            <w:tcBorders>
              <w:top w:val="nil"/>
              <w:left w:val="nil"/>
              <w:bottom w:val="nil"/>
              <w:right w:val="nil"/>
              <w:tl2br w:val="nil"/>
              <w:tr2bl w:val="nil"/>
            </w:tcBorders>
            <w:shd w:val="clear" w:color="FFFFFF" w:fill="FFFFFF"/>
            <w:tcMar>
              <w:left w:w="101" w:type="dxa"/>
              <w:right w:w="101" w:type="dxa"/>
            </w:tcMar>
          </w:tcPr>
          <w:p w14:paraId="448CEC11"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-96 </w:t>
            </w:r>
          </w:p>
        </w:tc>
        <w:tc>
          <w:tcPr>
            <w:tcW w:w="1035" w:type="dxa"/>
            <w:tcBorders>
              <w:top w:val="nil"/>
              <w:left w:val="nil"/>
              <w:bottom w:val="nil"/>
              <w:right w:val="nil"/>
              <w:tl2br w:val="nil"/>
              <w:tr2bl w:val="nil"/>
            </w:tcBorders>
            <w:shd w:val="clear" w:color="FFFFFF" w:fill="FFFFFF"/>
            <w:tcMar>
              <w:left w:w="101" w:type="dxa"/>
              <w:right w:w="101" w:type="dxa"/>
            </w:tcMar>
          </w:tcPr>
          <w:p w14:paraId="6D4916A0"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27F5D8C9"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1D8A56C9"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100</w:t>
            </w:r>
          </w:p>
        </w:tc>
      </w:tr>
      <w:tr w:rsidR="00EF18CC" w14:paraId="28C5ADD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45A3A8"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BA44955"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9E31E6"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ED0D50"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2477DA"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16AC1B"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D54D58"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04F207" w14:textId="77777777" w:rsidR="00EF18CC" w:rsidRDefault="00EF18CC" w:rsidP="006D3501">
            <w:pPr>
              <w:pStyle w:val="Normal6"/>
              <w:rPr>
                <w:rFonts w:ascii="Calibri" w:eastAsia="Calibri" w:hAnsi="Calibri" w:cs="Calibri"/>
                <w:color w:val="000000"/>
                <w:sz w:val="18"/>
              </w:rPr>
            </w:pPr>
          </w:p>
        </w:tc>
      </w:tr>
      <w:tr w:rsidR="00EF18CC" w14:paraId="0AA25DA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AAECE5"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158,454</w:t>
            </w:r>
          </w:p>
        </w:tc>
        <w:tc>
          <w:tcPr>
            <w:tcW w:w="2385" w:type="dxa"/>
            <w:tcBorders>
              <w:top w:val="nil"/>
              <w:left w:val="nil"/>
              <w:bottom w:val="nil"/>
              <w:right w:val="nil"/>
              <w:tl2br w:val="nil"/>
              <w:tr2bl w:val="nil"/>
            </w:tcBorders>
            <w:shd w:val="clear" w:color="FFFFFF" w:fill="FFFFFF"/>
            <w:noWrap/>
            <w:tcMar>
              <w:left w:w="101" w:type="dxa"/>
              <w:right w:w="101" w:type="dxa"/>
            </w:tcMar>
          </w:tcPr>
          <w:p w14:paraId="324ED439"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1530700B"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175,923</w:t>
            </w:r>
          </w:p>
        </w:tc>
        <w:tc>
          <w:tcPr>
            <w:tcW w:w="1035" w:type="dxa"/>
            <w:tcBorders>
              <w:top w:val="nil"/>
              <w:left w:val="nil"/>
              <w:bottom w:val="nil"/>
              <w:right w:val="nil"/>
              <w:tl2br w:val="nil"/>
              <w:tr2bl w:val="nil"/>
            </w:tcBorders>
            <w:shd w:val="clear" w:color="FFFFFF" w:fill="FFFFFF"/>
            <w:tcMar>
              <w:left w:w="101" w:type="dxa"/>
              <w:right w:w="101" w:type="dxa"/>
            </w:tcMar>
          </w:tcPr>
          <w:p w14:paraId="7E47079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160,824</w:t>
            </w:r>
          </w:p>
        </w:tc>
        <w:tc>
          <w:tcPr>
            <w:tcW w:w="600" w:type="dxa"/>
            <w:tcBorders>
              <w:top w:val="nil"/>
              <w:left w:val="nil"/>
              <w:bottom w:val="nil"/>
              <w:right w:val="nil"/>
              <w:tl2br w:val="nil"/>
              <w:tr2bl w:val="nil"/>
            </w:tcBorders>
            <w:shd w:val="clear" w:color="FFFFFF" w:fill="FFFFFF"/>
            <w:tcMar>
              <w:left w:w="101" w:type="dxa"/>
              <w:right w:w="101" w:type="dxa"/>
            </w:tcMar>
          </w:tcPr>
          <w:p w14:paraId="05FB5BDE"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6FFFAB0"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166,674</w:t>
            </w:r>
          </w:p>
        </w:tc>
        <w:tc>
          <w:tcPr>
            <w:tcW w:w="1035" w:type="dxa"/>
            <w:tcBorders>
              <w:top w:val="nil"/>
              <w:left w:val="nil"/>
              <w:bottom w:val="nil"/>
              <w:right w:val="nil"/>
              <w:tl2br w:val="nil"/>
              <w:tr2bl w:val="nil"/>
            </w:tcBorders>
            <w:shd w:val="clear" w:color="FFFFFF" w:fill="FFFFFF"/>
            <w:tcMar>
              <w:left w:w="101" w:type="dxa"/>
              <w:right w:w="101" w:type="dxa"/>
            </w:tcMar>
          </w:tcPr>
          <w:p w14:paraId="7540FDC3"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159,240</w:t>
            </w:r>
          </w:p>
        </w:tc>
        <w:tc>
          <w:tcPr>
            <w:tcW w:w="1035" w:type="dxa"/>
            <w:tcBorders>
              <w:top w:val="nil"/>
              <w:left w:val="nil"/>
              <w:bottom w:val="nil"/>
              <w:right w:val="nil"/>
              <w:tl2br w:val="nil"/>
              <w:tr2bl w:val="nil"/>
            </w:tcBorders>
            <w:shd w:val="clear" w:color="FFFFFF" w:fill="FFFFFF"/>
            <w:tcMar>
              <w:left w:w="101" w:type="dxa"/>
              <w:right w:w="101" w:type="dxa"/>
            </w:tcMar>
          </w:tcPr>
          <w:p w14:paraId="59541B26"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152,902</w:t>
            </w:r>
          </w:p>
        </w:tc>
      </w:tr>
      <w:tr w:rsidR="00EF18CC" w14:paraId="7D65824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EF3871"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155150E"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1570EF"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9A592A"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5B8004"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4AF889"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2D8CDD"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81E61B" w14:textId="77777777" w:rsidR="00EF18CC" w:rsidRDefault="00EF18CC" w:rsidP="006D3501">
            <w:pPr>
              <w:pStyle w:val="Normal6"/>
              <w:rPr>
                <w:rFonts w:ascii="Calibri" w:eastAsia="Calibri" w:hAnsi="Calibri" w:cs="Calibri"/>
                <w:color w:val="000000"/>
                <w:sz w:val="18"/>
              </w:rPr>
            </w:pPr>
          </w:p>
        </w:tc>
      </w:tr>
      <w:tr w:rsidR="00EF18CC" w14:paraId="6B70CA5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42FFC2"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75A90F7"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28782541"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9FA11"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3B34A4"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5F68F1"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49DEEF"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FA5A8E" w14:textId="77777777" w:rsidR="00EF18CC" w:rsidRDefault="00EF18CC" w:rsidP="006D3501">
            <w:pPr>
              <w:pStyle w:val="Normal6"/>
              <w:rPr>
                <w:rFonts w:ascii="Calibri" w:eastAsia="Calibri" w:hAnsi="Calibri" w:cs="Calibri"/>
                <w:color w:val="000000"/>
                <w:sz w:val="18"/>
              </w:rPr>
            </w:pPr>
          </w:p>
        </w:tc>
      </w:tr>
      <w:tr w:rsidR="00EF18CC" w14:paraId="6659505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0FFDE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30,700</w:t>
            </w:r>
          </w:p>
        </w:tc>
        <w:tc>
          <w:tcPr>
            <w:tcW w:w="2385" w:type="dxa"/>
            <w:tcBorders>
              <w:top w:val="nil"/>
              <w:left w:val="nil"/>
              <w:bottom w:val="nil"/>
              <w:right w:val="nil"/>
              <w:tl2br w:val="nil"/>
              <w:tr2bl w:val="nil"/>
            </w:tcBorders>
            <w:shd w:val="clear" w:color="FFFFFF" w:fill="FFFFFF"/>
            <w:noWrap/>
            <w:tcMar>
              <w:left w:w="101" w:type="dxa"/>
              <w:right w:w="101" w:type="dxa"/>
            </w:tcMar>
          </w:tcPr>
          <w:p w14:paraId="3D8CF9C3"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4567C1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28,765</w:t>
            </w:r>
          </w:p>
        </w:tc>
        <w:tc>
          <w:tcPr>
            <w:tcW w:w="1035" w:type="dxa"/>
            <w:tcBorders>
              <w:top w:val="nil"/>
              <w:left w:val="nil"/>
              <w:bottom w:val="nil"/>
              <w:right w:val="nil"/>
              <w:tl2br w:val="nil"/>
              <w:tr2bl w:val="nil"/>
            </w:tcBorders>
            <w:shd w:val="clear" w:color="FFFFFF" w:fill="FFFFFF"/>
            <w:tcMar>
              <w:left w:w="101" w:type="dxa"/>
              <w:right w:w="101" w:type="dxa"/>
            </w:tcMar>
          </w:tcPr>
          <w:p w14:paraId="64E263ED"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31,998</w:t>
            </w:r>
          </w:p>
        </w:tc>
        <w:tc>
          <w:tcPr>
            <w:tcW w:w="600" w:type="dxa"/>
            <w:tcBorders>
              <w:top w:val="nil"/>
              <w:left w:val="nil"/>
              <w:bottom w:val="nil"/>
              <w:right w:val="nil"/>
              <w:tl2br w:val="nil"/>
              <w:tr2bl w:val="nil"/>
            </w:tcBorders>
            <w:shd w:val="clear" w:color="FFFFFF" w:fill="FFFFFF"/>
            <w:tcMar>
              <w:left w:w="101" w:type="dxa"/>
              <w:right w:w="101" w:type="dxa"/>
            </w:tcMar>
          </w:tcPr>
          <w:p w14:paraId="5C206D7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63134291"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33,141</w:t>
            </w:r>
          </w:p>
        </w:tc>
        <w:tc>
          <w:tcPr>
            <w:tcW w:w="1035" w:type="dxa"/>
            <w:tcBorders>
              <w:top w:val="nil"/>
              <w:left w:val="nil"/>
              <w:bottom w:val="nil"/>
              <w:right w:val="nil"/>
              <w:tl2br w:val="nil"/>
              <w:tr2bl w:val="nil"/>
            </w:tcBorders>
            <w:shd w:val="clear" w:color="FFFFFF" w:fill="FFFFFF"/>
            <w:tcMar>
              <w:left w:w="101" w:type="dxa"/>
              <w:right w:w="101" w:type="dxa"/>
            </w:tcMar>
          </w:tcPr>
          <w:p w14:paraId="74EDAF8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33,925</w:t>
            </w:r>
          </w:p>
        </w:tc>
        <w:tc>
          <w:tcPr>
            <w:tcW w:w="1035" w:type="dxa"/>
            <w:tcBorders>
              <w:top w:val="nil"/>
              <w:left w:val="nil"/>
              <w:bottom w:val="nil"/>
              <w:right w:val="nil"/>
              <w:tl2br w:val="nil"/>
              <w:tr2bl w:val="nil"/>
            </w:tcBorders>
            <w:shd w:val="clear" w:color="FFFFFF" w:fill="FFFFFF"/>
            <w:tcMar>
              <w:left w:w="101" w:type="dxa"/>
              <w:right w:w="101" w:type="dxa"/>
            </w:tcMar>
          </w:tcPr>
          <w:p w14:paraId="5D74D69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34,126</w:t>
            </w:r>
          </w:p>
        </w:tc>
      </w:tr>
      <w:tr w:rsidR="00EF18CC" w14:paraId="7BCF19D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6D2D79"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4,711</w:t>
            </w:r>
          </w:p>
        </w:tc>
        <w:tc>
          <w:tcPr>
            <w:tcW w:w="2385" w:type="dxa"/>
            <w:tcBorders>
              <w:top w:val="nil"/>
              <w:left w:val="nil"/>
              <w:bottom w:val="nil"/>
              <w:right w:val="nil"/>
              <w:tl2br w:val="nil"/>
              <w:tr2bl w:val="nil"/>
            </w:tcBorders>
            <w:shd w:val="clear" w:color="FFFFFF" w:fill="FFFFFF"/>
            <w:noWrap/>
            <w:tcMar>
              <w:left w:w="101" w:type="dxa"/>
              <w:right w:w="101" w:type="dxa"/>
            </w:tcMar>
          </w:tcPr>
          <w:p w14:paraId="76763014"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F1F672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4,557</w:t>
            </w:r>
          </w:p>
        </w:tc>
        <w:tc>
          <w:tcPr>
            <w:tcW w:w="1035" w:type="dxa"/>
            <w:tcBorders>
              <w:top w:val="nil"/>
              <w:left w:val="nil"/>
              <w:bottom w:val="nil"/>
              <w:right w:val="nil"/>
              <w:tl2br w:val="nil"/>
              <w:tr2bl w:val="nil"/>
            </w:tcBorders>
            <w:shd w:val="clear" w:color="FFFFFF" w:fill="FFFFFF"/>
            <w:tcMar>
              <w:left w:w="101" w:type="dxa"/>
              <w:right w:w="101" w:type="dxa"/>
            </w:tcMar>
          </w:tcPr>
          <w:p w14:paraId="62C50E9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4,918</w:t>
            </w:r>
          </w:p>
        </w:tc>
        <w:tc>
          <w:tcPr>
            <w:tcW w:w="600" w:type="dxa"/>
            <w:tcBorders>
              <w:top w:val="nil"/>
              <w:left w:val="nil"/>
              <w:bottom w:val="nil"/>
              <w:right w:val="nil"/>
              <w:tl2br w:val="nil"/>
              <w:tr2bl w:val="nil"/>
            </w:tcBorders>
            <w:shd w:val="clear" w:color="FFFFFF" w:fill="FFFFFF"/>
            <w:tcMar>
              <w:left w:w="101" w:type="dxa"/>
              <w:right w:w="101" w:type="dxa"/>
            </w:tcMar>
          </w:tcPr>
          <w:p w14:paraId="3CCEC03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62B1626F"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4,957</w:t>
            </w:r>
          </w:p>
        </w:tc>
        <w:tc>
          <w:tcPr>
            <w:tcW w:w="1035" w:type="dxa"/>
            <w:tcBorders>
              <w:top w:val="nil"/>
              <w:left w:val="nil"/>
              <w:bottom w:val="nil"/>
              <w:right w:val="nil"/>
              <w:tl2br w:val="nil"/>
              <w:tr2bl w:val="nil"/>
            </w:tcBorders>
            <w:shd w:val="clear" w:color="FFFFFF" w:fill="FFFFFF"/>
            <w:tcMar>
              <w:left w:w="101" w:type="dxa"/>
              <w:right w:w="101" w:type="dxa"/>
            </w:tcMar>
          </w:tcPr>
          <w:p w14:paraId="4A1A35B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4,974</w:t>
            </w:r>
          </w:p>
        </w:tc>
        <w:tc>
          <w:tcPr>
            <w:tcW w:w="1035" w:type="dxa"/>
            <w:tcBorders>
              <w:top w:val="nil"/>
              <w:left w:val="nil"/>
              <w:bottom w:val="nil"/>
              <w:right w:val="nil"/>
              <w:tl2br w:val="nil"/>
              <w:tr2bl w:val="nil"/>
            </w:tcBorders>
            <w:shd w:val="clear" w:color="FFFFFF" w:fill="FFFFFF"/>
            <w:tcMar>
              <w:left w:w="101" w:type="dxa"/>
              <w:right w:w="101" w:type="dxa"/>
            </w:tcMar>
          </w:tcPr>
          <w:p w14:paraId="6A8B447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4,983</w:t>
            </w:r>
          </w:p>
        </w:tc>
      </w:tr>
      <w:tr w:rsidR="00EF18CC" w14:paraId="32C48D1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1E5FC9"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105,901</w:t>
            </w:r>
          </w:p>
        </w:tc>
        <w:tc>
          <w:tcPr>
            <w:tcW w:w="2385" w:type="dxa"/>
            <w:tcBorders>
              <w:top w:val="nil"/>
              <w:left w:val="nil"/>
              <w:bottom w:val="nil"/>
              <w:right w:val="nil"/>
              <w:tl2br w:val="nil"/>
              <w:tr2bl w:val="nil"/>
            </w:tcBorders>
            <w:shd w:val="clear" w:color="FFFFFF" w:fill="FFFFFF"/>
            <w:noWrap/>
            <w:tcMar>
              <w:left w:w="101" w:type="dxa"/>
              <w:right w:w="101" w:type="dxa"/>
            </w:tcMar>
          </w:tcPr>
          <w:p w14:paraId="4F4D7B69"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A84395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106,847</w:t>
            </w:r>
          </w:p>
        </w:tc>
        <w:tc>
          <w:tcPr>
            <w:tcW w:w="1035" w:type="dxa"/>
            <w:tcBorders>
              <w:top w:val="nil"/>
              <w:left w:val="nil"/>
              <w:bottom w:val="nil"/>
              <w:right w:val="nil"/>
              <w:tl2br w:val="nil"/>
              <w:tr2bl w:val="nil"/>
            </w:tcBorders>
            <w:shd w:val="clear" w:color="FFFFFF" w:fill="FFFFFF"/>
            <w:tcMar>
              <w:left w:w="101" w:type="dxa"/>
              <w:right w:w="101" w:type="dxa"/>
            </w:tcMar>
          </w:tcPr>
          <w:p w14:paraId="6D99BD4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120,759</w:t>
            </w:r>
          </w:p>
        </w:tc>
        <w:tc>
          <w:tcPr>
            <w:tcW w:w="600" w:type="dxa"/>
            <w:tcBorders>
              <w:top w:val="nil"/>
              <w:left w:val="nil"/>
              <w:bottom w:val="nil"/>
              <w:right w:val="nil"/>
              <w:tl2br w:val="nil"/>
              <w:tr2bl w:val="nil"/>
            </w:tcBorders>
            <w:shd w:val="clear" w:color="FFFFFF" w:fill="FFFFFF"/>
            <w:tcMar>
              <w:left w:w="101" w:type="dxa"/>
              <w:right w:w="101" w:type="dxa"/>
            </w:tcMar>
          </w:tcPr>
          <w:p w14:paraId="3DFEA5A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6D26E53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118,377</w:t>
            </w:r>
          </w:p>
        </w:tc>
        <w:tc>
          <w:tcPr>
            <w:tcW w:w="1035" w:type="dxa"/>
            <w:tcBorders>
              <w:top w:val="nil"/>
              <w:left w:val="nil"/>
              <w:bottom w:val="nil"/>
              <w:right w:val="nil"/>
              <w:tl2br w:val="nil"/>
              <w:tr2bl w:val="nil"/>
            </w:tcBorders>
            <w:shd w:val="clear" w:color="FFFFFF" w:fill="FFFFFF"/>
            <w:tcMar>
              <w:left w:w="101" w:type="dxa"/>
              <w:right w:w="101" w:type="dxa"/>
            </w:tcMar>
          </w:tcPr>
          <w:p w14:paraId="08355DF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120,445</w:t>
            </w:r>
          </w:p>
        </w:tc>
        <w:tc>
          <w:tcPr>
            <w:tcW w:w="1035" w:type="dxa"/>
            <w:tcBorders>
              <w:top w:val="nil"/>
              <w:left w:val="nil"/>
              <w:bottom w:val="nil"/>
              <w:right w:val="nil"/>
              <w:tl2br w:val="nil"/>
              <w:tr2bl w:val="nil"/>
            </w:tcBorders>
            <w:shd w:val="clear" w:color="FFFFFF" w:fill="FFFFFF"/>
            <w:tcMar>
              <w:left w:w="101" w:type="dxa"/>
              <w:right w:w="101" w:type="dxa"/>
            </w:tcMar>
          </w:tcPr>
          <w:p w14:paraId="026333BD"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122,840</w:t>
            </w:r>
          </w:p>
        </w:tc>
      </w:tr>
      <w:tr w:rsidR="00EF18CC" w14:paraId="4195B0B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64698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37,712</w:t>
            </w:r>
          </w:p>
        </w:tc>
        <w:tc>
          <w:tcPr>
            <w:tcW w:w="2385" w:type="dxa"/>
            <w:tcBorders>
              <w:top w:val="nil"/>
              <w:left w:val="nil"/>
              <w:bottom w:val="nil"/>
              <w:right w:val="nil"/>
              <w:tl2br w:val="nil"/>
              <w:tr2bl w:val="nil"/>
            </w:tcBorders>
            <w:shd w:val="clear" w:color="FFFFFF" w:fill="FFFFFF"/>
            <w:noWrap/>
            <w:tcMar>
              <w:left w:w="101" w:type="dxa"/>
              <w:right w:w="101" w:type="dxa"/>
            </w:tcMar>
          </w:tcPr>
          <w:p w14:paraId="5C30E177"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5A467D6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40,190</w:t>
            </w:r>
          </w:p>
        </w:tc>
        <w:tc>
          <w:tcPr>
            <w:tcW w:w="1035" w:type="dxa"/>
            <w:tcBorders>
              <w:top w:val="nil"/>
              <w:left w:val="nil"/>
              <w:bottom w:val="nil"/>
              <w:right w:val="nil"/>
              <w:tl2br w:val="nil"/>
              <w:tr2bl w:val="nil"/>
            </w:tcBorders>
            <w:shd w:val="clear" w:color="FFFFFF" w:fill="FFFFFF"/>
            <w:tcMar>
              <w:left w:w="101" w:type="dxa"/>
              <w:right w:w="101" w:type="dxa"/>
            </w:tcMar>
          </w:tcPr>
          <w:p w14:paraId="5D44C256"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50,259</w:t>
            </w:r>
          </w:p>
        </w:tc>
        <w:tc>
          <w:tcPr>
            <w:tcW w:w="600" w:type="dxa"/>
            <w:tcBorders>
              <w:top w:val="nil"/>
              <w:left w:val="nil"/>
              <w:bottom w:val="nil"/>
              <w:right w:val="nil"/>
              <w:tl2br w:val="nil"/>
              <w:tr2bl w:val="nil"/>
            </w:tcBorders>
            <w:shd w:val="clear" w:color="FFFFFF" w:fill="FFFFFF"/>
            <w:tcMar>
              <w:left w:w="101" w:type="dxa"/>
              <w:right w:w="101" w:type="dxa"/>
            </w:tcMar>
          </w:tcPr>
          <w:p w14:paraId="31E03DC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02ADC6C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50,129</w:t>
            </w:r>
          </w:p>
        </w:tc>
        <w:tc>
          <w:tcPr>
            <w:tcW w:w="1035" w:type="dxa"/>
            <w:tcBorders>
              <w:top w:val="nil"/>
              <w:left w:val="nil"/>
              <w:bottom w:val="nil"/>
              <w:right w:val="nil"/>
              <w:tl2br w:val="nil"/>
              <w:tr2bl w:val="nil"/>
            </w:tcBorders>
            <w:shd w:val="clear" w:color="FFFFFF" w:fill="FFFFFF"/>
            <w:tcMar>
              <w:left w:w="101" w:type="dxa"/>
              <w:right w:w="101" w:type="dxa"/>
            </w:tcMar>
          </w:tcPr>
          <w:p w14:paraId="5FB01DA1"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50,038</w:t>
            </w:r>
          </w:p>
        </w:tc>
        <w:tc>
          <w:tcPr>
            <w:tcW w:w="1035" w:type="dxa"/>
            <w:tcBorders>
              <w:top w:val="nil"/>
              <w:left w:val="nil"/>
              <w:bottom w:val="nil"/>
              <w:right w:val="nil"/>
              <w:tl2br w:val="nil"/>
              <w:tr2bl w:val="nil"/>
            </w:tcBorders>
            <w:shd w:val="clear" w:color="FFFFFF" w:fill="FFFFFF"/>
            <w:tcMar>
              <w:left w:w="101" w:type="dxa"/>
              <w:right w:w="101" w:type="dxa"/>
            </w:tcMar>
          </w:tcPr>
          <w:p w14:paraId="026D991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50,291</w:t>
            </w:r>
          </w:p>
        </w:tc>
      </w:tr>
      <w:tr w:rsidR="00EF18CC" w14:paraId="41A44D6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A81A6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26,914</w:t>
            </w:r>
          </w:p>
        </w:tc>
        <w:tc>
          <w:tcPr>
            <w:tcW w:w="2385" w:type="dxa"/>
            <w:tcBorders>
              <w:top w:val="nil"/>
              <w:left w:val="nil"/>
              <w:bottom w:val="nil"/>
              <w:right w:val="nil"/>
              <w:tl2br w:val="nil"/>
              <w:tr2bl w:val="nil"/>
            </w:tcBorders>
            <w:shd w:val="clear" w:color="FFFFFF" w:fill="FFFFFF"/>
            <w:noWrap/>
            <w:tcMar>
              <w:left w:w="101" w:type="dxa"/>
              <w:right w:w="101" w:type="dxa"/>
            </w:tcMar>
          </w:tcPr>
          <w:p w14:paraId="1A0A5A7B"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A3DF1D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26,634</w:t>
            </w:r>
          </w:p>
        </w:tc>
        <w:tc>
          <w:tcPr>
            <w:tcW w:w="1035" w:type="dxa"/>
            <w:tcBorders>
              <w:top w:val="nil"/>
              <w:left w:val="nil"/>
              <w:bottom w:val="nil"/>
              <w:right w:val="nil"/>
              <w:tl2br w:val="nil"/>
              <w:tr2bl w:val="nil"/>
            </w:tcBorders>
            <w:shd w:val="clear" w:color="FFFFFF" w:fill="FFFFFF"/>
            <w:tcMar>
              <w:left w:w="101" w:type="dxa"/>
              <w:right w:w="101" w:type="dxa"/>
            </w:tcMar>
          </w:tcPr>
          <w:p w14:paraId="5573475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30,814</w:t>
            </w:r>
          </w:p>
        </w:tc>
        <w:tc>
          <w:tcPr>
            <w:tcW w:w="600" w:type="dxa"/>
            <w:tcBorders>
              <w:top w:val="nil"/>
              <w:left w:val="nil"/>
              <w:bottom w:val="nil"/>
              <w:right w:val="nil"/>
              <w:tl2br w:val="nil"/>
              <w:tr2bl w:val="nil"/>
            </w:tcBorders>
            <w:shd w:val="clear" w:color="FFFFFF" w:fill="FFFFFF"/>
            <w:tcMar>
              <w:left w:w="101" w:type="dxa"/>
              <w:right w:w="101" w:type="dxa"/>
            </w:tcMar>
          </w:tcPr>
          <w:p w14:paraId="428532C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0AF978B3"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31,197</w:t>
            </w:r>
          </w:p>
        </w:tc>
        <w:tc>
          <w:tcPr>
            <w:tcW w:w="1035" w:type="dxa"/>
            <w:tcBorders>
              <w:top w:val="nil"/>
              <w:left w:val="nil"/>
              <w:bottom w:val="nil"/>
              <w:right w:val="nil"/>
              <w:tl2br w:val="nil"/>
              <w:tr2bl w:val="nil"/>
            </w:tcBorders>
            <w:shd w:val="clear" w:color="FFFFFF" w:fill="FFFFFF"/>
            <w:tcMar>
              <w:left w:w="101" w:type="dxa"/>
              <w:right w:w="101" w:type="dxa"/>
            </w:tcMar>
          </w:tcPr>
          <w:p w14:paraId="1F98294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26,894</w:t>
            </w:r>
          </w:p>
        </w:tc>
        <w:tc>
          <w:tcPr>
            <w:tcW w:w="1035" w:type="dxa"/>
            <w:tcBorders>
              <w:top w:val="nil"/>
              <w:left w:val="nil"/>
              <w:bottom w:val="nil"/>
              <w:right w:val="nil"/>
              <w:tl2br w:val="nil"/>
              <w:tr2bl w:val="nil"/>
            </w:tcBorders>
            <w:shd w:val="clear" w:color="FFFFFF" w:fill="FFFFFF"/>
            <w:tcMar>
              <w:left w:w="101" w:type="dxa"/>
              <w:right w:w="101" w:type="dxa"/>
            </w:tcMar>
          </w:tcPr>
          <w:p w14:paraId="2B74F9E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26,900</w:t>
            </w:r>
          </w:p>
        </w:tc>
      </w:tr>
      <w:tr w:rsidR="00EF18CC" w14:paraId="51F809F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3AB951"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2,215</w:t>
            </w:r>
          </w:p>
        </w:tc>
        <w:tc>
          <w:tcPr>
            <w:tcW w:w="2385" w:type="dxa"/>
            <w:tcBorders>
              <w:top w:val="nil"/>
              <w:left w:val="nil"/>
              <w:bottom w:val="nil"/>
              <w:right w:val="nil"/>
              <w:tl2br w:val="nil"/>
              <w:tr2bl w:val="nil"/>
            </w:tcBorders>
            <w:shd w:val="clear" w:color="FFFFFF" w:fill="FFFFFF"/>
            <w:noWrap/>
            <w:tcMar>
              <w:left w:w="101" w:type="dxa"/>
              <w:right w:w="101" w:type="dxa"/>
            </w:tcMar>
          </w:tcPr>
          <w:p w14:paraId="02E44227"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09CA90F6"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2,215</w:t>
            </w:r>
          </w:p>
        </w:tc>
        <w:tc>
          <w:tcPr>
            <w:tcW w:w="1035" w:type="dxa"/>
            <w:tcBorders>
              <w:top w:val="nil"/>
              <w:left w:val="nil"/>
              <w:bottom w:val="nil"/>
              <w:right w:val="nil"/>
              <w:tl2br w:val="nil"/>
              <w:tr2bl w:val="nil"/>
            </w:tcBorders>
            <w:shd w:val="clear" w:color="FFFFFF" w:fill="FFFFFF"/>
            <w:tcMar>
              <w:left w:w="101" w:type="dxa"/>
              <w:right w:w="101" w:type="dxa"/>
            </w:tcMar>
          </w:tcPr>
          <w:p w14:paraId="3B27E917"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2,014</w:t>
            </w:r>
          </w:p>
        </w:tc>
        <w:tc>
          <w:tcPr>
            <w:tcW w:w="600" w:type="dxa"/>
            <w:tcBorders>
              <w:top w:val="nil"/>
              <w:left w:val="nil"/>
              <w:bottom w:val="nil"/>
              <w:right w:val="nil"/>
              <w:tl2br w:val="nil"/>
              <w:tr2bl w:val="nil"/>
            </w:tcBorders>
            <w:shd w:val="clear" w:color="FFFFFF" w:fill="FFFFFF"/>
            <w:tcMar>
              <w:left w:w="101" w:type="dxa"/>
              <w:right w:w="101" w:type="dxa"/>
            </w:tcMar>
          </w:tcPr>
          <w:p w14:paraId="0525D8E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17FF2AB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1,820</w:t>
            </w:r>
          </w:p>
        </w:tc>
        <w:tc>
          <w:tcPr>
            <w:tcW w:w="1035" w:type="dxa"/>
            <w:tcBorders>
              <w:top w:val="nil"/>
              <w:left w:val="nil"/>
              <w:bottom w:val="nil"/>
              <w:right w:val="nil"/>
              <w:tl2br w:val="nil"/>
              <w:tr2bl w:val="nil"/>
            </w:tcBorders>
            <w:shd w:val="clear" w:color="FFFFFF" w:fill="FFFFFF"/>
            <w:tcMar>
              <w:left w:w="101" w:type="dxa"/>
              <w:right w:w="101" w:type="dxa"/>
            </w:tcMar>
          </w:tcPr>
          <w:p w14:paraId="3316F15F"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1,630</w:t>
            </w:r>
          </w:p>
        </w:tc>
        <w:tc>
          <w:tcPr>
            <w:tcW w:w="1035" w:type="dxa"/>
            <w:tcBorders>
              <w:top w:val="nil"/>
              <w:left w:val="nil"/>
              <w:bottom w:val="nil"/>
              <w:right w:val="nil"/>
              <w:tl2br w:val="nil"/>
              <w:tr2bl w:val="nil"/>
            </w:tcBorders>
            <w:shd w:val="clear" w:color="FFFFFF" w:fill="FFFFFF"/>
            <w:tcMar>
              <w:left w:w="101" w:type="dxa"/>
              <w:right w:w="101" w:type="dxa"/>
            </w:tcMar>
          </w:tcPr>
          <w:p w14:paraId="12368E26"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1,630</w:t>
            </w:r>
          </w:p>
        </w:tc>
      </w:tr>
      <w:tr w:rsidR="00EF18CC" w14:paraId="2FC7540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A3317B"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11,310</w:t>
            </w:r>
          </w:p>
        </w:tc>
        <w:tc>
          <w:tcPr>
            <w:tcW w:w="2385" w:type="dxa"/>
            <w:tcBorders>
              <w:top w:val="nil"/>
              <w:left w:val="nil"/>
              <w:bottom w:val="nil"/>
              <w:right w:val="nil"/>
              <w:tl2br w:val="nil"/>
              <w:tr2bl w:val="nil"/>
            </w:tcBorders>
            <w:shd w:val="clear" w:color="FFFFFF" w:fill="FFFFFF"/>
            <w:noWrap/>
            <w:tcMar>
              <w:left w:w="101" w:type="dxa"/>
              <w:right w:w="101" w:type="dxa"/>
            </w:tcMar>
          </w:tcPr>
          <w:p w14:paraId="16AE12FA"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2F1ACBC0"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16,812</w:t>
            </w:r>
          </w:p>
        </w:tc>
        <w:tc>
          <w:tcPr>
            <w:tcW w:w="1035" w:type="dxa"/>
            <w:tcBorders>
              <w:top w:val="nil"/>
              <w:left w:val="nil"/>
              <w:bottom w:val="nil"/>
              <w:right w:val="nil"/>
              <w:tl2br w:val="nil"/>
              <w:tr2bl w:val="nil"/>
            </w:tcBorders>
            <w:shd w:val="clear" w:color="FFFFFF" w:fill="FFFFFF"/>
            <w:tcMar>
              <w:left w:w="101" w:type="dxa"/>
              <w:right w:w="101" w:type="dxa"/>
            </w:tcMar>
          </w:tcPr>
          <w:p w14:paraId="320750C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15,190</w:t>
            </w:r>
          </w:p>
        </w:tc>
        <w:tc>
          <w:tcPr>
            <w:tcW w:w="600" w:type="dxa"/>
            <w:tcBorders>
              <w:top w:val="nil"/>
              <w:left w:val="nil"/>
              <w:bottom w:val="nil"/>
              <w:right w:val="nil"/>
              <w:tl2br w:val="nil"/>
              <w:tr2bl w:val="nil"/>
            </w:tcBorders>
            <w:shd w:val="clear" w:color="FFFFFF" w:fill="FFFFFF"/>
            <w:tcMar>
              <w:left w:w="101" w:type="dxa"/>
              <w:right w:w="101" w:type="dxa"/>
            </w:tcMar>
          </w:tcPr>
          <w:p w14:paraId="5DB3B052"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5180308D"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12,643</w:t>
            </w:r>
          </w:p>
        </w:tc>
        <w:tc>
          <w:tcPr>
            <w:tcW w:w="1035" w:type="dxa"/>
            <w:tcBorders>
              <w:top w:val="nil"/>
              <w:left w:val="nil"/>
              <w:bottom w:val="nil"/>
              <w:right w:val="nil"/>
              <w:tl2br w:val="nil"/>
              <w:tr2bl w:val="nil"/>
            </w:tcBorders>
            <w:shd w:val="clear" w:color="FFFFFF" w:fill="FFFFFF"/>
            <w:tcMar>
              <w:left w:w="101" w:type="dxa"/>
              <w:right w:w="101" w:type="dxa"/>
            </w:tcMar>
          </w:tcPr>
          <w:p w14:paraId="3DD3673E"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7,684</w:t>
            </w:r>
          </w:p>
        </w:tc>
        <w:tc>
          <w:tcPr>
            <w:tcW w:w="1035" w:type="dxa"/>
            <w:tcBorders>
              <w:top w:val="nil"/>
              <w:left w:val="nil"/>
              <w:bottom w:val="nil"/>
              <w:right w:val="nil"/>
              <w:tl2br w:val="nil"/>
              <w:tr2bl w:val="nil"/>
            </w:tcBorders>
            <w:shd w:val="clear" w:color="FFFFFF" w:fill="FFFFFF"/>
            <w:tcMar>
              <w:left w:w="101" w:type="dxa"/>
              <w:right w:w="101" w:type="dxa"/>
            </w:tcMar>
          </w:tcPr>
          <w:p w14:paraId="722C7D14"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6,790</w:t>
            </w:r>
          </w:p>
        </w:tc>
      </w:tr>
      <w:tr w:rsidR="00EF18CC" w14:paraId="6B00551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EED8BA"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FCFEAF"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C3525F"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3BD556"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B742160"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31579D"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FADF8E"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F02EF" w14:textId="77777777" w:rsidR="00EF18CC" w:rsidRDefault="00EF18CC" w:rsidP="006D3501">
            <w:pPr>
              <w:pStyle w:val="Normal6"/>
              <w:rPr>
                <w:rFonts w:ascii="Calibri" w:eastAsia="Calibri" w:hAnsi="Calibri" w:cs="Calibri"/>
                <w:color w:val="000000"/>
                <w:sz w:val="18"/>
              </w:rPr>
            </w:pPr>
          </w:p>
        </w:tc>
      </w:tr>
      <w:tr w:rsidR="00EF18CC" w14:paraId="526BB9E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CCBA55"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219,463</w:t>
            </w:r>
          </w:p>
        </w:tc>
        <w:tc>
          <w:tcPr>
            <w:tcW w:w="2385" w:type="dxa"/>
            <w:tcBorders>
              <w:top w:val="nil"/>
              <w:left w:val="nil"/>
              <w:bottom w:val="nil"/>
              <w:right w:val="nil"/>
              <w:tl2br w:val="nil"/>
              <w:tr2bl w:val="nil"/>
            </w:tcBorders>
            <w:shd w:val="clear" w:color="FFFFFF" w:fill="FFFFFF"/>
            <w:noWrap/>
            <w:tcMar>
              <w:left w:w="101" w:type="dxa"/>
              <w:right w:w="101" w:type="dxa"/>
            </w:tcMar>
          </w:tcPr>
          <w:p w14:paraId="77150F3D"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7DF6987C"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226,020</w:t>
            </w:r>
          </w:p>
        </w:tc>
        <w:tc>
          <w:tcPr>
            <w:tcW w:w="1035" w:type="dxa"/>
            <w:tcBorders>
              <w:top w:val="nil"/>
              <w:left w:val="nil"/>
              <w:bottom w:val="nil"/>
              <w:right w:val="nil"/>
              <w:tl2br w:val="nil"/>
              <w:tr2bl w:val="nil"/>
            </w:tcBorders>
            <w:shd w:val="clear" w:color="FFFFFF" w:fill="FFFFFF"/>
            <w:tcMar>
              <w:left w:w="101" w:type="dxa"/>
              <w:right w:w="101" w:type="dxa"/>
            </w:tcMar>
          </w:tcPr>
          <w:p w14:paraId="7844BAAA"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255,952</w:t>
            </w:r>
          </w:p>
        </w:tc>
        <w:tc>
          <w:tcPr>
            <w:tcW w:w="600" w:type="dxa"/>
            <w:tcBorders>
              <w:top w:val="nil"/>
              <w:left w:val="nil"/>
              <w:bottom w:val="nil"/>
              <w:right w:val="nil"/>
              <w:tl2br w:val="nil"/>
              <w:tr2bl w:val="nil"/>
            </w:tcBorders>
            <w:shd w:val="clear" w:color="FFFFFF" w:fill="FFFFFF"/>
            <w:tcMar>
              <w:left w:w="101" w:type="dxa"/>
              <w:right w:w="101" w:type="dxa"/>
            </w:tcMar>
          </w:tcPr>
          <w:p w14:paraId="7FBA0211"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1DEE3F30"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252,264</w:t>
            </w:r>
          </w:p>
        </w:tc>
        <w:tc>
          <w:tcPr>
            <w:tcW w:w="1035" w:type="dxa"/>
            <w:tcBorders>
              <w:top w:val="nil"/>
              <w:left w:val="nil"/>
              <w:bottom w:val="nil"/>
              <w:right w:val="nil"/>
              <w:tl2br w:val="nil"/>
              <w:tr2bl w:val="nil"/>
            </w:tcBorders>
            <w:shd w:val="clear" w:color="FFFFFF" w:fill="FFFFFF"/>
            <w:tcMar>
              <w:left w:w="101" w:type="dxa"/>
              <w:right w:w="101" w:type="dxa"/>
            </w:tcMar>
          </w:tcPr>
          <w:p w14:paraId="57FAD566"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245,590</w:t>
            </w:r>
          </w:p>
        </w:tc>
        <w:tc>
          <w:tcPr>
            <w:tcW w:w="1035" w:type="dxa"/>
            <w:tcBorders>
              <w:top w:val="nil"/>
              <w:left w:val="nil"/>
              <w:bottom w:val="nil"/>
              <w:right w:val="nil"/>
              <w:tl2br w:val="nil"/>
              <w:tr2bl w:val="nil"/>
            </w:tcBorders>
            <w:shd w:val="clear" w:color="FFFFFF" w:fill="FFFFFF"/>
            <w:tcMar>
              <w:left w:w="101" w:type="dxa"/>
              <w:right w:w="101" w:type="dxa"/>
            </w:tcMar>
          </w:tcPr>
          <w:p w14:paraId="4CD99667"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247,560</w:t>
            </w:r>
          </w:p>
        </w:tc>
      </w:tr>
      <w:tr w:rsidR="00EF18CC" w14:paraId="7D5A1D7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77C7D1"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2395B6A"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74DE15"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7886C0"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D6334A"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7A78EC"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7DC3D0"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CDC060" w14:textId="77777777" w:rsidR="00EF18CC" w:rsidRDefault="00EF18CC" w:rsidP="006D3501">
            <w:pPr>
              <w:pStyle w:val="Normal6"/>
              <w:rPr>
                <w:rFonts w:ascii="Calibri" w:eastAsia="Calibri" w:hAnsi="Calibri" w:cs="Calibri"/>
                <w:color w:val="000000"/>
                <w:sz w:val="18"/>
              </w:rPr>
            </w:pPr>
          </w:p>
        </w:tc>
      </w:tr>
      <w:tr w:rsidR="00EF18CC" w14:paraId="767C1AC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28F1A4"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-61,009</w:t>
            </w:r>
          </w:p>
        </w:tc>
        <w:tc>
          <w:tcPr>
            <w:tcW w:w="2385" w:type="dxa"/>
            <w:tcBorders>
              <w:top w:val="nil"/>
              <w:left w:val="nil"/>
              <w:bottom w:val="nil"/>
              <w:right w:val="nil"/>
              <w:tl2br w:val="nil"/>
              <w:tr2bl w:val="nil"/>
            </w:tcBorders>
            <w:shd w:val="clear" w:color="FFFFFF" w:fill="FFFFFF"/>
            <w:noWrap/>
            <w:tcMar>
              <w:left w:w="101" w:type="dxa"/>
              <w:right w:w="101" w:type="dxa"/>
            </w:tcMar>
          </w:tcPr>
          <w:p w14:paraId="0ECAD5DB"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Operating Result from Ordinary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67AEBA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-50,097</w:t>
            </w:r>
          </w:p>
        </w:tc>
        <w:tc>
          <w:tcPr>
            <w:tcW w:w="1035" w:type="dxa"/>
            <w:tcBorders>
              <w:top w:val="nil"/>
              <w:left w:val="nil"/>
              <w:bottom w:val="nil"/>
              <w:right w:val="nil"/>
              <w:tl2br w:val="nil"/>
              <w:tr2bl w:val="nil"/>
            </w:tcBorders>
            <w:shd w:val="clear" w:color="FFFFFF" w:fill="FFFFFF"/>
            <w:tcMar>
              <w:left w:w="101" w:type="dxa"/>
              <w:right w:w="101" w:type="dxa"/>
            </w:tcMar>
          </w:tcPr>
          <w:p w14:paraId="04AF4F3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-95,128</w:t>
            </w:r>
          </w:p>
        </w:tc>
        <w:tc>
          <w:tcPr>
            <w:tcW w:w="600" w:type="dxa"/>
            <w:tcBorders>
              <w:top w:val="nil"/>
              <w:left w:val="nil"/>
              <w:bottom w:val="nil"/>
              <w:right w:val="nil"/>
              <w:tl2br w:val="nil"/>
              <w:tr2bl w:val="nil"/>
            </w:tcBorders>
            <w:shd w:val="clear" w:color="FFFFFF" w:fill="FFFFFF"/>
            <w:tcMar>
              <w:left w:w="101" w:type="dxa"/>
              <w:right w:w="101" w:type="dxa"/>
            </w:tcMar>
          </w:tcPr>
          <w:p w14:paraId="547FD4BD"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-90 </w:t>
            </w:r>
          </w:p>
        </w:tc>
        <w:tc>
          <w:tcPr>
            <w:tcW w:w="1035" w:type="dxa"/>
            <w:tcBorders>
              <w:top w:val="nil"/>
              <w:left w:val="nil"/>
              <w:bottom w:val="nil"/>
              <w:right w:val="nil"/>
              <w:tl2br w:val="nil"/>
              <w:tr2bl w:val="nil"/>
            </w:tcBorders>
            <w:shd w:val="clear" w:color="FFFFFF" w:fill="FFFFFF"/>
            <w:tcMar>
              <w:left w:w="101" w:type="dxa"/>
              <w:right w:w="101" w:type="dxa"/>
            </w:tcMar>
          </w:tcPr>
          <w:p w14:paraId="471140FC"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-85,590</w:t>
            </w:r>
          </w:p>
        </w:tc>
        <w:tc>
          <w:tcPr>
            <w:tcW w:w="1035" w:type="dxa"/>
            <w:tcBorders>
              <w:top w:val="nil"/>
              <w:left w:val="nil"/>
              <w:bottom w:val="nil"/>
              <w:right w:val="nil"/>
              <w:tl2br w:val="nil"/>
              <w:tr2bl w:val="nil"/>
            </w:tcBorders>
            <w:shd w:val="clear" w:color="FFFFFF" w:fill="FFFFFF"/>
            <w:tcMar>
              <w:left w:w="101" w:type="dxa"/>
              <w:right w:w="101" w:type="dxa"/>
            </w:tcMar>
          </w:tcPr>
          <w:p w14:paraId="7BF6D3B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-86,350</w:t>
            </w:r>
          </w:p>
        </w:tc>
        <w:tc>
          <w:tcPr>
            <w:tcW w:w="1035" w:type="dxa"/>
            <w:tcBorders>
              <w:top w:val="nil"/>
              <w:left w:val="nil"/>
              <w:bottom w:val="nil"/>
              <w:right w:val="nil"/>
              <w:tl2br w:val="nil"/>
              <w:tr2bl w:val="nil"/>
            </w:tcBorders>
            <w:shd w:val="clear" w:color="FFFFFF" w:fill="FFFFFF"/>
            <w:tcMar>
              <w:left w:w="101" w:type="dxa"/>
              <w:right w:w="101" w:type="dxa"/>
            </w:tcMar>
          </w:tcPr>
          <w:p w14:paraId="47252152"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-94,658</w:t>
            </w:r>
          </w:p>
        </w:tc>
      </w:tr>
      <w:tr w:rsidR="00EF18CC" w14:paraId="7432AEC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032F5F" w14:textId="77777777" w:rsidR="00EF18CC" w:rsidRDefault="00EF18CC" w:rsidP="006D350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23D2993"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70D2FC"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5AB435" w14:textId="77777777" w:rsidR="00EF18CC" w:rsidRDefault="00EF18CC" w:rsidP="006D350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C04AF8"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08CD5B"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BAFDEA"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ABDC63" w14:textId="77777777" w:rsidR="00EF18CC" w:rsidRDefault="00EF18CC" w:rsidP="006D3501">
            <w:pPr>
              <w:pStyle w:val="Normal6"/>
              <w:rPr>
                <w:rFonts w:ascii="Calibri" w:eastAsia="Calibri" w:hAnsi="Calibri" w:cs="Calibri"/>
                <w:b/>
                <w:color w:val="000000"/>
                <w:sz w:val="18"/>
              </w:rPr>
            </w:pPr>
          </w:p>
        </w:tc>
      </w:tr>
      <w:tr w:rsidR="00EF18CC" w14:paraId="239A50D6" w14:textId="77777777" w:rsidTr="00A7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673ECA"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-61,009</w:t>
            </w:r>
          </w:p>
        </w:tc>
        <w:tc>
          <w:tcPr>
            <w:tcW w:w="2385" w:type="dxa"/>
            <w:tcBorders>
              <w:top w:val="nil"/>
              <w:left w:val="nil"/>
              <w:bottom w:val="nil"/>
              <w:right w:val="nil"/>
              <w:tl2br w:val="nil"/>
              <w:tr2bl w:val="nil"/>
            </w:tcBorders>
            <w:shd w:val="clear" w:color="FFFFFF" w:fill="FFFFFF"/>
            <w:noWrap/>
            <w:tcMar>
              <w:left w:w="101" w:type="dxa"/>
              <w:right w:w="101" w:type="dxa"/>
            </w:tcMar>
          </w:tcPr>
          <w:p w14:paraId="2EE09E08"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A1B59CA"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-50,097</w:t>
            </w:r>
          </w:p>
        </w:tc>
        <w:tc>
          <w:tcPr>
            <w:tcW w:w="1035" w:type="dxa"/>
            <w:tcBorders>
              <w:top w:val="nil"/>
              <w:left w:val="nil"/>
              <w:bottom w:val="nil"/>
              <w:right w:val="nil"/>
              <w:tl2br w:val="nil"/>
              <w:tr2bl w:val="nil"/>
            </w:tcBorders>
            <w:shd w:val="clear" w:color="FFFFFF" w:fill="FFFFFF"/>
            <w:tcMar>
              <w:left w:w="101" w:type="dxa"/>
              <w:right w:w="101" w:type="dxa"/>
            </w:tcMar>
          </w:tcPr>
          <w:p w14:paraId="0650A621"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-95,128</w:t>
            </w:r>
          </w:p>
        </w:tc>
        <w:tc>
          <w:tcPr>
            <w:tcW w:w="600" w:type="dxa"/>
            <w:tcBorders>
              <w:top w:val="nil"/>
              <w:left w:val="nil"/>
              <w:bottom w:val="nil"/>
              <w:right w:val="nil"/>
              <w:tl2br w:val="nil"/>
              <w:tr2bl w:val="nil"/>
            </w:tcBorders>
            <w:shd w:val="clear" w:color="FFFFFF" w:fill="FFFFFF"/>
            <w:tcMar>
              <w:left w:w="101" w:type="dxa"/>
              <w:right w:w="101" w:type="dxa"/>
            </w:tcMar>
          </w:tcPr>
          <w:p w14:paraId="5F01EA52"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-90</w:t>
            </w:r>
          </w:p>
        </w:tc>
        <w:tc>
          <w:tcPr>
            <w:tcW w:w="1035" w:type="dxa"/>
            <w:tcBorders>
              <w:top w:val="nil"/>
              <w:left w:val="nil"/>
              <w:bottom w:val="nil"/>
              <w:right w:val="nil"/>
              <w:tl2br w:val="nil"/>
              <w:tr2bl w:val="nil"/>
            </w:tcBorders>
            <w:shd w:val="clear" w:color="FFFFFF" w:fill="FFFFFF"/>
            <w:tcMar>
              <w:left w:w="101" w:type="dxa"/>
              <w:right w:w="101" w:type="dxa"/>
            </w:tcMar>
          </w:tcPr>
          <w:p w14:paraId="67873DAE"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-85,590</w:t>
            </w:r>
          </w:p>
        </w:tc>
        <w:tc>
          <w:tcPr>
            <w:tcW w:w="1035" w:type="dxa"/>
            <w:tcBorders>
              <w:top w:val="nil"/>
              <w:left w:val="nil"/>
              <w:bottom w:val="nil"/>
              <w:right w:val="nil"/>
              <w:tl2br w:val="nil"/>
              <w:tr2bl w:val="nil"/>
            </w:tcBorders>
            <w:shd w:val="clear" w:color="FFFFFF" w:fill="FFFFFF"/>
            <w:tcMar>
              <w:left w:w="101" w:type="dxa"/>
              <w:right w:w="101" w:type="dxa"/>
            </w:tcMar>
          </w:tcPr>
          <w:p w14:paraId="4A5619A5"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-86,350</w:t>
            </w:r>
          </w:p>
        </w:tc>
        <w:tc>
          <w:tcPr>
            <w:tcW w:w="1035" w:type="dxa"/>
            <w:tcBorders>
              <w:top w:val="nil"/>
              <w:left w:val="nil"/>
              <w:bottom w:val="nil"/>
              <w:right w:val="nil"/>
              <w:tl2br w:val="nil"/>
              <w:tr2bl w:val="nil"/>
            </w:tcBorders>
            <w:shd w:val="clear" w:color="FFFFFF" w:fill="FFFFFF"/>
            <w:tcMar>
              <w:left w:w="101" w:type="dxa"/>
              <w:right w:w="101" w:type="dxa"/>
            </w:tcMar>
          </w:tcPr>
          <w:p w14:paraId="6422BC2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-94,658</w:t>
            </w:r>
          </w:p>
        </w:tc>
      </w:tr>
      <w:tr w:rsidR="00EF18CC" w14:paraId="27D8299D" w14:textId="77777777" w:rsidTr="00A7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1035" w:type="dxa"/>
            <w:tcBorders>
              <w:top w:val="nil"/>
              <w:left w:val="nil"/>
              <w:bottom w:val="nil"/>
              <w:right w:val="nil"/>
              <w:tl2br w:val="nil"/>
              <w:tr2bl w:val="nil"/>
            </w:tcBorders>
            <w:shd w:val="clear" w:color="FFFFFF" w:fill="FFFFFF"/>
            <w:tcMar>
              <w:left w:w="0" w:type="dxa"/>
              <w:right w:w="0" w:type="dxa"/>
            </w:tcMar>
          </w:tcPr>
          <w:p w14:paraId="721BDB96" w14:textId="77777777" w:rsidR="00EF18CC" w:rsidRDefault="00EF18CC" w:rsidP="006D350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1C3EC06"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4276A0"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CDA6CD" w14:textId="77777777" w:rsidR="00EF18CC" w:rsidRDefault="00EF18CC" w:rsidP="006D350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84D5AD"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06011A"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64FF37"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9FA05F" w14:textId="77777777" w:rsidR="00EF18CC" w:rsidRDefault="00EF18CC" w:rsidP="006D3501">
            <w:pPr>
              <w:pStyle w:val="Normal6"/>
              <w:rPr>
                <w:rFonts w:ascii="Calibri" w:eastAsia="Calibri" w:hAnsi="Calibri" w:cs="Calibri"/>
                <w:b/>
                <w:color w:val="000000"/>
                <w:sz w:val="18"/>
              </w:rPr>
            </w:pPr>
          </w:p>
        </w:tc>
      </w:tr>
      <w:tr w:rsidR="00EF18CC" w14:paraId="46987A92" w14:textId="77777777" w:rsidTr="00A76E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38EAB9" w14:textId="77777777" w:rsidR="00EF18CC" w:rsidRDefault="00EF18CC" w:rsidP="006D350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91A3E1"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48E56C"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9655A5" w14:textId="77777777" w:rsidR="00EF18CC" w:rsidRDefault="00EF18CC" w:rsidP="006D350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608CFB"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0D64B4"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DD4055"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F9C8C8" w14:textId="77777777" w:rsidR="00EF18CC" w:rsidRDefault="00EF18CC" w:rsidP="006D3501">
            <w:pPr>
              <w:pStyle w:val="Normal6"/>
              <w:rPr>
                <w:rFonts w:ascii="Calibri" w:eastAsia="Calibri" w:hAnsi="Calibri" w:cs="Calibri"/>
                <w:b/>
                <w:color w:val="000000"/>
                <w:sz w:val="18"/>
              </w:rPr>
            </w:pPr>
          </w:p>
        </w:tc>
      </w:tr>
      <w:tr w:rsidR="00EF18CC" w14:paraId="196B2CF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A30BAD" w14:textId="77777777" w:rsidR="00EF18CC" w:rsidRDefault="00EF18CC" w:rsidP="006D350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noWrap/>
            <w:tcMar>
              <w:left w:w="101" w:type="dxa"/>
              <w:right w:w="101" w:type="dxa"/>
            </w:tcMar>
          </w:tcPr>
          <w:p w14:paraId="2403E77B"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44D42849"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1A40C1" w14:textId="77777777" w:rsidR="00EF18CC" w:rsidRDefault="00EF18CC" w:rsidP="006D350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32E37B"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4DEECD"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CF17E6"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D49BD7" w14:textId="77777777" w:rsidR="00EF18CC" w:rsidRDefault="00EF18CC" w:rsidP="006D3501">
            <w:pPr>
              <w:pStyle w:val="Normal6"/>
              <w:rPr>
                <w:rFonts w:ascii="Calibri" w:eastAsia="Calibri" w:hAnsi="Calibri" w:cs="Calibri"/>
                <w:b/>
                <w:color w:val="000000"/>
                <w:sz w:val="18"/>
              </w:rPr>
            </w:pPr>
          </w:p>
        </w:tc>
      </w:tr>
      <w:tr w:rsidR="00EF18CC" w14:paraId="652BC8A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A80F57" w14:textId="77777777" w:rsidR="00EF18CC" w:rsidRDefault="00EF18CC" w:rsidP="006D350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D6144C3"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97C39C"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37F82F" w14:textId="77777777" w:rsidR="00EF18CC" w:rsidRDefault="00EF18CC" w:rsidP="006D350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390BF9"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8D34AF"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2B069F"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9F513" w14:textId="77777777" w:rsidR="00EF18CC" w:rsidRDefault="00EF18CC" w:rsidP="006D3501">
            <w:pPr>
              <w:pStyle w:val="Normal6"/>
              <w:rPr>
                <w:rFonts w:ascii="Calibri" w:eastAsia="Calibri" w:hAnsi="Calibri" w:cs="Calibri"/>
                <w:b/>
                <w:color w:val="000000"/>
                <w:sz w:val="18"/>
              </w:rPr>
            </w:pPr>
          </w:p>
        </w:tc>
      </w:tr>
      <w:tr w:rsidR="00EF18CC" w14:paraId="76C66AA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BD4DC3" w14:textId="77777777" w:rsidR="00EF18CC" w:rsidRDefault="00EF18CC" w:rsidP="006D3501">
            <w:pPr>
              <w:pStyle w:val="Normal6"/>
              <w:rPr>
                <w:rFonts w:ascii="Calibri" w:eastAsia="Calibri" w:hAnsi="Calibri" w:cs="Calibri"/>
                <w:b/>
                <w:color w:val="000000"/>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085D1A4B" w14:textId="77777777" w:rsidR="00EF18CC" w:rsidRDefault="00EF18CC" w:rsidP="006D3501">
            <w:pPr>
              <w:pStyle w:val="Normal6"/>
              <w:rPr>
                <w:rFonts w:ascii="Calibri" w:eastAsia="Calibri" w:hAnsi="Calibri" w:cs="Calibri"/>
                <w:i/>
                <w:color w:val="000000"/>
                <w:sz w:val="18"/>
              </w:rPr>
            </w:pPr>
            <w:r>
              <w:rPr>
                <w:rFonts w:ascii="Calibri" w:eastAsia="Calibri" w:hAnsi="Calibri" w:cs="Calibri"/>
                <w:i/>
                <w:color w:val="000000"/>
                <w:sz w:val="18"/>
              </w:rPr>
              <w:t>Items that will not be Reclassified Subsequently to Profit or Loss</w:t>
            </w:r>
          </w:p>
        </w:tc>
      </w:tr>
      <w:tr w:rsidR="00EF18CC" w14:paraId="5B1C913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F6D72C"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-54,600</w:t>
            </w:r>
          </w:p>
        </w:tc>
        <w:tc>
          <w:tcPr>
            <w:tcW w:w="2385" w:type="dxa"/>
            <w:tcBorders>
              <w:top w:val="nil"/>
              <w:left w:val="nil"/>
              <w:bottom w:val="nil"/>
              <w:right w:val="nil"/>
              <w:tl2br w:val="nil"/>
              <w:tr2bl w:val="nil"/>
            </w:tcBorders>
            <w:shd w:val="clear" w:color="FFFFFF" w:fill="FFFFFF"/>
            <w:noWrap/>
            <w:tcMar>
              <w:left w:w="101" w:type="dxa"/>
              <w:right w:w="101" w:type="dxa"/>
            </w:tcMar>
          </w:tcPr>
          <w:p w14:paraId="7CA97D89" w14:textId="77777777" w:rsidR="00EF18CC" w:rsidRDefault="00EF18CC" w:rsidP="006D3501">
            <w:pPr>
              <w:pStyle w:val="Normal6"/>
              <w:rPr>
                <w:rFonts w:ascii="Calibri" w:eastAsia="Calibri" w:hAnsi="Calibri" w:cs="Calibri"/>
                <w:color w:val="000000"/>
                <w:sz w:val="18"/>
              </w:rPr>
            </w:pPr>
            <w:r>
              <w:rPr>
                <w:rFonts w:ascii="Calibri" w:eastAsia="Calibri" w:hAnsi="Calibri" w:cs="Calibri"/>
                <w:color w:val="000000"/>
                <w:sz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0D41E6B6"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1,254,531</w:t>
            </w:r>
          </w:p>
        </w:tc>
        <w:tc>
          <w:tcPr>
            <w:tcW w:w="1035" w:type="dxa"/>
            <w:tcBorders>
              <w:top w:val="nil"/>
              <w:left w:val="nil"/>
              <w:bottom w:val="nil"/>
              <w:right w:val="nil"/>
              <w:tl2br w:val="nil"/>
              <w:tr2bl w:val="nil"/>
            </w:tcBorders>
            <w:shd w:val="clear" w:color="FFFFFF" w:fill="FFFFFF"/>
            <w:tcMar>
              <w:left w:w="101" w:type="dxa"/>
              <w:right w:w="101" w:type="dxa"/>
            </w:tcMar>
          </w:tcPr>
          <w:p w14:paraId="343C83FF"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64,479</w:t>
            </w:r>
          </w:p>
        </w:tc>
        <w:tc>
          <w:tcPr>
            <w:tcW w:w="600" w:type="dxa"/>
            <w:tcBorders>
              <w:top w:val="nil"/>
              <w:left w:val="nil"/>
              <w:bottom w:val="nil"/>
              <w:right w:val="nil"/>
              <w:tl2br w:val="nil"/>
              <w:tr2bl w:val="nil"/>
            </w:tcBorders>
            <w:shd w:val="clear" w:color="FFFFFF" w:fill="FFFFFF"/>
            <w:tcMar>
              <w:left w:w="101" w:type="dxa"/>
              <w:right w:w="101" w:type="dxa"/>
            </w:tcMar>
          </w:tcPr>
          <w:p w14:paraId="10A0AA1A"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 xml:space="preserve">-95 </w:t>
            </w:r>
          </w:p>
        </w:tc>
        <w:tc>
          <w:tcPr>
            <w:tcW w:w="1035" w:type="dxa"/>
            <w:tcBorders>
              <w:top w:val="nil"/>
              <w:left w:val="nil"/>
              <w:bottom w:val="nil"/>
              <w:right w:val="nil"/>
              <w:tl2br w:val="nil"/>
              <w:tr2bl w:val="nil"/>
            </w:tcBorders>
            <w:shd w:val="clear" w:color="FFFFFF" w:fill="FFFFFF"/>
            <w:tcMar>
              <w:left w:w="101" w:type="dxa"/>
              <w:right w:w="101" w:type="dxa"/>
            </w:tcMar>
          </w:tcPr>
          <w:p w14:paraId="7EAA6076"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15,439</w:t>
            </w:r>
          </w:p>
        </w:tc>
        <w:tc>
          <w:tcPr>
            <w:tcW w:w="1035" w:type="dxa"/>
            <w:tcBorders>
              <w:top w:val="nil"/>
              <w:left w:val="nil"/>
              <w:bottom w:val="nil"/>
              <w:right w:val="nil"/>
              <w:tl2br w:val="nil"/>
              <w:tr2bl w:val="nil"/>
            </w:tcBorders>
            <w:shd w:val="clear" w:color="FFFFFF" w:fill="FFFFFF"/>
            <w:tcMar>
              <w:left w:w="101" w:type="dxa"/>
              <w:right w:w="101" w:type="dxa"/>
            </w:tcMar>
          </w:tcPr>
          <w:p w14:paraId="694397D5"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176,349</w:t>
            </w:r>
          </w:p>
        </w:tc>
        <w:tc>
          <w:tcPr>
            <w:tcW w:w="1035" w:type="dxa"/>
            <w:tcBorders>
              <w:top w:val="nil"/>
              <w:left w:val="nil"/>
              <w:bottom w:val="nil"/>
              <w:right w:val="nil"/>
              <w:tl2br w:val="nil"/>
              <w:tr2bl w:val="nil"/>
            </w:tcBorders>
            <w:shd w:val="clear" w:color="FFFFFF" w:fill="FFFFFF"/>
            <w:tcMar>
              <w:left w:w="101" w:type="dxa"/>
              <w:right w:w="101" w:type="dxa"/>
            </w:tcMar>
          </w:tcPr>
          <w:p w14:paraId="6124C814" w14:textId="77777777" w:rsidR="00EF18CC" w:rsidRDefault="00EF18CC" w:rsidP="006D3501">
            <w:pPr>
              <w:pStyle w:val="Normal6"/>
              <w:jc w:val="right"/>
              <w:rPr>
                <w:rFonts w:ascii="Calibri" w:eastAsia="Calibri" w:hAnsi="Calibri" w:cs="Calibri"/>
                <w:color w:val="000000"/>
                <w:sz w:val="18"/>
              </w:rPr>
            </w:pPr>
            <w:r>
              <w:rPr>
                <w:rFonts w:ascii="Calibri" w:eastAsia="Calibri" w:hAnsi="Calibri" w:cs="Calibri"/>
                <w:color w:val="000000"/>
                <w:sz w:val="18"/>
              </w:rPr>
              <w:t>28,650</w:t>
            </w:r>
          </w:p>
        </w:tc>
      </w:tr>
      <w:tr w:rsidR="00EF18CC" w14:paraId="18B3211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FBBEAC"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-54,600</w:t>
            </w:r>
          </w:p>
        </w:tc>
        <w:tc>
          <w:tcPr>
            <w:tcW w:w="2385" w:type="dxa"/>
            <w:tcBorders>
              <w:top w:val="nil"/>
              <w:left w:val="nil"/>
              <w:bottom w:val="nil"/>
              <w:right w:val="nil"/>
              <w:tl2br w:val="nil"/>
              <w:tr2bl w:val="nil"/>
            </w:tcBorders>
            <w:shd w:val="clear" w:color="auto" w:fill="auto"/>
            <w:noWrap/>
            <w:tcMar>
              <w:left w:w="101" w:type="dxa"/>
              <w:right w:w="101" w:type="dxa"/>
            </w:tcMar>
          </w:tcPr>
          <w:p w14:paraId="61CEC890"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54F134B9"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1,254,531</w:t>
            </w:r>
          </w:p>
        </w:tc>
        <w:tc>
          <w:tcPr>
            <w:tcW w:w="1035" w:type="dxa"/>
            <w:tcBorders>
              <w:top w:val="nil"/>
              <w:left w:val="nil"/>
              <w:bottom w:val="nil"/>
              <w:right w:val="nil"/>
              <w:tl2br w:val="nil"/>
              <w:tr2bl w:val="nil"/>
            </w:tcBorders>
            <w:shd w:val="clear" w:color="FFFFFF" w:fill="FFFFFF"/>
            <w:tcMar>
              <w:left w:w="101" w:type="dxa"/>
              <w:right w:w="101" w:type="dxa"/>
            </w:tcMar>
          </w:tcPr>
          <w:p w14:paraId="44807313"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64,479</w:t>
            </w:r>
          </w:p>
        </w:tc>
        <w:tc>
          <w:tcPr>
            <w:tcW w:w="600" w:type="dxa"/>
            <w:tcBorders>
              <w:top w:val="nil"/>
              <w:left w:val="nil"/>
              <w:bottom w:val="nil"/>
              <w:right w:val="nil"/>
              <w:tl2br w:val="nil"/>
              <w:tr2bl w:val="nil"/>
            </w:tcBorders>
            <w:shd w:val="clear" w:color="FFFFFF" w:fill="FFFFFF"/>
            <w:tcMar>
              <w:left w:w="101" w:type="dxa"/>
              <w:right w:w="101" w:type="dxa"/>
            </w:tcMar>
          </w:tcPr>
          <w:p w14:paraId="0ECB7FE4"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2FF5F518"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15,439</w:t>
            </w:r>
          </w:p>
        </w:tc>
        <w:tc>
          <w:tcPr>
            <w:tcW w:w="1035" w:type="dxa"/>
            <w:tcBorders>
              <w:top w:val="nil"/>
              <w:left w:val="nil"/>
              <w:bottom w:val="nil"/>
              <w:right w:val="nil"/>
              <w:tl2br w:val="nil"/>
              <w:tr2bl w:val="nil"/>
            </w:tcBorders>
            <w:shd w:val="clear" w:color="FFFFFF" w:fill="FFFFFF"/>
            <w:tcMar>
              <w:left w:w="101" w:type="dxa"/>
              <w:right w:w="101" w:type="dxa"/>
            </w:tcMar>
          </w:tcPr>
          <w:p w14:paraId="09C85417"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176,349</w:t>
            </w:r>
          </w:p>
        </w:tc>
        <w:tc>
          <w:tcPr>
            <w:tcW w:w="1035" w:type="dxa"/>
            <w:tcBorders>
              <w:top w:val="nil"/>
              <w:left w:val="nil"/>
              <w:bottom w:val="nil"/>
              <w:right w:val="nil"/>
              <w:tl2br w:val="nil"/>
              <w:tr2bl w:val="nil"/>
            </w:tcBorders>
            <w:shd w:val="clear" w:color="FFFFFF" w:fill="FFFFFF"/>
            <w:tcMar>
              <w:left w:w="101" w:type="dxa"/>
              <w:right w:w="101" w:type="dxa"/>
            </w:tcMar>
          </w:tcPr>
          <w:p w14:paraId="654EBCF0"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28,650</w:t>
            </w:r>
          </w:p>
        </w:tc>
      </w:tr>
      <w:tr w:rsidR="00EF18CC" w14:paraId="3AB9CAC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B08A03C" w14:textId="77777777" w:rsidR="00EF18CC" w:rsidRDefault="00EF18CC" w:rsidP="006D350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4F7D878"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382FB0"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8A4058" w14:textId="77777777" w:rsidR="00EF18CC" w:rsidRDefault="00EF18CC" w:rsidP="006D350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D31570"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EA1645"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531D4" w14:textId="77777777" w:rsidR="00EF18CC" w:rsidRDefault="00EF18CC" w:rsidP="006D350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3566E9" w14:textId="77777777" w:rsidR="00EF18CC" w:rsidRDefault="00EF18CC" w:rsidP="006D3501">
            <w:pPr>
              <w:pStyle w:val="Normal6"/>
              <w:rPr>
                <w:rFonts w:ascii="Calibri" w:eastAsia="Calibri" w:hAnsi="Calibri" w:cs="Calibri"/>
                <w:b/>
                <w:color w:val="000000"/>
                <w:sz w:val="18"/>
              </w:rPr>
            </w:pPr>
          </w:p>
        </w:tc>
      </w:tr>
      <w:tr w:rsidR="00EF18CC" w14:paraId="46B8764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A49E0B"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-115,609</w:t>
            </w:r>
          </w:p>
        </w:tc>
        <w:tc>
          <w:tcPr>
            <w:tcW w:w="2385" w:type="dxa"/>
            <w:tcBorders>
              <w:top w:val="nil"/>
              <w:left w:val="nil"/>
              <w:bottom w:val="nil"/>
              <w:right w:val="nil"/>
              <w:tl2br w:val="nil"/>
              <w:tr2bl w:val="nil"/>
            </w:tcBorders>
            <w:shd w:val="clear" w:color="FFFFFF" w:fill="FFFFFF"/>
            <w:noWrap/>
            <w:tcMar>
              <w:left w:w="101" w:type="dxa"/>
              <w:right w:w="101" w:type="dxa"/>
            </w:tcMar>
          </w:tcPr>
          <w:p w14:paraId="3A4FC17F" w14:textId="77777777" w:rsidR="00EF18CC" w:rsidRDefault="00EF18CC" w:rsidP="006D3501">
            <w:pPr>
              <w:pStyle w:val="Normal6"/>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0BEF324"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1,204,434</w:t>
            </w:r>
          </w:p>
        </w:tc>
        <w:tc>
          <w:tcPr>
            <w:tcW w:w="1035" w:type="dxa"/>
            <w:tcBorders>
              <w:top w:val="nil"/>
              <w:left w:val="nil"/>
              <w:bottom w:val="nil"/>
              <w:right w:val="nil"/>
              <w:tl2br w:val="nil"/>
              <w:tr2bl w:val="nil"/>
            </w:tcBorders>
            <w:shd w:val="clear" w:color="FFFFFF" w:fill="FFFFFF"/>
            <w:tcMar>
              <w:left w:w="101" w:type="dxa"/>
              <w:right w:w="101" w:type="dxa"/>
            </w:tcMar>
          </w:tcPr>
          <w:p w14:paraId="588262ED"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-30,649</w:t>
            </w:r>
          </w:p>
        </w:tc>
        <w:tc>
          <w:tcPr>
            <w:tcW w:w="600" w:type="dxa"/>
            <w:tcBorders>
              <w:top w:val="nil"/>
              <w:left w:val="nil"/>
              <w:bottom w:val="nil"/>
              <w:right w:val="nil"/>
              <w:tl2br w:val="nil"/>
              <w:tr2bl w:val="nil"/>
            </w:tcBorders>
            <w:shd w:val="clear" w:color="FFFFFF" w:fill="FFFFFF"/>
            <w:tcMar>
              <w:left w:w="101" w:type="dxa"/>
              <w:right w:w="101" w:type="dxa"/>
            </w:tcMar>
          </w:tcPr>
          <w:p w14:paraId="1D19F671"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-103 </w:t>
            </w:r>
          </w:p>
        </w:tc>
        <w:tc>
          <w:tcPr>
            <w:tcW w:w="1035" w:type="dxa"/>
            <w:tcBorders>
              <w:top w:val="nil"/>
              <w:left w:val="nil"/>
              <w:bottom w:val="nil"/>
              <w:right w:val="nil"/>
              <w:tl2br w:val="nil"/>
              <w:tr2bl w:val="nil"/>
            </w:tcBorders>
            <w:shd w:val="clear" w:color="FFFFFF" w:fill="FFFFFF"/>
            <w:tcMar>
              <w:left w:w="101" w:type="dxa"/>
              <w:right w:w="101" w:type="dxa"/>
            </w:tcMar>
          </w:tcPr>
          <w:p w14:paraId="08100673"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-70,151</w:t>
            </w:r>
          </w:p>
        </w:tc>
        <w:tc>
          <w:tcPr>
            <w:tcW w:w="1035" w:type="dxa"/>
            <w:tcBorders>
              <w:top w:val="nil"/>
              <w:left w:val="nil"/>
              <w:bottom w:val="nil"/>
              <w:right w:val="nil"/>
              <w:tl2br w:val="nil"/>
              <w:tr2bl w:val="nil"/>
            </w:tcBorders>
            <w:shd w:val="clear" w:color="FFFFFF" w:fill="FFFFFF"/>
            <w:tcMar>
              <w:left w:w="101" w:type="dxa"/>
              <w:right w:w="101" w:type="dxa"/>
            </w:tcMar>
          </w:tcPr>
          <w:p w14:paraId="69D4227F"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89,999</w:t>
            </w:r>
          </w:p>
        </w:tc>
        <w:tc>
          <w:tcPr>
            <w:tcW w:w="1035" w:type="dxa"/>
            <w:tcBorders>
              <w:top w:val="nil"/>
              <w:left w:val="nil"/>
              <w:bottom w:val="nil"/>
              <w:right w:val="nil"/>
              <w:tl2br w:val="nil"/>
              <w:tr2bl w:val="nil"/>
            </w:tcBorders>
            <w:shd w:val="clear" w:color="FFFFFF" w:fill="FFFFFF"/>
            <w:tcMar>
              <w:left w:w="101" w:type="dxa"/>
              <w:right w:w="101" w:type="dxa"/>
            </w:tcMar>
          </w:tcPr>
          <w:p w14:paraId="0A3C4F3C" w14:textId="77777777" w:rsidR="00EF18CC" w:rsidRDefault="00EF18CC" w:rsidP="006D3501">
            <w:pPr>
              <w:pStyle w:val="Normal6"/>
              <w:jc w:val="right"/>
              <w:rPr>
                <w:rFonts w:ascii="Calibri" w:eastAsia="Calibri" w:hAnsi="Calibri" w:cs="Calibri"/>
                <w:b/>
                <w:color w:val="000000"/>
                <w:sz w:val="18"/>
              </w:rPr>
            </w:pPr>
            <w:r>
              <w:rPr>
                <w:rFonts w:ascii="Calibri" w:eastAsia="Calibri" w:hAnsi="Calibri" w:cs="Calibri"/>
                <w:b/>
                <w:color w:val="000000"/>
                <w:sz w:val="18"/>
              </w:rPr>
              <w:t>-66,008</w:t>
            </w:r>
          </w:p>
        </w:tc>
      </w:tr>
      <w:tr w:rsidR="00EF18CC" w14:paraId="6FDB2D5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9D8411" w14:textId="77777777" w:rsidR="00EF18CC" w:rsidRDefault="00EF18CC" w:rsidP="006D3501">
            <w:pPr>
              <w:pStyle w:val="Normal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EE03B99"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B5B11A2"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FC03E67" w14:textId="77777777" w:rsidR="00EF18CC" w:rsidRDefault="00EF18CC" w:rsidP="006D3501">
            <w:pPr>
              <w:pStyle w:val="Normal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D26EB5C"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91FD84E"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5B9DE6F" w14:textId="77777777" w:rsidR="00EF18CC" w:rsidRDefault="00EF18CC" w:rsidP="006D3501">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9727B6" w14:textId="77777777" w:rsidR="00EF18CC" w:rsidRDefault="00EF18CC" w:rsidP="006D3501">
            <w:pPr>
              <w:pStyle w:val="Normal6"/>
              <w:rPr>
                <w:rFonts w:ascii="Calibri" w:eastAsia="Calibri" w:hAnsi="Calibri" w:cs="Calibri"/>
                <w:color w:val="000000"/>
                <w:sz w:val="18"/>
              </w:rPr>
            </w:pPr>
          </w:p>
        </w:tc>
      </w:tr>
    </w:tbl>
    <w:p w14:paraId="0B6C8C20" w14:textId="77777777" w:rsidR="001E4FEE" w:rsidRDefault="001E4FEE">
      <w:pPr>
        <w:spacing w:before="0" w:after="0"/>
        <w:rPr>
          <w:b/>
          <w:bCs/>
          <w:color w:val="000000"/>
          <w:sz w:val="22"/>
          <w:szCs w:val="18"/>
        </w:rPr>
      </w:pPr>
      <w:r>
        <w:br w:type="page"/>
      </w:r>
    </w:p>
    <w:p w14:paraId="4667FDC2" w14:textId="2616B015" w:rsidR="00EF18CC" w:rsidRPr="0004555B" w:rsidRDefault="001E4FEE" w:rsidP="001F1756">
      <w:pPr>
        <w:pStyle w:val="Caption"/>
        <w:rPr>
          <w:rFonts w:eastAsia="TimesNewRomanPS-ItalicMT"/>
          <w:bdr w:val="nil"/>
        </w:rPr>
      </w:pPr>
      <w:r>
        <w:lastRenderedPageBreak/>
        <w:t xml:space="preserve">Table </w:t>
      </w:r>
      <w:fldSimple w:instr=" SEQ Table \* ARABIC ">
        <w:r>
          <w:rPr>
            <w:noProof/>
          </w:rPr>
          <w:t>40</w:t>
        </w:r>
      </w:fldSimple>
      <w:r w:rsidR="00EF18CC">
        <w:rPr>
          <w:bdr w:val="nil"/>
        </w:rPr>
        <w:t xml:space="preserve">: Housing ACT: Balance Sheet </w:t>
      </w:r>
    </w:p>
    <w:tbl>
      <w:tblPr>
        <w:tblStyle w:val="CDMRange1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F18CC" w14:paraId="54E5F463" w14:textId="77777777" w:rsidTr="006D3501">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E7EE581"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Budget</w:t>
            </w:r>
          </w:p>
          <w:p w14:paraId="05373A2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32BF2ED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B7559F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009C488" w14:textId="77777777" w:rsidR="00EF18CC" w:rsidRDefault="00EF18CC" w:rsidP="006D3501">
            <w:pPr>
              <w:pStyle w:val="Normal7"/>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C560D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Interim</w:t>
            </w:r>
          </w:p>
          <w:p w14:paraId="6C21AE63"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Outcome at</w:t>
            </w:r>
          </w:p>
          <w:p w14:paraId="632BFD54"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29A278F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07D32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Budget</w:t>
            </w:r>
          </w:p>
          <w:p w14:paraId="1C3C722F"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55F547F2"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3DD5E4B5"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B3CCC5"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Var</w:t>
            </w:r>
          </w:p>
          <w:p w14:paraId="79C3734F"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2BA46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574F8D7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21F3CE7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2144DE89"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A19FAC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01B7337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6C3DF70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03BAEF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B483F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Estimate</w:t>
            </w:r>
          </w:p>
          <w:p w14:paraId="243757B9"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at</w:t>
            </w:r>
          </w:p>
          <w:p w14:paraId="7A2D2880"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31779D9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$'000</w:t>
            </w:r>
          </w:p>
        </w:tc>
      </w:tr>
      <w:tr w:rsidR="00EF18CC" w14:paraId="23D89DA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4DD52D5" w14:textId="77777777" w:rsidR="00EF18CC" w:rsidRDefault="00EF18CC" w:rsidP="006D3501">
            <w:pPr>
              <w:pStyle w:val="Normal7"/>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9BF7931" w14:textId="77777777" w:rsidR="00EF18CC" w:rsidRDefault="00EF18CC" w:rsidP="006D3501">
            <w:pPr>
              <w:pStyle w:val="Normal7"/>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1990F0A" w14:textId="77777777" w:rsidR="00EF18CC" w:rsidRDefault="00EF18CC" w:rsidP="006D3501">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E2BBFD" w14:textId="77777777" w:rsidR="00EF18CC" w:rsidRDefault="00EF18CC" w:rsidP="006D3501">
            <w:pPr>
              <w:pStyle w:val="Normal7"/>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052AC15" w14:textId="77777777" w:rsidR="00EF18CC" w:rsidRDefault="00EF18CC" w:rsidP="006D3501">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EA06CEE" w14:textId="77777777" w:rsidR="00EF18CC" w:rsidRDefault="00EF18CC" w:rsidP="006D3501">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B7FD55A" w14:textId="77777777" w:rsidR="00EF18CC" w:rsidRDefault="00EF18CC" w:rsidP="006D3501">
            <w:pPr>
              <w:pStyle w:val="Normal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228D74D" w14:textId="77777777" w:rsidR="00EF18CC" w:rsidRDefault="00EF18CC" w:rsidP="006D3501">
            <w:pPr>
              <w:pStyle w:val="Normal7"/>
              <w:jc w:val="right"/>
              <w:rPr>
                <w:rFonts w:ascii="Calibri" w:eastAsia="Calibri" w:hAnsi="Calibri" w:cs="Calibri"/>
                <w:b/>
                <w:i/>
                <w:color w:val="000000"/>
                <w:sz w:val="18"/>
              </w:rPr>
            </w:pPr>
          </w:p>
        </w:tc>
      </w:tr>
      <w:tr w:rsidR="00EF18CC" w14:paraId="2F90085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260E07"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6F4F902"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2F01B318"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4072D0"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818043"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2256FF"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70212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45E3C" w14:textId="77777777" w:rsidR="00EF18CC" w:rsidRDefault="00EF18CC" w:rsidP="006D3501">
            <w:pPr>
              <w:pStyle w:val="Normal7"/>
              <w:rPr>
                <w:rFonts w:ascii="Calibri" w:eastAsia="Calibri" w:hAnsi="Calibri" w:cs="Calibri"/>
                <w:color w:val="000000"/>
                <w:sz w:val="18"/>
              </w:rPr>
            </w:pPr>
          </w:p>
        </w:tc>
      </w:tr>
      <w:tr w:rsidR="00EF18CC" w14:paraId="134EB9E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9BC57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14,736</w:t>
            </w:r>
          </w:p>
        </w:tc>
        <w:tc>
          <w:tcPr>
            <w:tcW w:w="2385" w:type="dxa"/>
            <w:tcBorders>
              <w:top w:val="nil"/>
              <w:left w:val="nil"/>
              <w:bottom w:val="nil"/>
              <w:right w:val="nil"/>
              <w:tl2br w:val="nil"/>
              <w:tr2bl w:val="nil"/>
            </w:tcBorders>
            <w:shd w:val="clear" w:color="auto" w:fill="auto"/>
            <w:noWrap/>
            <w:tcMar>
              <w:left w:w="101" w:type="dxa"/>
              <w:right w:w="101" w:type="dxa"/>
            </w:tcMar>
          </w:tcPr>
          <w:p w14:paraId="49F46A35"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409B61A0"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59,285</w:t>
            </w:r>
          </w:p>
        </w:tc>
        <w:tc>
          <w:tcPr>
            <w:tcW w:w="1035" w:type="dxa"/>
            <w:tcBorders>
              <w:top w:val="nil"/>
              <w:left w:val="nil"/>
              <w:bottom w:val="nil"/>
              <w:right w:val="nil"/>
              <w:tl2br w:val="nil"/>
              <w:tr2bl w:val="nil"/>
            </w:tcBorders>
            <w:shd w:val="clear" w:color="FFFFFF" w:fill="FFFFFF"/>
            <w:tcMar>
              <w:left w:w="101" w:type="dxa"/>
              <w:right w:w="101" w:type="dxa"/>
            </w:tcMar>
          </w:tcPr>
          <w:p w14:paraId="23FCFFF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7,948</w:t>
            </w:r>
          </w:p>
        </w:tc>
        <w:tc>
          <w:tcPr>
            <w:tcW w:w="600" w:type="dxa"/>
            <w:tcBorders>
              <w:top w:val="nil"/>
              <w:left w:val="nil"/>
              <w:bottom w:val="nil"/>
              <w:right w:val="nil"/>
              <w:tl2br w:val="nil"/>
              <w:tr2bl w:val="nil"/>
            </w:tcBorders>
            <w:shd w:val="clear" w:color="FFFFFF" w:fill="FFFFFF"/>
            <w:tcMar>
              <w:left w:w="101" w:type="dxa"/>
              <w:right w:w="101" w:type="dxa"/>
            </w:tcMar>
          </w:tcPr>
          <w:p w14:paraId="3BF422C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-87 </w:t>
            </w:r>
          </w:p>
        </w:tc>
        <w:tc>
          <w:tcPr>
            <w:tcW w:w="1035" w:type="dxa"/>
            <w:tcBorders>
              <w:top w:val="nil"/>
              <w:left w:val="nil"/>
              <w:bottom w:val="nil"/>
              <w:right w:val="nil"/>
              <w:tl2br w:val="nil"/>
              <w:tr2bl w:val="nil"/>
            </w:tcBorders>
            <w:shd w:val="clear" w:color="FFFFFF" w:fill="FFFFFF"/>
            <w:tcMar>
              <w:left w:w="101" w:type="dxa"/>
              <w:right w:w="101" w:type="dxa"/>
            </w:tcMar>
          </w:tcPr>
          <w:p w14:paraId="1FE654A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19,716</w:t>
            </w:r>
          </w:p>
        </w:tc>
        <w:tc>
          <w:tcPr>
            <w:tcW w:w="1035" w:type="dxa"/>
            <w:tcBorders>
              <w:top w:val="nil"/>
              <w:left w:val="nil"/>
              <w:bottom w:val="nil"/>
              <w:right w:val="nil"/>
              <w:tl2br w:val="nil"/>
              <w:tr2bl w:val="nil"/>
            </w:tcBorders>
            <w:shd w:val="clear" w:color="FFFFFF" w:fill="FFFFFF"/>
            <w:tcMar>
              <w:left w:w="101" w:type="dxa"/>
              <w:right w:w="101" w:type="dxa"/>
            </w:tcMar>
          </w:tcPr>
          <w:p w14:paraId="62496A6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52,612</w:t>
            </w:r>
          </w:p>
        </w:tc>
        <w:tc>
          <w:tcPr>
            <w:tcW w:w="1035" w:type="dxa"/>
            <w:tcBorders>
              <w:top w:val="nil"/>
              <w:left w:val="nil"/>
              <w:bottom w:val="nil"/>
              <w:right w:val="nil"/>
              <w:tl2br w:val="nil"/>
              <w:tr2bl w:val="nil"/>
            </w:tcBorders>
            <w:shd w:val="clear" w:color="FFFFFF" w:fill="FFFFFF"/>
            <w:tcMar>
              <w:left w:w="101" w:type="dxa"/>
              <w:right w:w="101" w:type="dxa"/>
            </w:tcMar>
          </w:tcPr>
          <w:p w14:paraId="3583909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9,472</w:t>
            </w:r>
          </w:p>
        </w:tc>
      </w:tr>
      <w:tr w:rsidR="00EF18CC" w14:paraId="60C4132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3EFD4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9,862</w:t>
            </w:r>
          </w:p>
        </w:tc>
        <w:tc>
          <w:tcPr>
            <w:tcW w:w="2385" w:type="dxa"/>
            <w:tcBorders>
              <w:top w:val="nil"/>
              <w:left w:val="nil"/>
              <w:bottom w:val="nil"/>
              <w:right w:val="nil"/>
              <w:tl2br w:val="nil"/>
              <w:tr2bl w:val="nil"/>
            </w:tcBorders>
            <w:shd w:val="clear" w:color="auto" w:fill="auto"/>
            <w:noWrap/>
            <w:tcMar>
              <w:left w:w="101" w:type="dxa"/>
              <w:right w:w="101" w:type="dxa"/>
            </w:tcMar>
          </w:tcPr>
          <w:p w14:paraId="6188751F"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4B0213A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11,943</w:t>
            </w:r>
          </w:p>
        </w:tc>
        <w:tc>
          <w:tcPr>
            <w:tcW w:w="1035" w:type="dxa"/>
            <w:tcBorders>
              <w:top w:val="nil"/>
              <w:left w:val="nil"/>
              <w:bottom w:val="nil"/>
              <w:right w:val="nil"/>
              <w:tl2br w:val="nil"/>
              <w:tr2bl w:val="nil"/>
            </w:tcBorders>
            <w:shd w:val="clear" w:color="FFFFFF" w:fill="FFFFFF"/>
            <w:tcMar>
              <w:left w:w="101" w:type="dxa"/>
              <w:right w:w="101" w:type="dxa"/>
            </w:tcMar>
          </w:tcPr>
          <w:p w14:paraId="29B8F55D"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12,259</w:t>
            </w:r>
          </w:p>
        </w:tc>
        <w:tc>
          <w:tcPr>
            <w:tcW w:w="600" w:type="dxa"/>
            <w:tcBorders>
              <w:top w:val="nil"/>
              <w:left w:val="nil"/>
              <w:bottom w:val="nil"/>
              <w:right w:val="nil"/>
              <w:tl2br w:val="nil"/>
              <w:tr2bl w:val="nil"/>
            </w:tcBorders>
            <w:shd w:val="clear" w:color="FFFFFF" w:fill="FFFFFF"/>
            <w:tcMar>
              <w:left w:w="101" w:type="dxa"/>
              <w:right w:w="101" w:type="dxa"/>
            </w:tcMar>
          </w:tcPr>
          <w:p w14:paraId="37A9C8C0"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0787510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11,826</w:t>
            </w:r>
          </w:p>
        </w:tc>
        <w:tc>
          <w:tcPr>
            <w:tcW w:w="1035" w:type="dxa"/>
            <w:tcBorders>
              <w:top w:val="nil"/>
              <w:left w:val="nil"/>
              <w:bottom w:val="nil"/>
              <w:right w:val="nil"/>
              <w:tl2br w:val="nil"/>
              <w:tr2bl w:val="nil"/>
            </w:tcBorders>
            <w:shd w:val="clear" w:color="FFFFFF" w:fill="FFFFFF"/>
            <w:tcMar>
              <w:left w:w="101" w:type="dxa"/>
              <w:right w:w="101" w:type="dxa"/>
            </w:tcMar>
          </w:tcPr>
          <w:p w14:paraId="6D3C6D3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11,347</w:t>
            </w:r>
          </w:p>
        </w:tc>
        <w:tc>
          <w:tcPr>
            <w:tcW w:w="1035" w:type="dxa"/>
            <w:tcBorders>
              <w:top w:val="nil"/>
              <w:left w:val="nil"/>
              <w:bottom w:val="nil"/>
              <w:right w:val="nil"/>
              <w:tl2br w:val="nil"/>
              <w:tr2bl w:val="nil"/>
            </w:tcBorders>
            <w:shd w:val="clear" w:color="FFFFFF" w:fill="FFFFFF"/>
            <w:tcMar>
              <w:left w:w="101" w:type="dxa"/>
              <w:right w:w="101" w:type="dxa"/>
            </w:tcMar>
          </w:tcPr>
          <w:p w14:paraId="42375BA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10,799</w:t>
            </w:r>
          </w:p>
        </w:tc>
      </w:tr>
      <w:tr w:rsidR="00EF18CC" w14:paraId="556680D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20625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13,129</w:t>
            </w:r>
          </w:p>
        </w:tc>
        <w:tc>
          <w:tcPr>
            <w:tcW w:w="2385" w:type="dxa"/>
            <w:tcBorders>
              <w:top w:val="nil"/>
              <w:left w:val="nil"/>
              <w:bottom w:val="nil"/>
              <w:right w:val="nil"/>
              <w:tl2br w:val="nil"/>
              <w:tr2bl w:val="nil"/>
            </w:tcBorders>
            <w:shd w:val="clear" w:color="auto" w:fill="auto"/>
            <w:noWrap/>
            <w:tcMar>
              <w:left w:w="101" w:type="dxa"/>
              <w:right w:w="101" w:type="dxa"/>
            </w:tcMar>
          </w:tcPr>
          <w:p w14:paraId="3E6977E6"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Assets Held for Sale</w:t>
            </w:r>
          </w:p>
        </w:tc>
        <w:tc>
          <w:tcPr>
            <w:tcW w:w="1035" w:type="dxa"/>
            <w:tcBorders>
              <w:top w:val="nil"/>
              <w:left w:val="nil"/>
              <w:bottom w:val="nil"/>
              <w:right w:val="nil"/>
              <w:tl2br w:val="nil"/>
              <w:tr2bl w:val="nil"/>
            </w:tcBorders>
            <w:shd w:val="clear" w:color="FFFFFF" w:fill="FFFFFF"/>
            <w:tcMar>
              <w:left w:w="101" w:type="dxa"/>
              <w:right w:w="101" w:type="dxa"/>
            </w:tcMar>
          </w:tcPr>
          <w:p w14:paraId="6F2999A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12,988</w:t>
            </w:r>
          </w:p>
        </w:tc>
        <w:tc>
          <w:tcPr>
            <w:tcW w:w="1035" w:type="dxa"/>
            <w:tcBorders>
              <w:top w:val="nil"/>
              <w:left w:val="nil"/>
              <w:bottom w:val="nil"/>
              <w:right w:val="nil"/>
              <w:tl2br w:val="nil"/>
              <w:tr2bl w:val="nil"/>
            </w:tcBorders>
            <w:shd w:val="clear" w:color="FFFFFF" w:fill="FFFFFF"/>
            <w:tcMar>
              <w:left w:w="101" w:type="dxa"/>
              <w:right w:w="101" w:type="dxa"/>
            </w:tcMar>
          </w:tcPr>
          <w:p w14:paraId="29F8997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11,226</w:t>
            </w:r>
          </w:p>
        </w:tc>
        <w:tc>
          <w:tcPr>
            <w:tcW w:w="600" w:type="dxa"/>
            <w:tcBorders>
              <w:top w:val="nil"/>
              <w:left w:val="nil"/>
              <w:bottom w:val="nil"/>
              <w:right w:val="nil"/>
              <w:tl2br w:val="nil"/>
              <w:tr2bl w:val="nil"/>
            </w:tcBorders>
            <w:shd w:val="clear" w:color="FFFFFF" w:fill="FFFFFF"/>
            <w:tcMar>
              <w:left w:w="101" w:type="dxa"/>
              <w:right w:w="101" w:type="dxa"/>
            </w:tcMar>
          </w:tcPr>
          <w:p w14:paraId="41248FE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32B1355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7,247</w:t>
            </w:r>
          </w:p>
        </w:tc>
        <w:tc>
          <w:tcPr>
            <w:tcW w:w="1035" w:type="dxa"/>
            <w:tcBorders>
              <w:top w:val="nil"/>
              <w:left w:val="nil"/>
              <w:bottom w:val="nil"/>
              <w:right w:val="nil"/>
              <w:tl2br w:val="nil"/>
              <w:tr2bl w:val="nil"/>
            </w:tcBorders>
            <w:shd w:val="clear" w:color="FFFFFF" w:fill="FFFFFF"/>
            <w:tcMar>
              <w:left w:w="101" w:type="dxa"/>
              <w:right w:w="101" w:type="dxa"/>
            </w:tcMar>
          </w:tcPr>
          <w:p w14:paraId="5357E25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6,132</w:t>
            </w:r>
          </w:p>
        </w:tc>
        <w:tc>
          <w:tcPr>
            <w:tcW w:w="1035" w:type="dxa"/>
            <w:tcBorders>
              <w:top w:val="nil"/>
              <w:left w:val="nil"/>
              <w:bottom w:val="nil"/>
              <w:right w:val="nil"/>
              <w:tl2br w:val="nil"/>
              <w:tr2bl w:val="nil"/>
            </w:tcBorders>
            <w:shd w:val="clear" w:color="FFFFFF" w:fill="FFFFFF"/>
            <w:tcMar>
              <w:left w:w="101" w:type="dxa"/>
              <w:right w:w="101" w:type="dxa"/>
            </w:tcMar>
          </w:tcPr>
          <w:p w14:paraId="6D93AD2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5,017</w:t>
            </w:r>
          </w:p>
        </w:tc>
      </w:tr>
      <w:tr w:rsidR="00EF18CC" w14:paraId="7BE7A9C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68AF0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409</w:t>
            </w:r>
          </w:p>
        </w:tc>
        <w:tc>
          <w:tcPr>
            <w:tcW w:w="2385" w:type="dxa"/>
            <w:tcBorders>
              <w:top w:val="nil"/>
              <w:left w:val="nil"/>
              <w:bottom w:val="nil"/>
              <w:right w:val="nil"/>
              <w:tl2br w:val="nil"/>
              <w:tr2bl w:val="nil"/>
            </w:tcBorders>
            <w:shd w:val="clear" w:color="auto" w:fill="auto"/>
            <w:noWrap/>
            <w:tcMar>
              <w:left w:w="101" w:type="dxa"/>
              <w:right w:w="101" w:type="dxa"/>
            </w:tcMar>
          </w:tcPr>
          <w:p w14:paraId="4310CA2F"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762950F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633</w:t>
            </w:r>
          </w:p>
        </w:tc>
        <w:tc>
          <w:tcPr>
            <w:tcW w:w="1035" w:type="dxa"/>
            <w:tcBorders>
              <w:top w:val="nil"/>
              <w:left w:val="nil"/>
              <w:bottom w:val="nil"/>
              <w:right w:val="nil"/>
              <w:tl2br w:val="nil"/>
              <w:tr2bl w:val="nil"/>
            </w:tcBorders>
            <w:shd w:val="clear" w:color="FFFFFF" w:fill="FFFFFF"/>
            <w:tcMar>
              <w:left w:w="101" w:type="dxa"/>
              <w:right w:w="101" w:type="dxa"/>
            </w:tcMar>
          </w:tcPr>
          <w:p w14:paraId="2A137F5A"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633</w:t>
            </w:r>
          </w:p>
        </w:tc>
        <w:tc>
          <w:tcPr>
            <w:tcW w:w="600" w:type="dxa"/>
            <w:tcBorders>
              <w:top w:val="nil"/>
              <w:left w:val="nil"/>
              <w:bottom w:val="nil"/>
              <w:right w:val="nil"/>
              <w:tl2br w:val="nil"/>
              <w:tr2bl w:val="nil"/>
            </w:tcBorders>
            <w:shd w:val="clear" w:color="FFFFFF" w:fill="FFFFFF"/>
            <w:tcMar>
              <w:left w:w="101" w:type="dxa"/>
              <w:right w:w="101" w:type="dxa"/>
            </w:tcMar>
          </w:tcPr>
          <w:p w14:paraId="490969F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932695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633</w:t>
            </w:r>
          </w:p>
        </w:tc>
        <w:tc>
          <w:tcPr>
            <w:tcW w:w="1035" w:type="dxa"/>
            <w:tcBorders>
              <w:top w:val="nil"/>
              <w:left w:val="nil"/>
              <w:bottom w:val="nil"/>
              <w:right w:val="nil"/>
              <w:tl2br w:val="nil"/>
              <w:tr2bl w:val="nil"/>
            </w:tcBorders>
            <w:shd w:val="clear" w:color="FFFFFF" w:fill="FFFFFF"/>
            <w:tcMar>
              <w:left w:w="101" w:type="dxa"/>
              <w:right w:w="101" w:type="dxa"/>
            </w:tcMar>
          </w:tcPr>
          <w:p w14:paraId="6E00152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633</w:t>
            </w:r>
          </w:p>
        </w:tc>
        <w:tc>
          <w:tcPr>
            <w:tcW w:w="1035" w:type="dxa"/>
            <w:tcBorders>
              <w:top w:val="nil"/>
              <w:left w:val="nil"/>
              <w:bottom w:val="nil"/>
              <w:right w:val="nil"/>
              <w:tl2br w:val="nil"/>
              <w:tr2bl w:val="nil"/>
            </w:tcBorders>
            <w:shd w:val="clear" w:color="FFFFFF" w:fill="FFFFFF"/>
            <w:tcMar>
              <w:left w:w="101" w:type="dxa"/>
              <w:right w:w="101" w:type="dxa"/>
            </w:tcMar>
          </w:tcPr>
          <w:p w14:paraId="1439791A"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633</w:t>
            </w:r>
          </w:p>
        </w:tc>
      </w:tr>
      <w:tr w:rsidR="00EF18CC" w14:paraId="447AE70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69B84D"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FD016A6"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1AC6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3EF4E2"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454E74"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DF958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7735C7"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56EACE" w14:textId="77777777" w:rsidR="00EF18CC" w:rsidRDefault="00EF18CC" w:rsidP="006D3501">
            <w:pPr>
              <w:pStyle w:val="Normal7"/>
              <w:rPr>
                <w:rFonts w:ascii="Calibri" w:eastAsia="Calibri" w:hAnsi="Calibri" w:cs="Calibri"/>
                <w:color w:val="000000"/>
                <w:sz w:val="18"/>
              </w:rPr>
            </w:pPr>
          </w:p>
        </w:tc>
      </w:tr>
      <w:tr w:rsidR="00EF18CC" w14:paraId="0DB6F26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FE0409"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38,136</w:t>
            </w:r>
          </w:p>
        </w:tc>
        <w:tc>
          <w:tcPr>
            <w:tcW w:w="2385" w:type="dxa"/>
            <w:tcBorders>
              <w:top w:val="nil"/>
              <w:left w:val="nil"/>
              <w:bottom w:val="nil"/>
              <w:right w:val="nil"/>
              <w:tl2br w:val="nil"/>
              <w:tr2bl w:val="nil"/>
            </w:tcBorders>
            <w:shd w:val="clear" w:color="FFFFFF" w:fill="FFFFFF"/>
            <w:noWrap/>
            <w:tcMar>
              <w:left w:w="101" w:type="dxa"/>
              <w:right w:w="101" w:type="dxa"/>
            </w:tcMar>
          </w:tcPr>
          <w:p w14:paraId="60ED96D9"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15C0EAE9"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84,849</w:t>
            </w:r>
          </w:p>
        </w:tc>
        <w:tc>
          <w:tcPr>
            <w:tcW w:w="1035" w:type="dxa"/>
            <w:tcBorders>
              <w:top w:val="nil"/>
              <w:left w:val="nil"/>
              <w:bottom w:val="nil"/>
              <w:right w:val="nil"/>
              <w:tl2br w:val="nil"/>
              <w:tr2bl w:val="nil"/>
            </w:tcBorders>
            <w:shd w:val="clear" w:color="FFFFFF" w:fill="FFFFFF"/>
            <w:tcMar>
              <w:left w:w="101" w:type="dxa"/>
              <w:right w:w="101" w:type="dxa"/>
            </w:tcMar>
          </w:tcPr>
          <w:p w14:paraId="2500AB9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32,066</w:t>
            </w:r>
          </w:p>
        </w:tc>
        <w:tc>
          <w:tcPr>
            <w:tcW w:w="600" w:type="dxa"/>
            <w:tcBorders>
              <w:top w:val="nil"/>
              <w:left w:val="nil"/>
              <w:bottom w:val="nil"/>
              <w:right w:val="nil"/>
              <w:tl2br w:val="nil"/>
              <w:tr2bl w:val="nil"/>
            </w:tcBorders>
            <w:shd w:val="clear" w:color="FFFFFF" w:fill="FFFFFF"/>
            <w:tcMar>
              <w:left w:w="101" w:type="dxa"/>
              <w:right w:w="101" w:type="dxa"/>
            </w:tcMar>
          </w:tcPr>
          <w:p w14:paraId="25C3632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-62 </w:t>
            </w:r>
          </w:p>
        </w:tc>
        <w:tc>
          <w:tcPr>
            <w:tcW w:w="1035" w:type="dxa"/>
            <w:tcBorders>
              <w:top w:val="nil"/>
              <w:left w:val="nil"/>
              <w:bottom w:val="nil"/>
              <w:right w:val="nil"/>
              <w:tl2br w:val="nil"/>
              <w:tr2bl w:val="nil"/>
            </w:tcBorders>
            <w:shd w:val="clear" w:color="FFFFFF" w:fill="FFFFFF"/>
            <w:tcMar>
              <w:left w:w="101" w:type="dxa"/>
              <w:right w:w="101" w:type="dxa"/>
            </w:tcMar>
          </w:tcPr>
          <w:p w14:paraId="53BF717C"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39,422</w:t>
            </w:r>
          </w:p>
        </w:tc>
        <w:tc>
          <w:tcPr>
            <w:tcW w:w="1035" w:type="dxa"/>
            <w:tcBorders>
              <w:top w:val="nil"/>
              <w:left w:val="nil"/>
              <w:bottom w:val="nil"/>
              <w:right w:val="nil"/>
              <w:tl2br w:val="nil"/>
              <w:tr2bl w:val="nil"/>
            </w:tcBorders>
            <w:shd w:val="clear" w:color="FFFFFF" w:fill="FFFFFF"/>
            <w:tcMar>
              <w:left w:w="101" w:type="dxa"/>
              <w:right w:w="101" w:type="dxa"/>
            </w:tcMar>
          </w:tcPr>
          <w:p w14:paraId="7271833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70,724</w:t>
            </w:r>
          </w:p>
        </w:tc>
        <w:tc>
          <w:tcPr>
            <w:tcW w:w="1035" w:type="dxa"/>
            <w:tcBorders>
              <w:top w:val="nil"/>
              <w:left w:val="nil"/>
              <w:bottom w:val="nil"/>
              <w:right w:val="nil"/>
              <w:tl2br w:val="nil"/>
              <w:tr2bl w:val="nil"/>
            </w:tcBorders>
            <w:shd w:val="clear" w:color="FFFFFF" w:fill="FFFFFF"/>
            <w:tcMar>
              <w:left w:w="101" w:type="dxa"/>
              <w:right w:w="101" w:type="dxa"/>
            </w:tcMar>
          </w:tcPr>
          <w:p w14:paraId="07C4387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25,921</w:t>
            </w:r>
          </w:p>
        </w:tc>
      </w:tr>
      <w:tr w:rsidR="00EF18CC" w14:paraId="0795A5B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7DB2E8"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7453A2E"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D5F6F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71208C"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FA967E"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6C2E87"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41A0D8"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C47A53" w14:textId="77777777" w:rsidR="00EF18CC" w:rsidRDefault="00EF18CC" w:rsidP="006D3501">
            <w:pPr>
              <w:pStyle w:val="Normal7"/>
              <w:rPr>
                <w:rFonts w:ascii="Calibri" w:eastAsia="Calibri" w:hAnsi="Calibri" w:cs="Calibri"/>
                <w:color w:val="000000"/>
                <w:sz w:val="18"/>
              </w:rPr>
            </w:pPr>
          </w:p>
        </w:tc>
      </w:tr>
      <w:tr w:rsidR="00EF18CC" w14:paraId="2CD7E55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03E023"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6BA5318" w14:textId="77777777" w:rsidR="00EF18CC" w:rsidRDefault="00EF18CC" w:rsidP="006D3501">
            <w:pPr>
              <w:pStyle w:val="Normal7"/>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051271E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A93909"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FDE0FE"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AD382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4F2B3E"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3AE109" w14:textId="77777777" w:rsidR="00EF18CC" w:rsidRDefault="00EF18CC" w:rsidP="006D3501">
            <w:pPr>
              <w:pStyle w:val="Normal7"/>
              <w:rPr>
                <w:rFonts w:ascii="Calibri" w:eastAsia="Calibri" w:hAnsi="Calibri" w:cs="Calibri"/>
                <w:color w:val="000000"/>
                <w:sz w:val="18"/>
              </w:rPr>
            </w:pPr>
          </w:p>
        </w:tc>
      </w:tr>
      <w:tr w:rsidR="00EF18CC" w14:paraId="1851C1D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85467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218</w:t>
            </w:r>
          </w:p>
        </w:tc>
        <w:tc>
          <w:tcPr>
            <w:tcW w:w="2385" w:type="dxa"/>
            <w:tcBorders>
              <w:top w:val="nil"/>
              <w:left w:val="nil"/>
              <w:bottom w:val="nil"/>
              <w:right w:val="nil"/>
              <w:tl2br w:val="nil"/>
              <w:tr2bl w:val="nil"/>
            </w:tcBorders>
            <w:shd w:val="clear" w:color="FFFFFF" w:fill="FFFFFF"/>
            <w:noWrap/>
            <w:tcMar>
              <w:left w:w="101" w:type="dxa"/>
              <w:right w:w="101" w:type="dxa"/>
            </w:tcMar>
          </w:tcPr>
          <w:p w14:paraId="20ED2E9B"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4621AF0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250</w:t>
            </w:r>
          </w:p>
        </w:tc>
        <w:tc>
          <w:tcPr>
            <w:tcW w:w="1035" w:type="dxa"/>
            <w:tcBorders>
              <w:top w:val="nil"/>
              <w:left w:val="nil"/>
              <w:bottom w:val="nil"/>
              <w:right w:val="nil"/>
              <w:tl2br w:val="nil"/>
              <w:tr2bl w:val="nil"/>
            </w:tcBorders>
            <w:shd w:val="clear" w:color="FFFFFF" w:fill="FFFFFF"/>
            <w:tcMar>
              <w:left w:w="101" w:type="dxa"/>
              <w:right w:w="101" w:type="dxa"/>
            </w:tcMar>
          </w:tcPr>
          <w:p w14:paraId="1544544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253</w:t>
            </w:r>
          </w:p>
        </w:tc>
        <w:tc>
          <w:tcPr>
            <w:tcW w:w="600" w:type="dxa"/>
            <w:tcBorders>
              <w:top w:val="nil"/>
              <w:left w:val="nil"/>
              <w:bottom w:val="nil"/>
              <w:right w:val="nil"/>
              <w:tl2br w:val="nil"/>
              <w:tr2bl w:val="nil"/>
            </w:tcBorders>
            <w:shd w:val="clear" w:color="FFFFFF" w:fill="FFFFFF"/>
            <w:tcMar>
              <w:left w:w="101" w:type="dxa"/>
              <w:right w:w="101" w:type="dxa"/>
            </w:tcMar>
          </w:tcPr>
          <w:p w14:paraId="7962964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62C74F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256</w:t>
            </w:r>
          </w:p>
        </w:tc>
        <w:tc>
          <w:tcPr>
            <w:tcW w:w="1035" w:type="dxa"/>
            <w:tcBorders>
              <w:top w:val="nil"/>
              <w:left w:val="nil"/>
              <w:bottom w:val="nil"/>
              <w:right w:val="nil"/>
              <w:tl2br w:val="nil"/>
              <w:tr2bl w:val="nil"/>
            </w:tcBorders>
            <w:shd w:val="clear" w:color="FFFFFF" w:fill="FFFFFF"/>
            <w:tcMar>
              <w:left w:w="101" w:type="dxa"/>
              <w:right w:w="101" w:type="dxa"/>
            </w:tcMar>
          </w:tcPr>
          <w:p w14:paraId="028F164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259</w:t>
            </w:r>
          </w:p>
        </w:tc>
        <w:tc>
          <w:tcPr>
            <w:tcW w:w="1035" w:type="dxa"/>
            <w:tcBorders>
              <w:top w:val="nil"/>
              <w:left w:val="nil"/>
              <w:bottom w:val="nil"/>
              <w:right w:val="nil"/>
              <w:tl2br w:val="nil"/>
              <w:tr2bl w:val="nil"/>
            </w:tcBorders>
            <w:shd w:val="clear" w:color="FFFFFF" w:fill="FFFFFF"/>
            <w:tcMar>
              <w:left w:w="101" w:type="dxa"/>
              <w:right w:w="101" w:type="dxa"/>
            </w:tcMar>
          </w:tcPr>
          <w:p w14:paraId="465725C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262</w:t>
            </w:r>
          </w:p>
        </w:tc>
      </w:tr>
      <w:tr w:rsidR="00EF18CC" w14:paraId="581DC31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85ADC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5,420,812</w:t>
            </w:r>
          </w:p>
        </w:tc>
        <w:tc>
          <w:tcPr>
            <w:tcW w:w="2385" w:type="dxa"/>
            <w:tcBorders>
              <w:top w:val="nil"/>
              <w:left w:val="nil"/>
              <w:bottom w:val="nil"/>
              <w:right w:val="nil"/>
              <w:tl2br w:val="nil"/>
              <w:tr2bl w:val="nil"/>
            </w:tcBorders>
            <w:shd w:val="clear" w:color="FFFFFF" w:fill="FFFFFF"/>
            <w:noWrap/>
            <w:tcMar>
              <w:left w:w="101" w:type="dxa"/>
              <w:right w:w="101" w:type="dxa"/>
            </w:tcMar>
          </w:tcPr>
          <w:p w14:paraId="0A682A8C"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5934F76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6,713,099</w:t>
            </w:r>
          </w:p>
        </w:tc>
        <w:tc>
          <w:tcPr>
            <w:tcW w:w="1035" w:type="dxa"/>
            <w:tcBorders>
              <w:top w:val="nil"/>
              <w:left w:val="nil"/>
              <w:bottom w:val="nil"/>
              <w:right w:val="nil"/>
              <w:tl2br w:val="nil"/>
              <w:tr2bl w:val="nil"/>
            </w:tcBorders>
            <w:shd w:val="clear" w:color="FFFFFF" w:fill="FFFFFF"/>
            <w:tcMar>
              <w:left w:w="101" w:type="dxa"/>
              <w:right w:w="101" w:type="dxa"/>
            </w:tcMar>
          </w:tcPr>
          <w:p w14:paraId="600318C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6,789,454</w:t>
            </w:r>
          </w:p>
        </w:tc>
        <w:tc>
          <w:tcPr>
            <w:tcW w:w="600" w:type="dxa"/>
            <w:tcBorders>
              <w:top w:val="nil"/>
              <w:left w:val="nil"/>
              <w:bottom w:val="nil"/>
              <w:right w:val="nil"/>
              <w:tl2br w:val="nil"/>
              <w:tr2bl w:val="nil"/>
            </w:tcBorders>
            <w:shd w:val="clear" w:color="FFFFFF" w:fill="FFFFFF"/>
            <w:tcMar>
              <w:left w:w="101" w:type="dxa"/>
              <w:right w:w="101" w:type="dxa"/>
            </w:tcMar>
          </w:tcPr>
          <w:p w14:paraId="71D9A01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44E0905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6,752,569</w:t>
            </w:r>
          </w:p>
        </w:tc>
        <w:tc>
          <w:tcPr>
            <w:tcW w:w="1035" w:type="dxa"/>
            <w:tcBorders>
              <w:top w:val="nil"/>
              <w:left w:val="nil"/>
              <w:bottom w:val="nil"/>
              <w:right w:val="nil"/>
              <w:tl2br w:val="nil"/>
              <w:tr2bl w:val="nil"/>
            </w:tcBorders>
            <w:shd w:val="clear" w:color="FFFFFF" w:fill="FFFFFF"/>
            <w:tcMar>
              <w:left w:w="101" w:type="dxa"/>
              <w:right w:w="101" w:type="dxa"/>
            </w:tcMar>
          </w:tcPr>
          <w:p w14:paraId="760E33B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6,838,461</w:t>
            </w:r>
          </w:p>
        </w:tc>
        <w:tc>
          <w:tcPr>
            <w:tcW w:w="1035" w:type="dxa"/>
            <w:tcBorders>
              <w:top w:val="nil"/>
              <w:left w:val="nil"/>
              <w:bottom w:val="nil"/>
              <w:right w:val="nil"/>
              <w:tl2br w:val="nil"/>
              <w:tr2bl w:val="nil"/>
            </w:tcBorders>
            <w:shd w:val="clear" w:color="FFFFFF" w:fill="FFFFFF"/>
            <w:tcMar>
              <w:left w:w="101" w:type="dxa"/>
              <w:right w:w="101" w:type="dxa"/>
            </w:tcMar>
          </w:tcPr>
          <w:p w14:paraId="19E3ED9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6,824,467</w:t>
            </w:r>
          </w:p>
        </w:tc>
      </w:tr>
      <w:tr w:rsidR="00EF18CC" w14:paraId="2694770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D24D6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5,978</w:t>
            </w:r>
          </w:p>
        </w:tc>
        <w:tc>
          <w:tcPr>
            <w:tcW w:w="2385" w:type="dxa"/>
            <w:tcBorders>
              <w:top w:val="nil"/>
              <w:left w:val="nil"/>
              <w:bottom w:val="nil"/>
              <w:right w:val="nil"/>
              <w:tl2br w:val="nil"/>
              <w:tr2bl w:val="nil"/>
            </w:tcBorders>
            <w:shd w:val="clear" w:color="FFFFFF" w:fill="FFFFFF"/>
            <w:noWrap/>
            <w:tcMar>
              <w:left w:w="101" w:type="dxa"/>
              <w:right w:w="101" w:type="dxa"/>
            </w:tcMar>
          </w:tcPr>
          <w:p w14:paraId="06EF5E07"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Investment Properties</w:t>
            </w:r>
          </w:p>
        </w:tc>
        <w:tc>
          <w:tcPr>
            <w:tcW w:w="1035" w:type="dxa"/>
            <w:tcBorders>
              <w:top w:val="nil"/>
              <w:left w:val="nil"/>
              <w:bottom w:val="nil"/>
              <w:right w:val="nil"/>
              <w:tl2br w:val="nil"/>
              <w:tr2bl w:val="nil"/>
            </w:tcBorders>
            <w:shd w:val="clear" w:color="FFFFFF" w:fill="FFFFFF"/>
            <w:tcMar>
              <w:left w:w="101" w:type="dxa"/>
              <w:right w:w="101" w:type="dxa"/>
            </w:tcMar>
          </w:tcPr>
          <w:p w14:paraId="27F6F99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6,831</w:t>
            </w:r>
          </w:p>
        </w:tc>
        <w:tc>
          <w:tcPr>
            <w:tcW w:w="1035" w:type="dxa"/>
            <w:tcBorders>
              <w:top w:val="nil"/>
              <w:left w:val="nil"/>
              <w:bottom w:val="nil"/>
              <w:right w:val="nil"/>
              <w:tl2br w:val="nil"/>
              <w:tr2bl w:val="nil"/>
            </w:tcBorders>
            <w:shd w:val="clear" w:color="FFFFFF" w:fill="FFFFFF"/>
            <w:tcMar>
              <w:left w:w="101" w:type="dxa"/>
              <w:right w:w="101" w:type="dxa"/>
            </w:tcMar>
          </w:tcPr>
          <w:p w14:paraId="48D15DB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6,837</w:t>
            </w:r>
          </w:p>
        </w:tc>
        <w:tc>
          <w:tcPr>
            <w:tcW w:w="600" w:type="dxa"/>
            <w:tcBorders>
              <w:top w:val="nil"/>
              <w:left w:val="nil"/>
              <w:bottom w:val="nil"/>
              <w:right w:val="nil"/>
              <w:tl2br w:val="nil"/>
              <w:tr2bl w:val="nil"/>
            </w:tcBorders>
            <w:shd w:val="clear" w:color="FFFFFF" w:fill="FFFFFF"/>
            <w:tcMar>
              <w:left w:w="101" w:type="dxa"/>
              <w:right w:w="101" w:type="dxa"/>
            </w:tcMar>
          </w:tcPr>
          <w:p w14:paraId="2305CD4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0A0669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6,843</w:t>
            </w:r>
          </w:p>
        </w:tc>
        <w:tc>
          <w:tcPr>
            <w:tcW w:w="1035" w:type="dxa"/>
            <w:tcBorders>
              <w:top w:val="nil"/>
              <w:left w:val="nil"/>
              <w:bottom w:val="nil"/>
              <w:right w:val="nil"/>
              <w:tl2br w:val="nil"/>
              <w:tr2bl w:val="nil"/>
            </w:tcBorders>
            <w:shd w:val="clear" w:color="FFFFFF" w:fill="FFFFFF"/>
            <w:tcMar>
              <w:left w:w="101" w:type="dxa"/>
              <w:right w:w="101" w:type="dxa"/>
            </w:tcMar>
          </w:tcPr>
          <w:p w14:paraId="148DAF1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6,849</w:t>
            </w:r>
          </w:p>
        </w:tc>
        <w:tc>
          <w:tcPr>
            <w:tcW w:w="1035" w:type="dxa"/>
            <w:tcBorders>
              <w:top w:val="nil"/>
              <w:left w:val="nil"/>
              <w:bottom w:val="nil"/>
              <w:right w:val="nil"/>
              <w:tl2br w:val="nil"/>
              <w:tr2bl w:val="nil"/>
            </w:tcBorders>
            <w:shd w:val="clear" w:color="FFFFFF" w:fill="FFFFFF"/>
            <w:tcMar>
              <w:left w:w="101" w:type="dxa"/>
              <w:right w:w="101" w:type="dxa"/>
            </w:tcMar>
          </w:tcPr>
          <w:p w14:paraId="1A82CA3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6,855</w:t>
            </w:r>
          </w:p>
        </w:tc>
      </w:tr>
      <w:tr w:rsidR="00EF18CC" w14:paraId="59B6D27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A7E3B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BD8EECD"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5C4E153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639</w:t>
            </w:r>
          </w:p>
        </w:tc>
        <w:tc>
          <w:tcPr>
            <w:tcW w:w="1035" w:type="dxa"/>
            <w:tcBorders>
              <w:top w:val="nil"/>
              <w:left w:val="nil"/>
              <w:bottom w:val="nil"/>
              <w:right w:val="nil"/>
              <w:tl2br w:val="nil"/>
              <w:tr2bl w:val="nil"/>
            </w:tcBorders>
            <w:shd w:val="clear" w:color="FFFFFF" w:fill="FFFFFF"/>
            <w:tcMar>
              <w:left w:w="101" w:type="dxa"/>
              <w:right w:w="101" w:type="dxa"/>
            </w:tcMar>
          </w:tcPr>
          <w:p w14:paraId="3A90207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492</w:t>
            </w:r>
          </w:p>
        </w:tc>
        <w:tc>
          <w:tcPr>
            <w:tcW w:w="600" w:type="dxa"/>
            <w:tcBorders>
              <w:top w:val="nil"/>
              <w:left w:val="nil"/>
              <w:bottom w:val="nil"/>
              <w:right w:val="nil"/>
              <w:tl2br w:val="nil"/>
              <w:tr2bl w:val="nil"/>
            </w:tcBorders>
            <w:shd w:val="clear" w:color="FFFFFF" w:fill="FFFFFF"/>
            <w:tcMar>
              <w:left w:w="101" w:type="dxa"/>
              <w:right w:w="101" w:type="dxa"/>
            </w:tcMar>
          </w:tcPr>
          <w:p w14:paraId="463B48E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6B67C80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345</w:t>
            </w:r>
          </w:p>
        </w:tc>
        <w:tc>
          <w:tcPr>
            <w:tcW w:w="1035" w:type="dxa"/>
            <w:tcBorders>
              <w:top w:val="nil"/>
              <w:left w:val="nil"/>
              <w:bottom w:val="nil"/>
              <w:right w:val="nil"/>
              <w:tl2br w:val="nil"/>
              <w:tr2bl w:val="nil"/>
            </w:tcBorders>
            <w:shd w:val="clear" w:color="FFFFFF" w:fill="FFFFFF"/>
            <w:tcMar>
              <w:left w:w="101" w:type="dxa"/>
              <w:right w:w="101" w:type="dxa"/>
            </w:tcMar>
          </w:tcPr>
          <w:p w14:paraId="0771FB7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198</w:t>
            </w:r>
          </w:p>
        </w:tc>
        <w:tc>
          <w:tcPr>
            <w:tcW w:w="1035" w:type="dxa"/>
            <w:tcBorders>
              <w:top w:val="nil"/>
              <w:left w:val="nil"/>
              <w:bottom w:val="nil"/>
              <w:right w:val="nil"/>
              <w:tl2br w:val="nil"/>
              <w:tr2bl w:val="nil"/>
            </w:tcBorders>
            <w:shd w:val="clear" w:color="FFFFFF" w:fill="FFFFFF"/>
            <w:tcMar>
              <w:left w:w="101" w:type="dxa"/>
              <w:right w:w="101" w:type="dxa"/>
            </w:tcMar>
          </w:tcPr>
          <w:p w14:paraId="3AC95B0D"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51</w:t>
            </w:r>
          </w:p>
        </w:tc>
      </w:tr>
      <w:tr w:rsidR="00EF18CC" w14:paraId="4711647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B624A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58,412</w:t>
            </w:r>
          </w:p>
        </w:tc>
        <w:tc>
          <w:tcPr>
            <w:tcW w:w="2385" w:type="dxa"/>
            <w:tcBorders>
              <w:top w:val="nil"/>
              <w:left w:val="nil"/>
              <w:bottom w:val="nil"/>
              <w:right w:val="nil"/>
              <w:tl2br w:val="nil"/>
              <w:tr2bl w:val="nil"/>
            </w:tcBorders>
            <w:shd w:val="clear" w:color="FFFFFF" w:fill="FFFFFF"/>
            <w:noWrap/>
            <w:tcMar>
              <w:left w:w="101" w:type="dxa"/>
              <w:right w:w="101" w:type="dxa"/>
            </w:tcMar>
          </w:tcPr>
          <w:p w14:paraId="47A8342A"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1AE61CE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35,542</w:t>
            </w:r>
          </w:p>
        </w:tc>
        <w:tc>
          <w:tcPr>
            <w:tcW w:w="1035" w:type="dxa"/>
            <w:tcBorders>
              <w:top w:val="nil"/>
              <w:left w:val="nil"/>
              <w:bottom w:val="nil"/>
              <w:right w:val="nil"/>
              <w:tl2br w:val="nil"/>
              <w:tr2bl w:val="nil"/>
            </w:tcBorders>
            <w:shd w:val="clear" w:color="FFFFFF" w:fill="FFFFFF"/>
            <w:tcMar>
              <w:left w:w="101" w:type="dxa"/>
              <w:right w:w="101" w:type="dxa"/>
            </w:tcMar>
          </w:tcPr>
          <w:p w14:paraId="08EEB39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74,173</w:t>
            </w:r>
          </w:p>
        </w:tc>
        <w:tc>
          <w:tcPr>
            <w:tcW w:w="600" w:type="dxa"/>
            <w:tcBorders>
              <w:top w:val="nil"/>
              <w:left w:val="nil"/>
              <w:bottom w:val="nil"/>
              <w:right w:val="nil"/>
              <w:tl2br w:val="nil"/>
              <w:tr2bl w:val="nil"/>
            </w:tcBorders>
            <w:shd w:val="clear" w:color="FFFFFF" w:fill="FFFFFF"/>
            <w:tcMar>
              <w:left w:w="101" w:type="dxa"/>
              <w:right w:w="101" w:type="dxa"/>
            </w:tcMar>
          </w:tcPr>
          <w:p w14:paraId="486D59A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109 </w:t>
            </w:r>
          </w:p>
        </w:tc>
        <w:tc>
          <w:tcPr>
            <w:tcW w:w="1035" w:type="dxa"/>
            <w:tcBorders>
              <w:top w:val="nil"/>
              <w:left w:val="nil"/>
              <w:bottom w:val="nil"/>
              <w:right w:val="nil"/>
              <w:tl2br w:val="nil"/>
              <w:tr2bl w:val="nil"/>
            </w:tcBorders>
            <w:shd w:val="clear" w:color="FFFFFF" w:fill="FFFFFF"/>
            <w:tcMar>
              <w:left w:w="101" w:type="dxa"/>
              <w:right w:w="101" w:type="dxa"/>
            </w:tcMar>
          </w:tcPr>
          <w:p w14:paraId="2614A69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54,722</w:t>
            </w:r>
          </w:p>
        </w:tc>
        <w:tc>
          <w:tcPr>
            <w:tcW w:w="1035" w:type="dxa"/>
            <w:tcBorders>
              <w:top w:val="nil"/>
              <w:left w:val="nil"/>
              <w:bottom w:val="nil"/>
              <w:right w:val="nil"/>
              <w:tl2br w:val="nil"/>
              <w:tr2bl w:val="nil"/>
            </w:tcBorders>
            <w:shd w:val="clear" w:color="FFFFFF" w:fill="FFFFFF"/>
            <w:tcMar>
              <w:left w:w="101" w:type="dxa"/>
              <w:right w:w="101" w:type="dxa"/>
            </w:tcMar>
          </w:tcPr>
          <w:p w14:paraId="0148E48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49,007</w:t>
            </w:r>
          </w:p>
        </w:tc>
        <w:tc>
          <w:tcPr>
            <w:tcW w:w="1035" w:type="dxa"/>
            <w:tcBorders>
              <w:top w:val="nil"/>
              <w:left w:val="nil"/>
              <w:bottom w:val="nil"/>
              <w:right w:val="nil"/>
              <w:tl2br w:val="nil"/>
              <w:tr2bl w:val="nil"/>
            </w:tcBorders>
            <w:shd w:val="clear" w:color="FFFFFF" w:fill="FFFFFF"/>
            <w:tcMar>
              <w:left w:w="101" w:type="dxa"/>
              <w:right w:w="101" w:type="dxa"/>
            </w:tcMar>
          </w:tcPr>
          <w:p w14:paraId="6473BC7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43,292</w:t>
            </w:r>
          </w:p>
        </w:tc>
      </w:tr>
      <w:tr w:rsidR="00EF18CC" w14:paraId="77B71D0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4802A0"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2995BFD"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6AC4AB"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078532"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8DCE65"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33BCA7"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D922D7"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1A7995" w14:textId="77777777" w:rsidR="00EF18CC" w:rsidRDefault="00EF18CC" w:rsidP="006D3501">
            <w:pPr>
              <w:pStyle w:val="Normal7"/>
              <w:rPr>
                <w:rFonts w:ascii="Calibri" w:eastAsia="Calibri" w:hAnsi="Calibri" w:cs="Calibri"/>
                <w:color w:val="000000"/>
                <w:sz w:val="18"/>
              </w:rPr>
            </w:pPr>
          </w:p>
        </w:tc>
      </w:tr>
      <w:tr w:rsidR="00EF18CC" w14:paraId="1CFDC0F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E23FF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5,485,420</w:t>
            </w:r>
          </w:p>
        </w:tc>
        <w:tc>
          <w:tcPr>
            <w:tcW w:w="2385" w:type="dxa"/>
            <w:tcBorders>
              <w:top w:val="nil"/>
              <w:left w:val="nil"/>
              <w:bottom w:val="nil"/>
              <w:right w:val="nil"/>
              <w:tl2br w:val="nil"/>
              <w:tr2bl w:val="nil"/>
            </w:tcBorders>
            <w:shd w:val="clear" w:color="FFFFFF" w:fill="FFFFFF"/>
            <w:noWrap/>
            <w:tcMar>
              <w:left w:w="101" w:type="dxa"/>
              <w:right w:w="101" w:type="dxa"/>
            </w:tcMar>
          </w:tcPr>
          <w:p w14:paraId="70BD6C4D"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2DF0CA4C"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6,756,361</w:t>
            </w:r>
          </w:p>
        </w:tc>
        <w:tc>
          <w:tcPr>
            <w:tcW w:w="1035" w:type="dxa"/>
            <w:tcBorders>
              <w:top w:val="nil"/>
              <w:left w:val="nil"/>
              <w:bottom w:val="nil"/>
              <w:right w:val="nil"/>
              <w:tl2br w:val="nil"/>
              <w:tr2bl w:val="nil"/>
            </w:tcBorders>
            <w:shd w:val="clear" w:color="FFFFFF" w:fill="FFFFFF"/>
            <w:tcMar>
              <w:left w:w="101" w:type="dxa"/>
              <w:right w:w="101" w:type="dxa"/>
            </w:tcMar>
          </w:tcPr>
          <w:p w14:paraId="098D970F"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6,871,209</w:t>
            </w:r>
          </w:p>
        </w:tc>
        <w:tc>
          <w:tcPr>
            <w:tcW w:w="600" w:type="dxa"/>
            <w:tcBorders>
              <w:top w:val="nil"/>
              <w:left w:val="nil"/>
              <w:bottom w:val="nil"/>
              <w:right w:val="nil"/>
              <w:tl2br w:val="nil"/>
              <w:tr2bl w:val="nil"/>
            </w:tcBorders>
            <w:shd w:val="clear" w:color="FFFFFF" w:fill="FFFFFF"/>
            <w:tcMar>
              <w:left w:w="101" w:type="dxa"/>
              <w:right w:w="101" w:type="dxa"/>
            </w:tcMar>
          </w:tcPr>
          <w:p w14:paraId="17E8DEF0"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BBD5169"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6,814,735</w:t>
            </w:r>
          </w:p>
        </w:tc>
        <w:tc>
          <w:tcPr>
            <w:tcW w:w="1035" w:type="dxa"/>
            <w:tcBorders>
              <w:top w:val="nil"/>
              <w:left w:val="nil"/>
              <w:bottom w:val="nil"/>
              <w:right w:val="nil"/>
              <w:tl2br w:val="nil"/>
              <w:tr2bl w:val="nil"/>
            </w:tcBorders>
            <w:shd w:val="clear" w:color="FFFFFF" w:fill="FFFFFF"/>
            <w:tcMar>
              <w:left w:w="101" w:type="dxa"/>
              <w:right w:w="101" w:type="dxa"/>
            </w:tcMar>
          </w:tcPr>
          <w:p w14:paraId="08E91A24"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6,894,774</w:t>
            </w:r>
          </w:p>
        </w:tc>
        <w:tc>
          <w:tcPr>
            <w:tcW w:w="1035" w:type="dxa"/>
            <w:tcBorders>
              <w:top w:val="nil"/>
              <w:left w:val="nil"/>
              <w:bottom w:val="nil"/>
              <w:right w:val="nil"/>
              <w:tl2br w:val="nil"/>
              <w:tr2bl w:val="nil"/>
            </w:tcBorders>
            <w:shd w:val="clear" w:color="FFFFFF" w:fill="FFFFFF"/>
            <w:tcMar>
              <w:left w:w="101" w:type="dxa"/>
              <w:right w:w="101" w:type="dxa"/>
            </w:tcMar>
          </w:tcPr>
          <w:p w14:paraId="719C8741"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6,874,927</w:t>
            </w:r>
          </w:p>
        </w:tc>
      </w:tr>
      <w:tr w:rsidR="00EF18CC" w14:paraId="24203C3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DFF954"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46CD732"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885E2B"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91A2FD"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26980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A42A4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F5B91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CA40AF" w14:textId="77777777" w:rsidR="00EF18CC" w:rsidRDefault="00EF18CC" w:rsidP="006D3501">
            <w:pPr>
              <w:pStyle w:val="Normal7"/>
              <w:rPr>
                <w:rFonts w:ascii="Calibri" w:eastAsia="Calibri" w:hAnsi="Calibri" w:cs="Calibri"/>
                <w:color w:val="000000"/>
                <w:sz w:val="18"/>
              </w:rPr>
            </w:pPr>
          </w:p>
        </w:tc>
      </w:tr>
      <w:tr w:rsidR="00EF18CC" w14:paraId="36AB973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B1C34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5,523,556</w:t>
            </w:r>
          </w:p>
        </w:tc>
        <w:tc>
          <w:tcPr>
            <w:tcW w:w="2385" w:type="dxa"/>
            <w:tcBorders>
              <w:top w:val="nil"/>
              <w:left w:val="nil"/>
              <w:bottom w:val="nil"/>
              <w:right w:val="nil"/>
              <w:tl2br w:val="nil"/>
              <w:tr2bl w:val="nil"/>
            </w:tcBorders>
            <w:shd w:val="clear" w:color="FFFFFF" w:fill="FFFFFF"/>
            <w:noWrap/>
            <w:tcMar>
              <w:left w:w="101" w:type="dxa"/>
              <w:right w:w="101" w:type="dxa"/>
            </w:tcMar>
          </w:tcPr>
          <w:p w14:paraId="559D29FF"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0961061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6,841,210</w:t>
            </w:r>
          </w:p>
        </w:tc>
        <w:tc>
          <w:tcPr>
            <w:tcW w:w="1035" w:type="dxa"/>
            <w:tcBorders>
              <w:top w:val="nil"/>
              <w:left w:val="nil"/>
              <w:bottom w:val="nil"/>
              <w:right w:val="nil"/>
              <w:tl2br w:val="nil"/>
              <w:tr2bl w:val="nil"/>
            </w:tcBorders>
            <w:shd w:val="clear" w:color="FFFFFF" w:fill="FFFFFF"/>
            <w:tcMar>
              <w:left w:w="101" w:type="dxa"/>
              <w:right w:w="101" w:type="dxa"/>
            </w:tcMar>
          </w:tcPr>
          <w:p w14:paraId="6A343E48"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6,903,275</w:t>
            </w:r>
          </w:p>
        </w:tc>
        <w:tc>
          <w:tcPr>
            <w:tcW w:w="600" w:type="dxa"/>
            <w:tcBorders>
              <w:top w:val="nil"/>
              <w:left w:val="nil"/>
              <w:bottom w:val="nil"/>
              <w:right w:val="nil"/>
              <w:tl2br w:val="nil"/>
              <w:tr2bl w:val="nil"/>
            </w:tcBorders>
            <w:shd w:val="clear" w:color="FFFFFF" w:fill="FFFFFF"/>
            <w:tcMar>
              <w:left w:w="101" w:type="dxa"/>
              <w:right w:w="101" w:type="dxa"/>
            </w:tcMar>
          </w:tcPr>
          <w:p w14:paraId="71462F63"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C94E400"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6,854,157</w:t>
            </w:r>
          </w:p>
        </w:tc>
        <w:tc>
          <w:tcPr>
            <w:tcW w:w="1035" w:type="dxa"/>
            <w:tcBorders>
              <w:top w:val="nil"/>
              <w:left w:val="nil"/>
              <w:bottom w:val="nil"/>
              <w:right w:val="nil"/>
              <w:tl2br w:val="nil"/>
              <w:tr2bl w:val="nil"/>
            </w:tcBorders>
            <w:shd w:val="clear" w:color="FFFFFF" w:fill="FFFFFF"/>
            <w:tcMar>
              <w:left w:w="101" w:type="dxa"/>
              <w:right w:w="101" w:type="dxa"/>
            </w:tcMar>
          </w:tcPr>
          <w:p w14:paraId="66FB915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6,965,498</w:t>
            </w:r>
          </w:p>
        </w:tc>
        <w:tc>
          <w:tcPr>
            <w:tcW w:w="1035" w:type="dxa"/>
            <w:tcBorders>
              <w:top w:val="nil"/>
              <w:left w:val="nil"/>
              <w:bottom w:val="nil"/>
              <w:right w:val="nil"/>
              <w:tl2br w:val="nil"/>
              <w:tr2bl w:val="nil"/>
            </w:tcBorders>
            <w:shd w:val="clear" w:color="FFFFFF" w:fill="FFFFFF"/>
            <w:tcMar>
              <w:left w:w="101" w:type="dxa"/>
              <w:right w:w="101" w:type="dxa"/>
            </w:tcMar>
          </w:tcPr>
          <w:p w14:paraId="5C0493E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6,900,848</w:t>
            </w:r>
          </w:p>
        </w:tc>
      </w:tr>
      <w:tr w:rsidR="00EF18CC" w14:paraId="48F9C70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FD58BBF"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E5F0C01"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5C78A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8E577F"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BF640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6D1F8F"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608192"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57A8F7" w14:textId="77777777" w:rsidR="00EF18CC" w:rsidRDefault="00EF18CC" w:rsidP="006D3501">
            <w:pPr>
              <w:pStyle w:val="Normal7"/>
              <w:rPr>
                <w:rFonts w:ascii="Calibri" w:eastAsia="Calibri" w:hAnsi="Calibri" w:cs="Calibri"/>
                <w:color w:val="000000"/>
                <w:sz w:val="18"/>
              </w:rPr>
            </w:pPr>
          </w:p>
        </w:tc>
      </w:tr>
      <w:tr w:rsidR="00EF18CC" w14:paraId="09CC814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54187A"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23BD31F"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C1EF4B9"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9F3A58"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8E2A58"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FB4CC8"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BD743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1F45FB" w14:textId="77777777" w:rsidR="00EF18CC" w:rsidRDefault="00EF18CC" w:rsidP="006D3501">
            <w:pPr>
              <w:pStyle w:val="Normal7"/>
              <w:rPr>
                <w:rFonts w:ascii="Calibri" w:eastAsia="Calibri" w:hAnsi="Calibri" w:cs="Calibri"/>
                <w:color w:val="000000"/>
                <w:sz w:val="18"/>
              </w:rPr>
            </w:pPr>
          </w:p>
        </w:tc>
      </w:tr>
      <w:tr w:rsidR="00EF18CC" w14:paraId="7F422C8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886B7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11,400</w:t>
            </w:r>
          </w:p>
        </w:tc>
        <w:tc>
          <w:tcPr>
            <w:tcW w:w="2385" w:type="dxa"/>
            <w:tcBorders>
              <w:top w:val="nil"/>
              <w:left w:val="nil"/>
              <w:bottom w:val="nil"/>
              <w:right w:val="nil"/>
              <w:tl2br w:val="nil"/>
              <w:tr2bl w:val="nil"/>
            </w:tcBorders>
            <w:shd w:val="clear" w:color="FFFFFF" w:fill="FFFFFF"/>
            <w:noWrap/>
            <w:tcMar>
              <w:left w:w="101" w:type="dxa"/>
              <w:right w:w="101" w:type="dxa"/>
            </w:tcMar>
          </w:tcPr>
          <w:p w14:paraId="5D908D6C"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0D8E617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9,875</w:t>
            </w:r>
          </w:p>
        </w:tc>
        <w:tc>
          <w:tcPr>
            <w:tcW w:w="1035" w:type="dxa"/>
            <w:tcBorders>
              <w:top w:val="nil"/>
              <w:left w:val="nil"/>
              <w:bottom w:val="nil"/>
              <w:right w:val="nil"/>
              <w:tl2br w:val="nil"/>
              <w:tr2bl w:val="nil"/>
            </w:tcBorders>
            <w:shd w:val="clear" w:color="FFFFFF" w:fill="FFFFFF"/>
            <w:tcMar>
              <w:left w:w="101" w:type="dxa"/>
              <w:right w:w="101" w:type="dxa"/>
            </w:tcMar>
          </w:tcPr>
          <w:p w14:paraId="2A3E0E6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9,883</w:t>
            </w:r>
          </w:p>
        </w:tc>
        <w:tc>
          <w:tcPr>
            <w:tcW w:w="600" w:type="dxa"/>
            <w:tcBorders>
              <w:top w:val="nil"/>
              <w:left w:val="nil"/>
              <w:bottom w:val="nil"/>
              <w:right w:val="nil"/>
              <w:tl2br w:val="nil"/>
              <w:tr2bl w:val="nil"/>
            </w:tcBorders>
            <w:shd w:val="clear" w:color="FFFFFF" w:fill="FFFFFF"/>
            <w:tcMar>
              <w:left w:w="101" w:type="dxa"/>
              <w:right w:w="101" w:type="dxa"/>
            </w:tcMar>
          </w:tcPr>
          <w:p w14:paraId="29BAC4F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D23A2ED"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9,891</w:t>
            </w:r>
          </w:p>
        </w:tc>
        <w:tc>
          <w:tcPr>
            <w:tcW w:w="1035" w:type="dxa"/>
            <w:tcBorders>
              <w:top w:val="nil"/>
              <w:left w:val="nil"/>
              <w:bottom w:val="nil"/>
              <w:right w:val="nil"/>
              <w:tl2br w:val="nil"/>
              <w:tr2bl w:val="nil"/>
            </w:tcBorders>
            <w:shd w:val="clear" w:color="FFFFFF" w:fill="FFFFFF"/>
            <w:tcMar>
              <w:left w:w="101" w:type="dxa"/>
              <w:right w:w="101" w:type="dxa"/>
            </w:tcMar>
          </w:tcPr>
          <w:p w14:paraId="5B2E64D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9,899</w:t>
            </w:r>
          </w:p>
        </w:tc>
        <w:tc>
          <w:tcPr>
            <w:tcW w:w="1035" w:type="dxa"/>
            <w:tcBorders>
              <w:top w:val="nil"/>
              <w:left w:val="nil"/>
              <w:bottom w:val="nil"/>
              <w:right w:val="nil"/>
              <w:tl2br w:val="nil"/>
              <w:tr2bl w:val="nil"/>
            </w:tcBorders>
            <w:shd w:val="clear" w:color="FFFFFF" w:fill="FFFFFF"/>
            <w:tcMar>
              <w:left w:w="101" w:type="dxa"/>
              <w:right w:w="101" w:type="dxa"/>
            </w:tcMar>
          </w:tcPr>
          <w:p w14:paraId="1DDE968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9,907</w:t>
            </w:r>
          </w:p>
        </w:tc>
      </w:tr>
      <w:tr w:rsidR="00EF18CC" w14:paraId="272EBD6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B4508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4,265</w:t>
            </w:r>
          </w:p>
        </w:tc>
        <w:tc>
          <w:tcPr>
            <w:tcW w:w="2385" w:type="dxa"/>
            <w:tcBorders>
              <w:top w:val="nil"/>
              <w:left w:val="nil"/>
              <w:bottom w:val="nil"/>
              <w:right w:val="nil"/>
              <w:tl2br w:val="nil"/>
              <w:tr2bl w:val="nil"/>
            </w:tcBorders>
            <w:shd w:val="clear" w:color="FFFFFF" w:fill="FFFFFF"/>
            <w:noWrap/>
            <w:tcMar>
              <w:left w:w="101" w:type="dxa"/>
              <w:right w:w="101" w:type="dxa"/>
            </w:tcMar>
          </w:tcPr>
          <w:p w14:paraId="28821825"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1E519C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4,265</w:t>
            </w:r>
          </w:p>
        </w:tc>
        <w:tc>
          <w:tcPr>
            <w:tcW w:w="1035" w:type="dxa"/>
            <w:tcBorders>
              <w:top w:val="nil"/>
              <w:left w:val="nil"/>
              <w:bottom w:val="nil"/>
              <w:right w:val="nil"/>
              <w:tl2br w:val="nil"/>
              <w:tr2bl w:val="nil"/>
            </w:tcBorders>
            <w:shd w:val="clear" w:color="FFFFFF" w:fill="FFFFFF"/>
            <w:tcMar>
              <w:left w:w="101" w:type="dxa"/>
              <w:right w:w="101" w:type="dxa"/>
            </w:tcMar>
          </w:tcPr>
          <w:p w14:paraId="6D1A0AE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4,068</w:t>
            </w:r>
          </w:p>
        </w:tc>
        <w:tc>
          <w:tcPr>
            <w:tcW w:w="600" w:type="dxa"/>
            <w:tcBorders>
              <w:top w:val="nil"/>
              <w:left w:val="nil"/>
              <w:bottom w:val="nil"/>
              <w:right w:val="nil"/>
              <w:tl2br w:val="nil"/>
              <w:tr2bl w:val="nil"/>
            </w:tcBorders>
            <w:shd w:val="clear" w:color="FFFFFF" w:fill="FFFFFF"/>
            <w:tcMar>
              <w:left w:w="101" w:type="dxa"/>
              <w:right w:w="101" w:type="dxa"/>
            </w:tcMar>
          </w:tcPr>
          <w:p w14:paraId="1B21418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65DC54A0"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3,865</w:t>
            </w:r>
          </w:p>
        </w:tc>
        <w:tc>
          <w:tcPr>
            <w:tcW w:w="1035" w:type="dxa"/>
            <w:tcBorders>
              <w:top w:val="nil"/>
              <w:left w:val="nil"/>
              <w:bottom w:val="nil"/>
              <w:right w:val="nil"/>
              <w:tl2br w:val="nil"/>
              <w:tr2bl w:val="nil"/>
            </w:tcBorders>
            <w:shd w:val="clear" w:color="FFFFFF" w:fill="FFFFFF"/>
            <w:tcMar>
              <w:left w:w="101" w:type="dxa"/>
              <w:right w:w="101" w:type="dxa"/>
            </w:tcMar>
          </w:tcPr>
          <w:p w14:paraId="50A763E0"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3,593</w:t>
            </w:r>
          </w:p>
        </w:tc>
        <w:tc>
          <w:tcPr>
            <w:tcW w:w="1035" w:type="dxa"/>
            <w:tcBorders>
              <w:top w:val="nil"/>
              <w:left w:val="nil"/>
              <w:bottom w:val="nil"/>
              <w:right w:val="nil"/>
              <w:tl2br w:val="nil"/>
              <w:tr2bl w:val="nil"/>
            </w:tcBorders>
            <w:shd w:val="clear" w:color="FFFFFF" w:fill="FFFFFF"/>
            <w:tcMar>
              <w:left w:w="101" w:type="dxa"/>
              <w:right w:w="101" w:type="dxa"/>
            </w:tcMar>
          </w:tcPr>
          <w:p w14:paraId="40AF7BD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3,321</w:t>
            </w:r>
          </w:p>
        </w:tc>
      </w:tr>
      <w:tr w:rsidR="00EF18CC" w14:paraId="625FC08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25BBAA"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109</w:t>
            </w:r>
          </w:p>
        </w:tc>
        <w:tc>
          <w:tcPr>
            <w:tcW w:w="2385" w:type="dxa"/>
            <w:tcBorders>
              <w:top w:val="nil"/>
              <w:left w:val="nil"/>
              <w:bottom w:val="nil"/>
              <w:right w:val="nil"/>
              <w:tl2br w:val="nil"/>
              <w:tr2bl w:val="nil"/>
            </w:tcBorders>
            <w:shd w:val="clear" w:color="FFFFFF" w:fill="FFFFFF"/>
            <w:noWrap/>
            <w:tcMar>
              <w:left w:w="101" w:type="dxa"/>
              <w:right w:w="101" w:type="dxa"/>
            </w:tcMar>
          </w:tcPr>
          <w:p w14:paraId="0D9D4406"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654756C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91</w:t>
            </w:r>
          </w:p>
        </w:tc>
        <w:tc>
          <w:tcPr>
            <w:tcW w:w="1035" w:type="dxa"/>
            <w:tcBorders>
              <w:top w:val="nil"/>
              <w:left w:val="nil"/>
              <w:bottom w:val="nil"/>
              <w:right w:val="nil"/>
              <w:tl2br w:val="nil"/>
              <w:tr2bl w:val="nil"/>
            </w:tcBorders>
            <w:shd w:val="clear" w:color="FFFFFF" w:fill="FFFFFF"/>
            <w:tcMar>
              <w:left w:w="101" w:type="dxa"/>
              <w:right w:w="101" w:type="dxa"/>
            </w:tcMar>
          </w:tcPr>
          <w:p w14:paraId="7CD9A7E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450C047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-62 </w:t>
            </w:r>
          </w:p>
        </w:tc>
        <w:tc>
          <w:tcPr>
            <w:tcW w:w="1035" w:type="dxa"/>
            <w:tcBorders>
              <w:top w:val="nil"/>
              <w:left w:val="nil"/>
              <w:bottom w:val="nil"/>
              <w:right w:val="nil"/>
              <w:tl2br w:val="nil"/>
              <w:tr2bl w:val="nil"/>
            </w:tcBorders>
            <w:shd w:val="clear" w:color="FFFFFF" w:fill="FFFFFF"/>
            <w:tcMar>
              <w:left w:w="101" w:type="dxa"/>
              <w:right w:w="101" w:type="dxa"/>
            </w:tcMar>
          </w:tcPr>
          <w:p w14:paraId="791338B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172CFBD"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C98862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EF18CC" w14:paraId="573AD1E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E6957D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10,123</w:t>
            </w:r>
          </w:p>
        </w:tc>
        <w:tc>
          <w:tcPr>
            <w:tcW w:w="2385" w:type="dxa"/>
            <w:tcBorders>
              <w:top w:val="nil"/>
              <w:left w:val="nil"/>
              <w:bottom w:val="nil"/>
              <w:right w:val="nil"/>
              <w:tl2br w:val="nil"/>
              <w:tr2bl w:val="nil"/>
            </w:tcBorders>
            <w:shd w:val="clear" w:color="FFFFFF" w:fill="FFFFFF"/>
            <w:noWrap/>
            <w:tcMar>
              <w:left w:w="101" w:type="dxa"/>
              <w:right w:w="101" w:type="dxa"/>
            </w:tcMar>
          </w:tcPr>
          <w:p w14:paraId="7A5B2B9D"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16A530C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10,102</w:t>
            </w:r>
          </w:p>
        </w:tc>
        <w:tc>
          <w:tcPr>
            <w:tcW w:w="1035" w:type="dxa"/>
            <w:tcBorders>
              <w:top w:val="nil"/>
              <w:left w:val="nil"/>
              <w:bottom w:val="nil"/>
              <w:right w:val="nil"/>
              <w:tl2br w:val="nil"/>
              <w:tr2bl w:val="nil"/>
            </w:tcBorders>
            <w:shd w:val="clear" w:color="FFFFFF" w:fill="FFFFFF"/>
            <w:tcMar>
              <w:left w:w="101" w:type="dxa"/>
              <w:right w:w="101" w:type="dxa"/>
            </w:tcMar>
          </w:tcPr>
          <w:p w14:paraId="5A4E119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10,396</w:t>
            </w:r>
          </w:p>
        </w:tc>
        <w:tc>
          <w:tcPr>
            <w:tcW w:w="600" w:type="dxa"/>
            <w:tcBorders>
              <w:top w:val="nil"/>
              <w:left w:val="nil"/>
              <w:bottom w:val="nil"/>
              <w:right w:val="nil"/>
              <w:tl2br w:val="nil"/>
              <w:tr2bl w:val="nil"/>
            </w:tcBorders>
            <w:shd w:val="clear" w:color="FFFFFF" w:fill="FFFFFF"/>
            <w:tcMar>
              <w:left w:w="101" w:type="dxa"/>
              <w:right w:w="101" w:type="dxa"/>
            </w:tcMar>
          </w:tcPr>
          <w:p w14:paraId="0005EE5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E95CF6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10,699</w:t>
            </w:r>
          </w:p>
        </w:tc>
        <w:tc>
          <w:tcPr>
            <w:tcW w:w="1035" w:type="dxa"/>
            <w:tcBorders>
              <w:top w:val="nil"/>
              <w:left w:val="nil"/>
              <w:bottom w:val="nil"/>
              <w:right w:val="nil"/>
              <w:tl2br w:val="nil"/>
              <w:tr2bl w:val="nil"/>
            </w:tcBorders>
            <w:shd w:val="clear" w:color="FFFFFF" w:fill="FFFFFF"/>
            <w:tcMar>
              <w:left w:w="101" w:type="dxa"/>
              <w:right w:w="101" w:type="dxa"/>
            </w:tcMar>
          </w:tcPr>
          <w:p w14:paraId="5441B08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11,017</w:t>
            </w:r>
          </w:p>
        </w:tc>
        <w:tc>
          <w:tcPr>
            <w:tcW w:w="1035" w:type="dxa"/>
            <w:tcBorders>
              <w:top w:val="nil"/>
              <w:left w:val="nil"/>
              <w:bottom w:val="nil"/>
              <w:right w:val="nil"/>
              <w:tl2br w:val="nil"/>
              <w:tr2bl w:val="nil"/>
            </w:tcBorders>
            <w:shd w:val="clear" w:color="FFFFFF" w:fill="FFFFFF"/>
            <w:tcMar>
              <w:left w:w="101" w:type="dxa"/>
              <w:right w:w="101" w:type="dxa"/>
            </w:tcMar>
          </w:tcPr>
          <w:p w14:paraId="771E0F3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11,351</w:t>
            </w:r>
          </w:p>
        </w:tc>
      </w:tr>
      <w:tr w:rsidR="00EF18CC" w14:paraId="3F5612A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94513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5,303</w:t>
            </w:r>
          </w:p>
        </w:tc>
        <w:tc>
          <w:tcPr>
            <w:tcW w:w="2385" w:type="dxa"/>
            <w:tcBorders>
              <w:top w:val="nil"/>
              <w:left w:val="nil"/>
              <w:bottom w:val="nil"/>
              <w:right w:val="nil"/>
              <w:tl2br w:val="nil"/>
              <w:tr2bl w:val="nil"/>
            </w:tcBorders>
            <w:shd w:val="clear" w:color="FFFFFF" w:fill="FFFFFF"/>
            <w:noWrap/>
            <w:tcMar>
              <w:left w:w="101" w:type="dxa"/>
              <w:right w:w="101" w:type="dxa"/>
            </w:tcMar>
          </w:tcPr>
          <w:p w14:paraId="02FD2000"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3C1522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5,621</w:t>
            </w:r>
          </w:p>
        </w:tc>
        <w:tc>
          <w:tcPr>
            <w:tcW w:w="1035" w:type="dxa"/>
            <w:tcBorders>
              <w:top w:val="nil"/>
              <w:left w:val="nil"/>
              <w:bottom w:val="nil"/>
              <w:right w:val="nil"/>
              <w:tl2br w:val="nil"/>
              <w:tr2bl w:val="nil"/>
            </w:tcBorders>
            <w:shd w:val="clear" w:color="FFFFFF" w:fill="FFFFFF"/>
            <w:tcMar>
              <w:left w:w="101" w:type="dxa"/>
              <w:right w:w="101" w:type="dxa"/>
            </w:tcMar>
          </w:tcPr>
          <w:p w14:paraId="6A78835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5,478</w:t>
            </w:r>
          </w:p>
        </w:tc>
        <w:tc>
          <w:tcPr>
            <w:tcW w:w="600" w:type="dxa"/>
            <w:tcBorders>
              <w:top w:val="nil"/>
              <w:left w:val="nil"/>
              <w:bottom w:val="nil"/>
              <w:right w:val="nil"/>
              <w:tl2br w:val="nil"/>
              <w:tr2bl w:val="nil"/>
            </w:tcBorders>
            <w:shd w:val="clear" w:color="FFFFFF" w:fill="FFFFFF"/>
            <w:tcMar>
              <w:left w:w="101" w:type="dxa"/>
              <w:right w:w="101" w:type="dxa"/>
            </w:tcMar>
          </w:tcPr>
          <w:p w14:paraId="2C52CEA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FCE01A0"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5,329</w:t>
            </w:r>
          </w:p>
        </w:tc>
        <w:tc>
          <w:tcPr>
            <w:tcW w:w="1035" w:type="dxa"/>
            <w:tcBorders>
              <w:top w:val="nil"/>
              <w:left w:val="nil"/>
              <w:bottom w:val="nil"/>
              <w:right w:val="nil"/>
              <w:tl2br w:val="nil"/>
              <w:tr2bl w:val="nil"/>
            </w:tcBorders>
            <w:shd w:val="clear" w:color="FFFFFF" w:fill="FFFFFF"/>
            <w:tcMar>
              <w:left w:w="101" w:type="dxa"/>
              <w:right w:w="101" w:type="dxa"/>
            </w:tcMar>
          </w:tcPr>
          <w:p w14:paraId="1D21631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5,241</w:t>
            </w:r>
          </w:p>
        </w:tc>
        <w:tc>
          <w:tcPr>
            <w:tcW w:w="1035" w:type="dxa"/>
            <w:tcBorders>
              <w:top w:val="nil"/>
              <w:left w:val="nil"/>
              <w:bottom w:val="nil"/>
              <w:right w:val="nil"/>
              <w:tl2br w:val="nil"/>
              <w:tr2bl w:val="nil"/>
            </w:tcBorders>
            <w:shd w:val="clear" w:color="FFFFFF" w:fill="FFFFFF"/>
            <w:tcMar>
              <w:left w:w="101" w:type="dxa"/>
              <w:right w:w="101" w:type="dxa"/>
            </w:tcMar>
          </w:tcPr>
          <w:p w14:paraId="24E34EE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5,086</w:t>
            </w:r>
          </w:p>
        </w:tc>
      </w:tr>
      <w:tr w:rsidR="00EF18CC" w14:paraId="3D9C8D4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16C013"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7D37B35"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2A8614"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66A7B2"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3C503A" w14:textId="77777777" w:rsidR="00EF18CC" w:rsidRDefault="00EF18CC" w:rsidP="006D3501">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DE7E83"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A83F55"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926E40" w14:textId="77777777" w:rsidR="00EF18CC" w:rsidRDefault="00EF18CC" w:rsidP="006D3501">
            <w:pPr>
              <w:pStyle w:val="Normal7"/>
              <w:rPr>
                <w:rFonts w:ascii="Calibri" w:eastAsia="Calibri" w:hAnsi="Calibri" w:cs="Calibri"/>
                <w:color w:val="000000"/>
                <w:sz w:val="18"/>
              </w:rPr>
            </w:pPr>
          </w:p>
        </w:tc>
      </w:tr>
      <w:tr w:rsidR="00EF18CC" w14:paraId="6ED0AD7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9E5AD12"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31,200</w:t>
            </w:r>
          </w:p>
        </w:tc>
        <w:tc>
          <w:tcPr>
            <w:tcW w:w="2385" w:type="dxa"/>
            <w:tcBorders>
              <w:top w:val="nil"/>
              <w:left w:val="nil"/>
              <w:bottom w:val="nil"/>
              <w:right w:val="nil"/>
              <w:tl2br w:val="nil"/>
              <w:tr2bl w:val="nil"/>
            </w:tcBorders>
            <w:shd w:val="clear" w:color="FFFFFF" w:fill="FFFFFF"/>
            <w:noWrap/>
            <w:tcMar>
              <w:left w:w="101" w:type="dxa"/>
              <w:right w:w="101" w:type="dxa"/>
            </w:tcMar>
          </w:tcPr>
          <w:p w14:paraId="3B2D6D2C"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8C1FE7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29,954</w:t>
            </w:r>
          </w:p>
        </w:tc>
        <w:tc>
          <w:tcPr>
            <w:tcW w:w="1035" w:type="dxa"/>
            <w:tcBorders>
              <w:top w:val="nil"/>
              <w:left w:val="nil"/>
              <w:bottom w:val="nil"/>
              <w:right w:val="nil"/>
              <w:tl2br w:val="nil"/>
              <w:tr2bl w:val="nil"/>
            </w:tcBorders>
            <w:shd w:val="clear" w:color="FFFFFF" w:fill="FFFFFF"/>
            <w:noWrap/>
            <w:tcMar>
              <w:left w:w="101" w:type="dxa"/>
              <w:right w:w="101" w:type="dxa"/>
            </w:tcMar>
          </w:tcPr>
          <w:p w14:paraId="254BC7A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29,860</w:t>
            </w:r>
          </w:p>
        </w:tc>
        <w:tc>
          <w:tcPr>
            <w:tcW w:w="600" w:type="dxa"/>
            <w:tcBorders>
              <w:top w:val="nil"/>
              <w:left w:val="nil"/>
              <w:bottom w:val="nil"/>
              <w:right w:val="nil"/>
              <w:tl2br w:val="nil"/>
              <w:tr2bl w:val="nil"/>
            </w:tcBorders>
            <w:shd w:val="clear" w:color="FFFFFF" w:fill="FFFFFF"/>
            <w:tcMar>
              <w:left w:w="101" w:type="dxa"/>
              <w:right w:w="101" w:type="dxa"/>
            </w:tcMar>
          </w:tcPr>
          <w:p w14:paraId="67379395"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259843"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29,784</w:t>
            </w:r>
          </w:p>
        </w:tc>
        <w:tc>
          <w:tcPr>
            <w:tcW w:w="1035" w:type="dxa"/>
            <w:tcBorders>
              <w:top w:val="nil"/>
              <w:left w:val="nil"/>
              <w:bottom w:val="nil"/>
              <w:right w:val="nil"/>
              <w:tl2br w:val="nil"/>
              <w:tr2bl w:val="nil"/>
            </w:tcBorders>
            <w:shd w:val="clear" w:color="FFFFFF" w:fill="FFFFFF"/>
            <w:noWrap/>
            <w:tcMar>
              <w:left w:w="101" w:type="dxa"/>
              <w:right w:w="101" w:type="dxa"/>
            </w:tcMar>
          </w:tcPr>
          <w:p w14:paraId="6F4F3A13"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29,750</w:t>
            </w:r>
          </w:p>
        </w:tc>
        <w:tc>
          <w:tcPr>
            <w:tcW w:w="1035" w:type="dxa"/>
            <w:tcBorders>
              <w:top w:val="nil"/>
              <w:left w:val="nil"/>
              <w:bottom w:val="nil"/>
              <w:right w:val="nil"/>
              <w:tl2br w:val="nil"/>
              <w:tr2bl w:val="nil"/>
            </w:tcBorders>
            <w:shd w:val="clear" w:color="FFFFFF" w:fill="FFFFFF"/>
            <w:noWrap/>
            <w:tcMar>
              <w:left w:w="101" w:type="dxa"/>
              <w:right w:w="101" w:type="dxa"/>
            </w:tcMar>
          </w:tcPr>
          <w:p w14:paraId="4D73CEC8"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29,665</w:t>
            </w:r>
          </w:p>
        </w:tc>
      </w:tr>
      <w:tr w:rsidR="00EF18CC" w14:paraId="506BC58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9A9946"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3F6E860"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3D6B77"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507DBB"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F47668" w14:textId="77777777" w:rsidR="00EF18CC" w:rsidRDefault="00EF18CC" w:rsidP="006D3501">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6F36D9"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97C5C0"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8A22F3" w14:textId="77777777" w:rsidR="00EF18CC" w:rsidRDefault="00EF18CC" w:rsidP="006D3501">
            <w:pPr>
              <w:pStyle w:val="Normal7"/>
              <w:rPr>
                <w:rFonts w:ascii="Calibri" w:eastAsia="Calibri" w:hAnsi="Calibri" w:cs="Calibri"/>
                <w:color w:val="000000"/>
                <w:sz w:val="18"/>
              </w:rPr>
            </w:pPr>
          </w:p>
        </w:tc>
      </w:tr>
      <w:tr w:rsidR="00EF18CC" w14:paraId="1C9552C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85B28B"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11F6AEC" w14:textId="77777777" w:rsidR="00EF18CC" w:rsidRDefault="00EF18CC" w:rsidP="006D3501">
            <w:pPr>
              <w:pStyle w:val="Normal7"/>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7D558CD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08FB48"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9CD7A4" w14:textId="77777777" w:rsidR="00EF18CC" w:rsidRDefault="00EF18CC" w:rsidP="006D3501">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098A4A"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0B1F50"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BCFF26" w14:textId="77777777" w:rsidR="00EF18CC" w:rsidRDefault="00EF18CC" w:rsidP="006D3501">
            <w:pPr>
              <w:pStyle w:val="Normal7"/>
              <w:rPr>
                <w:rFonts w:ascii="Calibri" w:eastAsia="Calibri" w:hAnsi="Calibri" w:cs="Calibri"/>
                <w:color w:val="000000"/>
                <w:sz w:val="18"/>
              </w:rPr>
            </w:pPr>
          </w:p>
        </w:tc>
      </w:tr>
      <w:tr w:rsidR="00EF18CC" w14:paraId="0CB2F63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94C35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40,300</w:t>
            </w:r>
          </w:p>
        </w:tc>
        <w:tc>
          <w:tcPr>
            <w:tcW w:w="2385" w:type="dxa"/>
            <w:tcBorders>
              <w:top w:val="nil"/>
              <w:left w:val="nil"/>
              <w:bottom w:val="nil"/>
              <w:right w:val="nil"/>
              <w:tl2br w:val="nil"/>
              <w:tr2bl w:val="nil"/>
            </w:tcBorders>
            <w:shd w:val="clear" w:color="FFFFFF" w:fill="FFFFFF"/>
            <w:noWrap/>
            <w:tcMar>
              <w:left w:w="101" w:type="dxa"/>
              <w:right w:w="101" w:type="dxa"/>
            </w:tcMar>
          </w:tcPr>
          <w:p w14:paraId="11173C99"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37C787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40,301</w:t>
            </w:r>
          </w:p>
        </w:tc>
        <w:tc>
          <w:tcPr>
            <w:tcW w:w="1035" w:type="dxa"/>
            <w:tcBorders>
              <w:top w:val="nil"/>
              <w:left w:val="nil"/>
              <w:bottom w:val="nil"/>
              <w:right w:val="nil"/>
              <w:tl2br w:val="nil"/>
              <w:tr2bl w:val="nil"/>
            </w:tcBorders>
            <w:shd w:val="clear" w:color="FFFFFF" w:fill="FFFFFF"/>
            <w:tcMar>
              <w:left w:w="101" w:type="dxa"/>
              <w:right w:w="101" w:type="dxa"/>
            </w:tcMar>
          </w:tcPr>
          <w:p w14:paraId="1925967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36,232</w:t>
            </w:r>
          </w:p>
        </w:tc>
        <w:tc>
          <w:tcPr>
            <w:tcW w:w="600" w:type="dxa"/>
            <w:tcBorders>
              <w:top w:val="nil"/>
              <w:left w:val="nil"/>
              <w:bottom w:val="nil"/>
              <w:right w:val="nil"/>
              <w:tl2br w:val="nil"/>
              <w:tr2bl w:val="nil"/>
            </w:tcBorders>
            <w:shd w:val="clear" w:color="FFFFFF" w:fill="FFFFFF"/>
            <w:tcMar>
              <w:left w:w="101" w:type="dxa"/>
              <w:right w:w="101" w:type="dxa"/>
            </w:tcMar>
          </w:tcPr>
          <w:p w14:paraId="520A200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697BB3B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32,367</w:t>
            </w:r>
          </w:p>
        </w:tc>
        <w:tc>
          <w:tcPr>
            <w:tcW w:w="1035" w:type="dxa"/>
            <w:tcBorders>
              <w:top w:val="nil"/>
              <w:left w:val="nil"/>
              <w:bottom w:val="nil"/>
              <w:right w:val="nil"/>
              <w:tl2br w:val="nil"/>
              <w:tr2bl w:val="nil"/>
            </w:tcBorders>
            <w:shd w:val="clear" w:color="FFFFFF" w:fill="FFFFFF"/>
            <w:tcMar>
              <w:left w:w="101" w:type="dxa"/>
              <w:right w:w="101" w:type="dxa"/>
            </w:tcMar>
          </w:tcPr>
          <w:p w14:paraId="49AA410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28,774</w:t>
            </w:r>
          </w:p>
        </w:tc>
        <w:tc>
          <w:tcPr>
            <w:tcW w:w="1035" w:type="dxa"/>
            <w:tcBorders>
              <w:top w:val="nil"/>
              <w:left w:val="nil"/>
              <w:bottom w:val="nil"/>
              <w:right w:val="nil"/>
              <w:tl2br w:val="nil"/>
              <w:tr2bl w:val="nil"/>
            </w:tcBorders>
            <w:shd w:val="clear" w:color="FFFFFF" w:fill="FFFFFF"/>
            <w:tcMar>
              <w:left w:w="101" w:type="dxa"/>
              <w:right w:w="101" w:type="dxa"/>
            </w:tcMar>
          </w:tcPr>
          <w:p w14:paraId="238DA9A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25,181</w:t>
            </w:r>
          </w:p>
        </w:tc>
      </w:tr>
      <w:tr w:rsidR="00EF18CC" w14:paraId="1512DE2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9B6CF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131</w:t>
            </w:r>
          </w:p>
        </w:tc>
        <w:tc>
          <w:tcPr>
            <w:tcW w:w="2385" w:type="dxa"/>
            <w:tcBorders>
              <w:top w:val="nil"/>
              <w:left w:val="nil"/>
              <w:bottom w:val="nil"/>
              <w:right w:val="nil"/>
              <w:tl2br w:val="nil"/>
              <w:tr2bl w:val="nil"/>
            </w:tcBorders>
            <w:shd w:val="clear" w:color="FFFFFF" w:fill="FFFFFF"/>
            <w:noWrap/>
            <w:tcMar>
              <w:left w:w="101" w:type="dxa"/>
              <w:right w:w="101" w:type="dxa"/>
            </w:tcMar>
          </w:tcPr>
          <w:p w14:paraId="0DAF7422"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F06E54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198</w:t>
            </w:r>
          </w:p>
        </w:tc>
        <w:tc>
          <w:tcPr>
            <w:tcW w:w="1035" w:type="dxa"/>
            <w:tcBorders>
              <w:top w:val="nil"/>
              <w:left w:val="nil"/>
              <w:bottom w:val="nil"/>
              <w:right w:val="nil"/>
              <w:tl2br w:val="nil"/>
              <w:tr2bl w:val="nil"/>
            </w:tcBorders>
            <w:shd w:val="clear" w:color="FFFFFF" w:fill="FFFFFF"/>
            <w:tcMar>
              <w:left w:w="101" w:type="dxa"/>
              <w:right w:w="101" w:type="dxa"/>
            </w:tcMar>
          </w:tcPr>
          <w:p w14:paraId="66961BEC"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129</w:t>
            </w:r>
          </w:p>
        </w:tc>
        <w:tc>
          <w:tcPr>
            <w:tcW w:w="600" w:type="dxa"/>
            <w:tcBorders>
              <w:top w:val="nil"/>
              <w:left w:val="nil"/>
              <w:bottom w:val="nil"/>
              <w:right w:val="nil"/>
              <w:tl2br w:val="nil"/>
              <w:tr2bl w:val="nil"/>
            </w:tcBorders>
            <w:shd w:val="clear" w:color="FFFFFF" w:fill="FFFFFF"/>
            <w:tcMar>
              <w:left w:w="101" w:type="dxa"/>
              <w:right w:w="101" w:type="dxa"/>
            </w:tcMar>
          </w:tcPr>
          <w:p w14:paraId="27BA0BB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27615E2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67</w:t>
            </w:r>
          </w:p>
        </w:tc>
        <w:tc>
          <w:tcPr>
            <w:tcW w:w="1035" w:type="dxa"/>
            <w:tcBorders>
              <w:top w:val="nil"/>
              <w:left w:val="nil"/>
              <w:bottom w:val="nil"/>
              <w:right w:val="nil"/>
              <w:tl2br w:val="nil"/>
              <w:tr2bl w:val="nil"/>
            </w:tcBorders>
            <w:shd w:val="clear" w:color="FFFFFF" w:fill="FFFFFF"/>
            <w:tcMar>
              <w:left w:w="101" w:type="dxa"/>
              <w:right w:w="101" w:type="dxa"/>
            </w:tcMar>
          </w:tcPr>
          <w:p w14:paraId="5D65C7B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ACD27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r>
      <w:tr w:rsidR="00EF18CC" w14:paraId="3EB526B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E207A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585</w:t>
            </w:r>
          </w:p>
        </w:tc>
        <w:tc>
          <w:tcPr>
            <w:tcW w:w="2385" w:type="dxa"/>
            <w:tcBorders>
              <w:top w:val="nil"/>
              <w:left w:val="nil"/>
              <w:bottom w:val="nil"/>
              <w:right w:val="nil"/>
              <w:tl2br w:val="nil"/>
              <w:tr2bl w:val="nil"/>
            </w:tcBorders>
            <w:shd w:val="clear" w:color="FFFFFF" w:fill="FFFFFF"/>
            <w:noWrap/>
            <w:tcMar>
              <w:left w:w="101" w:type="dxa"/>
              <w:right w:w="101" w:type="dxa"/>
            </w:tcMar>
          </w:tcPr>
          <w:p w14:paraId="6D4BE742"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13F3B02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563</w:t>
            </w:r>
          </w:p>
        </w:tc>
        <w:tc>
          <w:tcPr>
            <w:tcW w:w="1035" w:type="dxa"/>
            <w:tcBorders>
              <w:top w:val="nil"/>
              <w:left w:val="nil"/>
              <w:bottom w:val="nil"/>
              <w:right w:val="nil"/>
              <w:tl2br w:val="nil"/>
              <w:tr2bl w:val="nil"/>
            </w:tcBorders>
            <w:shd w:val="clear" w:color="FFFFFF" w:fill="FFFFFF"/>
            <w:tcMar>
              <w:left w:w="101" w:type="dxa"/>
              <w:right w:w="101" w:type="dxa"/>
            </w:tcMar>
          </w:tcPr>
          <w:p w14:paraId="06B9DF0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593</w:t>
            </w:r>
          </w:p>
        </w:tc>
        <w:tc>
          <w:tcPr>
            <w:tcW w:w="600" w:type="dxa"/>
            <w:tcBorders>
              <w:top w:val="nil"/>
              <w:left w:val="nil"/>
              <w:bottom w:val="nil"/>
              <w:right w:val="nil"/>
              <w:tl2br w:val="nil"/>
              <w:tr2bl w:val="nil"/>
            </w:tcBorders>
            <w:shd w:val="clear" w:color="FFFFFF" w:fill="FFFFFF"/>
            <w:tcMar>
              <w:left w:w="101" w:type="dxa"/>
              <w:right w:w="101" w:type="dxa"/>
            </w:tcMar>
          </w:tcPr>
          <w:p w14:paraId="23ACCF2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792ED7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623</w:t>
            </w:r>
          </w:p>
        </w:tc>
        <w:tc>
          <w:tcPr>
            <w:tcW w:w="1035" w:type="dxa"/>
            <w:tcBorders>
              <w:top w:val="nil"/>
              <w:left w:val="nil"/>
              <w:bottom w:val="nil"/>
              <w:right w:val="nil"/>
              <w:tl2br w:val="nil"/>
              <w:tr2bl w:val="nil"/>
            </w:tcBorders>
            <w:shd w:val="clear" w:color="FFFFFF" w:fill="FFFFFF"/>
            <w:tcMar>
              <w:left w:w="101" w:type="dxa"/>
              <w:right w:w="101" w:type="dxa"/>
            </w:tcMar>
          </w:tcPr>
          <w:p w14:paraId="1AABFAB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653</w:t>
            </w:r>
          </w:p>
        </w:tc>
        <w:tc>
          <w:tcPr>
            <w:tcW w:w="1035" w:type="dxa"/>
            <w:tcBorders>
              <w:top w:val="nil"/>
              <w:left w:val="nil"/>
              <w:bottom w:val="nil"/>
              <w:right w:val="nil"/>
              <w:tl2br w:val="nil"/>
              <w:tr2bl w:val="nil"/>
            </w:tcBorders>
            <w:shd w:val="clear" w:color="FFFFFF" w:fill="FFFFFF"/>
            <w:tcMar>
              <w:left w:w="101" w:type="dxa"/>
              <w:right w:w="101" w:type="dxa"/>
            </w:tcMar>
          </w:tcPr>
          <w:p w14:paraId="52BD2EB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683</w:t>
            </w:r>
          </w:p>
        </w:tc>
      </w:tr>
      <w:tr w:rsidR="00EF18CC" w14:paraId="58FB095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9A782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232</w:t>
            </w:r>
          </w:p>
        </w:tc>
        <w:tc>
          <w:tcPr>
            <w:tcW w:w="2385" w:type="dxa"/>
            <w:tcBorders>
              <w:top w:val="nil"/>
              <w:left w:val="nil"/>
              <w:bottom w:val="nil"/>
              <w:right w:val="nil"/>
              <w:tl2br w:val="nil"/>
              <w:tr2bl w:val="nil"/>
            </w:tcBorders>
            <w:shd w:val="clear" w:color="FFFFFF" w:fill="FFFFFF"/>
            <w:noWrap/>
            <w:tcMar>
              <w:left w:w="101" w:type="dxa"/>
              <w:right w:w="101" w:type="dxa"/>
            </w:tcMar>
          </w:tcPr>
          <w:p w14:paraId="2F00ECFA"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5190071D"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1D6DCAA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238</w:t>
            </w:r>
          </w:p>
        </w:tc>
        <w:tc>
          <w:tcPr>
            <w:tcW w:w="600" w:type="dxa"/>
            <w:tcBorders>
              <w:top w:val="nil"/>
              <w:left w:val="nil"/>
              <w:bottom w:val="nil"/>
              <w:right w:val="nil"/>
              <w:tl2br w:val="nil"/>
              <w:tr2bl w:val="nil"/>
            </w:tcBorders>
            <w:shd w:val="clear" w:color="FFFFFF" w:fill="FFFFFF"/>
            <w:tcMar>
              <w:left w:w="101" w:type="dxa"/>
              <w:right w:w="101" w:type="dxa"/>
            </w:tcMar>
          </w:tcPr>
          <w:p w14:paraId="1803A6A9"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F1D53E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0328625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238</w:t>
            </w:r>
          </w:p>
        </w:tc>
        <w:tc>
          <w:tcPr>
            <w:tcW w:w="1035" w:type="dxa"/>
            <w:tcBorders>
              <w:top w:val="nil"/>
              <w:left w:val="nil"/>
              <w:bottom w:val="nil"/>
              <w:right w:val="nil"/>
              <w:tl2br w:val="nil"/>
              <w:tr2bl w:val="nil"/>
            </w:tcBorders>
            <w:shd w:val="clear" w:color="FFFFFF" w:fill="FFFFFF"/>
            <w:tcMar>
              <w:left w:w="101" w:type="dxa"/>
              <w:right w:w="101" w:type="dxa"/>
            </w:tcMar>
          </w:tcPr>
          <w:p w14:paraId="3F52726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238</w:t>
            </w:r>
          </w:p>
        </w:tc>
      </w:tr>
      <w:tr w:rsidR="00EF18CC" w14:paraId="763669C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A178F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w:t>
            </w:r>
          </w:p>
        </w:tc>
        <w:tc>
          <w:tcPr>
            <w:tcW w:w="2385" w:type="dxa"/>
            <w:tcBorders>
              <w:top w:val="nil"/>
              <w:left w:val="nil"/>
              <w:bottom w:val="nil"/>
              <w:right w:val="nil"/>
              <w:tl2br w:val="nil"/>
              <w:tr2bl w:val="nil"/>
            </w:tcBorders>
            <w:shd w:val="clear" w:color="FFFFFF" w:fill="FFFFFF"/>
            <w:noWrap/>
            <w:tcMar>
              <w:left w:w="101" w:type="dxa"/>
              <w:right w:w="101" w:type="dxa"/>
            </w:tcMar>
          </w:tcPr>
          <w:p w14:paraId="1AAA5DF8"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4E3BC7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FC15AF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37CAE79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E2307B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20EC9183"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2E971CBE"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24</w:t>
            </w:r>
          </w:p>
        </w:tc>
      </w:tr>
      <w:tr w:rsidR="00EF18CC" w14:paraId="7F18B9E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85FA4D"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EE01631"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034D0"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B6CF54"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3C9319"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E3E7CB"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403C0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4C8860" w14:textId="77777777" w:rsidR="00EF18CC" w:rsidRDefault="00EF18CC" w:rsidP="006D3501">
            <w:pPr>
              <w:pStyle w:val="Normal7"/>
              <w:rPr>
                <w:rFonts w:ascii="Calibri" w:eastAsia="Calibri" w:hAnsi="Calibri" w:cs="Calibri"/>
                <w:color w:val="000000"/>
                <w:sz w:val="18"/>
              </w:rPr>
            </w:pPr>
          </w:p>
        </w:tc>
      </w:tr>
      <w:tr w:rsidR="00EF18CC" w14:paraId="252FE1A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2A14D8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41,254</w:t>
            </w:r>
          </w:p>
        </w:tc>
        <w:tc>
          <w:tcPr>
            <w:tcW w:w="2385" w:type="dxa"/>
            <w:tcBorders>
              <w:top w:val="nil"/>
              <w:left w:val="nil"/>
              <w:bottom w:val="nil"/>
              <w:right w:val="nil"/>
              <w:tl2br w:val="nil"/>
              <w:tr2bl w:val="nil"/>
            </w:tcBorders>
            <w:shd w:val="clear" w:color="FFFFFF" w:fill="FFFFFF"/>
            <w:noWrap/>
            <w:tcMar>
              <w:left w:w="101" w:type="dxa"/>
              <w:right w:w="101" w:type="dxa"/>
            </w:tcMar>
          </w:tcPr>
          <w:p w14:paraId="31290AB1"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E8BF482"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41,300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A2FC84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37,198</w:t>
            </w:r>
          </w:p>
        </w:tc>
        <w:tc>
          <w:tcPr>
            <w:tcW w:w="600" w:type="dxa"/>
            <w:tcBorders>
              <w:top w:val="nil"/>
              <w:left w:val="nil"/>
              <w:bottom w:val="nil"/>
              <w:right w:val="nil"/>
              <w:tl2br w:val="nil"/>
              <w:tr2bl w:val="nil"/>
            </w:tcBorders>
            <w:shd w:val="clear" w:color="FFFFFF" w:fill="FFFFFF"/>
            <w:tcMar>
              <w:left w:w="101" w:type="dxa"/>
              <w:right w:w="101" w:type="dxa"/>
            </w:tcMar>
          </w:tcPr>
          <w:p w14:paraId="0623870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C00616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33,307</w:t>
            </w:r>
          </w:p>
        </w:tc>
        <w:tc>
          <w:tcPr>
            <w:tcW w:w="1035" w:type="dxa"/>
            <w:tcBorders>
              <w:top w:val="nil"/>
              <w:left w:val="nil"/>
              <w:bottom w:val="nil"/>
              <w:right w:val="nil"/>
              <w:tl2br w:val="nil"/>
              <w:tr2bl w:val="nil"/>
            </w:tcBorders>
            <w:shd w:val="clear" w:color="FFFFFF" w:fill="FFFFFF"/>
            <w:noWrap/>
            <w:tcMar>
              <w:left w:w="101" w:type="dxa"/>
              <w:right w:w="101" w:type="dxa"/>
            </w:tcMar>
          </w:tcPr>
          <w:p w14:paraId="55A56CEE"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29,683</w:t>
            </w:r>
          </w:p>
        </w:tc>
        <w:tc>
          <w:tcPr>
            <w:tcW w:w="1035" w:type="dxa"/>
            <w:tcBorders>
              <w:top w:val="nil"/>
              <w:left w:val="nil"/>
              <w:bottom w:val="nil"/>
              <w:right w:val="nil"/>
              <w:tl2br w:val="nil"/>
              <w:tr2bl w:val="nil"/>
            </w:tcBorders>
            <w:shd w:val="clear" w:color="FFFFFF" w:fill="FFFFFF"/>
            <w:noWrap/>
            <w:tcMar>
              <w:left w:w="101" w:type="dxa"/>
              <w:right w:w="101" w:type="dxa"/>
            </w:tcMar>
          </w:tcPr>
          <w:p w14:paraId="4650CF5C"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26,126</w:t>
            </w:r>
          </w:p>
        </w:tc>
      </w:tr>
      <w:tr w:rsidR="00EF18CC" w14:paraId="5A5423A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F0865B"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E5F1DDB"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0961BB"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F7107C"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403ED0"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B67C43"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CA1A37"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5C7DD5" w14:textId="77777777" w:rsidR="00EF18CC" w:rsidRDefault="00EF18CC" w:rsidP="006D3501">
            <w:pPr>
              <w:pStyle w:val="Normal7"/>
              <w:rPr>
                <w:rFonts w:ascii="Calibri" w:eastAsia="Calibri" w:hAnsi="Calibri" w:cs="Calibri"/>
                <w:color w:val="000000"/>
                <w:sz w:val="18"/>
              </w:rPr>
            </w:pPr>
          </w:p>
        </w:tc>
      </w:tr>
      <w:tr w:rsidR="00EF18CC" w14:paraId="2302872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8E89E40"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72,454</w:t>
            </w:r>
          </w:p>
        </w:tc>
        <w:tc>
          <w:tcPr>
            <w:tcW w:w="2385" w:type="dxa"/>
            <w:tcBorders>
              <w:top w:val="nil"/>
              <w:left w:val="nil"/>
              <w:bottom w:val="nil"/>
              <w:right w:val="nil"/>
              <w:tl2br w:val="nil"/>
              <w:tr2bl w:val="nil"/>
            </w:tcBorders>
            <w:shd w:val="clear" w:color="FFFFFF" w:fill="FFFFFF"/>
            <w:noWrap/>
            <w:tcMar>
              <w:left w:w="101" w:type="dxa"/>
              <w:right w:w="101" w:type="dxa"/>
            </w:tcMar>
          </w:tcPr>
          <w:p w14:paraId="3F0BDC42"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50DB61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71,254</w:t>
            </w:r>
          </w:p>
        </w:tc>
        <w:tc>
          <w:tcPr>
            <w:tcW w:w="1035" w:type="dxa"/>
            <w:tcBorders>
              <w:top w:val="nil"/>
              <w:left w:val="nil"/>
              <w:bottom w:val="nil"/>
              <w:right w:val="nil"/>
              <w:tl2br w:val="nil"/>
              <w:tr2bl w:val="nil"/>
            </w:tcBorders>
            <w:shd w:val="clear" w:color="FFFFFF" w:fill="FFFFFF"/>
            <w:noWrap/>
            <w:tcMar>
              <w:left w:w="101" w:type="dxa"/>
              <w:right w:w="101" w:type="dxa"/>
            </w:tcMar>
          </w:tcPr>
          <w:p w14:paraId="3A0FF364"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67,058</w:t>
            </w:r>
          </w:p>
        </w:tc>
        <w:tc>
          <w:tcPr>
            <w:tcW w:w="600" w:type="dxa"/>
            <w:tcBorders>
              <w:top w:val="nil"/>
              <w:left w:val="nil"/>
              <w:bottom w:val="nil"/>
              <w:right w:val="nil"/>
              <w:tl2br w:val="nil"/>
              <w:tr2bl w:val="nil"/>
            </w:tcBorders>
            <w:shd w:val="clear" w:color="FFFFFF" w:fill="FFFFFF"/>
            <w:tcMar>
              <w:left w:w="101" w:type="dxa"/>
              <w:right w:w="101" w:type="dxa"/>
            </w:tcMar>
          </w:tcPr>
          <w:p w14:paraId="10F9050B"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noWrap/>
            <w:tcMar>
              <w:left w:w="101" w:type="dxa"/>
              <w:right w:w="101" w:type="dxa"/>
            </w:tcMar>
          </w:tcPr>
          <w:p w14:paraId="3C4335F0"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63,091</w:t>
            </w:r>
          </w:p>
        </w:tc>
        <w:tc>
          <w:tcPr>
            <w:tcW w:w="1035" w:type="dxa"/>
            <w:tcBorders>
              <w:top w:val="nil"/>
              <w:left w:val="nil"/>
              <w:bottom w:val="nil"/>
              <w:right w:val="nil"/>
              <w:tl2br w:val="nil"/>
              <w:tr2bl w:val="nil"/>
            </w:tcBorders>
            <w:shd w:val="clear" w:color="FFFFFF" w:fill="FFFFFF"/>
            <w:noWrap/>
            <w:tcMar>
              <w:left w:w="101" w:type="dxa"/>
              <w:right w:w="101" w:type="dxa"/>
            </w:tcMar>
          </w:tcPr>
          <w:p w14:paraId="797901D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59,433</w:t>
            </w:r>
          </w:p>
        </w:tc>
        <w:tc>
          <w:tcPr>
            <w:tcW w:w="1035" w:type="dxa"/>
            <w:tcBorders>
              <w:top w:val="nil"/>
              <w:left w:val="nil"/>
              <w:bottom w:val="nil"/>
              <w:right w:val="nil"/>
              <w:tl2br w:val="nil"/>
              <w:tr2bl w:val="nil"/>
            </w:tcBorders>
            <w:shd w:val="clear" w:color="FFFFFF" w:fill="FFFFFF"/>
            <w:noWrap/>
            <w:tcMar>
              <w:left w:w="101" w:type="dxa"/>
              <w:right w:w="101" w:type="dxa"/>
            </w:tcMar>
          </w:tcPr>
          <w:p w14:paraId="3248842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55,791</w:t>
            </w:r>
          </w:p>
        </w:tc>
      </w:tr>
      <w:tr w:rsidR="00EF18CC" w14:paraId="38D37FC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30721AF"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3A3F37E"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C0F61A"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AE084F"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816F68"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9B9EC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281D4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F706F9" w14:textId="77777777" w:rsidR="00EF18CC" w:rsidRDefault="00EF18CC" w:rsidP="006D3501">
            <w:pPr>
              <w:pStyle w:val="Normal7"/>
              <w:rPr>
                <w:rFonts w:ascii="Calibri" w:eastAsia="Calibri" w:hAnsi="Calibri" w:cs="Calibri"/>
                <w:color w:val="000000"/>
                <w:sz w:val="18"/>
              </w:rPr>
            </w:pPr>
          </w:p>
        </w:tc>
      </w:tr>
      <w:tr w:rsidR="00EF18CC" w14:paraId="5C354BE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4DA0947"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5,451,102</w:t>
            </w:r>
          </w:p>
        </w:tc>
        <w:tc>
          <w:tcPr>
            <w:tcW w:w="2385" w:type="dxa"/>
            <w:tcBorders>
              <w:top w:val="nil"/>
              <w:left w:val="nil"/>
              <w:bottom w:val="nil"/>
              <w:right w:val="nil"/>
              <w:tl2br w:val="nil"/>
              <w:tr2bl w:val="nil"/>
            </w:tcBorders>
            <w:shd w:val="clear" w:color="FFFFFF" w:fill="FFFFFF"/>
            <w:noWrap/>
            <w:tcMar>
              <w:left w:w="101" w:type="dxa"/>
              <w:right w:w="101" w:type="dxa"/>
            </w:tcMar>
          </w:tcPr>
          <w:p w14:paraId="5BA2B8AA"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C9343BA"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6,769,956</w:t>
            </w:r>
          </w:p>
        </w:tc>
        <w:tc>
          <w:tcPr>
            <w:tcW w:w="1035" w:type="dxa"/>
            <w:tcBorders>
              <w:top w:val="nil"/>
              <w:left w:val="nil"/>
              <w:bottom w:val="nil"/>
              <w:right w:val="nil"/>
              <w:tl2br w:val="nil"/>
              <w:tr2bl w:val="nil"/>
            </w:tcBorders>
            <w:shd w:val="clear" w:color="FFFFFF" w:fill="FFFFFF"/>
            <w:noWrap/>
            <w:tcMar>
              <w:left w:w="101" w:type="dxa"/>
              <w:right w:w="101" w:type="dxa"/>
            </w:tcMar>
          </w:tcPr>
          <w:p w14:paraId="0899F49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6,836,217</w:t>
            </w:r>
          </w:p>
        </w:tc>
        <w:tc>
          <w:tcPr>
            <w:tcW w:w="600" w:type="dxa"/>
            <w:tcBorders>
              <w:top w:val="nil"/>
              <w:left w:val="nil"/>
              <w:bottom w:val="nil"/>
              <w:right w:val="nil"/>
              <w:tl2br w:val="nil"/>
              <w:tr2bl w:val="nil"/>
            </w:tcBorders>
            <w:shd w:val="clear" w:color="FFFFFF" w:fill="FFFFFF"/>
            <w:tcMar>
              <w:left w:w="101" w:type="dxa"/>
              <w:right w:w="101" w:type="dxa"/>
            </w:tcMar>
          </w:tcPr>
          <w:p w14:paraId="1549EDC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50347EE1"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6,791,066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8F45A6E"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6,906,065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213DD58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6,845,057</w:t>
            </w:r>
          </w:p>
        </w:tc>
      </w:tr>
      <w:tr w:rsidR="00EF18CC" w14:paraId="543EA12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AE7933"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76C528C"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A7A77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D05B91"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55B3B4"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DBB4B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AFBBE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C838FB" w14:textId="77777777" w:rsidR="00EF18CC" w:rsidRDefault="00EF18CC" w:rsidP="006D3501">
            <w:pPr>
              <w:pStyle w:val="Normal7"/>
              <w:rPr>
                <w:rFonts w:ascii="Calibri" w:eastAsia="Calibri" w:hAnsi="Calibri" w:cs="Calibri"/>
                <w:color w:val="000000"/>
                <w:sz w:val="18"/>
              </w:rPr>
            </w:pPr>
          </w:p>
        </w:tc>
      </w:tr>
      <w:tr w:rsidR="00EF18CC" w14:paraId="14A63AA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B9BA01" w14:textId="77777777" w:rsidR="00EF18CC" w:rsidRDefault="00EF18CC" w:rsidP="006D3501">
            <w:pPr>
              <w:pStyle w:val="Normal7"/>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4D216180"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EF18CC" w14:paraId="0717341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23F5C6"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6988B1E"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DBDB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04CC36"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1AF135"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A463EF"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9A8DF6"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44CA71" w14:textId="77777777" w:rsidR="00EF18CC" w:rsidRDefault="00EF18CC" w:rsidP="006D3501">
            <w:pPr>
              <w:pStyle w:val="Normal7"/>
              <w:rPr>
                <w:rFonts w:ascii="Calibri" w:eastAsia="Calibri" w:hAnsi="Calibri" w:cs="Calibri"/>
                <w:color w:val="000000"/>
                <w:sz w:val="18"/>
              </w:rPr>
            </w:pPr>
          </w:p>
        </w:tc>
      </w:tr>
      <w:tr w:rsidR="00EF18CC" w14:paraId="2FB3276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36CE98"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1,782,139</w:t>
            </w:r>
          </w:p>
        </w:tc>
        <w:tc>
          <w:tcPr>
            <w:tcW w:w="2385" w:type="dxa"/>
            <w:tcBorders>
              <w:top w:val="nil"/>
              <w:left w:val="nil"/>
              <w:bottom w:val="nil"/>
              <w:right w:val="nil"/>
              <w:tl2br w:val="nil"/>
              <w:tr2bl w:val="nil"/>
            </w:tcBorders>
            <w:shd w:val="clear" w:color="FFFFFF" w:fill="FFFFFF"/>
            <w:noWrap/>
            <w:tcMar>
              <w:left w:w="101" w:type="dxa"/>
              <w:right w:w="101" w:type="dxa"/>
            </w:tcMar>
          </w:tcPr>
          <w:p w14:paraId="71A06E70"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32B9BAF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1,866,877</w:t>
            </w:r>
          </w:p>
        </w:tc>
        <w:tc>
          <w:tcPr>
            <w:tcW w:w="1035" w:type="dxa"/>
            <w:tcBorders>
              <w:top w:val="nil"/>
              <w:left w:val="nil"/>
              <w:bottom w:val="nil"/>
              <w:right w:val="nil"/>
              <w:tl2br w:val="nil"/>
              <w:tr2bl w:val="nil"/>
            </w:tcBorders>
            <w:shd w:val="clear" w:color="FFFFFF" w:fill="FFFFFF"/>
            <w:tcMar>
              <w:left w:w="101" w:type="dxa"/>
              <w:right w:w="101" w:type="dxa"/>
            </w:tcMar>
          </w:tcPr>
          <w:p w14:paraId="1A47894D"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1,890,659</w:t>
            </w:r>
          </w:p>
        </w:tc>
        <w:tc>
          <w:tcPr>
            <w:tcW w:w="600" w:type="dxa"/>
            <w:tcBorders>
              <w:top w:val="nil"/>
              <w:left w:val="nil"/>
              <w:bottom w:val="nil"/>
              <w:right w:val="nil"/>
              <w:tl2br w:val="nil"/>
              <w:tr2bl w:val="nil"/>
            </w:tcBorders>
            <w:shd w:val="clear" w:color="FFFFFF" w:fill="FFFFFF"/>
            <w:tcMar>
              <w:left w:w="101" w:type="dxa"/>
              <w:right w:w="101" w:type="dxa"/>
            </w:tcMar>
          </w:tcPr>
          <w:p w14:paraId="456B1F72"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9A23567"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1,852,069</w:t>
            </w:r>
          </w:p>
        </w:tc>
        <w:tc>
          <w:tcPr>
            <w:tcW w:w="1035" w:type="dxa"/>
            <w:tcBorders>
              <w:top w:val="nil"/>
              <w:left w:val="nil"/>
              <w:bottom w:val="nil"/>
              <w:right w:val="nil"/>
              <w:tl2br w:val="nil"/>
              <w:tr2bl w:val="nil"/>
            </w:tcBorders>
            <w:shd w:val="clear" w:color="FFFFFF" w:fill="FFFFFF"/>
            <w:tcMar>
              <w:left w:w="101" w:type="dxa"/>
              <w:right w:w="101" w:type="dxa"/>
            </w:tcMar>
          </w:tcPr>
          <w:p w14:paraId="1EE773DB"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1,812,719</w:t>
            </w:r>
          </w:p>
        </w:tc>
        <w:tc>
          <w:tcPr>
            <w:tcW w:w="1035" w:type="dxa"/>
            <w:tcBorders>
              <w:top w:val="nil"/>
              <w:left w:val="nil"/>
              <w:bottom w:val="nil"/>
              <w:right w:val="nil"/>
              <w:tl2br w:val="nil"/>
              <w:tr2bl w:val="nil"/>
            </w:tcBorders>
            <w:shd w:val="clear" w:color="FFFFFF" w:fill="FFFFFF"/>
            <w:tcMar>
              <w:left w:w="101" w:type="dxa"/>
              <w:right w:w="101" w:type="dxa"/>
            </w:tcMar>
          </w:tcPr>
          <w:p w14:paraId="30545E5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1,745,061</w:t>
            </w:r>
          </w:p>
        </w:tc>
      </w:tr>
      <w:tr w:rsidR="00EF18CC" w14:paraId="27F82B3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FAD244"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3,668,963</w:t>
            </w:r>
          </w:p>
        </w:tc>
        <w:tc>
          <w:tcPr>
            <w:tcW w:w="2385" w:type="dxa"/>
            <w:tcBorders>
              <w:top w:val="nil"/>
              <w:left w:val="nil"/>
              <w:bottom w:val="nil"/>
              <w:right w:val="nil"/>
              <w:tl2br w:val="nil"/>
              <w:tr2bl w:val="nil"/>
            </w:tcBorders>
            <w:shd w:val="clear" w:color="FFFFFF" w:fill="FFFFFF"/>
            <w:noWrap/>
            <w:tcMar>
              <w:left w:w="101" w:type="dxa"/>
              <w:right w:w="101" w:type="dxa"/>
            </w:tcMar>
          </w:tcPr>
          <w:p w14:paraId="5F613140" w14:textId="77777777" w:rsidR="00EF18CC" w:rsidRDefault="00EF18CC" w:rsidP="006D3501">
            <w:pPr>
              <w:pStyle w:val="Normal7"/>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2EAB471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4,903,079</w:t>
            </w:r>
          </w:p>
        </w:tc>
        <w:tc>
          <w:tcPr>
            <w:tcW w:w="1035" w:type="dxa"/>
            <w:tcBorders>
              <w:top w:val="nil"/>
              <w:left w:val="nil"/>
              <w:bottom w:val="nil"/>
              <w:right w:val="nil"/>
              <w:tl2br w:val="nil"/>
              <w:tr2bl w:val="nil"/>
            </w:tcBorders>
            <w:shd w:val="clear" w:color="FFFFFF" w:fill="FFFFFF"/>
            <w:tcMar>
              <w:left w:w="101" w:type="dxa"/>
              <w:right w:w="101" w:type="dxa"/>
            </w:tcMar>
          </w:tcPr>
          <w:p w14:paraId="7BD2BA81"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4,945,558</w:t>
            </w:r>
          </w:p>
        </w:tc>
        <w:tc>
          <w:tcPr>
            <w:tcW w:w="600" w:type="dxa"/>
            <w:tcBorders>
              <w:top w:val="nil"/>
              <w:left w:val="nil"/>
              <w:bottom w:val="nil"/>
              <w:right w:val="nil"/>
              <w:tl2br w:val="nil"/>
              <w:tr2bl w:val="nil"/>
            </w:tcBorders>
            <w:shd w:val="clear" w:color="FFFFFF" w:fill="FFFFFF"/>
            <w:tcMar>
              <w:left w:w="101" w:type="dxa"/>
              <w:right w:w="101" w:type="dxa"/>
            </w:tcMar>
          </w:tcPr>
          <w:p w14:paraId="5E49EACF"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4C20275"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4,938,997</w:t>
            </w:r>
          </w:p>
        </w:tc>
        <w:tc>
          <w:tcPr>
            <w:tcW w:w="1035" w:type="dxa"/>
            <w:tcBorders>
              <w:top w:val="nil"/>
              <w:left w:val="nil"/>
              <w:bottom w:val="nil"/>
              <w:right w:val="nil"/>
              <w:tl2br w:val="nil"/>
              <w:tr2bl w:val="nil"/>
            </w:tcBorders>
            <w:shd w:val="clear" w:color="FFFFFF" w:fill="FFFFFF"/>
            <w:tcMar>
              <w:left w:w="101" w:type="dxa"/>
              <w:right w:w="101" w:type="dxa"/>
            </w:tcMar>
          </w:tcPr>
          <w:p w14:paraId="31E514A0"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5,093,346</w:t>
            </w:r>
          </w:p>
        </w:tc>
        <w:tc>
          <w:tcPr>
            <w:tcW w:w="1035" w:type="dxa"/>
            <w:tcBorders>
              <w:top w:val="nil"/>
              <w:left w:val="nil"/>
              <w:bottom w:val="nil"/>
              <w:right w:val="nil"/>
              <w:tl2br w:val="nil"/>
              <w:tr2bl w:val="nil"/>
            </w:tcBorders>
            <w:shd w:val="clear" w:color="FFFFFF" w:fill="FFFFFF"/>
            <w:tcMar>
              <w:left w:w="101" w:type="dxa"/>
              <w:right w:w="101" w:type="dxa"/>
            </w:tcMar>
          </w:tcPr>
          <w:p w14:paraId="3C551AF6" w14:textId="77777777" w:rsidR="00EF18CC" w:rsidRDefault="00EF18CC" w:rsidP="006D3501">
            <w:pPr>
              <w:pStyle w:val="Normal7"/>
              <w:jc w:val="right"/>
              <w:rPr>
                <w:rFonts w:ascii="Calibri" w:eastAsia="Calibri" w:hAnsi="Calibri" w:cs="Calibri"/>
                <w:color w:val="000000"/>
                <w:sz w:val="18"/>
              </w:rPr>
            </w:pPr>
            <w:r>
              <w:rPr>
                <w:rFonts w:ascii="Calibri" w:eastAsia="Calibri" w:hAnsi="Calibri" w:cs="Calibri"/>
                <w:color w:val="000000"/>
                <w:sz w:val="18"/>
              </w:rPr>
              <w:t>5,099,996</w:t>
            </w:r>
          </w:p>
        </w:tc>
      </w:tr>
      <w:tr w:rsidR="00EF18CC" w14:paraId="4CF77C6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9F446E" w14:textId="77777777" w:rsidR="00EF18CC" w:rsidRDefault="00EF18CC" w:rsidP="006D3501">
            <w:pPr>
              <w:pStyle w:val="Normal7"/>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7113389"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2E71C"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98FCEF" w14:textId="77777777" w:rsidR="00EF18CC" w:rsidRDefault="00EF18CC" w:rsidP="006D3501">
            <w:pPr>
              <w:pStyle w:val="Normal7"/>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2C158C"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436297"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2A26AE" w14:textId="77777777" w:rsidR="00EF18CC" w:rsidRDefault="00EF18CC" w:rsidP="006D3501">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1AA34C" w14:textId="77777777" w:rsidR="00EF18CC" w:rsidRDefault="00EF18CC" w:rsidP="006D3501">
            <w:pPr>
              <w:pStyle w:val="Normal7"/>
              <w:rPr>
                <w:rFonts w:ascii="Calibri" w:eastAsia="Calibri" w:hAnsi="Calibri" w:cs="Calibri"/>
                <w:b/>
                <w:color w:val="000000"/>
                <w:sz w:val="18"/>
              </w:rPr>
            </w:pPr>
          </w:p>
        </w:tc>
      </w:tr>
      <w:tr w:rsidR="00EF18CC" w14:paraId="7B4A233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D6BE3BD"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5,451,102</w:t>
            </w:r>
          </w:p>
        </w:tc>
        <w:tc>
          <w:tcPr>
            <w:tcW w:w="2385" w:type="dxa"/>
            <w:tcBorders>
              <w:top w:val="nil"/>
              <w:left w:val="nil"/>
              <w:bottom w:val="nil"/>
              <w:right w:val="nil"/>
              <w:tl2br w:val="nil"/>
              <w:tr2bl w:val="nil"/>
            </w:tcBorders>
            <w:shd w:val="clear" w:color="FFFFFF" w:fill="FFFFFF"/>
            <w:noWrap/>
            <w:tcMar>
              <w:left w:w="101" w:type="dxa"/>
              <w:right w:w="101" w:type="dxa"/>
            </w:tcMar>
          </w:tcPr>
          <w:p w14:paraId="3F0CBA94" w14:textId="77777777" w:rsidR="00EF18CC" w:rsidRDefault="00EF18CC" w:rsidP="006D3501">
            <w:pPr>
              <w:pStyle w:val="Normal7"/>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665E8F56"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6,769,956</w:t>
            </w:r>
          </w:p>
        </w:tc>
        <w:tc>
          <w:tcPr>
            <w:tcW w:w="1035" w:type="dxa"/>
            <w:tcBorders>
              <w:top w:val="nil"/>
              <w:left w:val="nil"/>
              <w:bottom w:val="nil"/>
              <w:right w:val="nil"/>
              <w:tl2br w:val="nil"/>
              <w:tr2bl w:val="nil"/>
            </w:tcBorders>
            <w:shd w:val="clear" w:color="FFFFFF" w:fill="FFFFFF"/>
            <w:noWrap/>
            <w:tcMar>
              <w:left w:w="101" w:type="dxa"/>
              <w:right w:w="101" w:type="dxa"/>
            </w:tcMar>
          </w:tcPr>
          <w:p w14:paraId="54ADD2B2"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6,836,217</w:t>
            </w:r>
          </w:p>
        </w:tc>
        <w:tc>
          <w:tcPr>
            <w:tcW w:w="600" w:type="dxa"/>
            <w:tcBorders>
              <w:top w:val="nil"/>
              <w:left w:val="nil"/>
              <w:bottom w:val="nil"/>
              <w:right w:val="nil"/>
              <w:tl2br w:val="nil"/>
              <w:tr2bl w:val="nil"/>
            </w:tcBorders>
            <w:shd w:val="clear" w:color="FFFFFF" w:fill="FFFFFF"/>
            <w:tcMar>
              <w:left w:w="101" w:type="dxa"/>
              <w:right w:w="101" w:type="dxa"/>
            </w:tcMar>
          </w:tcPr>
          <w:p w14:paraId="2B78EB8E"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8F167D9"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6,791,066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4029D1B0"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6,906,065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1F5E2F52" w14:textId="77777777" w:rsidR="00EF18CC" w:rsidRDefault="00EF18CC" w:rsidP="006D3501">
            <w:pPr>
              <w:pStyle w:val="Normal7"/>
              <w:jc w:val="right"/>
              <w:rPr>
                <w:rFonts w:ascii="Calibri" w:eastAsia="Calibri" w:hAnsi="Calibri" w:cs="Calibri"/>
                <w:b/>
                <w:color w:val="000000"/>
                <w:sz w:val="18"/>
              </w:rPr>
            </w:pPr>
            <w:r>
              <w:rPr>
                <w:rFonts w:ascii="Calibri" w:eastAsia="Calibri" w:hAnsi="Calibri" w:cs="Calibri"/>
                <w:b/>
                <w:color w:val="000000"/>
                <w:sz w:val="18"/>
              </w:rPr>
              <w:t>6,845,057</w:t>
            </w:r>
          </w:p>
        </w:tc>
      </w:tr>
      <w:tr w:rsidR="00EF18CC" w14:paraId="26C63E7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63611A7" w14:textId="77777777" w:rsidR="00EF18CC" w:rsidRDefault="00EF18CC" w:rsidP="006D3501">
            <w:pPr>
              <w:pStyle w:val="Normal7"/>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3502CAD"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5CED019"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A123476" w14:textId="77777777" w:rsidR="00EF18CC" w:rsidRDefault="00EF18CC" w:rsidP="006D3501">
            <w:pPr>
              <w:pStyle w:val="Normal7"/>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7736391"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0BF7D34"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D331154" w14:textId="77777777" w:rsidR="00EF18CC" w:rsidRDefault="00EF18CC" w:rsidP="006D3501">
            <w:pPr>
              <w:pStyle w:val="Normal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B2C8A65" w14:textId="77777777" w:rsidR="00EF18CC" w:rsidRDefault="00EF18CC" w:rsidP="006D3501">
            <w:pPr>
              <w:pStyle w:val="Normal7"/>
              <w:rPr>
                <w:rFonts w:ascii="Calibri" w:eastAsia="Calibri" w:hAnsi="Calibri" w:cs="Calibri"/>
                <w:color w:val="000000"/>
                <w:sz w:val="18"/>
              </w:rPr>
            </w:pPr>
          </w:p>
        </w:tc>
      </w:tr>
    </w:tbl>
    <w:p w14:paraId="1E56A210" w14:textId="4F6DE760" w:rsidR="00EF18CC" w:rsidRPr="00F20F3F" w:rsidRDefault="001E4FEE" w:rsidP="001F1756">
      <w:pPr>
        <w:pStyle w:val="Caption"/>
        <w:rPr>
          <w:rFonts w:eastAsia="TimesNewRomanPS-ItalicMT"/>
          <w:b w:val="0"/>
          <w:bdr w:val="nil"/>
        </w:rPr>
      </w:pPr>
      <w:r>
        <w:lastRenderedPageBreak/>
        <w:t xml:space="preserve">Table </w:t>
      </w:r>
      <w:fldSimple w:instr=" SEQ Table \* ARABIC ">
        <w:r>
          <w:rPr>
            <w:noProof/>
          </w:rPr>
          <w:t>41</w:t>
        </w:r>
      </w:fldSimple>
      <w:r w:rsidR="00EF18CC">
        <w:rPr>
          <w:bdr w:val="nil"/>
        </w:rPr>
        <w:t xml:space="preserve">: Housing ACT: Statement of Changes in Equity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F18CC" w14:paraId="7815B887" w14:textId="77777777" w:rsidTr="006D3501">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9402F2"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5541F486"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5E4EA733"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A71264C"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1D6F220" w14:textId="77777777" w:rsidR="00EF18CC" w:rsidRDefault="00EF18CC" w:rsidP="006D3501">
            <w:pPr>
              <w:pStyle w:val="Normal8"/>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E13782A"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Interim</w:t>
            </w:r>
          </w:p>
          <w:p w14:paraId="6BF5A21F"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Outcome at</w:t>
            </w:r>
          </w:p>
          <w:p w14:paraId="49596850"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6039205"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056BD5"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3506B60D"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5D82EB3C"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28746D3"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B4C0F4"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Var</w:t>
            </w:r>
          </w:p>
          <w:p w14:paraId="235B223E"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A3D6795"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20BBAEC6"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5B2CAE48"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C26DD84"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0CF73B"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3E7569F3"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396E6F1D"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5CA96B39"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A8352AE"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4B07C968"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04C67FB7"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30/6/25 </w:t>
            </w:r>
          </w:p>
          <w:p w14:paraId="4E1E364B"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r>
      <w:tr w:rsidR="00EF18CC" w14:paraId="67A8916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45518B6" w14:textId="77777777" w:rsidR="00EF18CC" w:rsidRDefault="00EF18CC" w:rsidP="006D3501">
            <w:pPr>
              <w:pStyle w:val="Normal8"/>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FA2001D" w14:textId="77777777" w:rsidR="00EF18CC" w:rsidRDefault="00EF18CC" w:rsidP="006D3501">
            <w:pPr>
              <w:pStyle w:val="Normal8"/>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EB5E70"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929294" w14:textId="77777777" w:rsidR="00EF18CC" w:rsidRDefault="00EF18CC" w:rsidP="006D3501">
            <w:pPr>
              <w:pStyle w:val="Normal8"/>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60E11D5"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4CED898"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E580C3E"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DA9C3D" w14:textId="77777777" w:rsidR="00EF18CC" w:rsidRDefault="00EF18CC" w:rsidP="006D3501">
            <w:pPr>
              <w:pStyle w:val="Normal8"/>
              <w:jc w:val="right"/>
              <w:rPr>
                <w:rFonts w:ascii="Calibri" w:eastAsia="Calibri" w:hAnsi="Calibri" w:cs="Calibri"/>
                <w:b/>
                <w:i/>
                <w:color w:val="000000"/>
                <w:sz w:val="18"/>
              </w:rPr>
            </w:pPr>
          </w:p>
        </w:tc>
      </w:tr>
      <w:tr w:rsidR="00EF18CC" w14:paraId="3B14A48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DFBE17" w14:textId="77777777" w:rsidR="00EF18CC" w:rsidRDefault="00EF18CC" w:rsidP="006D3501">
            <w:pPr>
              <w:pStyle w:val="Normal8"/>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4A8C5ABC"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tcMar>
              <w:left w:w="0" w:type="dxa"/>
              <w:right w:w="0" w:type="dxa"/>
            </w:tcMar>
          </w:tcPr>
          <w:p w14:paraId="0581CB19"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5927AA" w14:textId="77777777" w:rsidR="00EF18CC" w:rsidRDefault="00EF18CC" w:rsidP="006D3501">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539DB0"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D56F95"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2690B4"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8A20AE" w14:textId="77777777" w:rsidR="00EF18CC" w:rsidRDefault="00EF18CC" w:rsidP="006D3501">
            <w:pPr>
              <w:pStyle w:val="Normal8"/>
              <w:jc w:val="right"/>
              <w:rPr>
                <w:rFonts w:ascii="Calibri" w:eastAsia="Calibri" w:hAnsi="Calibri" w:cs="Calibri"/>
                <w:b/>
                <w:i/>
                <w:color w:val="000000"/>
                <w:sz w:val="18"/>
              </w:rPr>
            </w:pPr>
          </w:p>
        </w:tc>
      </w:tr>
      <w:tr w:rsidR="00EF18CC" w14:paraId="50F2ECD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1F7B4EB"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1,738,015</w:t>
            </w:r>
          </w:p>
        </w:tc>
        <w:tc>
          <w:tcPr>
            <w:tcW w:w="2385" w:type="dxa"/>
            <w:tcBorders>
              <w:top w:val="nil"/>
              <w:left w:val="nil"/>
              <w:bottom w:val="nil"/>
              <w:right w:val="nil"/>
              <w:tl2br w:val="nil"/>
              <w:tr2bl w:val="nil"/>
            </w:tcBorders>
            <w:shd w:val="clear" w:color="auto" w:fill="auto"/>
            <w:noWrap/>
            <w:tcMar>
              <w:left w:w="101" w:type="dxa"/>
              <w:right w:w="101" w:type="dxa"/>
            </w:tcMar>
          </w:tcPr>
          <w:p w14:paraId="36E45CDC"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1CB3451"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1,738,017</w:t>
            </w:r>
          </w:p>
        </w:tc>
        <w:tc>
          <w:tcPr>
            <w:tcW w:w="1035" w:type="dxa"/>
            <w:tcBorders>
              <w:top w:val="nil"/>
              <w:left w:val="nil"/>
              <w:bottom w:val="nil"/>
              <w:right w:val="nil"/>
              <w:tl2br w:val="nil"/>
              <w:tr2bl w:val="nil"/>
            </w:tcBorders>
            <w:shd w:val="clear" w:color="FFFFFF" w:fill="FFFFFF"/>
            <w:noWrap/>
            <w:tcMar>
              <w:left w:w="101" w:type="dxa"/>
              <w:right w:w="101" w:type="dxa"/>
            </w:tcMar>
          </w:tcPr>
          <w:p w14:paraId="1BA303CF"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1,866,877</w:t>
            </w:r>
          </w:p>
        </w:tc>
        <w:tc>
          <w:tcPr>
            <w:tcW w:w="600" w:type="dxa"/>
            <w:tcBorders>
              <w:top w:val="nil"/>
              <w:left w:val="nil"/>
              <w:bottom w:val="nil"/>
              <w:right w:val="nil"/>
              <w:tl2br w:val="nil"/>
              <w:tr2bl w:val="nil"/>
            </w:tcBorders>
            <w:shd w:val="clear" w:color="FFFFFF" w:fill="FFFFFF"/>
            <w:noWrap/>
            <w:tcMar>
              <w:left w:w="101" w:type="dxa"/>
              <w:right w:w="101" w:type="dxa"/>
            </w:tcMar>
          </w:tcPr>
          <w:p w14:paraId="57D5E3C1"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438F4EDC"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1,890,659</w:t>
            </w:r>
          </w:p>
        </w:tc>
        <w:tc>
          <w:tcPr>
            <w:tcW w:w="1035" w:type="dxa"/>
            <w:tcBorders>
              <w:top w:val="nil"/>
              <w:left w:val="nil"/>
              <w:bottom w:val="nil"/>
              <w:right w:val="nil"/>
              <w:tl2br w:val="nil"/>
              <w:tr2bl w:val="nil"/>
            </w:tcBorders>
            <w:shd w:val="clear" w:color="FFFFFF" w:fill="FFFFFF"/>
            <w:noWrap/>
            <w:tcMar>
              <w:left w:w="101" w:type="dxa"/>
              <w:right w:w="101" w:type="dxa"/>
            </w:tcMar>
          </w:tcPr>
          <w:p w14:paraId="6BD12F6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1,852,069</w:t>
            </w:r>
          </w:p>
        </w:tc>
        <w:tc>
          <w:tcPr>
            <w:tcW w:w="1035" w:type="dxa"/>
            <w:tcBorders>
              <w:top w:val="nil"/>
              <w:left w:val="nil"/>
              <w:bottom w:val="nil"/>
              <w:right w:val="nil"/>
              <w:tl2br w:val="nil"/>
              <w:tr2bl w:val="nil"/>
            </w:tcBorders>
            <w:shd w:val="clear" w:color="FFFFFF" w:fill="FFFFFF"/>
            <w:noWrap/>
            <w:tcMar>
              <w:left w:w="101" w:type="dxa"/>
              <w:right w:w="101" w:type="dxa"/>
            </w:tcMar>
          </w:tcPr>
          <w:p w14:paraId="53146852"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1,812,719</w:t>
            </w:r>
          </w:p>
        </w:tc>
      </w:tr>
      <w:tr w:rsidR="00EF18CC" w14:paraId="600AC1E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2744F18"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3,745,563</w:t>
            </w:r>
          </w:p>
        </w:tc>
        <w:tc>
          <w:tcPr>
            <w:tcW w:w="2385" w:type="dxa"/>
            <w:tcBorders>
              <w:top w:val="nil"/>
              <w:left w:val="nil"/>
              <w:bottom w:val="nil"/>
              <w:right w:val="nil"/>
              <w:tl2br w:val="nil"/>
              <w:tr2bl w:val="nil"/>
            </w:tcBorders>
            <w:shd w:val="clear" w:color="auto" w:fill="auto"/>
            <w:tcMar>
              <w:left w:w="101" w:type="dxa"/>
              <w:right w:w="101" w:type="dxa"/>
            </w:tcMar>
          </w:tcPr>
          <w:p w14:paraId="130B098A"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2979A0FE"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3,745,563</w:t>
            </w:r>
          </w:p>
        </w:tc>
        <w:tc>
          <w:tcPr>
            <w:tcW w:w="1035" w:type="dxa"/>
            <w:tcBorders>
              <w:top w:val="nil"/>
              <w:left w:val="nil"/>
              <w:bottom w:val="nil"/>
              <w:right w:val="nil"/>
              <w:tl2br w:val="nil"/>
              <w:tr2bl w:val="nil"/>
            </w:tcBorders>
            <w:shd w:val="clear" w:color="FFFFFF" w:fill="FFFFFF"/>
            <w:noWrap/>
            <w:tcMar>
              <w:left w:w="101" w:type="dxa"/>
              <w:right w:w="101" w:type="dxa"/>
            </w:tcMar>
          </w:tcPr>
          <w:p w14:paraId="3A21EA0B"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4,903,079</w:t>
            </w:r>
          </w:p>
        </w:tc>
        <w:tc>
          <w:tcPr>
            <w:tcW w:w="600" w:type="dxa"/>
            <w:tcBorders>
              <w:top w:val="nil"/>
              <w:left w:val="nil"/>
              <w:bottom w:val="nil"/>
              <w:right w:val="nil"/>
              <w:tl2br w:val="nil"/>
              <w:tr2bl w:val="nil"/>
            </w:tcBorders>
            <w:shd w:val="clear" w:color="FFFFFF" w:fill="FFFFFF"/>
            <w:noWrap/>
            <w:tcMar>
              <w:left w:w="101" w:type="dxa"/>
              <w:right w:w="101" w:type="dxa"/>
            </w:tcMar>
          </w:tcPr>
          <w:p w14:paraId="421C838F"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31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EFDD70"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4,945,558</w:t>
            </w:r>
          </w:p>
        </w:tc>
        <w:tc>
          <w:tcPr>
            <w:tcW w:w="1035" w:type="dxa"/>
            <w:tcBorders>
              <w:top w:val="nil"/>
              <w:left w:val="nil"/>
              <w:bottom w:val="nil"/>
              <w:right w:val="nil"/>
              <w:tl2br w:val="nil"/>
              <w:tr2bl w:val="nil"/>
            </w:tcBorders>
            <w:shd w:val="clear" w:color="FFFFFF" w:fill="FFFFFF"/>
            <w:noWrap/>
            <w:tcMar>
              <w:left w:w="101" w:type="dxa"/>
              <w:right w:w="101" w:type="dxa"/>
            </w:tcMar>
          </w:tcPr>
          <w:p w14:paraId="3F0EFF62"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4,938,997</w:t>
            </w:r>
          </w:p>
        </w:tc>
        <w:tc>
          <w:tcPr>
            <w:tcW w:w="1035" w:type="dxa"/>
            <w:tcBorders>
              <w:top w:val="nil"/>
              <w:left w:val="nil"/>
              <w:bottom w:val="nil"/>
              <w:right w:val="nil"/>
              <w:tl2br w:val="nil"/>
              <w:tr2bl w:val="nil"/>
            </w:tcBorders>
            <w:shd w:val="clear" w:color="FFFFFF" w:fill="FFFFFF"/>
            <w:noWrap/>
            <w:tcMar>
              <w:left w:w="101" w:type="dxa"/>
              <w:right w:w="101" w:type="dxa"/>
            </w:tcMar>
          </w:tcPr>
          <w:p w14:paraId="3D682972"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5,093,346</w:t>
            </w:r>
          </w:p>
        </w:tc>
      </w:tr>
      <w:tr w:rsidR="00EF18CC" w14:paraId="6D230E2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7BD52F9" w14:textId="77777777" w:rsidR="00EF18CC" w:rsidRDefault="00EF18CC" w:rsidP="006D3501">
            <w:pPr>
              <w:pStyle w:val="Normal8"/>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5524D9B2"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C06732" w14:textId="77777777" w:rsidR="00EF18CC" w:rsidRDefault="00EF18CC" w:rsidP="006D3501">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43A15C" w14:textId="77777777" w:rsidR="00EF18CC" w:rsidRDefault="00EF18CC" w:rsidP="006D3501">
            <w:pPr>
              <w:pStyle w:val="Normal8"/>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692291B"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3FC3C2" w14:textId="77777777" w:rsidR="00EF18CC" w:rsidRDefault="00EF18CC" w:rsidP="006D3501">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459FE0" w14:textId="77777777" w:rsidR="00EF18CC" w:rsidRDefault="00EF18CC" w:rsidP="006D3501">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132946" w14:textId="77777777" w:rsidR="00EF18CC" w:rsidRDefault="00EF18CC" w:rsidP="006D3501">
            <w:pPr>
              <w:pStyle w:val="Normal8"/>
              <w:jc w:val="right"/>
              <w:rPr>
                <w:rFonts w:ascii="Calibri" w:eastAsia="Calibri" w:hAnsi="Calibri" w:cs="Calibri"/>
                <w:b/>
                <w:color w:val="000000"/>
                <w:sz w:val="18"/>
              </w:rPr>
            </w:pPr>
          </w:p>
        </w:tc>
      </w:tr>
      <w:tr w:rsidR="00EF18CC" w14:paraId="7BF6095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4E42445"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5,483,578</w:t>
            </w:r>
          </w:p>
        </w:tc>
        <w:tc>
          <w:tcPr>
            <w:tcW w:w="2385" w:type="dxa"/>
            <w:tcBorders>
              <w:top w:val="nil"/>
              <w:left w:val="nil"/>
              <w:bottom w:val="nil"/>
              <w:right w:val="nil"/>
              <w:tl2br w:val="nil"/>
              <w:tr2bl w:val="nil"/>
            </w:tcBorders>
            <w:shd w:val="clear" w:color="auto" w:fill="auto"/>
            <w:tcMar>
              <w:left w:w="101" w:type="dxa"/>
              <w:right w:w="101" w:type="dxa"/>
            </w:tcMar>
          </w:tcPr>
          <w:p w14:paraId="6F506D5D"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7B808430"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5,483,580</w:t>
            </w:r>
          </w:p>
        </w:tc>
        <w:tc>
          <w:tcPr>
            <w:tcW w:w="1035" w:type="dxa"/>
            <w:tcBorders>
              <w:top w:val="nil"/>
              <w:left w:val="nil"/>
              <w:bottom w:val="nil"/>
              <w:right w:val="nil"/>
              <w:tl2br w:val="nil"/>
              <w:tr2bl w:val="nil"/>
            </w:tcBorders>
            <w:shd w:val="clear" w:color="FFFFFF" w:fill="FFFFFF"/>
            <w:noWrap/>
            <w:tcMar>
              <w:left w:w="101" w:type="dxa"/>
              <w:right w:w="101" w:type="dxa"/>
            </w:tcMar>
          </w:tcPr>
          <w:p w14:paraId="0C5C2BF0"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6,769,956</w:t>
            </w:r>
          </w:p>
        </w:tc>
        <w:tc>
          <w:tcPr>
            <w:tcW w:w="600" w:type="dxa"/>
            <w:tcBorders>
              <w:top w:val="nil"/>
              <w:left w:val="nil"/>
              <w:bottom w:val="nil"/>
              <w:right w:val="nil"/>
              <w:tl2br w:val="nil"/>
              <w:tr2bl w:val="nil"/>
            </w:tcBorders>
            <w:shd w:val="clear" w:color="FFFFFF" w:fill="FFFFFF"/>
            <w:noWrap/>
            <w:tcMar>
              <w:left w:w="101" w:type="dxa"/>
              <w:right w:w="101" w:type="dxa"/>
            </w:tcMar>
          </w:tcPr>
          <w:p w14:paraId="470E4B76"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23 </w:t>
            </w:r>
          </w:p>
        </w:tc>
        <w:tc>
          <w:tcPr>
            <w:tcW w:w="1035" w:type="dxa"/>
            <w:tcBorders>
              <w:top w:val="nil"/>
              <w:left w:val="nil"/>
              <w:bottom w:val="nil"/>
              <w:right w:val="nil"/>
              <w:tl2br w:val="nil"/>
              <w:tr2bl w:val="nil"/>
            </w:tcBorders>
            <w:shd w:val="clear" w:color="FFFFFF" w:fill="FFFFFF"/>
            <w:noWrap/>
            <w:tcMar>
              <w:left w:w="101" w:type="dxa"/>
              <w:right w:w="101" w:type="dxa"/>
            </w:tcMar>
          </w:tcPr>
          <w:p w14:paraId="0A71CD54"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6,836,217</w:t>
            </w:r>
          </w:p>
        </w:tc>
        <w:tc>
          <w:tcPr>
            <w:tcW w:w="1035" w:type="dxa"/>
            <w:tcBorders>
              <w:top w:val="nil"/>
              <w:left w:val="nil"/>
              <w:bottom w:val="nil"/>
              <w:right w:val="nil"/>
              <w:tl2br w:val="nil"/>
              <w:tr2bl w:val="nil"/>
            </w:tcBorders>
            <w:shd w:val="clear" w:color="FFFFFF" w:fill="FFFFFF"/>
            <w:noWrap/>
            <w:tcMar>
              <w:left w:w="101" w:type="dxa"/>
              <w:right w:w="101" w:type="dxa"/>
            </w:tcMar>
          </w:tcPr>
          <w:p w14:paraId="4ADED2BA"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6,791,066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614700C9"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6,906,065</w:t>
            </w:r>
          </w:p>
        </w:tc>
      </w:tr>
      <w:tr w:rsidR="00EF18CC" w14:paraId="0EB4688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8D14525" w14:textId="77777777" w:rsidR="00EF18CC" w:rsidRDefault="00EF18CC" w:rsidP="006D3501">
            <w:pPr>
              <w:pStyle w:val="Normal8"/>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F565DB3" w14:textId="77777777" w:rsidR="00EF18CC" w:rsidRDefault="00EF18CC" w:rsidP="006D3501">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55A440"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8AE76C" w14:textId="77777777" w:rsidR="00EF18CC" w:rsidRDefault="00EF18CC" w:rsidP="006D3501">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2DCC83F"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FABA3A"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C73CC2" w14:textId="77777777" w:rsidR="00EF18CC" w:rsidRDefault="00EF18CC" w:rsidP="006D3501">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72A86F" w14:textId="77777777" w:rsidR="00EF18CC" w:rsidRDefault="00EF18CC" w:rsidP="006D3501">
            <w:pPr>
              <w:pStyle w:val="Normal8"/>
              <w:jc w:val="right"/>
              <w:rPr>
                <w:rFonts w:ascii="Calibri" w:eastAsia="Calibri" w:hAnsi="Calibri" w:cs="Calibri"/>
                <w:b/>
                <w:i/>
                <w:color w:val="000000"/>
                <w:sz w:val="18"/>
              </w:rPr>
            </w:pPr>
          </w:p>
        </w:tc>
      </w:tr>
      <w:tr w:rsidR="00EF18CC" w14:paraId="023AF1A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A1A60A7"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0FAB233"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4C930599"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4AABD4"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AEB76A"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BF1759"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EFBA39"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C81783" w14:textId="77777777" w:rsidR="00EF18CC" w:rsidRDefault="00EF18CC" w:rsidP="006D3501">
            <w:pPr>
              <w:pStyle w:val="Normal8"/>
              <w:rPr>
                <w:rFonts w:ascii="Calibri" w:eastAsia="Calibri" w:hAnsi="Calibri" w:cs="Calibri"/>
                <w:color w:val="000000"/>
                <w:sz w:val="18"/>
              </w:rPr>
            </w:pPr>
          </w:p>
        </w:tc>
      </w:tr>
      <w:tr w:rsidR="00EF18CC" w14:paraId="2DF1B86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A547CB0"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-61,009</w:t>
            </w:r>
          </w:p>
        </w:tc>
        <w:tc>
          <w:tcPr>
            <w:tcW w:w="2385" w:type="dxa"/>
            <w:tcBorders>
              <w:top w:val="nil"/>
              <w:left w:val="nil"/>
              <w:bottom w:val="nil"/>
              <w:right w:val="nil"/>
              <w:tl2br w:val="nil"/>
              <w:tr2bl w:val="nil"/>
            </w:tcBorders>
            <w:shd w:val="clear" w:color="auto" w:fill="auto"/>
            <w:tcMar>
              <w:left w:w="101" w:type="dxa"/>
              <w:right w:w="101" w:type="dxa"/>
            </w:tcMar>
          </w:tcPr>
          <w:p w14:paraId="0640458F"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6AB92C5A"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-50,097</w:t>
            </w:r>
          </w:p>
        </w:tc>
        <w:tc>
          <w:tcPr>
            <w:tcW w:w="1035" w:type="dxa"/>
            <w:tcBorders>
              <w:top w:val="nil"/>
              <w:left w:val="nil"/>
              <w:bottom w:val="nil"/>
              <w:right w:val="nil"/>
              <w:tl2br w:val="nil"/>
              <w:tr2bl w:val="nil"/>
            </w:tcBorders>
            <w:shd w:val="clear" w:color="FFFFFF" w:fill="FFFFFF"/>
            <w:noWrap/>
            <w:tcMar>
              <w:left w:w="101" w:type="dxa"/>
              <w:right w:w="101" w:type="dxa"/>
            </w:tcMar>
          </w:tcPr>
          <w:p w14:paraId="5CE77BBE"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-95,128</w:t>
            </w:r>
          </w:p>
        </w:tc>
        <w:tc>
          <w:tcPr>
            <w:tcW w:w="600" w:type="dxa"/>
            <w:tcBorders>
              <w:top w:val="nil"/>
              <w:left w:val="nil"/>
              <w:bottom w:val="nil"/>
              <w:right w:val="nil"/>
              <w:tl2br w:val="nil"/>
              <w:tr2bl w:val="nil"/>
            </w:tcBorders>
            <w:shd w:val="clear" w:color="FFFFFF" w:fill="FFFFFF"/>
            <w:noWrap/>
            <w:tcMar>
              <w:left w:w="101" w:type="dxa"/>
              <w:right w:w="101" w:type="dxa"/>
            </w:tcMar>
          </w:tcPr>
          <w:p w14:paraId="37831C50"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-90 </w:t>
            </w:r>
          </w:p>
        </w:tc>
        <w:tc>
          <w:tcPr>
            <w:tcW w:w="1035" w:type="dxa"/>
            <w:tcBorders>
              <w:top w:val="nil"/>
              <w:left w:val="nil"/>
              <w:bottom w:val="nil"/>
              <w:right w:val="nil"/>
              <w:tl2br w:val="nil"/>
              <w:tr2bl w:val="nil"/>
            </w:tcBorders>
            <w:shd w:val="clear" w:color="FFFFFF" w:fill="FFFFFF"/>
            <w:noWrap/>
            <w:tcMar>
              <w:left w:w="101" w:type="dxa"/>
              <w:right w:w="101" w:type="dxa"/>
            </w:tcMar>
          </w:tcPr>
          <w:p w14:paraId="3BE1FF4E"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-85,590</w:t>
            </w:r>
          </w:p>
        </w:tc>
        <w:tc>
          <w:tcPr>
            <w:tcW w:w="1035" w:type="dxa"/>
            <w:tcBorders>
              <w:top w:val="nil"/>
              <w:left w:val="nil"/>
              <w:bottom w:val="nil"/>
              <w:right w:val="nil"/>
              <w:tl2br w:val="nil"/>
              <w:tr2bl w:val="nil"/>
            </w:tcBorders>
            <w:shd w:val="clear" w:color="FFFFFF" w:fill="FFFFFF"/>
            <w:noWrap/>
            <w:tcMar>
              <w:left w:w="101" w:type="dxa"/>
              <w:right w:w="101" w:type="dxa"/>
            </w:tcMar>
          </w:tcPr>
          <w:p w14:paraId="680C2FCC"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-86,350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92847E"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-94,658</w:t>
            </w:r>
          </w:p>
        </w:tc>
      </w:tr>
      <w:tr w:rsidR="00EF18CC" w14:paraId="3759BFF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D3B3C94"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-54,600</w:t>
            </w:r>
          </w:p>
        </w:tc>
        <w:tc>
          <w:tcPr>
            <w:tcW w:w="2385" w:type="dxa"/>
            <w:tcBorders>
              <w:top w:val="nil"/>
              <w:left w:val="nil"/>
              <w:bottom w:val="nil"/>
              <w:right w:val="nil"/>
              <w:tl2br w:val="nil"/>
              <w:tr2bl w:val="nil"/>
            </w:tcBorders>
            <w:shd w:val="clear" w:color="auto" w:fill="auto"/>
            <w:tcMar>
              <w:left w:w="101" w:type="dxa"/>
              <w:right w:w="101" w:type="dxa"/>
            </w:tcMar>
          </w:tcPr>
          <w:p w14:paraId="548FBD5A"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95FF964"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1,254,531</w:t>
            </w:r>
          </w:p>
        </w:tc>
        <w:tc>
          <w:tcPr>
            <w:tcW w:w="1035" w:type="dxa"/>
            <w:tcBorders>
              <w:top w:val="nil"/>
              <w:left w:val="nil"/>
              <w:bottom w:val="nil"/>
              <w:right w:val="nil"/>
              <w:tl2br w:val="nil"/>
              <w:tr2bl w:val="nil"/>
            </w:tcBorders>
            <w:shd w:val="clear" w:color="FFFFFF" w:fill="FFFFFF"/>
            <w:noWrap/>
            <w:tcMar>
              <w:left w:w="101" w:type="dxa"/>
              <w:right w:w="101" w:type="dxa"/>
            </w:tcMar>
          </w:tcPr>
          <w:p w14:paraId="61EF470B"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64,479</w:t>
            </w:r>
          </w:p>
        </w:tc>
        <w:tc>
          <w:tcPr>
            <w:tcW w:w="600" w:type="dxa"/>
            <w:tcBorders>
              <w:top w:val="nil"/>
              <w:left w:val="nil"/>
              <w:bottom w:val="nil"/>
              <w:right w:val="nil"/>
              <w:tl2br w:val="nil"/>
              <w:tr2bl w:val="nil"/>
            </w:tcBorders>
            <w:shd w:val="clear" w:color="auto" w:fill="auto"/>
            <w:noWrap/>
            <w:tcMar>
              <w:left w:w="101" w:type="dxa"/>
              <w:right w:w="101" w:type="dxa"/>
            </w:tcMar>
          </w:tcPr>
          <w:p w14:paraId="33856968"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-95 </w:t>
            </w:r>
          </w:p>
        </w:tc>
        <w:tc>
          <w:tcPr>
            <w:tcW w:w="1035" w:type="dxa"/>
            <w:tcBorders>
              <w:top w:val="nil"/>
              <w:left w:val="nil"/>
              <w:bottom w:val="nil"/>
              <w:right w:val="nil"/>
              <w:tl2br w:val="nil"/>
              <w:tr2bl w:val="nil"/>
            </w:tcBorders>
            <w:shd w:val="clear" w:color="FFFFFF" w:fill="FFFFFF"/>
            <w:noWrap/>
            <w:tcMar>
              <w:left w:w="101" w:type="dxa"/>
              <w:right w:w="101" w:type="dxa"/>
            </w:tcMar>
          </w:tcPr>
          <w:p w14:paraId="202990A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15,439</w:t>
            </w:r>
          </w:p>
        </w:tc>
        <w:tc>
          <w:tcPr>
            <w:tcW w:w="1035" w:type="dxa"/>
            <w:tcBorders>
              <w:top w:val="nil"/>
              <w:left w:val="nil"/>
              <w:bottom w:val="nil"/>
              <w:right w:val="nil"/>
              <w:tl2br w:val="nil"/>
              <w:tr2bl w:val="nil"/>
            </w:tcBorders>
            <w:shd w:val="clear" w:color="FFFFFF" w:fill="FFFFFF"/>
            <w:noWrap/>
            <w:tcMar>
              <w:left w:w="101" w:type="dxa"/>
              <w:right w:w="101" w:type="dxa"/>
            </w:tcMar>
          </w:tcPr>
          <w:p w14:paraId="759F1049"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176,349</w:t>
            </w:r>
          </w:p>
        </w:tc>
        <w:tc>
          <w:tcPr>
            <w:tcW w:w="1035" w:type="dxa"/>
            <w:tcBorders>
              <w:top w:val="nil"/>
              <w:left w:val="nil"/>
              <w:bottom w:val="nil"/>
              <w:right w:val="nil"/>
              <w:tl2br w:val="nil"/>
              <w:tr2bl w:val="nil"/>
            </w:tcBorders>
            <w:shd w:val="clear" w:color="FFFFFF" w:fill="FFFFFF"/>
            <w:noWrap/>
            <w:tcMar>
              <w:left w:w="101" w:type="dxa"/>
              <w:right w:w="101" w:type="dxa"/>
            </w:tcMar>
          </w:tcPr>
          <w:p w14:paraId="7240B481"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28,650</w:t>
            </w:r>
          </w:p>
        </w:tc>
      </w:tr>
      <w:tr w:rsidR="00EF18CC" w14:paraId="7FA52B8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9260707"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E85609" w14:textId="77777777" w:rsidR="00EF18CC" w:rsidRDefault="00EF18CC" w:rsidP="006D3501">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395D79"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C3F2BB"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543A882"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A43C06"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9F7FE1"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F9C270" w14:textId="77777777" w:rsidR="00EF18CC" w:rsidRDefault="00EF18CC" w:rsidP="006D3501">
            <w:pPr>
              <w:pStyle w:val="Normal8"/>
              <w:rPr>
                <w:rFonts w:ascii="Calibri" w:eastAsia="Calibri" w:hAnsi="Calibri" w:cs="Calibri"/>
                <w:color w:val="000000"/>
                <w:sz w:val="18"/>
              </w:rPr>
            </w:pPr>
          </w:p>
        </w:tc>
      </w:tr>
      <w:tr w:rsidR="00EF18CC" w14:paraId="4DA643A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E831ED9"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-115,609</w:t>
            </w:r>
          </w:p>
        </w:tc>
        <w:tc>
          <w:tcPr>
            <w:tcW w:w="2385" w:type="dxa"/>
            <w:tcBorders>
              <w:top w:val="nil"/>
              <w:left w:val="nil"/>
              <w:bottom w:val="nil"/>
              <w:right w:val="nil"/>
              <w:tl2br w:val="nil"/>
              <w:tr2bl w:val="nil"/>
            </w:tcBorders>
            <w:shd w:val="clear" w:color="FFFFFF" w:fill="FFFFFF"/>
            <w:tcMar>
              <w:left w:w="101" w:type="dxa"/>
              <w:right w:w="101" w:type="dxa"/>
            </w:tcMar>
          </w:tcPr>
          <w:p w14:paraId="07435828"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3D99AA9B"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1,204,434</w:t>
            </w:r>
          </w:p>
        </w:tc>
        <w:tc>
          <w:tcPr>
            <w:tcW w:w="1035" w:type="dxa"/>
            <w:tcBorders>
              <w:top w:val="nil"/>
              <w:left w:val="nil"/>
              <w:bottom w:val="nil"/>
              <w:right w:val="nil"/>
              <w:tl2br w:val="nil"/>
              <w:tr2bl w:val="nil"/>
            </w:tcBorders>
            <w:shd w:val="clear" w:color="FFFFFF" w:fill="FFFFFF"/>
            <w:noWrap/>
            <w:tcMar>
              <w:left w:w="101" w:type="dxa"/>
              <w:right w:w="101" w:type="dxa"/>
            </w:tcMar>
          </w:tcPr>
          <w:p w14:paraId="4B32DF5D"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-30,649</w:t>
            </w:r>
          </w:p>
        </w:tc>
        <w:tc>
          <w:tcPr>
            <w:tcW w:w="600" w:type="dxa"/>
            <w:tcBorders>
              <w:top w:val="nil"/>
              <w:left w:val="nil"/>
              <w:bottom w:val="nil"/>
              <w:right w:val="nil"/>
              <w:tl2br w:val="nil"/>
              <w:tr2bl w:val="nil"/>
            </w:tcBorders>
            <w:shd w:val="clear" w:color="FFFFFF" w:fill="FFFFFF"/>
            <w:noWrap/>
            <w:tcMar>
              <w:left w:w="101" w:type="dxa"/>
              <w:right w:w="101" w:type="dxa"/>
            </w:tcMar>
          </w:tcPr>
          <w:p w14:paraId="79AFD191"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-103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9079F42"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-70,151</w:t>
            </w:r>
          </w:p>
        </w:tc>
        <w:tc>
          <w:tcPr>
            <w:tcW w:w="1035" w:type="dxa"/>
            <w:tcBorders>
              <w:top w:val="nil"/>
              <w:left w:val="nil"/>
              <w:bottom w:val="nil"/>
              <w:right w:val="nil"/>
              <w:tl2br w:val="nil"/>
              <w:tr2bl w:val="nil"/>
            </w:tcBorders>
            <w:shd w:val="clear" w:color="FFFFFF" w:fill="FFFFFF"/>
            <w:noWrap/>
            <w:tcMar>
              <w:left w:w="101" w:type="dxa"/>
              <w:right w:w="101" w:type="dxa"/>
            </w:tcMar>
          </w:tcPr>
          <w:p w14:paraId="6475A348"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89,999</w:t>
            </w:r>
          </w:p>
        </w:tc>
        <w:tc>
          <w:tcPr>
            <w:tcW w:w="1035" w:type="dxa"/>
            <w:tcBorders>
              <w:top w:val="nil"/>
              <w:left w:val="nil"/>
              <w:bottom w:val="nil"/>
              <w:right w:val="nil"/>
              <w:tl2br w:val="nil"/>
              <w:tr2bl w:val="nil"/>
            </w:tcBorders>
            <w:shd w:val="clear" w:color="FFFFFF" w:fill="FFFFFF"/>
            <w:noWrap/>
            <w:tcMar>
              <w:left w:w="101" w:type="dxa"/>
              <w:right w:w="101" w:type="dxa"/>
            </w:tcMar>
          </w:tcPr>
          <w:p w14:paraId="1005E81C"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-66,008</w:t>
            </w:r>
          </w:p>
        </w:tc>
      </w:tr>
      <w:tr w:rsidR="00EF18CC" w14:paraId="5DE7059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E7F24F4"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EB98E10" w14:textId="77777777" w:rsidR="00EF18CC" w:rsidRDefault="00EF18CC" w:rsidP="006D3501">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8BEB87"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D793A8"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A483FF1"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C9C4F7"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95E4FD"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7E8CA9" w14:textId="77777777" w:rsidR="00EF18CC" w:rsidRDefault="00EF18CC" w:rsidP="006D3501">
            <w:pPr>
              <w:pStyle w:val="Normal8"/>
              <w:rPr>
                <w:rFonts w:ascii="Calibri" w:eastAsia="Calibri" w:hAnsi="Calibri" w:cs="Calibri"/>
                <w:color w:val="000000"/>
                <w:sz w:val="18"/>
              </w:rPr>
            </w:pPr>
          </w:p>
        </w:tc>
      </w:tr>
      <w:tr w:rsidR="00EF18CC" w14:paraId="602E675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2CD3ACF"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2385" w:type="dxa"/>
            <w:tcBorders>
              <w:top w:val="nil"/>
              <w:left w:val="nil"/>
              <w:bottom w:val="nil"/>
              <w:right w:val="nil"/>
              <w:tl2br w:val="nil"/>
              <w:tr2bl w:val="nil"/>
            </w:tcBorders>
            <w:shd w:val="clear" w:color="FFFFFF" w:fill="FFFFFF"/>
            <w:tcMar>
              <w:left w:w="101" w:type="dxa"/>
              <w:right w:w="101" w:type="dxa"/>
            </w:tcMar>
          </w:tcPr>
          <w:p w14:paraId="1655D458"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Transfer to/from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5BFEFD6"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97,015</w:t>
            </w:r>
          </w:p>
        </w:tc>
        <w:tc>
          <w:tcPr>
            <w:tcW w:w="1035" w:type="dxa"/>
            <w:tcBorders>
              <w:top w:val="nil"/>
              <w:left w:val="nil"/>
              <w:bottom w:val="nil"/>
              <w:right w:val="nil"/>
              <w:tl2br w:val="nil"/>
              <w:tr2bl w:val="nil"/>
            </w:tcBorders>
            <w:shd w:val="clear" w:color="FFFFFF" w:fill="FFFFFF"/>
            <w:noWrap/>
            <w:tcMar>
              <w:left w:w="101" w:type="dxa"/>
              <w:right w:w="101" w:type="dxa"/>
            </w:tcMar>
          </w:tcPr>
          <w:p w14:paraId="5F60DA9A"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600" w:type="dxa"/>
            <w:tcBorders>
              <w:top w:val="nil"/>
              <w:left w:val="nil"/>
              <w:bottom w:val="nil"/>
              <w:right w:val="nil"/>
              <w:tl2br w:val="nil"/>
              <w:tr2bl w:val="nil"/>
            </w:tcBorders>
            <w:shd w:val="clear" w:color="FFFFFF" w:fill="FFFFFF"/>
            <w:noWrap/>
            <w:tcMar>
              <w:left w:w="101" w:type="dxa"/>
              <w:right w:w="101" w:type="dxa"/>
            </w:tcMar>
          </w:tcPr>
          <w:p w14:paraId="21AF3B83"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-77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8AC3D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1887F23D"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3264CD8D"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r>
      <w:tr w:rsidR="00EF18CC" w14:paraId="00D1C80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F3EB178"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2385" w:type="dxa"/>
            <w:tcBorders>
              <w:top w:val="nil"/>
              <w:left w:val="nil"/>
              <w:bottom w:val="nil"/>
              <w:right w:val="nil"/>
              <w:tl2br w:val="nil"/>
              <w:tr2bl w:val="nil"/>
            </w:tcBorders>
            <w:shd w:val="clear" w:color="auto" w:fill="auto"/>
            <w:tcMar>
              <w:left w:w="101" w:type="dxa"/>
              <w:right w:w="101" w:type="dxa"/>
            </w:tcMar>
          </w:tcPr>
          <w:p w14:paraId="532B2C06"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Movement in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A44BD85"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-97,015</w:t>
            </w:r>
          </w:p>
        </w:tc>
        <w:tc>
          <w:tcPr>
            <w:tcW w:w="1035" w:type="dxa"/>
            <w:tcBorders>
              <w:top w:val="nil"/>
              <w:left w:val="nil"/>
              <w:bottom w:val="nil"/>
              <w:right w:val="nil"/>
              <w:tl2br w:val="nil"/>
              <w:tr2bl w:val="nil"/>
            </w:tcBorders>
            <w:shd w:val="clear" w:color="FFFFFF" w:fill="FFFFFF"/>
            <w:noWrap/>
            <w:tcMar>
              <w:left w:w="101" w:type="dxa"/>
              <w:right w:w="101" w:type="dxa"/>
            </w:tcMar>
          </w:tcPr>
          <w:p w14:paraId="7A275AE6"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600" w:type="dxa"/>
            <w:tcBorders>
              <w:top w:val="nil"/>
              <w:left w:val="nil"/>
              <w:bottom w:val="nil"/>
              <w:right w:val="nil"/>
              <w:tl2br w:val="nil"/>
              <w:tr2bl w:val="nil"/>
            </w:tcBorders>
            <w:shd w:val="clear" w:color="FFFFFF" w:fill="FFFFFF"/>
            <w:noWrap/>
            <w:tcMar>
              <w:left w:w="101" w:type="dxa"/>
              <w:right w:w="101" w:type="dxa"/>
            </w:tcMar>
          </w:tcPr>
          <w:p w14:paraId="52D7239D"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77 </w:t>
            </w:r>
          </w:p>
        </w:tc>
        <w:tc>
          <w:tcPr>
            <w:tcW w:w="1035" w:type="dxa"/>
            <w:tcBorders>
              <w:top w:val="nil"/>
              <w:left w:val="nil"/>
              <w:bottom w:val="nil"/>
              <w:right w:val="nil"/>
              <w:tl2br w:val="nil"/>
              <w:tr2bl w:val="nil"/>
            </w:tcBorders>
            <w:shd w:val="clear" w:color="FFFFFF" w:fill="FFFFFF"/>
            <w:noWrap/>
            <w:tcMar>
              <w:left w:w="101" w:type="dxa"/>
              <w:right w:w="101" w:type="dxa"/>
            </w:tcMar>
          </w:tcPr>
          <w:p w14:paraId="227E13D5"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CB850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BB55A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-22,000</w:t>
            </w:r>
          </w:p>
        </w:tc>
      </w:tr>
      <w:tr w:rsidR="00EF18CC" w14:paraId="31A2773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AF37ECD"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54322D"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15B410"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A9A587"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93FEC1A" w14:textId="77777777" w:rsidR="00EF18CC" w:rsidRDefault="00EF18CC" w:rsidP="006D3501">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51AD43"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70BB14"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C5E301" w14:textId="77777777" w:rsidR="00EF18CC" w:rsidRDefault="00EF18CC" w:rsidP="006D3501">
            <w:pPr>
              <w:pStyle w:val="Normal8"/>
              <w:rPr>
                <w:rFonts w:ascii="Calibri" w:eastAsia="Calibri" w:hAnsi="Calibri" w:cs="Calibri"/>
                <w:color w:val="000000"/>
                <w:sz w:val="18"/>
              </w:rPr>
            </w:pPr>
          </w:p>
        </w:tc>
      </w:tr>
      <w:tr w:rsidR="00EF18CC" w14:paraId="0216407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0C3D790"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343188B4"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B562F9D"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46D8C26"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9A68038"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391CC31"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B536A8F"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A2BEC54"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0</w:t>
            </w:r>
          </w:p>
        </w:tc>
      </w:tr>
      <w:tr w:rsidR="00EF18CC" w14:paraId="0F630A2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AB2CE26"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89B49E5"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6EA89C"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476161"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56FB7FA" w14:textId="77777777" w:rsidR="00EF18CC" w:rsidRDefault="00EF18CC" w:rsidP="006D3501">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F1E7D6"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57B371"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8BC074" w14:textId="77777777" w:rsidR="00EF18CC" w:rsidRDefault="00EF18CC" w:rsidP="006D3501">
            <w:pPr>
              <w:pStyle w:val="Normal8"/>
              <w:rPr>
                <w:rFonts w:ascii="Calibri" w:eastAsia="Calibri" w:hAnsi="Calibri" w:cs="Calibri"/>
                <w:color w:val="000000"/>
                <w:sz w:val="18"/>
              </w:rPr>
            </w:pPr>
          </w:p>
        </w:tc>
      </w:tr>
      <w:tr w:rsidR="00EF18CC" w14:paraId="5B3075D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588E569" w14:textId="77777777" w:rsidR="00EF18CC" w:rsidRDefault="00EF18CC" w:rsidP="006D3501">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4FD5E148"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EF18CC" w14:paraId="0B4EE58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D25045B"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83,133</w:t>
            </w:r>
          </w:p>
        </w:tc>
        <w:tc>
          <w:tcPr>
            <w:tcW w:w="2385" w:type="dxa"/>
            <w:tcBorders>
              <w:top w:val="nil"/>
              <w:left w:val="nil"/>
              <w:bottom w:val="nil"/>
              <w:right w:val="nil"/>
              <w:tl2br w:val="nil"/>
              <w:tr2bl w:val="nil"/>
            </w:tcBorders>
            <w:shd w:val="clear" w:color="FFFFFF" w:fill="FFFFFF"/>
            <w:tcMar>
              <w:left w:w="101" w:type="dxa"/>
              <w:right w:w="101" w:type="dxa"/>
            </w:tcMar>
          </w:tcPr>
          <w:p w14:paraId="4024F5B1"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64F27106"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81,942</w:t>
            </w:r>
          </w:p>
        </w:tc>
        <w:tc>
          <w:tcPr>
            <w:tcW w:w="1035" w:type="dxa"/>
            <w:tcBorders>
              <w:top w:val="nil"/>
              <w:left w:val="nil"/>
              <w:bottom w:val="nil"/>
              <w:right w:val="nil"/>
              <w:tl2br w:val="nil"/>
              <w:tr2bl w:val="nil"/>
            </w:tcBorders>
            <w:shd w:val="clear" w:color="FFFFFF" w:fill="FFFFFF"/>
            <w:noWrap/>
            <w:tcMar>
              <w:left w:w="101" w:type="dxa"/>
              <w:right w:w="101" w:type="dxa"/>
            </w:tcMar>
          </w:tcPr>
          <w:p w14:paraId="43E6D855"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96,910</w:t>
            </w:r>
          </w:p>
        </w:tc>
        <w:tc>
          <w:tcPr>
            <w:tcW w:w="600" w:type="dxa"/>
            <w:tcBorders>
              <w:top w:val="nil"/>
              <w:left w:val="nil"/>
              <w:bottom w:val="nil"/>
              <w:right w:val="nil"/>
              <w:tl2br w:val="nil"/>
              <w:tr2bl w:val="nil"/>
            </w:tcBorders>
            <w:shd w:val="clear" w:color="FFFFFF" w:fill="FFFFFF"/>
            <w:noWrap/>
            <w:tcMar>
              <w:left w:w="101" w:type="dxa"/>
              <w:right w:w="101" w:type="dxa"/>
            </w:tcMar>
          </w:tcPr>
          <w:p w14:paraId="0A0616F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18 </w:t>
            </w:r>
          </w:p>
        </w:tc>
        <w:tc>
          <w:tcPr>
            <w:tcW w:w="1035" w:type="dxa"/>
            <w:tcBorders>
              <w:top w:val="nil"/>
              <w:left w:val="nil"/>
              <w:bottom w:val="nil"/>
              <w:right w:val="nil"/>
              <w:tl2br w:val="nil"/>
              <w:tr2bl w:val="nil"/>
            </w:tcBorders>
            <w:shd w:val="clear" w:color="FFFFFF" w:fill="FFFFFF"/>
            <w:noWrap/>
            <w:tcMar>
              <w:left w:w="101" w:type="dxa"/>
              <w:right w:w="101" w:type="dxa"/>
            </w:tcMar>
          </w:tcPr>
          <w:p w14:paraId="26ABAC4B"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25,000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2FD7351"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25,000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703DBB7F"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5,000</w:t>
            </w:r>
          </w:p>
        </w:tc>
      </w:tr>
      <w:tr w:rsidR="00EF18CC" w14:paraId="598A8EF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CC77521"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E56913"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FCE1EF"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74541C"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ECB782F" w14:textId="77777777" w:rsidR="00EF18CC" w:rsidRDefault="00EF18CC" w:rsidP="006D3501">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CE7DE4"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C04CFF"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56C32E" w14:textId="77777777" w:rsidR="00EF18CC" w:rsidRDefault="00EF18CC" w:rsidP="006D3501">
            <w:pPr>
              <w:pStyle w:val="Normal8"/>
              <w:rPr>
                <w:rFonts w:ascii="Calibri" w:eastAsia="Calibri" w:hAnsi="Calibri" w:cs="Calibri"/>
                <w:color w:val="000000"/>
                <w:sz w:val="18"/>
              </w:rPr>
            </w:pPr>
          </w:p>
        </w:tc>
      </w:tr>
      <w:tr w:rsidR="00EF18CC" w14:paraId="57D5C8B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39B1F47"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83,133</w:t>
            </w:r>
          </w:p>
        </w:tc>
        <w:tc>
          <w:tcPr>
            <w:tcW w:w="2385" w:type="dxa"/>
            <w:tcBorders>
              <w:top w:val="nil"/>
              <w:left w:val="nil"/>
              <w:bottom w:val="nil"/>
              <w:right w:val="nil"/>
              <w:tl2br w:val="nil"/>
              <w:tr2bl w:val="nil"/>
            </w:tcBorders>
            <w:shd w:val="clear" w:color="auto" w:fill="auto"/>
            <w:tcMar>
              <w:left w:w="101" w:type="dxa"/>
              <w:right w:w="101" w:type="dxa"/>
            </w:tcMar>
          </w:tcPr>
          <w:p w14:paraId="610BAB33"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7B3BD83"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81,942</w:t>
            </w:r>
          </w:p>
        </w:tc>
        <w:tc>
          <w:tcPr>
            <w:tcW w:w="1035" w:type="dxa"/>
            <w:tcBorders>
              <w:top w:val="nil"/>
              <w:left w:val="nil"/>
              <w:bottom w:val="nil"/>
              <w:right w:val="nil"/>
              <w:tl2br w:val="nil"/>
              <w:tr2bl w:val="nil"/>
            </w:tcBorders>
            <w:shd w:val="clear" w:color="FFFFFF" w:fill="FFFFFF"/>
            <w:noWrap/>
            <w:tcMar>
              <w:left w:w="101" w:type="dxa"/>
              <w:right w:w="101" w:type="dxa"/>
            </w:tcMar>
          </w:tcPr>
          <w:p w14:paraId="657A1956"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96,910</w:t>
            </w:r>
          </w:p>
        </w:tc>
        <w:tc>
          <w:tcPr>
            <w:tcW w:w="600" w:type="dxa"/>
            <w:tcBorders>
              <w:top w:val="nil"/>
              <w:left w:val="nil"/>
              <w:bottom w:val="nil"/>
              <w:right w:val="nil"/>
              <w:tl2br w:val="nil"/>
              <w:tr2bl w:val="nil"/>
            </w:tcBorders>
            <w:shd w:val="clear" w:color="FFFFFF" w:fill="FFFFFF"/>
            <w:noWrap/>
            <w:tcMar>
              <w:left w:w="101" w:type="dxa"/>
              <w:right w:w="101" w:type="dxa"/>
            </w:tcMar>
          </w:tcPr>
          <w:p w14:paraId="182AF4C7"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18 </w:t>
            </w:r>
          </w:p>
        </w:tc>
        <w:tc>
          <w:tcPr>
            <w:tcW w:w="1035" w:type="dxa"/>
            <w:tcBorders>
              <w:top w:val="nil"/>
              <w:left w:val="nil"/>
              <w:bottom w:val="nil"/>
              <w:right w:val="nil"/>
              <w:tl2br w:val="nil"/>
              <w:tr2bl w:val="nil"/>
            </w:tcBorders>
            <w:shd w:val="clear" w:color="FFFFFF" w:fill="FFFFFF"/>
            <w:noWrap/>
            <w:tcMar>
              <w:left w:w="101" w:type="dxa"/>
              <w:right w:w="101" w:type="dxa"/>
            </w:tcMar>
          </w:tcPr>
          <w:p w14:paraId="42FD256C"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25,000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49183BE"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25,000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5D77CBE4"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5,000</w:t>
            </w:r>
          </w:p>
        </w:tc>
      </w:tr>
      <w:tr w:rsidR="00EF18CC" w14:paraId="1BCBEB0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F80E021"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E2323CF"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21A387"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8B3806"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5F1310C" w14:textId="77777777" w:rsidR="00EF18CC" w:rsidRDefault="00EF18CC" w:rsidP="006D3501">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F35E4C"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754147"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563F6C" w14:textId="77777777" w:rsidR="00EF18CC" w:rsidRDefault="00EF18CC" w:rsidP="006D3501">
            <w:pPr>
              <w:pStyle w:val="Normal8"/>
              <w:rPr>
                <w:rFonts w:ascii="Calibri" w:eastAsia="Calibri" w:hAnsi="Calibri" w:cs="Calibri"/>
                <w:color w:val="000000"/>
                <w:sz w:val="18"/>
              </w:rPr>
            </w:pPr>
          </w:p>
        </w:tc>
      </w:tr>
      <w:tr w:rsidR="00EF18CC" w14:paraId="553E223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9042862"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2F8E2453"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7B144D34"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E2C7EA"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B1C37F3" w14:textId="77777777" w:rsidR="00EF18CC" w:rsidRDefault="00EF18CC" w:rsidP="006D3501">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9B13E2"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569E30"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FF9684" w14:textId="77777777" w:rsidR="00EF18CC" w:rsidRDefault="00EF18CC" w:rsidP="006D3501">
            <w:pPr>
              <w:pStyle w:val="Normal8"/>
              <w:rPr>
                <w:rFonts w:ascii="Calibri" w:eastAsia="Calibri" w:hAnsi="Calibri" w:cs="Calibri"/>
                <w:color w:val="000000"/>
                <w:sz w:val="18"/>
              </w:rPr>
            </w:pPr>
          </w:p>
        </w:tc>
      </w:tr>
      <w:tr w:rsidR="00EF18CC" w14:paraId="1B5F926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BB27C4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1,782,139</w:t>
            </w:r>
          </w:p>
        </w:tc>
        <w:tc>
          <w:tcPr>
            <w:tcW w:w="2385" w:type="dxa"/>
            <w:tcBorders>
              <w:top w:val="nil"/>
              <w:left w:val="nil"/>
              <w:bottom w:val="nil"/>
              <w:right w:val="nil"/>
              <w:tl2br w:val="nil"/>
              <w:tr2bl w:val="nil"/>
            </w:tcBorders>
            <w:shd w:val="clear" w:color="auto" w:fill="auto"/>
            <w:tcMar>
              <w:left w:w="101" w:type="dxa"/>
              <w:right w:w="101" w:type="dxa"/>
            </w:tcMar>
          </w:tcPr>
          <w:p w14:paraId="19569EC4"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B15790E"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1,866,877</w:t>
            </w:r>
          </w:p>
        </w:tc>
        <w:tc>
          <w:tcPr>
            <w:tcW w:w="1035" w:type="dxa"/>
            <w:tcBorders>
              <w:top w:val="nil"/>
              <w:left w:val="nil"/>
              <w:bottom w:val="nil"/>
              <w:right w:val="nil"/>
              <w:tl2br w:val="nil"/>
              <w:tr2bl w:val="nil"/>
            </w:tcBorders>
            <w:shd w:val="clear" w:color="FFFFFF" w:fill="FFFFFF"/>
            <w:noWrap/>
            <w:tcMar>
              <w:left w:w="101" w:type="dxa"/>
              <w:right w:w="101" w:type="dxa"/>
            </w:tcMar>
          </w:tcPr>
          <w:p w14:paraId="71D1DC3C"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1,890,659</w:t>
            </w:r>
          </w:p>
        </w:tc>
        <w:tc>
          <w:tcPr>
            <w:tcW w:w="600" w:type="dxa"/>
            <w:tcBorders>
              <w:top w:val="nil"/>
              <w:left w:val="nil"/>
              <w:bottom w:val="nil"/>
              <w:right w:val="nil"/>
              <w:tl2br w:val="nil"/>
              <w:tr2bl w:val="nil"/>
            </w:tcBorders>
            <w:shd w:val="clear" w:color="FFFFFF" w:fill="FFFFFF"/>
            <w:noWrap/>
            <w:tcMar>
              <w:left w:w="101" w:type="dxa"/>
              <w:right w:w="101" w:type="dxa"/>
            </w:tcMar>
          </w:tcPr>
          <w:p w14:paraId="1AFAD4F2"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23C8182A"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1,852,069</w:t>
            </w:r>
          </w:p>
        </w:tc>
        <w:tc>
          <w:tcPr>
            <w:tcW w:w="1035" w:type="dxa"/>
            <w:tcBorders>
              <w:top w:val="nil"/>
              <w:left w:val="nil"/>
              <w:bottom w:val="nil"/>
              <w:right w:val="nil"/>
              <w:tl2br w:val="nil"/>
              <w:tr2bl w:val="nil"/>
            </w:tcBorders>
            <w:shd w:val="clear" w:color="FFFFFF" w:fill="FFFFFF"/>
            <w:noWrap/>
            <w:tcMar>
              <w:left w:w="101" w:type="dxa"/>
              <w:right w:w="101" w:type="dxa"/>
            </w:tcMar>
          </w:tcPr>
          <w:p w14:paraId="4E53CB5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1,812,719</w:t>
            </w:r>
          </w:p>
        </w:tc>
        <w:tc>
          <w:tcPr>
            <w:tcW w:w="1035" w:type="dxa"/>
            <w:tcBorders>
              <w:top w:val="nil"/>
              <w:left w:val="nil"/>
              <w:bottom w:val="nil"/>
              <w:right w:val="nil"/>
              <w:tl2br w:val="nil"/>
              <w:tr2bl w:val="nil"/>
            </w:tcBorders>
            <w:shd w:val="clear" w:color="FFFFFF" w:fill="FFFFFF"/>
            <w:noWrap/>
            <w:tcMar>
              <w:left w:w="101" w:type="dxa"/>
              <w:right w:w="101" w:type="dxa"/>
            </w:tcMar>
          </w:tcPr>
          <w:p w14:paraId="7FAC9867"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1,745,061</w:t>
            </w:r>
          </w:p>
        </w:tc>
      </w:tr>
      <w:tr w:rsidR="00EF18CC" w14:paraId="05738AC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C80D509"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3,668,963</w:t>
            </w:r>
          </w:p>
        </w:tc>
        <w:tc>
          <w:tcPr>
            <w:tcW w:w="2385" w:type="dxa"/>
            <w:tcBorders>
              <w:top w:val="nil"/>
              <w:left w:val="nil"/>
              <w:bottom w:val="nil"/>
              <w:right w:val="nil"/>
              <w:tl2br w:val="nil"/>
              <w:tr2bl w:val="nil"/>
            </w:tcBorders>
            <w:shd w:val="clear" w:color="auto" w:fill="auto"/>
            <w:tcMar>
              <w:left w:w="101" w:type="dxa"/>
              <w:right w:w="101" w:type="dxa"/>
            </w:tcMar>
          </w:tcPr>
          <w:p w14:paraId="35797CA8" w14:textId="77777777" w:rsidR="00EF18CC" w:rsidRDefault="00EF18CC" w:rsidP="006D3501">
            <w:pPr>
              <w:pStyle w:val="Normal8"/>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10B01053"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4,903,079</w:t>
            </w:r>
          </w:p>
        </w:tc>
        <w:tc>
          <w:tcPr>
            <w:tcW w:w="1035" w:type="dxa"/>
            <w:tcBorders>
              <w:top w:val="nil"/>
              <w:left w:val="nil"/>
              <w:bottom w:val="nil"/>
              <w:right w:val="nil"/>
              <w:tl2br w:val="nil"/>
              <w:tr2bl w:val="nil"/>
            </w:tcBorders>
            <w:shd w:val="clear" w:color="FFFFFF" w:fill="FFFFFF"/>
            <w:noWrap/>
            <w:tcMar>
              <w:left w:w="101" w:type="dxa"/>
              <w:right w:w="101" w:type="dxa"/>
            </w:tcMar>
          </w:tcPr>
          <w:p w14:paraId="4D6F0B15"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4,945,558</w:t>
            </w:r>
          </w:p>
        </w:tc>
        <w:tc>
          <w:tcPr>
            <w:tcW w:w="600" w:type="dxa"/>
            <w:tcBorders>
              <w:top w:val="nil"/>
              <w:left w:val="nil"/>
              <w:bottom w:val="nil"/>
              <w:right w:val="nil"/>
              <w:tl2br w:val="nil"/>
              <w:tr2bl w:val="nil"/>
            </w:tcBorders>
            <w:shd w:val="clear" w:color="FFFFFF" w:fill="FFFFFF"/>
            <w:noWrap/>
            <w:tcMar>
              <w:left w:w="101" w:type="dxa"/>
              <w:right w:w="101" w:type="dxa"/>
            </w:tcMar>
          </w:tcPr>
          <w:p w14:paraId="3808F0AF"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4A062B10"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4,938,997</w:t>
            </w:r>
          </w:p>
        </w:tc>
        <w:tc>
          <w:tcPr>
            <w:tcW w:w="1035" w:type="dxa"/>
            <w:tcBorders>
              <w:top w:val="nil"/>
              <w:left w:val="nil"/>
              <w:bottom w:val="nil"/>
              <w:right w:val="nil"/>
              <w:tl2br w:val="nil"/>
              <w:tr2bl w:val="nil"/>
            </w:tcBorders>
            <w:shd w:val="clear" w:color="FFFFFF" w:fill="FFFFFF"/>
            <w:noWrap/>
            <w:tcMar>
              <w:left w:w="101" w:type="dxa"/>
              <w:right w:w="101" w:type="dxa"/>
            </w:tcMar>
          </w:tcPr>
          <w:p w14:paraId="69AED535"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5,093,346</w:t>
            </w:r>
          </w:p>
        </w:tc>
        <w:tc>
          <w:tcPr>
            <w:tcW w:w="1035" w:type="dxa"/>
            <w:tcBorders>
              <w:top w:val="nil"/>
              <w:left w:val="nil"/>
              <w:bottom w:val="nil"/>
              <w:right w:val="nil"/>
              <w:tl2br w:val="nil"/>
              <w:tr2bl w:val="nil"/>
            </w:tcBorders>
            <w:shd w:val="clear" w:color="FFFFFF" w:fill="FFFFFF"/>
            <w:noWrap/>
            <w:tcMar>
              <w:left w:w="101" w:type="dxa"/>
              <w:right w:w="101" w:type="dxa"/>
            </w:tcMar>
          </w:tcPr>
          <w:p w14:paraId="73364EA2" w14:textId="77777777" w:rsidR="00EF18CC" w:rsidRDefault="00EF18CC" w:rsidP="006D3501">
            <w:pPr>
              <w:pStyle w:val="Normal8"/>
              <w:jc w:val="right"/>
              <w:rPr>
                <w:rFonts w:ascii="Calibri" w:eastAsia="Calibri" w:hAnsi="Calibri" w:cs="Calibri"/>
                <w:color w:val="000000"/>
                <w:sz w:val="18"/>
              </w:rPr>
            </w:pPr>
            <w:r>
              <w:rPr>
                <w:rFonts w:ascii="Calibri" w:eastAsia="Calibri" w:hAnsi="Calibri" w:cs="Calibri"/>
                <w:color w:val="000000"/>
                <w:sz w:val="18"/>
              </w:rPr>
              <w:t>5,099,996</w:t>
            </w:r>
          </w:p>
        </w:tc>
      </w:tr>
      <w:tr w:rsidR="00EF18CC" w14:paraId="0FCA565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C9F9364"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0E6256A"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836354A"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A7334C"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367B52A" w14:textId="77777777" w:rsidR="00EF18CC" w:rsidRDefault="00EF18CC" w:rsidP="006D3501">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9DDBD5"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075079"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A7007B" w14:textId="77777777" w:rsidR="00EF18CC" w:rsidRDefault="00EF18CC" w:rsidP="006D3501">
            <w:pPr>
              <w:pStyle w:val="Normal8"/>
              <w:rPr>
                <w:rFonts w:ascii="Calibri" w:eastAsia="Calibri" w:hAnsi="Calibri" w:cs="Calibri"/>
                <w:color w:val="000000"/>
                <w:sz w:val="18"/>
              </w:rPr>
            </w:pPr>
          </w:p>
        </w:tc>
      </w:tr>
      <w:tr w:rsidR="00EF18CC" w14:paraId="1D30459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05DF68E"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5,451,102</w:t>
            </w:r>
          </w:p>
        </w:tc>
        <w:tc>
          <w:tcPr>
            <w:tcW w:w="2385" w:type="dxa"/>
            <w:tcBorders>
              <w:top w:val="nil"/>
              <w:left w:val="nil"/>
              <w:bottom w:val="nil"/>
              <w:right w:val="nil"/>
              <w:tl2br w:val="nil"/>
              <w:tr2bl w:val="nil"/>
            </w:tcBorders>
            <w:shd w:val="clear" w:color="FFFFFF" w:fill="FFFFFF"/>
            <w:tcMar>
              <w:left w:w="101" w:type="dxa"/>
              <w:right w:w="101" w:type="dxa"/>
            </w:tcMar>
          </w:tcPr>
          <w:p w14:paraId="0FC887F8" w14:textId="77777777" w:rsidR="00EF18CC" w:rsidRDefault="00EF18CC" w:rsidP="006D3501">
            <w:pPr>
              <w:pStyle w:val="Normal8"/>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B14FB87"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6,769,956</w:t>
            </w:r>
          </w:p>
        </w:tc>
        <w:tc>
          <w:tcPr>
            <w:tcW w:w="1035" w:type="dxa"/>
            <w:tcBorders>
              <w:top w:val="nil"/>
              <w:left w:val="nil"/>
              <w:bottom w:val="nil"/>
              <w:right w:val="nil"/>
              <w:tl2br w:val="nil"/>
              <w:tr2bl w:val="nil"/>
            </w:tcBorders>
            <w:shd w:val="clear" w:color="FFFFFF" w:fill="FFFFFF"/>
            <w:noWrap/>
            <w:tcMar>
              <w:left w:w="101" w:type="dxa"/>
              <w:right w:w="101" w:type="dxa"/>
            </w:tcMar>
          </w:tcPr>
          <w:p w14:paraId="0F0239FF"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6,836,217</w:t>
            </w:r>
          </w:p>
        </w:tc>
        <w:tc>
          <w:tcPr>
            <w:tcW w:w="600" w:type="dxa"/>
            <w:tcBorders>
              <w:top w:val="nil"/>
              <w:left w:val="nil"/>
              <w:bottom w:val="nil"/>
              <w:right w:val="nil"/>
              <w:tl2br w:val="nil"/>
              <w:tr2bl w:val="nil"/>
            </w:tcBorders>
            <w:shd w:val="clear" w:color="FFFFFF" w:fill="FFFFFF"/>
            <w:noWrap/>
            <w:tcMar>
              <w:left w:w="101" w:type="dxa"/>
              <w:right w:w="101" w:type="dxa"/>
            </w:tcMar>
          </w:tcPr>
          <w:p w14:paraId="637797D8"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7E0919C0"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6,791,066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3E2DC440"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6,906,065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7CCE9B7F" w14:textId="77777777" w:rsidR="00EF18CC" w:rsidRDefault="00EF18CC" w:rsidP="006D3501">
            <w:pPr>
              <w:pStyle w:val="Normal8"/>
              <w:jc w:val="right"/>
              <w:rPr>
                <w:rFonts w:ascii="Calibri" w:eastAsia="Calibri" w:hAnsi="Calibri" w:cs="Calibri"/>
                <w:b/>
                <w:color w:val="000000"/>
                <w:sz w:val="18"/>
              </w:rPr>
            </w:pPr>
            <w:r>
              <w:rPr>
                <w:rFonts w:ascii="Calibri" w:eastAsia="Calibri" w:hAnsi="Calibri" w:cs="Calibri"/>
                <w:b/>
                <w:color w:val="000000"/>
                <w:sz w:val="18"/>
              </w:rPr>
              <w:t>6,845,057</w:t>
            </w:r>
          </w:p>
        </w:tc>
      </w:tr>
      <w:tr w:rsidR="00EF18CC" w14:paraId="41CF211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EA3513" w14:textId="77777777" w:rsidR="00EF18CC" w:rsidRDefault="00EF18CC" w:rsidP="006D3501">
            <w:pPr>
              <w:pStyle w:val="Normal8"/>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70312D6"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F67C07"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00DBAF" w14:textId="77777777" w:rsidR="00EF18CC" w:rsidRDefault="00EF18CC" w:rsidP="006D3501">
            <w:pPr>
              <w:pStyle w:val="Normal8"/>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DF87275"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4BE0F3"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D019A14" w14:textId="77777777" w:rsidR="00EF18CC" w:rsidRDefault="00EF18CC" w:rsidP="006D3501">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180B5E7" w14:textId="77777777" w:rsidR="00EF18CC" w:rsidRDefault="00EF18CC" w:rsidP="006D3501">
            <w:pPr>
              <w:pStyle w:val="Normal8"/>
              <w:rPr>
                <w:rFonts w:ascii="Calibri" w:eastAsia="Calibri" w:hAnsi="Calibri" w:cs="Calibri"/>
                <w:color w:val="000000"/>
                <w:sz w:val="18"/>
              </w:rPr>
            </w:pPr>
          </w:p>
        </w:tc>
      </w:tr>
    </w:tbl>
    <w:p w14:paraId="59086739" w14:textId="77777777" w:rsidR="001E4FEE" w:rsidRDefault="001E4FEE">
      <w:pPr>
        <w:spacing w:before="0" w:after="0"/>
        <w:rPr>
          <w:b/>
          <w:bCs/>
          <w:color w:val="000000"/>
          <w:sz w:val="22"/>
          <w:szCs w:val="18"/>
        </w:rPr>
      </w:pPr>
      <w:r>
        <w:br w:type="page"/>
      </w:r>
    </w:p>
    <w:p w14:paraId="4234E504" w14:textId="46522E3C" w:rsidR="00EF18CC" w:rsidRPr="00B85F8D" w:rsidRDefault="001E4FEE" w:rsidP="001F1756">
      <w:pPr>
        <w:pStyle w:val="Caption"/>
        <w:rPr>
          <w:rFonts w:eastAsia="TimesNewRomanPS-ItalicMT"/>
          <w:b w:val="0"/>
          <w:bdr w:val="nil"/>
        </w:rPr>
      </w:pPr>
      <w:r>
        <w:lastRenderedPageBreak/>
        <w:t xml:space="preserve">Table </w:t>
      </w:r>
      <w:fldSimple w:instr=" SEQ Table \* ARABIC ">
        <w:r>
          <w:rPr>
            <w:noProof/>
          </w:rPr>
          <w:t>42</w:t>
        </w:r>
      </w:fldSimple>
      <w:r w:rsidR="00EF18CC">
        <w:rPr>
          <w:bdr w:val="nil"/>
        </w:rPr>
        <w:t xml:space="preserve">: Housing ACT: Cash Flow Statement </w:t>
      </w:r>
    </w:p>
    <w:tbl>
      <w:tblPr>
        <w:tblStyle w:val="CDMRange1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F18CC" w14:paraId="0252AD66" w14:textId="77777777" w:rsidTr="001F1756">
        <w:trPr>
          <w:trHeight w:val="960"/>
          <w:tblHeader/>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42AD36"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2FBB387" w14:textId="77777777" w:rsidR="00EF18CC" w:rsidRDefault="00EF18CC" w:rsidP="006D3501">
            <w:pPr>
              <w:pStyle w:val="Normal9"/>
              <w:jc w:val="right"/>
              <w:rPr>
                <w:rFonts w:ascii="Calibri" w:eastAsia="Calibri" w:hAnsi="Calibri" w:cs="Calibri"/>
                <w:b/>
                <w:color w:val="000000"/>
                <w:sz w:val="18"/>
              </w:rPr>
            </w:pPr>
          </w:p>
          <w:p w14:paraId="1D2323C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81F6832" w14:textId="77777777" w:rsidR="00EF18CC" w:rsidRDefault="00EF18CC" w:rsidP="006D3501">
            <w:pPr>
              <w:pStyle w:val="Normal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ED322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2020-21 Interim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1A938B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2021-22 Budget            </w:t>
            </w:r>
          </w:p>
          <w:p w14:paraId="53F28433" w14:textId="77777777" w:rsidR="00EF18CC" w:rsidRDefault="00EF18CC" w:rsidP="006D3501">
            <w:pPr>
              <w:pStyle w:val="Normal9"/>
              <w:jc w:val="right"/>
              <w:rPr>
                <w:rFonts w:ascii="Calibri" w:eastAsia="Calibri" w:hAnsi="Calibri" w:cs="Calibri"/>
                <w:b/>
                <w:color w:val="000000"/>
                <w:sz w:val="18"/>
              </w:rPr>
            </w:pPr>
          </w:p>
          <w:p w14:paraId="19C674B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D777946"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Var </w:t>
            </w:r>
          </w:p>
          <w:p w14:paraId="1B745D8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A33E71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143462C7" w14:textId="77777777" w:rsidR="00EF18CC" w:rsidRDefault="00EF18CC" w:rsidP="006D3501">
            <w:pPr>
              <w:pStyle w:val="Normal9"/>
              <w:jc w:val="right"/>
              <w:rPr>
                <w:rFonts w:ascii="Calibri" w:eastAsia="Calibri" w:hAnsi="Calibri" w:cs="Calibri"/>
                <w:b/>
                <w:color w:val="000000"/>
                <w:sz w:val="18"/>
              </w:rPr>
            </w:pPr>
          </w:p>
          <w:p w14:paraId="38BE197A"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FE4251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1E7030BC" w14:textId="77777777" w:rsidR="00EF18CC" w:rsidRDefault="00EF18CC" w:rsidP="006D3501">
            <w:pPr>
              <w:pStyle w:val="Normal9"/>
              <w:jc w:val="right"/>
              <w:rPr>
                <w:rFonts w:ascii="Calibri" w:eastAsia="Calibri" w:hAnsi="Calibri" w:cs="Calibri"/>
                <w:b/>
                <w:color w:val="000000"/>
                <w:sz w:val="18"/>
              </w:rPr>
            </w:pPr>
          </w:p>
          <w:p w14:paraId="510A717D"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8B0B66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2024-25 Estimate            </w:t>
            </w:r>
          </w:p>
          <w:p w14:paraId="4E528022" w14:textId="77777777" w:rsidR="00EF18CC" w:rsidRDefault="00EF18CC" w:rsidP="006D3501">
            <w:pPr>
              <w:pStyle w:val="Normal9"/>
              <w:jc w:val="right"/>
              <w:rPr>
                <w:rFonts w:ascii="Calibri" w:eastAsia="Calibri" w:hAnsi="Calibri" w:cs="Calibri"/>
                <w:b/>
                <w:color w:val="000000"/>
                <w:sz w:val="18"/>
              </w:rPr>
            </w:pPr>
          </w:p>
          <w:p w14:paraId="4E0A75B6"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EF18CC" w14:paraId="46453E6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8D2D335" w14:textId="77777777" w:rsidR="00EF18CC" w:rsidRDefault="00EF18CC" w:rsidP="006D3501">
            <w:pPr>
              <w:pStyle w:val="Normal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AFD7818" w14:textId="77777777" w:rsidR="00EF18CC" w:rsidRDefault="00EF18CC" w:rsidP="006D3501">
            <w:pPr>
              <w:pStyle w:val="Normal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8F4E10C" w14:textId="77777777" w:rsidR="00EF18CC" w:rsidRDefault="00EF18CC" w:rsidP="006D3501">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6A6945" w14:textId="77777777" w:rsidR="00EF18CC" w:rsidRDefault="00EF18CC" w:rsidP="006D3501">
            <w:pPr>
              <w:pStyle w:val="Normal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E5542B8" w14:textId="77777777" w:rsidR="00EF18CC" w:rsidRDefault="00EF18CC" w:rsidP="006D3501">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ED9810" w14:textId="77777777" w:rsidR="00EF18CC" w:rsidRDefault="00EF18CC" w:rsidP="006D3501">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0EF642B" w14:textId="77777777" w:rsidR="00EF18CC" w:rsidRDefault="00EF18CC" w:rsidP="006D3501">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E2B4F7" w14:textId="77777777" w:rsidR="00EF18CC" w:rsidRDefault="00EF18CC" w:rsidP="006D3501">
            <w:pPr>
              <w:pStyle w:val="Normal9"/>
              <w:jc w:val="right"/>
              <w:rPr>
                <w:rFonts w:ascii="Calibri" w:eastAsia="Calibri" w:hAnsi="Calibri" w:cs="Calibri"/>
                <w:b/>
                <w:i/>
                <w:color w:val="000000"/>
                <w:sz w:val="18"/>
              </w:rPr>
            </w:pPr>
          </w:p>
        </w:tc>
      </w:tr>
      <w:tr w:rsidR="00EF18CC" w14:paraId="29926AF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69789524" w14:textId="77777777" w:rsidR="00EF18CC" w:rsidRDefault="00EF18CC" w:rsidP="006D3501">
            <w:pPr>
              <w:pStyle w:val="Normal9"/>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1FE7319"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EF18CC" w14:paraId="16E5B4C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1D3F65"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A15E71A"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54F890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483D9C"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707DBD"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947D00"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8C2B76"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6C2C20" w14:textId="77777777" w:rsidR="00EF18CC" w:rsidRDefault="00EF18CC" w:rsidP="006D3501">
            <w:pPr>
              <w:pStyle w:val="Normal9"/>
              <w:rPr>
                <w:rFonts w:ascii="Calibri" w:eastAsia="Calibri" w:hAnsi="Calibri" w:cs="Calibri"/>
                <w:color w:val="000000"/>
                <w:sz w:val="18"/>
              </w:rPr>
            </w:pPr>
          </w:p>
        </w:tc>
      </w:tr>
      <w:tr w:rsidR="00EF18CC" w14:paraId="7BA71C7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55C29D"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54,883</w:t>
            </w:r>
          </w:p>
        </w:tc>
        <w:tc>
          <w:tcPr>
            <w:tcW w:w="2385" w:type="dxa"/>
            <w:tcBorders>
              <w:top w:val="nil"/>
              <w:left w:val="nil"/>
              <w:bottom w:val="nil"/>
              <w:right w:val="nil"/>
              <w:tl2br w:val="nil"/>
              <w:tr2bl w:val="nil"/>
            </w:tcBorders>
            <w:shd w:val="clear" w:color="auto" w:fill="auto"/>
            <w:noWrap/>
            <w:tcMar>
              <w:left w:w="101" w:type="dxa"/>
              <w:right w:w="101" w:type="dxa"/>
            </w:tcMar>
          </w:tcPr>
          <w:p w14:paraId="4617C5F8"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1912992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54,883</w:t>
            </w:r>
          </w:p>
        </w:tc>
        <w:tc>
          <w:tcPr>
            <w:tcW w:w="1035" w:type="dxa"/>
            <w:tcBorders>
              <w:top w:val="nil"/>
              <w:left w:val="nil"/>
              <w:bottom w:val="nil"/>
              <w:right w:val="nil"/>
              <w:tl2br w:val="nil"/>
              <w:tr2bl w:val="nil"/>
            </w:tcBorders>
            <w:shd w:val="clear" w:color="FFFFFF" w:fill="FFFFFF"/>
            <w:tcMar>
              <w:left w:w="101" w:type="dxa"/>
              <w:right w:w="101" w:type="dxa"/>
            </w:tcMar>
          </w:tcPr>
          <w:p w14:paraId="79895F4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57,786</w:t>
            </w:r>
          </w:p>
        </w:tc>
        <w:tc>
          <w:tcPr>
            <w:tcW w:w="600" w:type="dxa"/>
            <w:tcBorders>
              <w:top w:val="nil"/>
              <w:left w:val="nil"/>
              <w:bottom w:val="nil"/>
              <w:right w:val="nil"/>
              <w:tl2br w:val="nil"/>
              <w:tr2bl w:val="nil"/>
            </w:tcBorders>
            <w:shd w:val="clear" w:color="FFFFFF" w:fill="FFFFFF"/>
            <w:tcMar>
              <w:left w:w="101" w:type="dxa"/>
              <w:right w:w="101" w:type="dxa"/>
            </w:tcMar>
          </w:tcPr>
          <w:p w14:paraId="2618196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59367B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58,220</w:t>
            </w:r>
          </w:p>
        </w:tc>
        <w:tc>
          <w:tcPr>
            <w:tcW w:w="1035" w:type="dxa"/>
            <w:tcBorders>
              <w:top w:val="nil"/>
              <w:left w:val="nil"/>
              <w:bottom w:val="nil"/>
              <w:right w:val="nil"/>
              <w:tl2br w:val="nil"/>
              <w:tr2bl w:val="nil"/>
            </w:tcBorders>
            <w:shd w:val="clear" w:color="FFFFFF" w:fill="FFFFFF"/>
            <w:tcMar>
              <w:left w:w="101" w:type="dxa"/>
              <w:right w:w="101" w:type="dxa"/>
            </w:tcMar>
          </w:tcPr>
          <w:p w14:paraId="02FE0B5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51,746</w:t>
            </w:r>
          </w:p>
        </w:tc>
        <w:tc>
          <w:tcPr>
            <w:tcW w:w="1035" w:type="dxa"/>
            <w:tcBorders>
              <w:top w:val="nil"/>
              <w:left w:val="nil"/>
              <w:bottom w:val="nil"/>
              <w:right w:val="nil"/>
              <w:tl2br w:val="nil"/>
              <w:tr2bl w:val="nil"/>
            </w:tcBorders>
            <w:shd w:val="clear" w:color="FFFFFF" w:fill="FFFFFF"/>
            <w:tcMar>
              <w:left w:w="101" w:type="dxa"/>
              <w:right w:w="101" w:type="dxa"/>
            </w:tcMar>
          </w:tcPr>
          <w:p w14:paraId="670666E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51,706</w:t>
            </w:r>
          </w:p>
        </w:tc>
      </w:tr>
      <w:tr w:rsidR="00EF18CC" w14:paraId="05FC124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FAE81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85,002</w:t>
            </w:r>
          </w:p>
        </w:tc>
        <w:tc>
          <w:tcPr>
            <w:tcW w:w="2385" w:type="dxa"/>
            <w:tcBorders>
              <w:top w:val="nil"/>
              <w:left w:val="nil"/>
              <w:bottom w:val="nil"/>
              <w:right w:val="nil"/>
              <w:tl2br w:val="nil"/>
              <w:tr2bl w:val="nil"/>
            </w:tcBorders>
            <w:shd w:val="clear" w:color="auto" w:fill="auto"/>
            <w:noWrap/>
            <w:tcMar>
              <w:left w:w="101" w:type="dxa"/>
              <w:right w:w="101" w:type="dxa"/>
            </w:tcMar>
          </w:tcPr>
          <w:p w14:paraId="38A6169E"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6BE6C9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86,068</w:t>
            </w:r>
          </w:p>
        </w:tc>
        <w:tc>
          <w:tcPr>
            <w:tcW w:w="1035" w:type="dxa"/>
            <w:tcBorders>
              <w:top w:val="nil"/>
              <w:left w:val="nil"/>
              <w:bottom w:val="nil"/>
              <w:right w:val="nil"/>
              <w:tl2br w:val="nil"/>
              <w:tr2bl w:val="nil"/>
            </w:tcBorders>
            <w:shd w:val="clear" w:color="FFFFFF" w:fill="FFFFFF"/>
            <w:tcMar>
              <w:left w:w="101" w:type="dxa"/>
              <w:right w:w="101" w:type="dxa"/>
            </w:tcMar>
          </w:tcPr>
          <w:p w14:paraId="6258916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89,653</w:t>
            </w:r>
          </w:p>
        </w:tc>
        <w:tc>
          <w:tcPr>
            <w:tcW w:w="600" w:type="dxa"/>
            <w:tcBorders>
              <w:top w:val="nil"/>
              <w:left w:val="nil"/>
              <w:bottom w:val="nil"/>
              <w:right w:val="nil"/>
              <w:tl2br w:val="nil"/>
              <w:tr2bl w:val="nil"/>
            </w:tcBorders>
            <w:shd w:val="clear" w:color="FFFFFF" w:fill="FFFFFF"/>
            <w:tcMar>
              <w:left w:w="101" w:type="dxa"/>
              <w:right w:w="101" w:type="dxa"/>
            </w:tcMar>
          </w:tcPr>
          <w:p w14:paraId="7ACE1CBD"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0316B1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90,334</w:t>
            </w:r>
          </w:p>
        </w:tc>
        <w:tc>
          <w:tcPr>
            <w:tcW w:w="1035" w:type="dxa"/>
            <w:tcBorders>
              <w:top w:val="nil"/>
              <w:left w:val="nil"/>
              <w:bottom w:val="nil"/>
              <w:right w:val="nil"/>
              <w:tl2br w:val="nil"/>
              <w:tr2bl w:val="nil"/>
            </w:tcBorders>
            <w:shd w:val="clear" w:color="FFFFFF" w:fill="FFFFFF"/>
            <w:tcMar>
              <w:left w:w="101" w:type="dxa"/>
              <w:right w:w="101" w:type="dxa"/>
            </w:tcMar>
          </w:tcPr>
          <w:p w14:paraId="12E5D82D"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91,235</w:t>
            </w:r>
          </w:p>
        </w:tc>
        <w:tc>
          <w:tcPr>
            <w:tcW w:w="1035" w:type="dxa"/>
            <w:tcBorders>
              <w:top w:val="nil"/>
              <w:left w:val="nil"/>
              <w:bottom w:val="nil"/>
              <w:right w:val="nil"/>
              <w:tl2br w:val="nil"/>
              <w:tr2bl w:val="nil"/>
            </w:tcBorders>
            <w:shd w:val="clear" w:color="FFFFFF" w:fill="FFFFFF"/>
            <w:tcMar>
              <w:left w:w="101" w:type="dxa"/>
              <w:right w:w="101" w:type="dxa"/>
            </w:tcMar>
          </w:tcPr>
          <w:p w14:paraId="16A2FE2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92,139</w:t>
            </w:r>
          </w:p>
        </w:tc>
      </w:tr>
      <w:tr w:rsidR="00EF18CC" w14:paraId="730BB40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5602E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110</w:t>
            </w:r>
          </w:p>
        </w:tc>
        <w:tc>
          <w:tcPr>
            <w:tcW w:w="2385" w:type="dxa"/>
            <w:tcBorders>
              <w:top w:val="nil"/>
              <w:left w:val="nil"/>
              <w:bottom w:val="nil"/>
              <w:right w:val="nil"/>
              <w:tl2br w:val="nil"/>
              <w:tr2bl w:val="nil"/>
            </w:tcBorders>
            <w:shd w:val="clear" w:color="auto" w:fill="auto"/>
            <w:noWrap/>
            <w:tcMar>
              <w:left w:w="101" w:type="dxa"/>
              <w:right w:w="101" w:type="dxa"/>
            </w:tcMar>
          </w:tcPr>
          <w:p w14:paraId="28BA8BAC"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78D15F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110</w:t>
            </w:r>
          </w:p>
        </w:tc>
        <w:tc>
          <w:tcPr>
            <w:tcW w:w="1035" w:type="dxa"/>
            <w:tcBorders>
              <w:top w:val="nil"/>
              <w:left w:val="nil"/>
              <w:bottom w:val="nil"/>
              <w:right w:val="nil"/>
              <w:tl2br w:val="nil"/>
              <w:tr2bl w:val="nil"/>
            </w:tcBorders>
            <w:shd w:val="clear" w:color="FFFFFF" w:fill="FFFFFF"/>
            <w:tcMar>
              <w:left w:w="101" w:type="dxa"/>
              <w:right w:w="101" w:type="dxa"/>
            </w:tcMar>
          </w:tcPr>
          <w:p w14:paraId="1A9034F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94DB7B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58D86E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17C1D5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17E3D8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EF18CC" w14:paraId="1B9E19AE"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06ECD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165</w:t>
            </w:r>
          </w:p>
        </w:tc>
        <w:tc>
          <w:tcPr>
            <w:tcW w:w="2385" w:type="dxa"/>
            <w:tcBorders>
              <w:top w:val="nil"/>
              <w:left w:val="nil"/>
              <w:bottom w:val="nil"/>
              <w:right w:val="nil"/>
              <w:tl2br w:val="nil"/>
              <w:tr2bl w:val="nil"/>
            </w:tcBorders>
            <w:shd w:val="clear" w:color="auto" w:fill="auto"/>
            <w:noWrap/>
            <w:tcMar>
              <w:left w:w="101" w:type="dxa"/>
              <w:right w:w="101" w:type="dxa"/>
            </w:tcMar>
          </w:tcPr>
          <w:p w14:paraId="5BB84AF8"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4820F0A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316</w:t>
            </w:r>
          </w:p>
        </w:tc>
        <w:tc>
          <w:tcPr>
            <w:tcW w:w="1035" w:type="dxa"/>
            <w:tcBorders>
              <w:top w:val="nil"/>
              <w:left w:val="nil"/>
              <w:bottom w:val="nil"/>
              <w:right w:val="nil"/>
              <w:tl2br w:val="nil"/>
              <w:tr2bl w:val="nil"/>
            </w:tcBorders>
            <w:shd w:val="clear" w:color="FFFFFF" w:fill="FFFFFF"/>
            <w:tcMar>
              <w:left w:w="101" w:type="dxa"/>
              <w:right w:w="101" w:type="dxa"/>
            </w:tcMar>
          </w:tcPr>
          <w:p w14:paraId="32BCE10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224</w:t>
            </w:r>
          </w:p>
        </w:tc>
        <w:tc>
          <w:tcPr>
            <w:tcW w:w="600" w:type="dxa"/>
            <w:tcBorders>
              <w:top w:val="nil"/>
              <w:left w:val="nil"/>
              <w:bottom w:val="nil"/>
              <w:right w:val="nil"/>
              <w:tl2br w:val="nil"/>
              <w:tr2bl w:val="nil"/>
            </w:tcBorders>
            <w:shd w:val="clear" w:color="FFFFFF" w:fill="FFFFFF"/>
            <w:tcMar>
              <w:left w:w="101" w:type="dxa"/>
              <w:right w:w="101" w:type="dxa"/>
            </w:tcMar>
          </w:tcPr>
          <w:p w14:paraId="1310AEE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02123E4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10EB7D97"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32</w:t>
            </w:r>
          </w:p>
        </w:tc>
        <w:tc>
          <w:tcPr>
            <w:tcW w:w="1035" w:type="dxa"/>
            <w:tcBorders>
              <w:top w:val="nil"/>
              <w:left w:val="nil"/>
              <w:bottom w:val="nil"/>
              <w:right w:val="nil"/>
              <w:tl2br w:val="nil"/>
              <w:tr2bl w:val="nil"/>
            </w:tcBorders>
            <w:shd w:val="clear" w:color="FFFFFF" w:fill="FFFFFF"/>
            <w:tcMar>
              <w:left w:w="101" w:type="dxa"/>
              <w:right w:w="101" w:type="dxa"/>
            </w:tcMar>
          </w:tcPr>
          <w:p w14:paraId="353DB6E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32</w:t>
            </w:r>
          </w:p>
        </w:tc>
      </w:tr>
      <w:tr w:rsidR="00EF18CC" w14:paraId="571FA85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4BDB5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9,448</w:t>
            </w:r>
          </w:p>
        </w:tc>
        <w:tc>
          <w:tcPr>
            <w:tcW w:w="2385" w:type="dxa"/>
            <w:tcBorders>
              <w:top w:val="nil"/>
              <w:left w:val="nil"/>
              <w:bottom w:val="nil"/>
              <w:right w:val="nil"/>
              <w:tl2br w:val="nil"/>
              <w:tr2bl w:val="nil"/>
            </w:tcBorders>
            <w:shd w:val="clear" w:color="auto" w:fill="auto"/>
            <w:noWrap/>
            <w:tcMar>
              <w:left w:w="101" w:type="dxa"/>
              <w:right w:w="101" w:type="dxa"/>
            </w:tcMar>
          </w:tcPr>
          <w:p w14:paraId="48296141"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684E89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12,372</w:t>
            </w:r>
          </w:p>
        </w:tc>
        <w:tc>
          <w:tcPr>
            <w:tcW w:w="1035" w:type="dxa"/>
            <w:tcBorders>
              <w:top w:val="nil"/>
              <w:left w:val="nil"/>
              <w:bottom w:val="nil"/>
              <w:right w:val="nil"/>
              <w:tl2br w:val="nil"/>
              <w:tr2bl w:val="nil"/>
            </w:tcBorders>
            <w:shd w:val="clear" w:color="FFFFFF" w:fill="FFFFFF"/>
            <w:tcMar>
              <w:left w:w="101" w:type="dxa"/>
              <w:right w:w="101" w:type="dxa"/>
            </w:tcMar>
          </w:tcPr>
          <w:p w14:paraId="63DC750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11,105</w:t>
            </w:r>
          </w:p>
        </w:tc>
        <w:tc>
          <w:tcPr>
            <w:tcW w:w="600" w:type="dxa"/>
            <w:tcBorders>
              <w:top w:val="nil"/>
              <w:left w:val="nil"/>
              <w:bottom w:val="nil"/>
              <w:right w:val="nil"/>
              <w:tl2br w:val="nil"/>
              <w:tr2bl w:val="nil"/>
            </w:tcBorders>
            <w:shd w:val="clear" w:color="FFFFFF" w:fill="FFFFFF"/>
            <w:tcMar>
              <w:left w:w="101" w:type="dxa"/>
              <w:right w:w="101" w:type="dxa"/>
            </w:tcMar>
          </w:tcPr>
          <w:p w14:paraId="1B82449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6F8F2847"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8,347</w:t>
            </w:r>
          </w:p>
        </w:tc>
        <w:tc>
          <w:tcPr>
            <w:tcW w:w="1035" w:type="dxa"/>
            <w:tcBorders>
              <w:top w:val="nil"/>
              <w:left w:val="nil"/>
              <w:bottom w:val="nil"/>
              <w:right w:val="nil"/>
              <w:tl2br w:val="nil"/>
              <w:tr2bl w:val="nil"/>
            </w:tcBorders>
            <w:shd w:val="clear" w:color="FFFFFF" w:fill="FFFFFF"/>
            <w:tcMar>
              <w:left w:w="101" w:type="dxa"/>
              <w:right w:w="101" w:type="dxa"/>
            </w:tcMar>
          </w:tcPr>
          <w:p w14:paraId="6209258D"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8,452</w:t>
            </w:r>
          </w:p>
        </w:tc>
        <w:tc>
          <w:tcPr>
            <w:tcW w:w="1035" w:type="dxa"/>
            <w:tcBorders>
              <w:top w:val="nil"/>
              <w:left w:val="nil"/>
              <w:bottom w:val="nil"/>
              <w:right w:val="nil"/>
              <w:tl2br w:val="nil"/>
              <w:tr2bl w:val="nil"/>
            </w:tcBorders>
            <w:shd w:val="clear" w:color="FFFFFF" w:fill="FFFFFF"/>
            <w:tcMar>
              <w:left w:w="101" w:type="dxa"/>
              <w:right w:w="101" w:type="dxa"/>
            </w:tcMar>
          </w:tcPr>
          <w:p w14:paraId="13F2728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8,590</w:t>
            </w:r>
          </w:p>
        </w:tc>
      </w:tr>
      <w:tr w:rsidR="00EF18CC" w14:paraId="628E343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8AC80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149,608</w:t>
            </w:r>
          </w:p>
        </w:tc>
        <w:tc>
          <w:tcPr>
            <w:tcW w:w="2385" w:type="dxa"/>
            <w:tcBorders>
              <w:top w:val="nil"/>
              <w:left w:val="nil"/>
              <w:bottom w:val="nil"/>
              <w:right w:val="nil"/>
              <w:tl2br w:val="nil"/>
              <w:tr2bl w:val="nil"/>
            </w:tcBorders>
            <w:shd w:val="clear" w:color="FFFFFF" w:fill="FFFFFF"/>
            <w:noWrap/>
            <w:tcMar>
              <w:left w:w="101" w:type="dxa"/>
              <w:right w:w="101" w:type="dxa"/>
            </w:tcMar>
          </w:tcPr>
          <w:p w14:paraId="0B28C95B"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6C151A5"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153,749</w:t>
            </w:r>
          </w:p>
        </w:tc>
        <w:tc>
          <w:tcPr>
            <w:tcW w:w="1035" w:type="dxa"/>
            <w:tcBorders>
              <w:top w:val="nil"/>
              <w:left w:val="nil"/>
              <w:bottom w:val="nil"/>
              <w:right w:val="nil"/>
              <w:tl2br w:val="nil"/>
              <w:tr2bl w:val="nil"/>
            </w:tcBorders>
            <w:shd w:val="clear" w:color="FFFFFF" w:fill="FFFFFF"/>
            <w:tcMar>
              <w:left w:w="101" w:type="dxa"/>
              <w:right w:w="101" w:type="dxa"/>
            </w:tcMar>
          </w:tcPr>
          <w:p w14:paraId="3165F98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158,768</w:t>
            </w:r>
          </w:p>
        </w:tc>
        <w:tc>
          <w:tcPr>
            <w:tcW w:w="600" w:type="dxa"/>
            <w:tcBorders>
              <w:top w:val="nil"/>
              <w:left w:val="nil"/>
              <w:bottom w:val="nil"/>
              <w:right w:val="nil"/>
              <w:tl2br w:val="nil"/>
              <w:tr2bl w:val="nil"/>
            </w:tcBorders>
            <w:shd w:val="clear" w:color="FFFFFF" w:fill="FFFFFF"/>
            <w:tcMar>
              <w:left w:w="101" w:type="dxa"/>
              <w:right w:w="101" w:type="dxa"/>
            </w:tcMar>
          </w:tcPr>
          <w:p w14:paraId="3021F6E0"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208B28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156,935</w:t>
            </w:r>
          </w:p>
        </w:tc>
        <w:tc>
          <w:tcPr>
            <w:tcW w:w="1035" w:type="dxa"/>
            <w:tcBorders>
              <w:top w:val="nil"/>
              <w:left w:val="nil"/>
              <w:bottom w:val="nil"/>
              <w:right w:val="nil"/>
              <w:tl2br w:val="nil"/>
              <w:tr2bl w:val="nil"/>
            </w:tcBorders>
            <w:shd w:val="clear" w:color="FFFFFF" w:fill="FFFFFF"/>
            <w:tcMar>
              <w:left w:w="101" w:type="dxa"/>
              <w:right w:w="101" w:type="dxa"/>
            </w:tcMar>
          </w:tcPr>
          <w:p w14:paraId="42B51BD7"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151,465</w:t>
            </w:r>
          </w:p>
        </w:tc>
        <w:tc>
          <w:tcPr>
            <w:tcW w:w="1035" w:type="dxa"/>
            <w:tcBorders>
              <w:top w:val="nil"/>
              <w:left w:val="nil"/>
              <w:bottom w:val="nil"/>
              <w:right w:val="nil"/>
              <w:tl2br w:val="nil"/>
              <w:tr2bl w:val="nil"/>
            </w:tcBorders>
            <w:shd w:val="clear" w:color="FFFFFF" w:fill="FFFFFF"/>
            <w:tcMar>
              <w:left w:w="101" w:type="dxa"/>
              <w:right w:w="101" w:type="dxa"/>
            </w:tcMar>
          </w:tcPr>
          <w:p w14:paraId="38F9CF30"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152,467</w:t>
            </w:r>
          </w:p>
        </w:tc>
      </w:tr>
      <w:tr w:rsidR="00EF18CC" w14:paraId="2ECCDDA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76CCCC"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C9B7045" w14:textId="77777777" w:rsidR="00EF18CC" w:rsidRDefault="00EF18CC" w:rsidP="006D3501">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2EEFD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B2FC37"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82BB4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57387B"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1EAE8A"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1A8E2A" w14:textId="77777777" w:rsidR="00EF18CC" w:rsidRDefault="00EF18CC" w:rsidP="006D3501">
            <w:pPr>
              <w:pStyle w:val="Normal9"/>
              <w:rPr>
                <w:rFonts w:ascii="Calibri" w:eastAsia="Calibri" w:hAnsi="Calibri" w:cs="Calibri"/>
                <w:color w:val="000000"/>
                <w:sz w:val="18"/>
              </w:rPr>
            </w:pPr>
          </w:p>
        </w:tc>
      </w:tr>
      <w:tr w:rsidR="00EF18CC" w14:paraId="0961792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5FA423"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4289819"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45FD89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03F236"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700304"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30A4F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3582F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EDA1B4" w14:textId="77777777" w:rsidR="00EF18CC" w:rsidRDefault="00EF18CC" w:rsidP="006D3501">
            <w:pPr>
              <w:pStyle w:val="Normal9"/>
              <w:rPr>
                <w:rFonts w:ascii="Calibri" w:eastAsia="Calibri" w:hAnsi="Calibri" w:cs="Calibri"/>
                <w:color w:val="000000"/>
                <w:sz w:val="18"/>
              </w:rPr>
            </w:pPr>
          </w:p>
        </w:tc>
      </w:tr>
      <w:tr w:rsidR="00EF18CC" w14:paraId="5F358AD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71329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30,636</w:t>
            </w:r>
          </w:p>
        </w:tc>
        <w:tc>
          <w:tcPr>
            <w:tcW w:w="2385" w:type="dxa"/>
            <w:tcBorders>
              <w:top w:val="nil"/>
              <w:left w:val="nil"/>
              <w:bottom w:val="nil"/>
              <w:right w:val="nil"/>
              <w:tl2br w:val="nil"/>
              <w:tr2bl w:val="nil"/>
            </w:tcBorders>
            <w:shd w:val="clear" w:color="FFFFFF" w:fill="FFFFFF"/>
            <w:noWrap/>
            <w:tcMar>
              <w:left w:w="101" w:type="dxa"/>
              <w:right w:w="101" w:type="dxa"/>
            </w:tcMar>
          </w:tcPr>
          <w:p w14:paraId="40ADD25F"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676C5D5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28,583</w:t>
            </w:r>
          </w:p>
        </w:tc>
        <w:tc>
          <w:tcPr>
            <w:tcW w:w="1035" w:type="dxa"/>
            <w:tcBorders>
              <w:top w:val="nil"/>
              <w:left w:val="nil"/>
              <w:bottom w:val="nil"/>
              <w:right w:val="nil"/>
              <w:tl2br w:val="nil"/>
              <w:tr2bl w:val="nil"/>
            </w:tcBorders>
            <w:shd w:val="clear" w:color="FFFFFF" w:fill="FFFFFF"/>
            <w:tcMar>
              <w:left w:w="101" w:type="dxa"/>
              <w:right w:w="101" w:type="dxa"/>
            </w:tcMar>
          </w:tcPr>
          <w:p w14:paraId="4346338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33,231</w:t>
            </w:r>
          </w:p>
        </w:tc>
        <w:tc>
          <w:tcPr>
            <w:tcW w:w="600" w:type="dxa"/>
            <w:tcBorders>
              <w:top w:val="nil"/>
              <w:left w:val="nil"/>
              <w:bottom w:val="nil"/>
              <w:right w:val="nil"/>
              <w:tl2br w:val="nil"/>
              <w:tr2bl w:val="nil"/>
            </w:tcBorders>
            <w:shd w:val="clear" w:color="FFFFFF" w:fill="FFFFFF"/>
            <w:tcMar>
              <w:left w:w="101" w:type="dxa"/>
              <w:right w:w="101" w:type="dxa"/>
            </w:tcMar>
          </w:tcPr>
          <w:p w14:paraId="773419E9"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24D2E54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32,989</w:t>
            </w:r>
          </w:p>
        </w:tc>
        <w:tc>
          <w:tcPr>
            <w:tcW w:w="1035" w:type="dxa"/>
            <w:tcBorders>
              <w:top w:val="nil"/>
              <w:left w:val="nil"/>
              <w:bottom w:val="nil"/>
              <w:right w:val="nil"/>
              <w:tl2br w:val="nil"/>
              <w:tr2bl w:val="nil"/>
            </w:tcBorders>
            <w:shd w:val="clear" w:color="FFFFFF" w:fill="FFFFFF"/>
            <w:tcMar>
              <w:left w:w="101" w:type="dxa"/>
              <w:right w:w="101" w:type="dxa"/>
            </w:tcMar>
          </w:tcPr>
          <w:p w14:paraId="49B1876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33,758</w:t>
            </w:r>
          </w:p>
        </w:tc>
        <w:tc>
          <w:tcPr>
            <w:tcW w:w="1035" w:type="dxa"/>
            <w:tcBorders>
              <w:top w:val="nil"/>
              <w:left w:val="nil"/>
              <w:bottom w:val="nil"/>
              <w:right w:val="nil"/>
              <w:tl2br w:val="nil"/>
              <w:tr2bl w:val="nil"/>
            </w:tcBorders>
            <w:shd w:val="clear" w:color="FFFFFF" w:fill="FFFFFF"/>
            <w:tcMar>
              <w:left w:w="101" w:type="dxa"/>
              <w:right w:w="101" w:type="dxa"/>
            </w:tcMar>
          </w:tcPr>
          <w:p w14:paraId="3AA4CC1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33,943</w:t>
            </w:r>
          </w:p>
        </w:tc>
      </w:tr>
      <w:tr w:rsidR="00EF18CC" w14:paraId="6B11080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1CD5D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4,711</w:t>
            </w:r>
          </w:p>
        </w:tc>
        <w:tc>
          <w:tcPr>
            <w:tcW w:w="2385" w:type="dxa"/>
            <w:tcBorders>
              <w:top w:val="nil"/>
              <w:left w:val="nil"/>
              <w:bottom w:val="nil"/>
              <w:right w:val="nil"/>
              <w:tl2br w:val="nil"/>
              <w:tr2bl w:val="nil"/>
            </w:tcBorders>
            <w:shd w:val="clear" w:color="FFFFFF" w:fill="FFFFFF"/>
            <w:noWrap/>
            <w:tcMar>
              <w:left w:w="101" w:type="dxa"/>
              <w:right w:w="101" w:type="dxa"/>
            </w:tcMar>
          </w:tcPr>
          <w:p w14:paraId="0145651E"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5E44DD9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4,538</w:t>
            </w:r>
          </w:p>
        </w:tc>
        <w:tc>
          <w:tcPr>
            <w:tcW w:w="1035" w:type="dxa"/>
            <w:tcBorders>
              <w:top w:val="nil"/>
              <w:left w:val="nil"/>
              <w:bottom w:val="nil"/>
              <w:right w:val="nil"/>
              <w:tl2br w:val="nil"/>
              <w:tr2bl w:val="nil"/>
            </w:tcBorders>
            <w:shd w:val="clear" w:color="FFFFFF" w:fill="FFFFFF"/>
            <w:tcMar>
              <w:left w:w="101" w:type="dxa"/>
              <w:right w:w="101" w:type="dxa"/>
            </w:tcMar>
          </w:tcPr>
          <w:p w14:paraId="12F6558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5,066</w:t>
            </w:r>
          </w:p>
        </w:tc>
        <w:tc>
          <w:tcPr>
            <w:tcW w:w="600" w:type="dxa"/>
            <w:tcBorders>
              <w:top w:val="nil"/>
              <w:left w:val="nil"/>
              <w:bottom w:val="nil"/>
              <w:right w:val="nil"/>
              <w:tl2br w:val="nil"/>
              <w:tr2bl w:val="nil"/>
            </w:tcBorders>
            <w:shd w:val="clear" w:color="FFFFFF" w:fill="FFFFFF"/>
            <w:tcMar>
              <w:left w:w="101" w:type="dxa"/>
              <w:right w:w="101" w:type="dxa"/>
            </w:tcMar>
          </w:tcPr>
          <w:p w14:paraId="0F3B252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6B0C591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4,957</w:t>
            </w:r>
          </w:p>
        </w:tc>
        <w:tc>
          <w:tcPr>
            <w:tcW w:w="1035" w:type="dxa"/>
            <w:tcBorders>
              <w:top w:val="nil"/>
              <w:left w:val="nil"/>
              <w:bottom w:val="nil"/>
              <w:right w:val="nil"/>
              <w:tl2br w:val="nil"/>
              <w:tr2bl w:val="nil"/>
            </w:tcBorders>
            <w:shd w:val="clear" w:color="FFFFFF" w:fill="FFFFFF"/>
            <w:tcMar>
              <w:left w:w="101" w:type="dxa"/>
              <w:right w:w="101" w:type="dxa"/>
            </w:tcMar>
          </w:tcPr>
          <w:p w14:paraId="53C211E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4,974</w:t>
            </w:r>
          </w:p>
        </w:tc>
        <w:tc>
          <w:tcPr>
            <w:tcW w:w="1035" w:type="dxa"/>
            <w:tcBorders>
              <w:top w:val="nil"/>
              <w:left w:val="nil"/>
              <w:bottom w:val="nil"/>
              <w:right w:val="nil"/>
              <w:tl2br w:val="nil"/>
              <w:tr2bl w:val="nil"/>
            </w:tcBorders>
            <w:shd w:val="clear" w:color="FFFFFF" w:fill="FFFFFF"/>
            <w:tcMar>
              <w:left w:w="101" w:type="dxa"/>
              <w:right w:w="101" w:type="dxa"/>
            </w:tcMar>
          </w:tcPr>
          <w:p w14:paraId="5736C42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4,983</w:t>
            </w:r>
          </w:p>
        </w:tc>
      </w:tr>
      <w:tr w:rsidR="00EF18CC" w14:paraId="3EB164E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6ED7C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106,130</w:t>
            </w:r>
          </w:p>
        </w:tc>
        <w:tc>
          <w:tcPr>
            <w:tcW w:w="2385" w:type="dxa"/>
            <w:tcBorders>
              <w:top w:val="nil"/>
              <w:left w:val="nil"/>
              <w:bottom w:val="nil"/>
              <w:right w:val="nil"/>
              <w:tl2br w:val="nil"/>
              <w:tr2bl w:val="nil"/>
            </w:tcBorders>
            <w:shd w:val="clear" w:color="FFFFFF" w:fill="FFFFFF"/>
            <w:noWrap/>
            <w:tcMar>
              <w:left w:w="101" w:type="dxa"/>
              <w:right w:w="101" w:type="dxa"/>
            </w:tcMar>
          </w:tcPr>
          <w:p w14:paraId="4258CD47"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3C7EA6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105,971</w:t>
            </w:r>
          </w:p>
        </w:tc>
        <w:tc>
          <w:tcPr>
            <w:tcW w:w="1035" w:type="dxa"/>
            <w:tcBorders>
              <w:top w:val="nil"/>
              <w:left w:val="nil"/>
              <w:bottom w:val="nil"/>
              <w:right w:val="nil"/>
              <w:tl2br w:val="nil"/>
              <w:tr2bl w:val="nil"/>
            </w:tcBorders>
            <w:shd w:val="clear" w:color="FFFFFF" w:fill="FFFFFF"/>
            <w:tcMar>
              <w:left w:w="101" w:type="dxa"/>
              <w:right w:w="101" w:type="dxa"/>
            </w:tcMar>
          </w:tcPr>
          <w:p w14:paraId="0778EB9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121,261</w:t>
            </w:r>
          </w:p>
        </w:tc>
        <w:tc>
          <w:tcPr>
            <w:tcW w:w="600" w:type="dxa"/>
            <w:tcBorders>
              <w:top w:val="nil"/>
              <w:left w:val="nil"/>
              <w:bottom w:val="nil"/>
              <w:right w:val="nil"/>
              <w:tl2br w:val="nil"/>
              <w:tr2bl w:val="nil"/>
            </w:tcBorders>
            <w:shd w:val="clear" w:color="FFFFFF" w:fill="FFFFFF"/>
            <w:tcMar>
              <w:left w:w="101" w:type="dxa"/>
              <w:right w:w="101" w:type="dxa"/>
            </w:tcMar>
          </w:tcPr>
          <w:p w14:paraId="44F35FE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47B28BB7"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118,643</w:t>
            </w:r>
          </w:p>
        </w:tc>
        <w:tc>
          <w:tcPr>
            <w:tcW w:w="1035" w:type="dxa"/>
            <w:tcBorders>
              <w:top w:val="nil"/>
              <w:left w:val="nil"/>
              <w:bottom w:val="nil"/>
              <w:right w:val="nil"/>
              <w:tl2br w:val="nil"/>
              <w:tr2bl w:val="nil"/>
            </w:tcBorders>
            <w:shd w:val="clear" w:color="FFFFFF" w:fill="FFFFFF"/>
            <w:tcMar>
              <w:left w:w="101" w:type="dxa"/>
              <w:right w:w="101" w:type="dxa"/>
            </w:tcMar>
          </w:tcPr>
          <w:p w14:paraId="27A6B5D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120,712</w:t>
            </w:r>
          </w:p>
        </w:tc>
        <w:tc>
          <w:tcPr>
            <w:tcW w:w="1035" w:type="dxa"/>
            <w:tcBorders>
              <w:top w:val="nil"/>
              <w:left w:val="nil"/>
              <w:bottom w:val="nil"/>
              <w:right w:val="nil"/>
              <w:tl2br w:val="nil"/>
              <w:tr2bl w:val="nil"/>
            </w:tcBorders>
            <w:shd w:val="clear" w:color="FFFFFF" w:fill="FFFFFF"/>
            <w:tcMar>
              <w:left w:w="101" w:type="dxa"/>
              <w:right w:w="101" w:type="dxa"/>
            </w:tcMar>
          </w:tcPr>
          <w:p w14:paraId="4199A73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123,107</w:t>
            </w:r>
          </w:p>
        </w:tc>
      </w:tr>
      <w:tr w:rsidR="00EF18CC" w14:paraId="04027C4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784C3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26,815</w:t>
            </w:r>
          </w:p>
        </w:tc>
        <w:tc>
          <w:tcPr>
            <w:tcW w:w="2385" w:type="dxa"/>
            <w:tcBorders>
              <w:top w:val="nil"/>
              <w:left w:val="nil"/>
              <w:bottom w:val="nil"/>
              <w:right w:val="nil"/>
              <w:tl2br w:val="nil"/>
              <w:tr2bl w:val="nil"/>
            </w:tcBorders>
            <w:shd w:val="clear" w:color="FFFFFF" w:fill="FFFFFF"/>
            <w:noWrap/>
            <w:tcMar>
              <w:left w:w="101" w:type="dxa"/>
              <w:right w:w="101" w:type="dxa"/>
            </w:tcMar>
          </w:tcPr>
          <w:p w14:paraId="40113F43"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0B4C04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26,634</w:t>
            </w:r>
          </w:p>
        </w:tc>
        <w:tc>
          <w:tcPr>
            <w:tcW w:w="1035" w:type="dxa"/>
            <w:tcBorders>
              <w:top w:val="nil"/>
              <w:left w:val="nil"/>
              <w:bottom w:val="nil"/>
              <w:right w:val="nil"/>
              <w:tl2br w:val="nil"/>
              <w:tr2bl w:val="nil"/>
            </w:tcBorders>
            <w:shd w:val="clear" w:color="FFFFFF" w:fill="FFFFFF"/>
            <w:tcMar>
              <w:left w:w="101" w:type="dxa"/>
              <w:right w:w="101" w:type="dxa"/>
            </w:tcMar>
          </w:tcPr>
          <w:p w14:paraId="61418D47"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30,680</w:t>
            </w:r>
          </w:p>
        </w:tc>
        <w:tc>
          <w:tcPr>
            <w:tcW w:w="600" w:type="dxa"/>
            <w:tcBorders>
              <w:top w:val="nil"/>
              <w:left w:val="nil"/>
              <w:bottom w:val="nil"/>
              <w:right w:val="nil"/>
              <w:tl2br w:val="nil"/>
              <w:tr2bl w:val="nil"/>
            </w:tcBorders>
            <w:shd w:val="clear" w:color="FFFFFF" w:fill="FFFFFF"/>
            <w:tcMar>
              <w:left w:w="101" w:type="dxa"/>
              <w:right w:w="101" w:type="dxa"/>
            </w:tcMar>
          </w:tcPr>
          <w:p w14:paraId="2AD5D83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68D3FC9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31,063</w:t>
            </w:r>
          </w:p>
        </w:tc>
        <w:tc>
          <w:tcPr>
            <w:tcW w:w="1035" w:type="dxa"/>
            <w:tcBorders>
              <w:top w:val="nil"/>
              <w:left w:val="nil"/>
              <w:bottom w:val="nil"/>
              <w:right w:val="nil"/>
              <w:tl2br w:val="nil"/>
              <w:tr2bl w:val="nil"/>
            </w:tcBorders>
            <w:shd w:val="clear" w:color="FFFFFF" w:fill="FFFFFF"/>
            <w:tcMar>
              <w:left w:w="101" w:type="dxa"/>
              <w:right w:w="101" w:type="dxa"/>
            </w:tcMar>
          </w:tcPr>
          <w:p w14:paraId="278DDB17"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26,760</w:t>
            </w:r>
          </w:p>
        </w:tc>
        <w:tc>
          <w:tcPr>
            <w:tcW w:w="1035" w:type="dxa"/>
            <w:tcBorders>
              <w:top w:val="nil"/>
              <w:left w:val="nil"/>
              <w:bottom w:val="nil"/>
              <w:right w:val="nil"/>
              <w:tl2br w:val="nil"/>
              <w:tr2bl w:val="nil"/>
            </w:tcBorders>
            <w:shd w:val="clear" w:color="FFFFFF" w:fill="FFFFFF"/>
            <w:tcMar>
              <w:left w:w="101" w:type="dxa"/>
              <w:right w:w="101" w:type="dxa"/>
            </w:tcMar>
          </w:tcPr>
          <w:p w14:paraId="081AB79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26,766</w:t>
            </w:r>
          </w:p>
        </w:tc>
      </w:tr>
      <w:tr w:rsidR="00EF18CC" w14:paraId="538292C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66171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2,209</w:t>
            </w:r>
          </w:p>
        </w:tc>
        <w:tc>
          <w:tcPr>
            <w:tcW w:w="2385" w:type="dxa"/>
            <w:tcBorders>
              <w:top w:val="nil"/>
              <w:left w:val="nil"/>
              <w:bottom w:val="nil"/>
              <w:right w:val="nil"/>
              <w:tl2br w:val="nil"/>
              <w:tr2bl w:val="nil"/>
            </w:tcBorders>
            <w:shd w:val="clear" w:color="FFFFFF" w:fill="FFFFFF"/>
            <w:noWrap/>
            <w:tcMar>
              <w:left w:w="101" w:type="dxa"/>
              <w:right w:w="101" w:type="dxa"/>
            </w:tcMar>
          </w:tcPr>
          <w:p w14:paraId="5D8FC343"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6F42C45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2,203</w:t>
            </w:r>
          </w:p>
        </w:tc>
        <w:tc>
          <w:tcPr>
            <w:tcW w:w="1035" w:type="dxa"/>
            <w:tcBorders>
              <w:top w:val="nil"/>
              <w:left w:val="nil"/>
              <w:bottom w:val="nil"/>
              <w:right w:val="nil"/>
              <w:tl2br w:val="nil"/>
              <w:tr2bl w:val="nil"/>
            </w:tcBorders>
            <w:shd w:val="clear" w:color="FFFFFF" w:fill="FFFFFF"/>
            <w:tcMar>
              <w:left w:w="101" w:type="dxa"/>
              <w:right w:w="101" w:type="dxa"/>
            </w:tcMar>
          </w:tcPr>
          <w:p w14:paraId="6F72559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2,008</w:t>
            </w:r>
          </w:p>
        </w:tc>
        <w:tc>
          <w:tcPr>
            <w:tcW w:w="600" w:type="dxa"/>
            <w:tcBorders>
              <w:top w:val="nil"/>
              <w:left w:val="nil"/>
              <w:bottom w:val="nil"/>
              <w:right w:val="nil"/>
              <w:tl2br w:val="nil"/>
              <w:tr2bl w:val="nil"/>
            </w:tcBorders>
            <w:shd w:val="clear" w:color="FFFFFF" w:fill="FFFFFF"/>
            <w:tcMar>
              <w:left w:w="101" w:type="dxa"/>
              <w:right w:w="101" w:type="dxa"/>
            </w:tcMar>
          </w:tcPr>
          <w:p w14:paraId="104AF0A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25FF0C5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1,814</w:t>
            </w:r>
          </w:p>
        </w:tc>
        <w:tc>
          <w:tcPr>
            <w:tcW w:w="1035" w:type="dxa"/>
            <w:tcBorders>
              <w:top w:val="nil"/>
              <w:left w:val="nil"/>
              <w:bottom w:val="nil"/>
              <w:right w:val="nil"/>
              <w:tl2br w:val="nil"/>
              <w:tr2bl w:val="nil"/>
            </w:tcBorders>
            <w:shd w:val="clear" w:color="FFFFFF" w:fill="FFFFFF"/>
            <w:tcMar>
              <w:left w:w="101" w:type="dxa"/>
              <w:right w:w="101" w:type="dxa"/>
            </w:tcMar>
          </w:tcPr>
          <w:p w14:paraId="4488242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1,624</w:t>
            </w:r>
          </w:p>
        </w:tc>
        <w:tc>
          <w:tcPr>
            <w:tcW w:w="1035" w:type="dxa"/>
            <w:tcBorders>
              <w:top w:val="nil"/>
              <w:left w:val="nil"/>
              <w:bottom w:val="nil"/>
              <w:right w:val="nil"/>
              <w:tl2br w:val="nil"/>
              <w:tr2bl w:val="nil"/>
            </w:tcBorders>
            <w:shd w:val="clear" w:color="FFFFFF" w:fill="FFFFFF"/>
            <w:tcMar>
              <w:left w:w="101" w:type="dxa"/>
              <w:right w:w="101" w:type="dxa"/>
            </w:tcMar>
          </w:tcPr>
          <w:p w14:paraId="35DF531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1,624</w:t>
            </w:r>
          </w:p>
        </w:tc>
      </w:tr>
      <w:tr w:rsidR="00EF18CC" w14:paraId="77E0103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45FA2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5,239</w:t>
            </w:r>
          </w:p>
        </w:tc>
        <w:tc>
          <w:tcPr>
            <w:tcW w:w="2385" w:type="dxa"/>
            <w:tcBorders>
              <w:top w:val="nil"/>
              <w:left w:val="nil"/>
              <w:bottom w:val="nil"/>
              <w:right w:val="nil"/>
              <w:tl2br w:val="nil"/>
              <w:tr2bl w:val="nil"/>
            </w:tcBorders>
            <w:shd w:val="clear" w:color="FFFFFF" w:fill="FFFFFF"/>
            <w:noWrap/>
            <w:tcMar>
              <w:left w:w="101" w:type="dxa"/>
              <w:right w:w="101" w:type="dxa"/>
            </w:tcMar>
          </w:tcPr>
          <w:p w14:paraId="3E9B1299"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E253C4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8,550</w:t>
            </w:r>
          </w:p>
        </w:tc>
        <w:tc>
          <w:tcPr>
            <w:tcW w:w="1035" w:type="dxa"/>
            <w:tcBorders>
              <w:top w:val="nil"/>
              <w:left w:val="nil"/>
              <w:bottom w:val="nil"/>
              <w:right w:val="nil"/>
              <w:tl2br w:val="nil"/>
              <w:tr2bl w:val="nil"/>
            </w:tcBorders>
            <w:shd w:val="clear" w:color="FFFFFF" w:fill="FFFFFF"/>
            <w:tcMar>
              <w:left w:w="101" w:type="dxa"/>
              <w:right w:w="101" w:type="dxa"/>
            </w:tcMar>
          </w:tcPr>
          <w:p w14:paraId="5586D26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8,483</w:t>
            </w:r>
          </w:p>
        </w:tc>
        <w:tc>
          <w:tcPr>
            <w:tcW w:w="600" w:type="dxa"/>
            <w:tcBorders>
              <w:top w:val="nil"/>
              <w:left w:val="nil"/>
              <w:bottom w:val="nil"/>
              <w:right w:val="nil"/>
              <w:tl2br w:val="nil"/>
              <w:tr2bl w:val="nil"/>
            </w:tcBorders>
            <w:shd w:val="clear" w:color="FFFFFF" w:fill="FFFFFF"/>
            <w:tcMar>
              <w:left w:w="101" w:type="dxa"/>
              <w:right w:w="101" w:type="dxa"/>
            </w:tcMar>
          </w:tcPr>
          <w:p w14:paraId="3041918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E77D987"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5,387</w:t>
            </w:r>
          </w:p>
        </w:tc>
        <w:tc>
          <w:tcPr>
            <w:tcW w:w="1035" w:type="dxa"/>
            <w:tcBorders>
              <w:top w:val="nil"/>
              <w:left w:val="nil"/>
              <w:bottom w:val="nil"/>
              <w:right w:val="nil"/>
              <w:tl2br w:val="nil"/>
              <w:tr2bl w:val="nil"/>
            </w:tcBorders>
            <w:shd w:val="clear" w:color="FFFFFF" w:fill="FFFFFF"/>
            <w:tcMar>
              <w:left w:w="101" w:type="dxa"/>
              <w:right w:w="101" w:type="dxa"/>
            </w:tcMar>
          </w:tcPr>
          <w:p w14:paraId="36E0FDD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5,392</w:t>
            </w:r>
          </w:p>
        </w:tc>
        <w:tc>
          <w:tcPr>
            <w:tcW w:w="1035" w:type="dxa"/>
            <w:tcBorders>
              <w:top w:val="nil"/>
              <w:left w:val="nil"/>
              <w:bottom w:val="nil"/>
              <w:right w:val="nil"/>
              <w:tl2br w:val="nil"/>
              <w:tr2bl w:val="nil"/>
            </w:tcBorders>
            <w:shd w:val="clear" w:color="FFFFFF" w:fill="FFFFFF"/>
            <w:tcMar>
              <w:left w:w="101" w:type="dxa"/>
              <w:right w:w="101" w:type="dxa"/>
            </w:tcMar>
          </w:tcPr>
          <w:p w14:paraId="7075F25F"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5,397</w:t>
            </w:r>
          </w:p>
        </w:tc>
      </w:tr>
      <w:tr w:rsidR="00EF18CC" w14:paraId="0BCA420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DBB306"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175,740</w:t>
            </w:r>
          </w:p>
        </w:tc>
        <w:tc>
          <w:tcPr>
            <w:tcW w:w="2385" w:type="dxa"/>
            <w:tcBorders>
              <w:top w:val="nil"/>
              <w:left w:val="nil"/>
              <w:bottom w:val="nil"/>
              <w:right w:val="nil"/>
              <w:tl2br w:val="nil"/>
              <w:tr2bl w:val="nil"/>
            </w:tcBorders>
            <w:shd w:val="clear" w:color="FFFFFF" w:fill="FFFFFF"/>
            <w:noWrap/>
            <w:tcMar>
              <w:left w:w="101" w:type="dxa"/>
              <w:right w:w="101" w:type="dxa"/>
            </w:tcMar>
          </w:tcPr>
          <w:p w14:paraId="2C6FD64E"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97D421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176,479</w:t>
            </w:r>
          </w:p>
        </w:tc>
        <w:tc>
          <w:tcPr>
            <w:tcW w:w="1035" w:type="dxa"/>
            <w:tcBorders>
              <w:top w:val="nil"/>
              <w:left w:val="nil"/>
              <w:bottom w:val="nil"/>
              <w:right w:val="nil"/>
              <w:tl2br w:val="nil"/>
              <w:tr2bl w:val="nil"/>
            </w:tcBorders>
            <w:shd w:val="clear" w:color="FFFFFF" w:fill="FFFFFF"/>
            <w:tcMar>
              <w:left w:w="101" w:type="dxa"/>
              <w:right w:w="101" w:type="dxa"/>
            </w:tcMar>
          </w:tcPr>
          <w:p w14:paraId="355DE27F"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200,729</w:t>
            </w:r>
          </w:p>
        </w:tc>
        <w:tc>
          <w:tcPr>
            <w:tcW w:w="600" w:type="dxa"/>
            <w:tcBorders>
              <w:top w:val="nil"/>
              <w:left w:val="nil"/>
              <w:bottom w:val="nil"/>
              <w:right w:val="nil"/>
              <w:tl2br w:val="nil"/>
              <w:tr2bl w:val="nil"/>
            </w:tcBorders>
            <w:shd w:val="clear" w:color="FFFFFF" w:fill="FFFFFF"/>
            <w:tcMar>
              <w:left w:w="101" w:type="dxa"/>
              <w:right w:w="101" w:type="dxa"/>
            </w:tcMar>
          </w:tcPr>
          <w:p w14:paraId="6DC6F00F"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03F46C0F"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194,853</w:t>
            </w:r>
          </w:p>
        </w:tc>
        <w:tc>
          <w:tcPr>
            <w:tcW w:w="1035" w:type="dxa"/>
            <w:tcBorders>
              <w:top w:val="nil"/>
              <w:left w:val="nil"/>
              <w:bottom w:val="nil"/>
              <w:right w:val="nil"/>
              <w:tl2br w:val="nil"/>
              <w:tr2bl w:val="nil"/>
            </w:tcBorders>
            <w:shd w:val="clear" w:color="FFFFFF" w:fill="FFFFFF"/>
            <w:tcMar>
              <w:left w:w="101" w:type="dxa"/>
              <w:right w:w="101" w:type="dxa"/>
            </w:tcMar>
          </w:tcPr>
          <w:p w14:paraId="52E2319F"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193,220</w:t>
            </w:r>
          </w:p>
        </w:tc>
        <w:tc>
          <w:tcPr>
            <w:tcW w:w="1035" w:type="dxa"/>
            <w:tcBorders>
              <w:top w:val="nil"/>
              <w:left w:val="nil"/>
              <w:bottom w:val="nil"/>
              <w:right w:val="nil"/>
              <w:tl2br w:val="nil"/>
              <w:tr2bl w:val="nil"/>
            </w:tcBorders>
            <w:shd w:val="clear" w:color="FFFFFF" w:fill="FFFFFF"/>
            <w:tcMar>
              <w:left w:w="101" w:type="dxa"/>
              <w:right w:w="101" w:type="dxa"/>
            </w:tcMar>
          </w:tcPr>
          <w:p w14:paraId="4A96871D"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195,820</w:t>
            </w:r>
          </w:p>
        </w:tc>
      </w:tr>
      <w:tr w:rsidR="00EF18CC" w14:paraId="454BA96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539587"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69C4278" w14:textId="77777777" w:rsidR="00EF18CC" w:rsidRDefault="00EF18CC" w:rsidP="006D3501">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AEDB0B"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1632F4"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AD7B2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5A701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8A216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305577" w14:textId="77777777" w:rsidR="00EF18CC" w:rsidRDefault="00EF18CC" w:rsidP="006D3501">
            <w:pPr>
              <w:pStyle w:val="Normal9"/>
              <w:rPr>
                <w:rFonts w:ascii="Calibri" w:eastAsia="Calibri" w:hAnsi="Calibri" w:cs="Calibri"/>
                <w:color w:val="000000"/>
                <w:sz w:val="18"/>
              </w:rPr>
            </w:pPr>
          </w:p>
        </w:tc>
      </w:tr>
      <w:tr w:rsidR="00EF18CC" w14:paraId="1510D557"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AE688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-26,132</w:t>
            </w:r>
          </w:p>
        </w:tc>
        <w:tc>
          <w:tcPr>
            <w:tcW w:w="2385" w:type="dxa"/>
            <w:tcBorders>
              <w:top w:val="nil"/>
              <w:left w:val="nil"/>
              <w:bottom w:val="nil"/>
              <w:right w:val="nil"/>
              <w:tl2br w:val="nil"/>
              <w:tr2bl w:val="nil"/>
            </w:tcBorders>
            <w:shd w:val="clear" w:color="FFFFFF" w:fill="FFFFFF"/>
            <w:noWrap/>
            <w:tcMar>
              <w:left w:w="101" w:type="dxa"/>
              <w:right w:w="101" w:type="dxa"/>
            </w:tcMar>
          </w:tcPr>
          <w:p w14:paraId="77EBC40C"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ACD007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-22,730</w:t>
            </w:r>
          </w:p>
        </w:tc>
        <w:tc>
          <w:tcPr>
            <w:tcW w:w="1035" w:type="dxa"/>
            <w:tcBorders>
              <w:top w:val="nil"/>
              <w:left w:val="nil"/>
              <w:bottom w:val="nil"/>
              <w:right w:val="nil"/>
              <w:tl2br w:val="nil"/>
              <w:tr2bl w:val="nil"/>
            </w:tcBorders>
            <w:shd w:val="clear" w:color="FFFFFF" w:fill="FFFFFF"/>
            <w:tcMar>
              <w:left w:w="101" w:type="dxa"/>
              <w:right w:w="101" w:type="dxa"/>
            </w:tcMar>
          </w:tcPr>
          <w:p w14:paraId="15989D32"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-41,961</w:t>
            </w:r>
          </w:p>
        </w:tc>
        <w:tc>
          <w:tcPr>
            <w:tcW w:w="600" w:type="dxa"/>
            <w:tcBorders>
              <w:top w:val="nil"/>
              <w:left w:val="nil"/>
              <w:bottom w:val="nil"/>
              <w:right w:val="nil"/>
              <w:tl2br w:val="nil"/>
              <w:tr2bl w:val="nil"/>
            </w:tcBorders>
            <w:shd w:val="clear" w:color="FFFFFF" w:fill="FFFFFF"/>
            <w:tcMar>
              <w:left w:w="101" w:type="dxa"/>
              <w:right w:w="101" w:type="dxa"/>
            </w:tcMar>
          </w:tcPr>
          <w:p w14:paraId="1AD33C37"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-85 </w:t>
            </w:r>
          </w:p>
        </w:tc>
        <w:tc>
          <w:tcPr>
            <w:tcW w:w="1035" w:type="dxa"/>
            <w:tcBorders>
              <w:top w:val="nil"/>
              <w:left w:val="nil"/>
              <w:bottom w:val="nil"/>
              <w:right w:val="nil"/>
              <w:tl2br w:val="nil"/>
              <w:tr2bl w:val="nil"/>
            </w:tcBorders>
            <w:shd w:val="clear" w:color="FFFFFF" w:fill="FFFFFF"/>
            <w:tcMar>
              <w:left w:w="101" w:type="dxa"/>
              <w:right w:w="101" w:type="dxa"/>
            </w:tcMar>
          </w:tcPr>
          <w:p w14:paraId="34B9D48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-37,918</w:t>
            </w:r>
          </w:p>
        </w:tc>
        <w:tc>
          <w:tcPr>
            <w:tcW w:w="1035" w:type="dxa"/>
            <w:tcBorders>
              <w:top w:val="nil"/>
              <w:left w:val="nil"/>
              <w:bottom w:val="nil"/>
              <w:right w:val="nil"/>
              <w:tl2br w:val="nil"/>
              <w:tr2bl w:val="nil"/>
            </w:tcBorders>
            <w:shd w:val="clear" w:color="FFFFFF" w:fill="FFFFFF"/>
            <w:tcMar>
              <w:left w:w="101" w:type="dxa"/>
              <w:right w:w="101" w:type="dxa"/>
            </w:tcMar>
          </w:tcPr>
          <w:p w14:paraId="581B5B5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-41,755</w:t>
            </w:r>
          </w:p>
        </w:tc>
        <w:tc>
          <w:tcPr>
            <w:tcW w:w="1035" w:type="dxa"/>
            <w:tcBorders>
              <w:top w:val="nil"/>
              <w:left w:val="nil"/>
              <w:bottom w:val="nil"/>
              <w:right w:val="nil"/>
              <w:tl2br w:val="nil"/>
              <w:tr2bl w:val="nil"/>
            </w:tcBorders>
            <w:shd w:val="clear" w:color="FFFFFF" w:fill="FFFFFF"/>
            <w:tcMar>
              <w:left w:w="101" w:type="dxa"/>
              <w:right w:w="101" w:type="dxa"/>
            </w:tcMar>
          </w:tcPr>
          <w:p w14:paraId="2C8C1510"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-43,353</w:t>
            </w:r>
          </w:p>
        </w:tc>
      </w:tr>
      <w:tr w:rsidR="00EF18CC" w14:paraId="2986926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D52BDE"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A00C582" w14:textId="77777777" w:rsidR="00EF18CC" w:rsidRDefault="00EF18CC" w:rsidP="006D3501">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5C83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FFDF52"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271CBD"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86513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E724B8"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7869FA" w14:textId="77777777" w:rsidR="00EF18CC" w:rsidRDefault="00EF18CC" w:rsidP="006D3501">
            <w:pPr>
              <w:pStyle w:val="Normal9"/>
              <w:rPr>
                <w:rFonts w:ascii="Calibri" w:eastAsia="Calibri" w:hAnsi="Calibri" w:cs="Calibri"/>
                <w:color w:val="000000"/>
                <w:sz w:val="18"/>
              </w:rPr>
            </w:pPr>
          </w:p>
        </w:tc>
      </w:tr>
      <w:tr w:rsidR="00EF18CC" w14:paraId="0A7CDDC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AC7468" w14:textId="77777777" w:rsidR="00EF18CC" w:rsidRDefault="00EF18CC" w:rsidP="006D3501">
            <w:pPr>
              <w:pStyle w:val="Normal9"/>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34FA8995"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EF18CC" w14:paraId="323AAD8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546A5D"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8815A8A"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57B113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501D7C"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87E1DB"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F0772A"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18294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F34F6C" w14:textId="77777777" w:rsidR="00EF18CC" w:rsidRDefault="00EF18CC" w:rsidP="006D3501">
            <w:pPr>
              <w:pStyle w:val="Normal9"/>
              <w:rPr>
                <w:rFonts w:ascii="Calibri" w:eastAsia="Calibri" w:hAnsi="Calibri" w:cs="Calibri"/>
                <w:color w:val="000000"/>
                <w:sz w:val="18"/>
              </w:rPr>
            </w:pPr>
          </w:p>
        </w:tc>
      </w:tr>
      <w:tr w:rsidR="00EF18CC" w14:paraId="45F77DB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204FA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110,966</w:t>
            </w:r>
          </w:p>
        </w:tc>
        <w:tc>
          <w:tcPr>
            <w:tcW w:w="2385" w:type="dxa"/>
            <w:tcBorders>
              <w:top w:val="nil"/>
              <w:left w:val="nil"/>
              <w:bottom w:val="nil"/>
              <w:right w:val="nil"/>
              <w:tl2br w:val="nil"/>
              <w:tr2bl w:val="nil"/>
            </w:tcBorders>
            <w:shd w:val="clear" w:color="FFFFFF" w:fill="FFFFFF"/>
            <w:noWrap/>
            <w:tcMar>
              <w:left w:w="101" w:type="dxa"/>
              <w:right w:w="101" w:type="dxa"/>
            </w:tcMar>
          </w:tcPr>
          <w:p w14:paraId="429D0001"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1C15F8A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121,197</w:t>
            </w:r>
          </w:p>
        </w:tc>
        <w:tc>
          <w:tcPr>
            <w:tcW w:w="1035" w:type="dxa"/>
            <w:tcBorders>
              <w:top w:val="nil"/>
              <w:left w:val="nil"/>
              <w:bottom w:val="nil"/>
              <w:right w:val="nil"/>
              <w:tl2br w:val="nil"/>
              <w:tr2bl w:val="nil"/>
            </w:tcBorders>
            <w:shd w:val="clear" w:color="FFFFFF" w:fill="FFFFFF"/>
            <w:tcMar>
              <w:left w:w="101" w:type="dxa"/>
              <w:right w:w="101" w:type="dxa"/>
            </w:tcMar>
          </w:tcPr>
          <w:p w14:paraId="11F049A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101,691</w:t>
            </w:r>
          </w:p>
        </w:tc>
        <w:tc>
          <w:tcPr>
            <w:tcW w:w="600" w:type="dxa"/>
            <w:tcBorders>
              <w:top w:val="nil"/>
              <w:left w:val="nil"/>
              <w:bottom w:val="nil"/>
              <w:right w:val="nil"/>
              <w:tl2br w:val="nil"/>
              <w:tr2bl w:val="nil"/>
            </w:tcBorders>
            <w:shd w:val="clear" w:color="FFFFFF" w:fill="FFFFFF"/>
            <w:tcMar>
              <w:left w:w="101" w:type="dxa"/>
              <w:right w:w="101" w:type="dxa"/>
            </w:tcMar>
          </w:tcPr>
          <w:p w14:paraId="4A4552BF"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6084382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189,056</w:t>
            </w:r>
          </w:p>
        </w:tc>
        <w:tc>
          <w:tcPr>
            <w:tcW w:w="1035" w:type="dxa"/>
            <w:tcBorders>
              <w:top w:val="nil"/>
              <w:left w:val="nil"/>
              <w:bottom w:val="nil"/>
              <w:right w:val="nil"/>
              <w:tl2br w:val="nil"/>
              <w:tr2bl w:val="nil"/>
            </w:tcBorders>
            <w:shd w:val="clear" w:color="FFFFFF" w:fill="FFFFFF"/>
            <w:tcMar>
              <w:left w:w="101" w:type="dxa"/>
              <w:right w:w="101" w:type="dxa"/>
            </w:tcMar>
          </w:tcPr>
          <w:p w14:paraId="4B6A6CE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149,966</w:t>
            </w:r>
          </w:p>
        </w:tc>
        <w:tc>
          <w:tcPr>
            <w:tcW w:w="1035" w:type="dxa"/>
            <w:tcBorders>
              <w:top w:val="nil"/>
              <w:left w:val="nil"/>
              <w:bottom w:val="nil"/>
              <w:right w:val="nil"/>
              <w:tl2br w:val="nil"/>
              <w:tr2bl w:val="nil"/>
            </w:tcBorders>
            <w:shd w:val="clear" w:color="FFFFFF" w:fill="FFFFFF"/>
            <w:tcMar>
              <w:left w:w="101" w:type="dxa"/>
              <w:right w:w="101" w:type="dxa"/>
            </w:tcMar>
          </w:tcPr>
          <w:p w14:paraId="4CDFEF9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35,045</w:t>
            </w:r>
          </w:p>
        </w:tc>
      </w:tr>
      <w:tr w:rsidR="00EF18CC" w14:paraId="3581F15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9F047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183</w:t>
            </w:r>
          </w:p>
        </w:tc>
        <w:tc>
          <w:tcPr>
            <w:tcW w:w="2385" w:type="dxa"/>
            <w:tcBorders>
              <w:top w:val="nil"/>
              <w:left w:val="nil"/>
              <w:bottom w:val="nil"/>
              <w:right w:val="nil"/>
              <w:tl2br w:val="nil"/>
              <w:tr2bl w:val="nil"/>
            </w:tcBorders>
            <w:shd w:val="clear" w:color="FFFFFF" w:fill="FFFFFF"/>
            <w:noWrap/>
            <w:tcMar>
              <w:left w:w="101" w:type="dxa"/>
              <w:right w:w="101" w:type="dxa"/>
            </w:tcMar>
          </w:tcPr>
          <w:p w14:paraId="697A1B8B"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Proceeds from Sale/Maturity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0C7FA20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2,047</w:t>
            </w:r>
          </w:p>
        </w:tc>
        <w:tc>
          <w:tcPr>
            <w:tcW w:w="1035" w:type="dxa"/>
            <w:tcBorders>
              <w:top w:val="nil"/>
              <w:left w:val="nil"/>
              <w:bottom w:val="nil"/>
              <w:right w:val="nil"/>
              <w:tl2br w:val="nil"/>
              <w:tr2bl w:val="nil"/>
            </w:tcBorders>
            <w:shd w:val="clear" w:color="FFFFFF" w:fill="FFFFFF"/>
            <w:tcMar>
              <w:left w:w="101" w:type="dxa"/>
              <w:right w:w="101" w:type="dxa"/>
            </w:tcMar>
          </w:tcPr>
          <w:p w14:paraId="17789E8C"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184</w:t>
            </w:r>
          </w:p>
        </w:tc>
        <w:tc>
          <w:tcPr>
            <w:tcW w:w="600" w:type="dxa"/>
            <w:tcBorders>
              <w:top w:val="nil"/>
              <w:left w:val="nil"/>
              <w:bottom w:val="nil"/>
              <w:right w:val="nil"/>
              <w:tl2br w:val="nil"/>
              <w:tr2bl w:val="nil"/>
            </w:tcBorders>
            <w:shd w:val="clear" w:color="FFFFFF" w:fill="FFFFFF"/>
            <w:tcMar>
              <w:left w:w="101" w:type="dxa"/>
              <w:right w:w="101" w:type="dxa"/>
            </w:tcMar>
          </w:tcPr>
          <w:p w14:paraId="096721D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-91 </w:t>
            </w:r>
          </w:p>
        </w:tc>
        <w:tc>
          <w:tcPr>
            <w:tcW w:w="1035" w:type="dxa"/>
            <w:tcBorders>
              <w:top w:val="nil"/>
              <w:left w:val="nil"/>
              <w:bottom w:val="nil"/>
              <w:right w:val="nil"/>
              <w:tl2br w:val="nil"/>
              <w:tr2bl w:val="nil"/>
            </w:tcBorders>
            <w:shd w:val="clear" w:color="FFFFFF" w:fill="FFFFFF"/>
            <w:tcMar>
              <w:left w:w="101" w:type="dxa"/>
              <w:right w:w="101" w:type="dxa"/>
            </w:tcMar>
          </w:tcPr>
          <w:p w14:paraId="548961A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184</w:t>
            </w:r>
          </w:p>
        </w:tc>
        <w:tc>
          <w:tcPr>
            <w:tcW w:w="1035" w:type="dxa"/>
            <w:tcBorders>
              <w:top w:val="nil"/>
              <w:left w:val="nil"/>
              <w:bottom w:val="nil"/>
              <w:right w:val="nil"/>
              <w:tl2br w:val="nil"/>
              <w:tr2bl w:val="nil"/>
            </w:tcBorders>
            <w:shd w:val="clear" w:color="FFFFFF" w:fill="FFFFFF"/>
            <w:tcMar>
              <w:left w:w="101" w:type="dxa"/>
              <w:right w:w="101" w:type="dxa"/>
            </w:tcMar>
          </w:tcPr>
          <w:p w14:paraId="357376B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184</w:t>
            </w:r>
          </w:p>
        </w:tc>
        <w:tc>
          <w:tcPr>
            <w:tcW w:w="1035" w:type="dxa"/>
            <w:tcBorders>
              <w:top w:val="nil"/>
              <w:left w:val="nil"/>
              <w:bottom w:val="nil"/>
              <w:right w:val="nil"/>
              <w:tl2br w:val="nil"/>
              <w:tr2bl w:val="nil"/>
            </w:tcBorders>
            <w:shd w:val="clear" w:color="FFFFFF" w:fill="FFFFFF"/>
            <w:tcMar>
              <w:left w:w="101" w:type="dxa"/>
              <w:right w:w="101" w:type="dxa"/>
            </w:tcMar>
          </w:tcPr>
          <w:p w14:paraId="299E35C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184</w:t>
            </w:r>
          </w:p>
        </w:tc>
      </w:tr>
      <w:tr w:rsidR="00EF18CC" w14:paraId="5C45133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13FBC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111,149</w:t>
            </w:r>
          </w:p>
        </w:tc>
        <w:tc>
          <w:tcPr>
            <w:tcW w:w="2385" w:type="dxa"/>
            <w:tcBorders>
              <w:top w:val="nil"/>
              <w:left w:val="nil"/>
              <w:bottom w:val="nil"/>
              <w:right w:val="nil"/>
              <w:tl2br w:val="nil"/>
              <w:tr2bl w:val="nil"/>
            </w:tcBorders>
            <w:shd w:val="clear" w:color="FFFFFF" w:fill="FFFFFF"/>
            <w:noWrap/>
            <w:tcMar>
              <w:left w:w="101" w:type="dxa"/>
              <w:right w:w="101" w:type="dxa"/>
            </w:tcMar>
          </w:tcPr>
          <w:p w14:paraId="7AAF0071"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6B0F89F"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123,244</w:t>
            </w:r>
          </w:p>
        </w:tc>
        <w:tc>
          <w:tcPr>
            <w:tcW w:w="1035" w:type="dxa"/>
            <w:tcBorders>
              <w:top w:val="nil"/>
              <w:left w:val="nil"/>
              <w:bottom w:val="nil"/>
              <w:right w:val="nil"/>
              <w:tl2br w:val="nil"/>
              <w:tr2bl w:val="nil"/>
            </w:tcBorders>
            <w:shd w:val="clear" w:color="FFFFFF" w:fill="FFFFFF"/>
            <w:tcMar>
              <w:left w:w="101" w:type="dxa"/>
              <w:right w:w="101" w:type="dxa"/>
            </w:tcMar>
          </w:tcPr>
          <w:p w14:paraId="6E3EB21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101,875</w:t>
            </w:r>
          </w:p>
        </w:tc>
        <w:tc>
          <w:tcPr>
            <w:tcW w:w="600" w:type="dxa"/>
            <w:tcBorders>
              <w:top w:val="nil"/>
              <w:left w:val="nil"/>
              <w:bottom w:val="nil"/>
              <w:right w:val="nil"/>
              <w:tl2br w:val="nil"/>
              <w:tr2bl w:val="nil"/>
            </w:tcBorders>
            <w:shd w:val="clear" w:color="FFFFFF" w:fill="FFFFFF"/>
            <w:tcMar>
              <w:left w:w="101" w:type="dxa"/>
              <w:right w:w="101" w:type="dxa"/>
            </w:tcMar>
          </w:tcPr>
          <w:p w14:paraId="7644183D"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2D62D95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189,240</w:t>
            </w:r>
          </w:p>
        </w:tc>
        <w:tc>
          <w:tcPr>
            <w:tcW w:w="1035" w:type="dxa"/>
            <w:tcBorders>
              <w:top w:val="nil"/>
              <w:left w:val="nil"/>
              <w:bottom w:val="nil"/>
              <w:right w:val="nil"/>
              <w:tl2br w:val="nil"/>
              <w:tr2bl w:val="nil"/>
            </w:tcBorders>
            <w:shd w:val="clear" w:color="FFFFFF" w:fill="FFFFFF"/>
            <w:tcMar>
              <w:left w:w="101" w:type="dxa"/>
              <w:right w:w="101" w:type="dxa"/>
            </w:tcMar>
          </w:tcPr>
          <w:p w14:paraId="4439B2B4"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150,150</w:t>
            </w:r>
          </w:p>
        </w:tc>
        <w:tc>
          <w:tcPr>
            <w:tcW w:w="1035" w:type="dxa"/>
            <w:tcBorders>
              <w:top w:val="nil"/>
              <w:left w:val="nil"/>
              <w:bottom w:val="nil"/>
              <w:right w:val="nil"/>
              <w:tl2br w:val="nil"/>
              <w:tr2bl w:val="nil"/>
            </w:tcBorders>
            <w:shd w:val="clear" w:color="FFFFFF" w:fill="FFFFFF"/>
            <w:tcMar>
              <w:left w:w="101" w:type="dxa"/>
              <w:right w:w="101" w:type="dxa"/>
            </w:tcMar>
          </w:tcPr>
          <w:p w14:paraId="74898F22"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35,229</w:t>
            </w:r>
          </w:p>
        </w:tc>
      </w:tr>
      <w:tr w:rsidR="00EF18CC" w14:paraId="637036B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FE4B24"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6958616"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45C3F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7AFF77"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A76F4B" w14:textId="77777777" w:rsidR="00EF18CC" w:rsidRDefault="00EF18CC" w:rsidP="006D3501">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65676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C2452"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4A3216" w14:textId="77777777" w:rsidR="00EF18CC" w:rsidRDefault="00EF18CC" w:rsidP="006D3501">
            <w:pPr>
              <w:pStyle w:val="Normal9"/>
              <w:rPr>
                <w:rFonts w:ascii="Calibri" w:eastAsia="Calibri" w:hAnsi="Calibri" w:cs="Calibri"/>
                <w:color w:val="000000"/>
                <w:sz w:val="18"/>
              </w:rPr>
            </w:pPr>
          </w:p>
        </w:tc>
      </w:tr>
      <w:tr w:rsidR="00EF18CC" w14:paraId="3B5A00B5"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F07B60"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EB9EABE"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D6F3ED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CA59FB"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EABB8B" w14:textId="77777777" w:rsidR="00EF18CC" w:rsidRDefault="00EF18CC" w:rsidP="006D3501">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9704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C62BA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850692" w14:textId="77777777" w:rsidR="00EF18CC" w:rsidRDefault="00EF18CC" w:rsidP="006D3501">
            <w:pPr>
              <w:pStyle w:val="Normal9"/>
              <w:rPr>
                <w:rFonts w:ascii="Calibri" w:eastAsia="Calibri" w:hAnsi="Calibri" w:cs="Calibri"/>
                <w:color w:val="000000"/>
                <w:sz w:val="18"/>
              </w:rPr>
            </w:pPr>
          </w:p>
        </w:tc>
      </w:tr>
      <w:tr w:rsidR="00EF18CC" w14:paraId="6A8A278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D9E84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140,582</w:t>
            </w:r>
          </w:p>
        </w:tc>
        <w:tc>
          <w:tcPr>
            <w:tcW w:w="2385" w:type="dxa"/>
            <w:tcBorders>
              <w:top w:val="nil"/>
              <w:left w:val="nil"/>
              <w:bottom w:val="nil"/>
              <w:right w:val="nil"/>
              <w:tl2br w:val="nil"/>
              <w:tr2bl w:val="nil"/>
            </w:tcBorders>
            <w:shd w:val="clear" w:color="FFFFFF" w:fill="FFFFFF"/>
            <w:noWrap/>
            <w:tcMar>
              <w:left w:w="101" w:type="dxa"/>
              <w:right w:w="101" w:type="dxa"/>
            </w:tcMar>
          </w:tcPr>
          <w:p w14:paraId="70B10BC3"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531D3079"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110,354</w:t>
            </w:r>
          </w:p>
        </w:tc>
        <w:tc>
          <w:tcPr>
            <w:tcW w:w="1035" w:type="dxa"/>
            <w:tcBorders>
              <w:top w:val="nil"/>
              <w:left w:val="nil"/>
              <w:bottom w:val="nil"/>
              <w:right w:val="nil"/>
              <w:tl2br w:val="nil"/>
              <w:tr2bl w:val="nil"/>
            </w:tcBorders>
            <w:shd w:val="clear" w:color="FFFFFF" w:fill="FFFFFF"/>
            <w:tcMar>
              <w:left w:w="101" w:type="dxa"/>
              <w:right w:w="101" w:type="dxa"/>
            </w:tcMar>
          </w:tcPr>
          <w:p w14:paraId="21D97CE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203,669</w:t>
            </w:r>
          </w:p>
        </w:tc>
        <w:tc>
          <w:tcPr>
            <w:tcW w:w="600" w:type="dxa"/>
            <w:tcBorders>
              <w:top w:val="nil"/>
              <w:left w:val="nil"/>
              <w:bottom w:val="nil"/>
              <w:right w:val="nil"/>
              <w:tl2br w:val="nil"/>
              <w:tr2bl w:val="nil"/>
            </w:tcBorders>
            <w:shd w:val="clear" w:color="FFFFFF" w:fill="FFFFFF"/>
            <w:tcMar>
              <w:left w:w="101" w:type="dxa"/>
              <w:right w:w="101" w:type="dxa"/>
            </w:tcMar>
          </w:tcPr>
          <w:p w14:paraId="2F98A54C"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85 </w:t>
            </w:r>
          </w:p>
        </w:tc>
        <w:tc>
          <w:tcPr>
            <w:tcW w:w="1035" w:type="dxa"/>
            <w:tcBorders>
              <w:top w:val="nil"/>
              <w:left w:val="nil"/>
              <w:bottom w:val="nil"/>
              <w:right w:val="nil"/>
              <w:tl2br w:val="nil"/>
              <w:tr2bl w:val="nil"/>
            </w:tcBorders>
            <w:shd w:val="clear" w:color="FFFFFF" w:fill="FFFFFF"/>
            <w:tcMar>
              <w:left w:w="101" w:type="dxa"/>
              <w:right w:w="101" w:type="dxa"/>
            </w:tcMar>
          </w:tcPr>
          <w:p w14:paraId="0E0A1B1F"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160,280</w:t>
            </w:r>
          </w:p>
        </w:tc>
        <w:tc>
          <w:tcPr>
            <w:tcW w:w="1035" w:type="dxa"/>
            <w:tcBorders>
              <w:top w:val="nil"/>
              <w:left w:val="nil"/>
              <w:bottom w:val="nil"/>
              <w:right w:val="nil"/>
              <w:tl2br w:val="nil"/>
              <w:tr2bl w:val="nil"/>
            </w:tcBorders>
            <w:shd w:val="clear" w:color="FFFFFF" w:fill="FFFFFF"/>
            <w:tcMar>
              <w:left w:w="101" w:type="dxa"/>
              <w:right w:w="101" w:type="dxa"/>
            </w:tcMar>
          </w:tcPr>
          <w:p w14:paraId="34BF24D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96,519</w:t>
            </w:r>
          </w:p>
        </w:tc>
        <w:tc>
          <w:tcPr>
            <w:tcW w:w="1035" w:type="dxa"/>
            <w:tcBorders>
              <w:top w:val="nil"/>
              <w:left w:val="nil"/>
              <w:bottom w:val="nil"/>
              <w:right w:val="nil"/>
              <w:tl2br w:val="nil"/>
              <w:tr2bl w:val="nil"/>
            </w:tcBorders>
            <w:shd w:val="clear" w:color="FFFFFF" w:fill="FFFFFF"/>
            <w:tcMar>
              <w:left w:w="101" w:type="dxa"/>
              <w:right w:w="101" w:type="dxa"/>
            </w:tcMar>
          </w:tcPr>
          <w:p w14:paraId="23F4346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36,034</w:t>
            </w:r>
          </w:p>
        </w:tc>
      </w:tr>
      <w:tr w:rsidR="00EF18CC" w14:paraId="263BA54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1B726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32,000</w:t>
            </w:r>
          </w:p>
        </w:tc>
        <w:tc>
          <w:tcPr>
            <w:tcW w:w="2385" w:type="dxa"/>
            <w:tcBorders>
              <w:top w:val="nil"/>
              <w:left w:val="nil"/>
              <w:bottom w:val="nil"/>
              <w:right w:val="nil"/>
              <w:tl2br w:val="nil"/>
              <w:tr2bl w:val="nil"/>
            </w:tcBorders>
            <w:shd w:val="clear" w:color="FFFFFF" w:fill="FFFFFF"/>
            <w:noWrap/>
            <w:tcMar>
              <w:left w:w="101" w:type="dxa"/>
              <w:right w:w="101" w:type="dxa"/>
            </w:tcMar>
          </w:tcPr>
          <w:p w14:paraId="24FFFB9C"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0B6459A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32,000</w:t>
            </w:r>
          </w:p>
        </w:tc>
        <w:tc>
          <w:tcPr>
            <w:tcW w:w="1035" w:type="dxa"/>
            <w:tcBorders>
              <w:top w:val="nil"/>
              <w:left w:val="nil"/>
              <w:bottom w:val="nil"/>
              <w:right w:val="nil"/>
              <w:tl2br w:val="nil"/>
              <w:tr2bl w:val="nil"/>
            </w:tcBorders>
            <w:shd w:val="clear" w:color="FFFFFF" w:fill="FFFFFF"/>
            <w:tcMar>
              <w:left w:w="101" w:type="dxa"/>
              <w:right w:w="101" w:type="dxa"/>
            </w:tcMar>
          </w:tcPr>
          <w:p w14:paraId="23CF33A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EFE6AE8"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158382C"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06FCD6C"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C286F1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EF18CC" w14:paraId="5EED6D0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410E74"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172,582</w:t>
            </w:r>
          </w:p>
        </w:tc>
        <w:tc>
          <w:tcPr>
            <w:tcW w:w="2385" w:type="dxa"/>
            <w:tcBorders>
              <w:top w:val="nil"/>
              <w:left w:val="nil"/>
              <w:bottom w:val="nil"/>
              <w:right w:val="nil"/>
              <w:tl2br w:val="nil"/>
              <w:tr2bl w:val="nil"/>
            </w:tcBorders>
            <w:shd w:val="clear" w:color="FFFFFF" w:fill="FFFFFF"/>
            <w:noWrap/>
            <w:tcMar>
              <w:left w:w="101" w:type="dxa"/>
              <w:right w:w="101" w:type="dxa"/>
            </w:tcMar>
          </w:tcPr>
          <w:p w14:paraId="2FD45AAC"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0A74CDC"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142,354</w:t>
            </w:r>
          </w:p>
        </w:tc>
        <w:tc>
          <w:tcPr>
            <w:tcW w:w="1035" w:type="dxa"/>
            <w:tcBorders>
              <w:top w:val="nil"/>
              <w:left w:val="nil"/>
              <w:bottom w:val="nil"/>
              <w:right w:val="nil"/>
              <w:tl2br w:val="nil"/>
              <w:tr2bl w:val="nil"/>
            </w:tcBorders>
            <w:shd w:val="clear" w:color="FFFFFF" w:fill="FFFFFF"/>
            <w:tcMar>
              <w:left w:w="101" w:type="dxa"/>
              <w:right w:w="101" w:type="dxa"/>
            </w:tcMar>
          </w:tcPr>
          <w:p w14:paraId="2D3C3544"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203,669</w:t>
            </w:r>
          </w:p>
        </w:tc>
        <w:tc>
          <w:tcPr>
            <w:tcW w:w="600" w:type="dxa"/>
            <w:tcBorders>
              <w:top w:val="nil"/>
              <w:left w:val="nil"/>
              <w:bottom w:val="nil"/>
              <w:right w:val="nil"/>
              <w:tl2br w:val="nil"/>
              <w:tr2bl w:val="nil"/>
            </w:tcBorders>
            <w:shd w:val="clear" w:color="FFFFFF" w:fill="FFFFFF"/>
            <w:tcMar>
              <w:left w:w="101" w:type="dxa"/>
              <w:right w:w="101" w:type="dxa"/>
            </w:tcMar>
          </w:tcPr>
          <w:p w14:paraId="79D44505"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5F68DBE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160,280</w:t>
            </w:r>
          </w:p>
        </w:tc>
        <w:tc>
          <w:tcPr>
            <w:tcW w:w="1035" w:type="dxa"/>
            <w:tcBorders>
              <w:top w:val="nil"/>
              <w:left w:val="nil"/>
              <w:bottom w:val="nil"/>
              <w:right w:val="nil"/>
              <w:tl2br w:val="nil"/>
              <w:tr2bl w:val="nil"/>
            </w:tcBorders>
            <w:shd w:val="clear" w:color="FFFFFF" w:fill="FFFFFF"/>
            <w:tcMar>
              <w:left w:w="101" w:type="dxa"/>
              <w:right w:w="101" w:type="dxa"/>
            </w:tcMar>
          </w:tcPr>
          <w:p w14:paraId="54C9BBC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96,519</w:t>
            </w:r>
          </w:p>
        </w:tc>
        <w:tc>
          <w:tcPr>
            <w:tcW w:w="1035" w:type="dxa"/>
            <w:tcBorders>
              <w:top w:val="nil"/>
              <w:left w:val="nil"/>
              <w:bottom w:val="nil"/>
              <w:right w:val="nil"/>
              <w:tl2br w:val="nil"/>
              <w:tr2bl w:val="nil"/>
            </w:tcBorders>
            <w:shd w:val="clear" w:color="FFFFFF" w:fill="FFFFFF"/>
            <w:tcMar>
              <w:left w:w="101" w:type="dxa"/>
              <w:right w:w="101" w:type="dxa"/>
            </w:tcMar>
          </w:tcPr>
          <w:p w14:paraId="5A35D9B2"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36,034</w:t>
            </w:r>
          </w:p>
        </w:tc>
      </w:tr>
      <w:tr w:rsidR="00EF18CC" w14:paraId="058C81EA"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7CD746"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15B6C9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611C92"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91C65B"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738F8A"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566BFD"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798DF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49353F" w14:textId="77777777" w:rsidR="00EF18CC" w:rsidRDefault="00EF18CC" w:rsidP="006D3501">
            <w:pPr>
              <w:pStyle w:val="Normal9"/>
              <w:rPr>
                <w:rFonts w:ascii="Calibri" w:eastAsia="Calibri" w:hAnsi="Calibri" w:cs="Calibri"/>
                <w:color w:val="000000"/>
                <w:sz w:val="18"/>
              </w:rPr>
            </w:pPr>
          </w:p>
        </w:tc>
      </w:tr>
      <w:tr w:rsidR="00EF18CC" w14:paraId="37248B4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60A12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-61,433</w:t>
            </w:r>
          </w:p>
        </w:tc>
        <w:tc>
          <w:tcPr>
            <w:tcW w:w="2385" w:type="dxa"/>
            <w:tcBorders>
              <w:top w:val="nil"/>
              <w:left w:val="nil"/>
              <w:bottom w:val="nil"/>
              <w:right w:val="nil"/>
              <w:tl2br w:val="nil"/>
              <w:tr2bl w:val="nil"/>
            </w:tcBorders>
            <w:shd w:val="clear" w:color="FFFFFF" w:fill="FFFFFF"/>
            <w:noWrap/>
            <w:tcMar>
              <w:left w:w="101" w:type="dxa"/>
              <w:right w:w="101" w:type="dxa"/>
            </w:tcMar>
          </w:tcPr>
          <w:p w14:paraId="6814643C"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1563BD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-19,110</w:t>
            </w:r>
          </w:p>
        </w:tc>
        <w:tc>
          <w:tcPr>
            <w:tcW w:w="1035" w:type="dxa"/>
            <w:tcBorders>
              <w:top w:val="nil"/>
              <w:left w:val="nil"/>
              <w:bottom w:val="nil"/>
              <w:right w:val="nil"/>
              <w:tl2br w:val="nil"/>
              <w:tr2bl w:val="nil"/>
            </w:tcBorders>
            <w:shd w:val="clear" w:color="FFFFFF" w:fill="FFFFFF"/>
            <w:tcMar>
              <w:left w:w="101" w:type="dxa"/>
              <w:right w:w="101" w:type="dxa"/>
            </w:tcMar>
          </w:tcPr>
          <w:p w14:paraId="1441C1F5"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-101,794</w:t>
            </w:r>
          </w:p>
        </w:tc>
        <w:tc>
          <w:tcPr>
            <w:tcW w:w="600" w:type="dxa"/>
            <w:tcBorders>
              <w:top w:val="nil"/>
              <w:left w:val="nil"/>
              <w:bottom w:val="nil"/>
              <w:right w:val="nil"/>
              <w:tl2br w:val="nil"/>
              <w:tr2bl w:val="nil"/>
            </w:tcBorders>
            <w:shd w:val="clear" w:color="FFFFFF" w:fill="FFFFFF"/>
            <w:tcMar>
              <w:left w:w="101" w:type="dxa"/>
              <w:right w:w="101" w:type="dxa"/>
            </w:tcMar>
          </w:tcPr>
          <w:p w14:paraId="39BA7F6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-433 </w:t>
            </w:r>
          </w:p>
        </w:tc>
        <w:tc>
          <w:tcPr>
            <w:tcW w:w="1035" w:type="dxa"/>
            <w:tcBorders>
              <w:top w:val="nil"/>
              <w:left w:val="nil"/>
              <w:bottom w:val="nil"/>
              <w:right w:val="nil"/>
              <w:tl2br w:val="nil"/>
              <w:tr2bl w:val="nil"/>
            </w:tcBorders>
            <w:shd w:val="clear" w:color="FFFFFF" w:fill="FFFFFF"/>
            <w:tcMar>
              <w:left w:w="101" w:type="dxa"/>
              <w:right w:w="101" w:type="dxa"/>
            </w:tcMar>
          </w:tcPr>
          <w:p w14:paraId="42B5D95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28,960</w:t>
            </w:r>
          </w:p>
        </w:tc>
        <w:tc>
          <w:tcPr>
            <w:tcW w:w="1035" w:type="dxa"/>
            <w:tcBorders>
              <w:top w:val="nil"/>
              <w:left w:val="nil"/>
              <w:bottom w:val="nil"/>
              <w:right w:val="nil"/>
              <w:tl2br w:val="nil"/>
              <w:tr2bl w:val="nil"/>
            </w:tcBorders>
            <w:shd w:val="clear" w:color="FFFFFF" w:fill="FFFFFF"/>
            <w:tcMar>
              <w:left w:w="101" w:type="dxa"/>
              <w:right w:w="101" w:type="dxa"/>
            </w:tcMar>
          </w:tcPr>
          <w:p w14:paraId="555F0F4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53,631</w:t>
            </w:r>
          </w:p>
        </w:tc>
        <w:tc>
          <w:tcPr>
            <w:tcW w:w="1035" w:type="dxa"/>
            <w:tcBorders>
              <w:top w:val="nil"/>
              <w:left w:val="nil"/>
              <w:bottom w:val="nil"/>
              <w:right w:val="nil"/>
              <w:tl2br w:val="nil"/>
              <w:tr2bl w:val="nil"/>
            </w:tcBorders>
            <w:shd w:val="clear" w:color="FFFFFF" w:fill="FFFFFF"/>
            <w:tcMar>
              <w:left w:w="101" w:type="dxa"/>
              <w:right w:w="101" w:type="dxa"/>
            </w:tcMar>
          </w:tcPr>
          <w:p w14:paraId="3AD9231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-805</w:t>
            </w:r>
          </w:p>
        </w:tc>
      </w:tr>
      <w:tr w:rsidR="00EF18CC" w14:paraId="0D15CAC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FF7BFC"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44229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EF4BC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BCE9D"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72407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1FF07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59F4C0"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0F6800" w14:textId="77777777" w:rsidR="00EF18CC" w:rsidRDefault="00EF18CC" w:rsidP="006D3501">
            <w:pPr>
              <w:pStyle w:val="Normal9"/>
              <w:rPr>
                <w:rFonts w:ascii="Calibri" w:eastAsia="Calibri" w:hAnsi="Calibri" w:cs="Calibri"/>
                <w:color w:val="000000"/>
                <w:sz w:val="18"/>
              </w:rPr>
            </w:pPr>
          </w:p>
        </w:tc>
      </w:tr>
      <w:tr w:rsidR="00EF18CC" w14:paraId="6D47D56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10003E" w14:textId="77777777" w:rsidR="00EF18CC" w:rsidRDefault="00EF18CC" w:rsidP="006D3501">
            <w:pPr>
              <w:pStyle w:val="Normal9"/>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38E611DB"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EF18CC" w14:paraId="786DB57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D297E6"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51A377B"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9CF5D4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3B10DD"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02C978"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F802F8"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96C00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51C7E0" w14:textId="77777777" w:rsidR="00EF18CC" w:rsidRDefault="00EF18CC" w:rsidP="006D3501">
            <w:pPr>
              <w:pStyle w:val="Normal9"/>
              <w:rPr>
                <w:rFonts w:ascii="Calibri" w:eastAsia="Calibri" w:hAnsi="Calibri" w:cs="Calibri"/>
                <w:color w:val="000000"/>
                <w:sz w:val="18"/>
              </w:rPr>
            </w:pPr>
          </w:p>
        </w:tc>
      </w:tr>
      <w:tr w:rsidR="00EF18CC" w14:paraId="75E7F8C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D76EF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83,133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1AC81627"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0906A0A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81,942</w:t>
            </w:r>
          </w:p>
        </w:tc>
        <w:tc>
          <w:tcPr>
            <w:tcW w:w="1035" w:type="dxa"/>
            <w:tcBorders>
              <w:top w:val="nil"/>
              <w:left w:val="nil"/>
              <w:bottom w:val="nil"/>
              <w:right w:val="nil"/>
              <w:tl2br w:val="nil"/>
              <w:tr2bl w:val="nil"/>
            </w:tcBorders>
            <w:shd w:val="clear" w:color="FFFFFF" w:fill="FFFFFF"/>
            <w:tcMar>
              <w:left w:w="101" w:type="dxa"/>
              <w:right w:w="101" w:type="dxa"/>
            </w:tcMar>
          </w:tcPr>
          <w:p w14:paraId="5E4DC8E9"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96,910</w:t>
            </w:r>
          </w:p>
        </w:tc>
        <w:tc>
          <w:tcPr>
            <w:tcW w:w="600" w:type="dxa"/>
            <w:tcBorders>
              <w:top w:val="nil"/>
              <w:left w:val="nil"/>
              <w:bottom w:val="nil"/>
              <w:right w:val="nil"/>
              <w:tl2br w:val="nil"/>
              <w:tr2bl w:val="nil"/>
            </w:tcBorders>
            <w:shd w:val="clear" w:color="FFFFFF" w:fill="FFFFFF"/>
            <w:tcMar>
              <w:left w:w="101" w:type="dxa"/>
              <w:right w:w="101" w:type="dxa"/>
            </w:tcMar>
          </w:tcPr>
          <w:p w14:paraId="69216CDB"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425A0213"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25,000</w:t>
            </w:r>
          </w:p>
        </w:tc>
        <w:tc>
          <w:tcPr>
            <w:tcW w:w="1035" w:type="dxa"/>
            <w:tcBorders>
              <w:top w:val="nil"/>
              <w:left w:val="nil"/>
              <w:bottom w:val="nil"/>
              <w:right w:val="nil"/>
              <w:tl2br w:val="nil"/>
              <w:tr2bl w:val="nil"/>
            </w:tcBorders>
            <w:shd w:val="clear" w:color="FFFFFF" w:fill="FFFFFF"/>
            <w:tcMar>
              <w:left w:w="101" w:type="dxa"/>
              <w:right w:w="101" w:type="dxa"/>
            </w:tcMar>
          </w:tcPr>
          <w:p w14:paraId="120E57B1"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25,000</w:t>
            </w:r>
          </w:p>
        </w:tc>
        <w:tc>
          <w:tcPr>
            <w:tcW w:w="1035" w:type="dxa"/>
            <w:tcBorders>
              <w:top w:val="nil"/>
              <w:left w:val="nil"/>
              <w:bottom w:val="nil"/>
              <w:right w:val="nil"/>
              <w:tl2br w:val="nil"/>
              <w:tr2bl w:val="nil"/>
            </w:tcBorders>
            <w:shd w:val="clear" w:color="FFFFFF" w:fill="FFFFFF"/>
            <w:tcMar>
              <w:left w:w="101" w:type="dxa"/>
              <w:right w:w="101" w:type="dxa"/>
            </w:tcMar>
          </w:tcPr>
          <w:p w14:paraId="4B46CB09"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5,000</w:t>
            </w:r>
          </w:p>
        </w:tc>
      </w:tr>
      <w:tr w:rsidR="00EF18CC" w14:paraId="72CDEF94"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3FC25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300</w:t>
            </w:r>
          </w:p>
        </w:tc>
        <w:tc>
          <w:tcPr>
            <w:tcW w:w="2385" w:type="dxa"/>
            <w:tcBorders>
              <w:top w:val="nil"/>
              <w:left w:val="nil"/>
              <w:bottom w:val="nil"/>
              <w:right w:val="nil"/>
              <w:tl2br w:val="nil"/>
              <w:tr2bl w:val="nil"/>
            </w:tcBorders>
            <w:shd w:val="clear" w:color="FFFFFF" w:fill="FFFFFF"/>
            <w:noWrap/>
            <w:tcMar>
              <w:left w:w="101" w:type="dxa"/>
              <w:right w:w="101" w:type="dxa"/>
            </w:tcMar>
          </w:tcPr>
          <w:p w14:paraId="2C0F2134"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Proceeds from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5B79981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732</w:t>
            </w:r>
          </w:p>
        </w:tc>
        <w:tc>
          <w:tcPr>
            <w:tcW w:w="1035" w:type="dxa"/>
            <w:tcBorders>
              <w:top w:val="nil"/>
              <w:left w:val="nil"/>
              <w:bottom w:val="nil"/>
              <w:right w:val="nil"/>
              <w:tl2br w:val="nil"/>
              <w:tr2bl w:val="nil"/>
            </w:tcBorders>
            <w:shd w:val="clear" w:color="FFFFFF" w:fill="FFFFFF"/>
            <w:tcMar>
              <w:left w:w="101" w:type="dxa"/>
              <w:right w:w="101" w:type="dxa"/>
            </w:tcMar>
          </w:tcPr>
          <w:p w14:paraId="62CB8549"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763</w:t>
            </w:r>
          </w:p>
        </w:tc>
        <w:tc>
          <w:tcPr>
            <w:tcW w:w="600" w:type="dxa"/>
            <w:tcBorders>
              <w:top w:val="nil"/>
              <w:left w:val="nil"/>
              <w:bottom w:val="nil"/>
              <w:right w:val="nil"/>
              <w:tl2br w:val="nil"/>
              <w:tr2bl w:val="nil"/>
            </w:tcBorders>
            <w:shd w:val="clear" w:color="FFFFFF" w:fill="FFFFFF"/>
            <w:tcMar>
              <w:left w:w="101" w:type="dxa"/>
              <w:right w:w="101" w:type="dxa"/>
            </w:tcMar>
          </w:tcPr>
          <w:p w14:paraId="34C53BC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D941219"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776</w:t>
            </w:r>
          </w:p>
        </w:tc>
        <w:tc>
          <w:tcPr>
            <w:tcW w:w="1035" w:type="dxa"/>
            <w:tcBorders>
              <w:top w:val="nil"/>
              <w:left w:val="nil"/>
              <w:bottom w:val="nil"/>
              <w:right w:val="nil"/>
              <w:tl2br w:val="nil"/>
              <w:tr2bl w:val="nil"/>
            </w:tcBorders>
            <w:shd w:val="clear" w:color="FFFFFF" w:fill="FFFFFF"/>
            <w:tcMar>
              <w:left w:w="101" w:type="dxa"/>
              <w:right w:w="101" w:type="dxa"/>
            </w:tcMar>
          </w:tcPr>
          <w:p w14:paraId="04870EC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790</w:t>
            </w:r>
          </w:p>
        </w:tc>
        <w:tc>
          <w:tcPr>
            <w:tcW w:w="1035" w:type="dxa"/>
            <w:tcBorders>
              <w:top w:val="nil"/>
              <w:left w:val="nil"/>
              <w:bottom w:val="nil"/>
              <w:right w:val="nil"/>
              <w:tl2br w:val="nil"/>
              <w:tr2bl w:val="nil"/>
            </w:tcBorders>
            <w:shd w:val="clear" w:color="FFFFFF" w:fill="FFFFFF"/>
            <w:tcMar>
              <w:left w:w="101" w:type="dxa"/>
              <w:right w:w="101" w:type="dxa"/>
            </w:tcMar>
          </w:tcPr>
          <w:p w14:paraId="4C4E4C3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806</w:t>
            </w:r>
          </w:p>
        </w:tc>
      </w:tr>
      <w:tr w:rsidR="00EF18CC" w14:paraId="42C75DD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6D03AA"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83,433</w:t>
            </w:r>
          </w:p>
        </w:tc>
        <w:tc>
          <w:tcPr>
            <w:tcW w:w="2385" w:type="dxa"/>
            <w:tcBorders>
              <w:top w:val="nil"/>
              <w:left w:val="nil"/>
              <w:bottom w:val="nil"/>
              <w:right w:val="nil"/>
              <w:tl2br w:val="nil"/>
              <w:tr2bl w:val="nil"/>
            </w:tcBorders>
            <w:shd w:val="clear" w:color="FFFFFF" w:fill="FFFFFF"/>
            <w:noWrap/>
            <w:tcMar>
              <w:left w:w="101" w:type="dxa"/>
              <w:right w:w="101" w:type="dxa"/>
            </w:tcMar>
          </w:tcPr>
          <w:p w14:paraId="2E327730"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1132B87"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82,674</w:t>
            </w:r>
          </w:p>
        </w:tc>
        <w:tc>
          <w:tcPr>
            <w:tcW w:w="1035" w:type="dxa"/>
            <w:tcBorders>
              <w:top w:val="nil"/>
              <w:left w:val="nil"/>
              <w:bottom w:val="nil"/>
              <w:right w:val="nil"/>
              <w:tl2br w:val="nil"/>
              <w:tr2bl w:val="nil"/>
            </w:tcBorders>
            <w:shd w:val="clear" w:color="FFFFFF" w:fill="FFFFFF"/>
            <w:tcMar>
              <w:left w:w="101" w:type="dxa"/>
              <w:right w:w="101" w:type="dxa"/>
            </w:tcMar>
          </w:tcPr>
          <w:p w14:paraId="3779B1A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97,673</w:t>
            </w:r>
          </w:p>
        </w:tc>
        <w:tc>
          <w:tcPr>
            <w:tcW w:w="600" w:type="dxa"/>
            <w:tcBorders>
              <w:top w:val="nil"/>
              <w:left w:val="nil"/>
              <w:bottom w:val="nil"/>
              <w:right w:val="nil"/>
              <w:tl2br w:val="nil"/>
              <w:tr2bl w:val="nil"/>
            </w:tcBorders>
            <w:shd w:val="clear" w:color="FFFFFF" w:fill="FFFFFF"/>
            <w:tcMar>
              <w:left w:w="101" w:type="dxa"/>
              <w:right w:w="101" w:type="dxa"/>
            </w:tcMar>
          </w:tcPr>
          <w:p w14:paraId="52A07AA7"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718E3A9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25,776</w:t>
            </w:r>
          </w:p>
        </w:tc>
        <w:tc>
          <w:tcPr>
            <w:tcW w:w="1035" w:type="dxa"/>
            <w:tcBorders>
              <w:top w:val="nil"/>
              <w:left w:val="nil"/>
              <w:bottom w:val="nil"/>
              <w:right w:val="nil"/>
              <w:tl2br w:val="nil"/>
              <w:tr2bl w:val="nil"/>
            </w:tcBorders>
            <w:shd w:val="clear" w:color="FFFFFF" w:fill="FFFFFF"/>
            <w:tcMar>
              <w:left w:w="101" w:type="dxa"/>
              <w:right w:w="101" w:type="dxa"/>
            </w:tcMar>
          </w:tcPr>
          <w:p w14:paraId="786AE8E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25,790</w:t>
            </w:r>
          </w:p>
        </w:tc>
        <w:tc>
          <w:tcPr>
            <w:tcW w:w="1035" w:type="dxa"/>
            <w:tcBorders>
              <w:top w:val="nil"/>
              <w:left w:val="nil"/>
              <w:bottom w:val="nil"/>
              <w:right w:val="nil"/>
              <w:tl2br w:val="nil"/>
              <w:tr2bl w:val="nil"/>
            </w:tcBorders>
            <w:shd w:val="clear" w:color="FFFFFF" w:fill="FFFFFF"/>
            <w:tcMar>
              <w:left w:w="101" w:type="dxa"/>
              <w:right w:w="101" w:type="dxa"/>
            </w:tcMar>
          </w:tcPr>
          <w:p w14:paraId="3876DB4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5,806</w:t>
            </w:r>
          </w:p>
        </w:tc>
      </w:tr>
      <w:tr w:rsidR="00EF18CC" w14:paraId="61104346"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686855"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77738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98A6A4"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3DA0D1"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44F577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DADBB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2B44B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F7B60F" w14:textId="77777777" w:rsidR="00EF18CC" w:rsidRDefault="00EF18CC" w:rsidP="006D3501">
            <w:pPr>
              <w:pStyle w:val="Normal9"/>
              <w:rPr>
                <w:rFonts w:ascii="Calibri" w:eastAsia="Calibri" w:hAnsi="Calibri" w:cs="Calibri"/>
                <w:color w:val="000000"/>
                <w:sz w:val="18"/>
              </w:rPr>
            </w:pPr>
          </w:p>
        </w:tc>
      </w:tr>
      <w:tr w:rsidR="00EF18CC" w14:paraId="6E63451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F1CEDD"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299C67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60407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96D328"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2F4D8B"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BEB58F"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82B5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B32370" w14:textId="77777777" w:rsidR="00EF18CC" w:rsidRDefault="00EF18CC" w:rsidP="006D3501">
            <w:pPr>
              <w:pStyle w:val="Normal9"/>
              <w:rPr>
                <w:rFonts w:ascii="Calibri" w:eastAsia="Calibri" w:hAnsi="Calibri" w:cs="Calibri"/>
                <w:color w:val="000000"/>
                <w:sz w:val="18"/>
              </w:rPr>
            </w:pPr>
          </w:p>
        </w:tc>
      </w:tr>
      <w:tr w:rsidR="00EF18CC" w14:paraId="4BB54F33"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F865F5" w14:textId="77777777" w:rsidR="00EF18CC" w:rsidRDefault="00EF18CC" w:rsidP="006D3501">
            <w:pPr>
              <w:pStyle w:val="Normal9"/>
              <w:rPr>
                <w:rFonts w:ascii="Calibri" w:eastAsia="Calibri" w:hAnsi="Calibri" w:cs="Calibri"/>
                <w:color w:val="000000"/>
                <w:sz w:val="18"/>
              </w:rPr>
            </w:pPr>
          </w:p>
        </w:tc>
        <w:tc>
          <w:tcPr>
            <w:tcW w:w="2385" w:type="dxa"/>
            <w:tcBorders>
              <w:top w:val="single" w:sz="4" w:space="0" w:color="000000"/>
              <w:left w:val="nil"/>
              <w:bottom w:val="nil"/>
              <w:right w:val="nil"/>
              <w:tl2br w:val="nil"/>
              <w:tr2bl w:val="nil"/>
            </w:tcBorders>
            <w:shd w:val="clear" w:color="FFFFFF" w:fill="FFFFFF"/>
            <w:noWrap/>
            <w:tcMar>
              <w:left w:w="101" w:type="dxa"/>
              <w:right w:w="101" w:type="dxa"/>
            </w:tcMar>
          </w:tcPr>
          <w:p w14:paraId="2E6C39FA"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F8FAB9" w14:textId="77777777" w:rsidR="00EF18CC" w:rsidRDefault="00EF18CC" w:rsidP="006D3501">
            <w:pPr>
              <w:pStyle w:val="Normal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B748F2" w14:textId="77777777" w:rsidR="00EF18CC" w:rsidRDefault="00EF18CC" w:rsidP="006D3501">
            <w:pPr>
              <w:pStyle w:val="Normal9"/>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C765F87" w14:textId="77777777" w:rsidR="00EF18CC" w:rsidRDefault="00EF18CC" w:rsidP="006D3501">
            <w:pPr>
              <w:pStyle w:val="Normal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3BA24C" w14:textId="77777777" w:rsidR="00EF18CC" w:rsidRDefault="00EF18CC" w:rsidP="006D3501">
            <w:pPr>
              <w:pStyle w:val="Normal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CE18CC" w14:textId="77777777" w:rsidR="00EF18CC" w:rsidRDefault="00EF18CC" w:rsidP="006D3501">
            <w:pPr>
              <w:pStyle w:val="Normal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39A2620" w14:textId="77777777" w:rsidR="00EF18CC" w:rsidRDefault="00EF18CC" w:rsidP="006D3501">
            <w:pPr>
              <w:pStyle w:val="Normal9"/>
              <w:rPr>
                <w:rFonts w:ascii="Calibri" w:eastAsia="Calibri" w:hAnsi="Calibri" w:cs="Calibri"/>
                <w:color w:val="000000"/>
                <w:sz w:val="18"/>
              </w:rPr>
            </w:pPr>
          </w:p>
        </w:tc>
      </w:tr>
      <w:tr w:rsidR="00EF18CC" w14:paraId="2514C7C2"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AC2C8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4,703</w:t>
            </w:r>
          </w:p>
        </w:tc>
        <w:tc>
          <w:tcPr>
            <w:tcW w:w="2385" w:type="dxa"/>
            <w:tcBorders>
              <w:top w:val="nil"/>
              <w:left w:val="nil"/>
              <w:bottom w:val="nil"/>
              <w:right w:val="nil"/>
              <w:tl2br w:val="nil"/>
              <w:tr2bl w:val="nil"/>
            </w:tcBorders>
            <w:shd w:val="clear" w:color="FFFFFF" w:fill="FFFFFF"/>
            <w:noWrap/>
            <w:tcMar>
              <w:left w:w="101" w:type="dxa"/>
              <w:right w:w="101" w:type="dxa"/>
            </w:tcMar>
          </w:tcPr>
          <w:p w14:paraId="3933DD3A"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15BAD2CA"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5,162</w:t>
            </w:r>
          </w:p>
        </w:tc>
        <w:tc>
          <w:tcPr>
            <w:tcW w:w="1035" w:type="dxa"/>
            <w:tcBorders>
              <w:top w:val="nil"/>
              <w:left w:val="nil"/>
              <w:bottom w:val="nil"/>
              <w:right w:val="nil"/>
              <w:tl2br w:val="nil"/>
              <w:tr2bl w:val="nil"/>
            </w:tcBorders>
            <w:shd w:val="clear" w:color="FFFFFF" w:fill="FFFFFF"/>
            <w:tcMar>
              <w:left w:w="101" w:type="dxa"/>
              <w:right w:w="101" w:type="dxa"/>
            </w:tcMar>
          </w:tcPr>
          <w:p w14:paraId="3B35454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5,130</w:t>
            </w:r>
          </w:p>
        </w:tc>
        <w:tc>
          <w:tcPr>
            <w:tcW w:w="600" w:type="dxa"/>
            <w:tcBorders>
              <w:top w:val="nil"/>
              <w:left w:val="nil"/>
              <w:bottom w:val="nil"/>
              <w:right w:val="nil"/>
              <w:tl2br w:val="nil"/>
              <w:tr2bl w:val="nil"/>
            </w:tcBorders>
            <w:shd w:val="clear" w:color="FFFFFF" w:fill="FFFFFF"/>
            <w:tcMar>
              <w:left w:w="101" w:type="dxa"/>
              <w:right w:w="101" w:type="dxa"/>
            </w:tcMar>
          </w:tcPr>
          <w:p w14:paraId="05AEBF76"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BF3B41D"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4,947</w:t>
            </w:r>
          </w:p>
        </w:tc>
        <w:tc>
          <w:tcPr>
            <w:tcW w:w="1035" w:type="dxa"/>
            <w:tcBorders>
              <w:top w:val="nil"/>
              <w:left w:val="nil"/>
              <w:bottom w:val="nil"/>
              <w:right w:val="nil"/>
              <w:tl2br w:val="nil"/>
              <w:tr2bl w:val="nil"/>
            </w:tcBorders>
            <w:shd w:val="clear" w:color="FFFFFF" w:fill="FFFFFF"/>
            <w:tcMar>
              <w:left w:w="101" w:type="dxa"/>
              <w:right w:w="101" w:type="dxa"/>
            </w:tcMar>
          </w:tcPr>
          <w:p w14:paraId="6F517062"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4,759</w:t>
            </w:r>
          </w:p>
        </w:tc>
        <w:tc>
          <w:tcPr>
            <w:tcW w:w="1035" w:type="dxa"/>
            <w:tcBorders>
              <w:top w:val="nil"/>
              <w:left w:val="nil"/>
              <w:bottom w:val="nil"/>
              <w:right w:val="nil"/>
              <w:tl2br w:val="nil"/>
              <w:tr2bl w:val="nil"/>
            </w:tcBorders>
            <w:shd w:val="clear" w:color="FFFFFF" w:fill="FFFFFF"/>
            <w:tcMar>
              <w:left w:w="101" w:type="dxa"/>
              <w:right w:w="101" w:type="dxa"/>
            </w:tcMar>
          </w:tcPr>
          <w:p w14:paraId="2251541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4,777</w:t>
            </w:r>
          </w:p>
        </w:tc>
      </w:tr>
      <w:tr w:rsidR="00EF18CC" w14:paraId="12D5AFD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40348C"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179</w:t>
            </w:r>
          </w:p>
        </w:tc>
        <w:tc>
          <w:tcPr>
            <w:tcW w:w="2385" w:type="dxa"/>
            <w:tcBorders>
              <w:top w:val="nil"/>
              <w:left w:val="nil"/>
              <w:bottom w:val="nil"/>
              <w:right w:val="nil"/>
              <w:tl2br w:val="nil"/>
              <w:tr2bl w:val="nil"/>
            </w:tcBorders>
            <w:shd w:val="clear" w:color="FFFFFF" w:fill="FFFFFF"/>
            <w:noWrap/>
            <w:tcMar>
              <w:left w:w="101" w:type="dxa"/>
              <w:right w:w="101" w:type="dxa"/>
            </w:tcMar>
          </w:tcPr>
          <w:p w14:paraId="1F2C94E3" w14:textId="77777777" w:rsidR="00EF18CC" w:rsidRDefault="00EF18CC" w:rsidP="006D3501">
            <w:pPr>
              <w:pStyle w:val="Normal9"/>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0C587A8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137</w:t>
            </w:r>
          </w:p>
        </w:tc>
        <w:tc>
          <w:tcPr>
            <w:tcW w:w="1035" w:type="dxa"/>
            <w:tcBorders>
              <w:top w:val="nil"/>
              <w:left w:val="nil"/>
              <w:bottom w:val="nil"/>
              <w:right w:val="nil"/>
              <w:tl2br w:val="nil"/>
              <w:tr2bl w:val="nil"/>
            </w:tcBorders>
            <w:shd w:val="clear" w:color="FFFFFF" w:fill="FFFFFF"/>
            <w:tcMar>
              <w:left w:w="101" w:type="dxa"/>
              <w:right w:w="101" w:type="dxa"/>
            </w:tcMar>
          </w:tcPr>
          <w:p w14:paraId="396100AE"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125</w:t>
            </w:r>
          </w:p>
        </w:tc>
        <w:tc>
          <w:tcPr>
            <w:tcW w:w="600" w:type="dxa"/>
            <w:tcBorders>
              <w:top w:val="nil"/>
              <w:left w:val="nil"/>
              <w:bottom w:val="nil"/>
              <w:right w:val="nil"/>
              <w:tl2br w:val="nil"/>
              <w:tr2bl w:val="nil"/>
            </w:tcBorders>
            <w:shd w:val="clear" w:color="FFFFFF" w:fill="FFFFFF"/>
            <w:tcMar>
              <w:left w:w="101" w:type="dxa"/>
              <w:right w:w="101" w:type="dxa"/>
            </w:tcMar>
          </w:tcPr>
          <w:p w14:paraId="5963EE2C"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69B4FB74"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103</w:t>
            </w:r>
          </w:p>
        </w:tc>
        <w:tc>
          <w:tcPr>
            <w:tcW w:w="1035" w:type="dxa"/>
            <w:tcBorders>
              <w:top w:val="nil"/>
              <w:left w:val="nil"/>
              <w:bottom w:val="nil"/>
              <w:right w:val="nil"/>
              <w:tl2br w:val="nil"/>
              <w:tr2bl w:val="nil"/>
            </w:tcBorders>
            <w:shd w:val="clear" w:color="FFFFFF" w:fill="FFFFFF"/>
            <w:tcMar>
              <w:left w:w="101" w:type="dxa"/>
              <w:right w:w="101" w:type="dxa"/>
            </w:tcMar>
          </w:tcPr>
          <w:p w14:paraId="5F1F7970"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5582B7E5" w14:textId="77777777" w:rsidR="00EF18CC" w:rsidRDefault="00EF18CC" w:rsidP="006D3501">
            <w:pPr>
              <w:pStyle w:val="Normal9"/>
              <w:jc w:val="right"/>
              <w:rPr>
                <w:rFonts w:ascii="Calibri" w:eastAsia="Calibri" w:hAnsi="Calibri" w:cs="Calibri"/>
                <w:color w:val="000000"/>
                <w:sz w:val="18"/>
              </w:rPr>
            </w:pPr>
            <w:r>
              <w:rPr>
                <w:rFonts w:ascii="Calibri" w:eastAsia="Calibri" w:hAnsi="Calibri" w:cs="Calibri"/>
                <w:color w:val="000000"/>
                <w:sz w:val="18"/>
              </w:rPr>
              <w:t>11</w:t>
            </w:r>
          </w:p>
        </w:tc>
      </w:tr>
      <w:tr w:rsidR="00EF18CC" w14:paraId="04D6C8D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C7E1A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4,882</w:t>
            </w:r>
          </w:p>
        </w:tc>
        <w:tc>
          <w:tcPr>
            <w:tcW w:w="2385" w:type="dxa"/>
            <w:tcBorders>
              <w:top w:val="nil"/>
              <w:left w:val="nil"/>
              <w:bottom w:val="nil"/>
              <w:right w:val="nil"/>
              <w:tl2br w:val="nil"/>
              <w:tr2bl w:val="nil"/>
            </w:tcBorders>
            <w:shd w:val="clear" w:color="FFFFFF" w:fill="FFFFFF"/>
            <w:noWrap/>
            <w:tcMar>
              <w:left w:w="101" w:type="dxa"/>
              <w:right w:w="101" w:type="dxa"/>
            </w:tcMar>
          </w:tcPr>
          <w:p w14:paraId="512800D5"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6B4C45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5,299</w:t>
            </w:r>
          </w:p>
        </w:tc>
        <w:tc>
          <w:tcPr>
            <w:tcW w:w="1035" w:type="dxa"/>
            <w:tcBorders>
              <w:top w:val="nil"/>
              <w:left w:val="nil"/>
              <w:bottom w:val="nil"/>
              <w:right w:val="nil"/>
              <w:tl2br w:val="nil"/>
              <w:tr2bl w:val="nil"/>
            </w:tcBorders>
            <w:shd w:val="clear" w:color="FFFFFF" w:fill="FFFFFF"/>
            <w:tcMar>
              <w:left w:w="101" w:type="dxa"/>
              <w:right w:w="101" w:type="dxa"/>
            </w:tcMar>
          </w:tcPr>
          <w:p w14:paraId="5FDC4891"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5,255</w:t>
            </w:r>
          </w:p>
        </w:tc>
        <w:tc>
          <w:tcPr>
            <w:tcW w:w="600" w:type="dxa"/>
            <w:tcBorders>
              <w:top w:val="nil"/>
              <w:left w:val="nil"/>
              <w:bottom w:val="nil"/>
              <w:right w:val="nil"/>
              <w:tl2br w:val="nil"/>
              <w:tr2bl w:val="nil"/>
            </w:tcBorders>
            <w:shd w:val="clear" w:color="FFFFFF" w:fill="FFFFFF"/>
            <w:tcMar>
              <w:left w:w="101" w:type="dxa"/>
              <w:right w:w="101" w:type="dxa"/>
            </w:tcMar>
          </w:tcPr>
          <w:p w14:paraId="20D8C72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375D134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5,050</w:t>
            </w:r>
          </w:p>
        </w:tc>
        <w:tc>
          <w:tcPr>
            <w:tcW w:w="1035" w:type="dxa"/>
            <w:tcBorders>
              <w:top w:val="nil"/>
              <w:left w:val="nil"/>
              <w:bottom w:val="nil"/>
              <w:right w:val="nil"/>
              <w:tl2br w:val="nil"/>
              <w:tr2bl w:val="nil"/>
            </w:tcBorders>
            <w:shd w:val="clear" w:color="FFFFFF" w:fill="FFFFFF"/>
            <w:tcMar>
              <w:left w:w="101" w:type="dxa"/>
              <w:right w:w="101" w:type="dxa"/>
            </w:tcMar>
          </w:tcPr>
          <w:p w14:paraId="08B8C0F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4,770</w:t>
            </w:r>
          </w:p>
        </w:tc>
        <w:tc>
          <w:tcPr>
            <w:tcW w:w="1035" w:type="dxa"/>
            <w:tcBorders>
              <w:top w:val="nil"/>
              <w:left w:val="nil"/>
              <w:bottom w:val="nil"/>
              <w:right w:val="nil"/>
              <w:tl2br w:val="nil"/>
              <w:tr2bl w:val="nil"/>
            </w:tcBorders>
            <w:shd w:val="clear" w:color="FFFFFF" w:fill="FFFFFF"/>
            <w:tcMar>
              <w:left w:w="101" w:type="dxa"/>
              <w:right w:w="101" w:type="dxa"/>
            </w:tcMar>
          </w:tcPr>
          <w:p w14:paraId="32D086F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4,788</w:t>
            </w:r>
          </w:p>
        </w:tc>
      </w:tr>
      <w:tr w:rsidR="00EF18CC" w14:paraId="3AC5AF6C"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E487EC"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03F471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64B50"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D42ABA"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782CB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5827C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FB833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E6BBF5" w14:textId="77777777" w:rsidR="00EF18CC" w:rsidRDefault="00EF18CC" w:rsidP="006D3501">
            <w:pPr>
              <w:pStyle w:val="Normal9"/>
              <w:rPr>
                <w:rFonts w:ascii="Calibri" w:eastAsia="Calibri" w:hAnsi="Calibri" w:cs="Calibri"/>
                <w:color w:val="000000"/>
                <w:sz w:val="18"/>
              </w:rPr>
            </w:pPr>
          </w:p>
        </w:tc>
      </w:tr>
      <w:tr w:rsidR="00EF18CC" w14:paraId="08124189"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E7A12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78,551</w:t>
            </w:r>
          </w:p>
        </w:tc>
        <w:tc>
          <w:tcPr>
            <w:tcW w:w="2385" w:type="dxa"/>
            <w:tcBorders>
              <w:top w:val="nil"/>
              <w:left w:val="nil"/>
              <w:bottom w:val="nil"/>
              <w:right w:val="nil"/>
              <w:tl2br w:val="nil"/>
              <w:tr2bl w:val="nil"/>
            </w:tcBorders>
            <w:shd w:val="clear" w:color="FFFFFF" w:fill="FFFFFF"/>
            <w:noWrap/>
            <w:tcMar>
              <w:left w:w="101" w:type="dxa"/>
              <w:right w:w="101" w:type="dxa"/>
            </w:tcMar>
          </w:tcPr>
          <w:p w14:paraId="6D1ECDC7"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1C93F5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77,375</w:t>
            </w:r>
          </w:p>
        </w:tc>
        <w:tc>
          <w:tcPr>
            <w:tcW w:w="1035" w:type="dxa"/>
            <w:tcBorders>
              <w:top w:val="nil"/>
              <w:left w:val="nil"/>
              <w:bottom w:val="nil"/>
              <w:right w:val="nil"/>
              <w:tl2br w:val="nil"/>
              <w:tr2bl w:val="nil"/>
            </w:tcBorders>
            <w:shd w:val="clear" w:color="FFFFFF" w:fill="FFFFFF"/>
            <w:tcMar>
              <w:left w:w="101" w:type="dxa"/>
              <w:right w:w="101" w:type="dxa"/>
            </w:tcMar>
          </w:tcPr>
          <w:p w14:paraId="30906DD6"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92,418</w:t>
            </w:r>
          </w:p>
        </w:tc>
        <w:tc>
          <w:tcPr>
            <w:tcW w:w="600" w:type="dxa"/>
            <w:tcBorders>
              <w:top w:val="nil"/>
              <w:left w:val="nil"/>
              <w:bottom w:val="nil"/>
              <w:right w:val="nil"/>
              <w:tl2br w:val="nil"/>
              <w:tr2bl w:val="nil"/>
            </w:tcBorders>
            <w:shd w:val="clear" w:color="FFFFFF" w:fill="FFFFFF"/>
            <w:tcMar>
              <w:left w:w="101" w:type="dxa"/>
              <w:right w:w="101" w:type="dxa"/>
            </w:tcMar>
          </w:tcPr>
          <w:p w14:paraId="2FD2742C"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37BF9620"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20,726</w:t>
            </w:r>
          </w:p>
        </w:tc>
        <w:tc>
          <w:tcPr>
            <w:tcW w:w="1035" w:type="dxa"/>
            <w:tcBorders>
              <w:top w:val="nil"/>
              <w:left w:val="nil"/>
              <w:bottom w:val="nil"/>
              <w:right w:val="nil"/>
              <w:tl2br w:val="nil"/>
              <w:tr2bl w:val="nil"/>
            </w:tcBorders>
            <w:shd w:val="clear" w:color="FFFFFF" w:fill="FFFFFF"/>
            <w:tcMar>
              <w:left w:w="101" w:type="dxa"/>
              <w:right w:w="101" w:type="dxa"/>
            </w:tcMar>
          </w:tcPr>
          <w:p w14:paraId="4BEF10C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21,020</w:t>
            </w:r>
          </w:p>
        </w:tc>
        <w:tc>
          <w:tcPr>
            <w:tcW w:w="1035" w:type="dxa"/>
            <w:tcBorders>
              <w:top w:val="nil"/>
              <w:left w:val="nil"/>
              <w:bottom w:val="nil"/>
              <w:right w:val="nil"/>
              <w:tl2br w:val="nil"/>
              <w:tr2bl w:val="nil"/>
            </w:tcBorders>
            <w:shd w:val="clear" w:color="FFFFFF" w:fill="FFFFFF"/>
            <w:tcMar>
              <w:left w:w="101" w:type="dxa"/>
              <w:right w:w="101" w:type="dxa"/>
            </w:tcMar>
          </w:tcPr>
          <w:p w14:paraId="2D649E1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1,018</w:t>
            </w:r>
          </w:p>
        </w:tc>
      </w:tr>
      <w:tr w:rsidR="00EF18CC" w14:paraId="08FD5F38"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68E270"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C3A8F9"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361A78"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A24868"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8C09D5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5FF6AF"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874B4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5FA301" w14:textId="77777777" w:rsidR="00EF18CC" w:rsidRDefault="00EF18CC" w:rsidP="006D3501">
            <w:pPr>
              <w:pStyle w:val="Normal9"/>
              <w:rPr>
                <w:rFonts w:ascii="Calibri" w:eastAsia="Calibri" w:hAnsi="Calibri" w:cs="Calibri"/>
                <w:color w:val="000000"/>
                <w:sz w:val="18"/>
              </w:rPr>
            </w:pPr>
          </w:p>
        </w:tc>
      </w:tr>
      <w:tr w:rsidR="00EF18CC" w14:paraId="29A1749B"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3A929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-9,014</w:t>
            </w:r>
          </w:p>
        </w:tc>
        <w:tc>
          <w:tcPr>
            <w:tcW w:w="2385" w:type="dxa"/>
            <w:tcBorders>
              <w:top w:val="nil"/>
              <w:left w:val="nil"/>
              <w:bottom w:val="nil"/>
              <w:right w:val="nil"/>
              <w:tl2br w:val="nil"/>
              <w:tr2bl w:val="nil"/>
            </w:tcBorders>
            <w:shd w:val="clear" w:color="FFFFFF" w:fill="FFFFFF"/>
            <w:noWrap/>
            <w:tcMar>
              <w:left w:w="101" w:type="dxa"/>
              <w:right w:w="101" w:type="dxa"/>
            </w:tcMar>
          </w:tcPr>
          <w:p w14:paraId="11160A31"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591A5C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35,535</w:t>
            </w:r>
          </w:p>
        </w:tc>
        <w:tc>
          <w:tcPr>
            <w:tcW w:w="1035" w:type="dxa"/>
            <w:tcBorders>
              <w:top w:val="nil"/>
              <w:left w:val="nil"/>
              <w:bottom w:val="nil"/>
              <w:right w:val="nil"/>
              <w:tl2br w:val="nil"/>
              <w:tr2bl w:val="nil"/>
            </w:tcBorders>
            <w:shd w:val="clear" w:color="FFFFFF" w:fill="FFFFFF"/>
            <w:tcMar>
              <w:left w:w="101" w:type="dxa"/>
              <w:right w:w="101" w:type="dxa"/>
            </w:tcMar>
          </w:tcPr>
          <w:p w14:paraId="0F91DB67"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-51,337</w:t>
            </w:r>
          </w:p>
        </w:tc>
        <w:tc>
          <w:tcPr>
            <w:tcW w:w="600" w:type="dxa"/>
            <w:tcBorders>
              <w:top w:val="nil"/>
              <w:left w:val="nil"/>
              <w:bottom w:val="nil"/>
              <w:right w:val="nil"/>
              <w:tl2br w:val="nil"/>
              <w:tr2bl w:val="nil"/>
            </w:tcBorders>
            <w:shd w:val="clear" w:color="FFFFFF" w:fill="FFFFFF"/>
            <w:tcMar>
              <w:left w:w="101" w:type="dxa"/>
              <w:right w:w="101" w:type="dxa"/>
            </w:tcMar>
          </w:tcPr>
          <w:p w14:paraId="699AA78D"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-244 </w:t>
            </w:r>
          </w:p>
        </w:tc>
        <w:tc>
          <w:tcPr>
            <w:tcW w:w="1035" w:type="dxa"/>
            <w:tcBorders>
              <w:top w:val="nil"/>
              <w:left w:val="nil"/>
              <w:bottom w:val="nil"/>
              <w:right w:val="nil"/>
              <w:tl2br w:val="nil"/>
              <w:tr2bl w:val="nil"/>
            </w:tcBorders>
            <w:shd w:val="clear" w:color="FFFFFF" w:fill="FFFFFF"/>
            <w:tcMar>
              <w:left w:w="101" w:type="dxa"/>
              <w:right w:w="101" w:type="dxa"/>
            </w:tcMar>
          </w:tcPr>
          <w:p w14:paraId="6D1AC1B5"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11,768</w:t>
            </w:r>
          </w:p>
        </w:tc>
        <w:tc>
          <w:tcPr>
            <w:tcW w:w="1035" w:type="dxa"/>
            <w:tcBorders>
              <w:top w:val="nil"/>
              <w:left w:val="nil"/>
              <w:bottom w:val="nil"/>
              <w:right w:val="nil"/>
              <w:tl2br w:val="nil"/>
              <w:tr2bl w:val="nil"/>
            </w:tcBorders>
            <w:shd w:val="clear" w:color="FFFFFF" w:fill="FFFFFF"/>
            <w:tcMar>
              <w:left w:w="101" w:type="dxa"/>
              <w:right w:w="101" w:type="dxa"/>
            </w:tcMar>
          </w:tcPr>
          <w:p w14:paraId="368635C4"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32,896</w:t>
            </w:r>
          </w:p>
        </w:tc>
        <w:tc>
          <w:tcPr>
            <w:tcW w:w="1035" w:type="dxa"/>
            <w:tcBorders>
              <w:top w:val="nil"/>
              <w:left w:val="nil"/>
              <w:bottom w:val="nil"/>
              <w:right w:val="nil"/>
              <w:tl2br w:val="nil"/>
              <w:tr2bl w:val="nil"/>
            </w:tcBorders>
            <w:shd w:val="clear" w:color="FFFFFF" w:fill="FFFFFF"/>
            <w:tcMar>
              <w:left w:w="101" w:type="dxa"/>
              <w:right w:w="101" w:type="dxa"/>
            </w:tcMar>
          </w:tcPr>
          <w:p w14:paraId="55C9612A"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-43,140</w:t>
            </w:r>
          </w:p>
        </w:tc>
      </w:tr>
      <w:tr w:rsidR="00EF18CC" w14:paraId="5551196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032AD0"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E8E327F"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34102B"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5D4041"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76B030"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521295"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9F9C3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39E69D" w14:textId="77777777" w:rsidR="00EF18CC" w:rsidRDefault="00EF18CC" w:rsidP="006D3501">
            <w:pPr>
              <w:pStyle w:val="Normal9"/>
              <w:rPr>
                <w:rFonts w:ascii="Calibri" w:eastAsia="Calibri" w:hAnsi="Calibri" w:cs="Calibri"/>
                <w:color w:val="000000"/>
                <w:sz w:val="18"/>
              </w:rPr>
            </w:pPr>
          </w:p>
        </w:tc>
      </w:tr>
      <w:tr w:rsidR="00EF18CC" w14:paraId="58228BE1"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498FAB"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23,750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58194C84"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5D994309"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23,750</w:t>
            </w:r>
          </w:p>
        </w:tc>
        <w:tc>
          <w:tcPr>
            <w:tcW w:w="1035" w:type="dxa"/>
            <w:tcBorders>
              <w:top w:val="nil"/>
              <w:left w:val="nil"/>
              <w:bottom w:val="nil"/>
              <w:right w:val="nil"/>
              <w:tl2br w:val="nil"/>
              <w:tr2bl w:val="nil"/>
            </w:tcBorders>
            <w:shd w:val="clear" w:color="FFFFFF" w:fill="FFFFFF"/>
            <w:tcMar>
              <w:left w:w="101" w:type="dxa"/>
              <w:right w:w="101" w:type="dxa"/>
            </w:tcMar>
          </w:tcPr>
          <w:p w14:paraId="5BAD9D5D"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59,285</w:t>
            </w:r>
          </w:p>
        </w:tc>
        <w:tc>
          <w:tcPr>
            <w:tcW w:w="600" w:type="dxa"/>
            <w:tcBorders>
              <w:top w:val="nil"/>
              <w:left w:val="nil"/>
              <w:bottom w:val="nil"/>
              <w:right w:val="nil"/>
              <w:tl2br w:val="nil"/>
              <w:tr2bl w:val="nil"/>
            </w:tcBorders>
            <w:shd w:val="clear" w:color="FFFFFF" w:fill="FFFFFF"/>
            <w:tcMar>
              <w:left w:w="101" w:type="dxa"/>
              <w:right w:w="101" w:type="dxa"/>
            </w:tcMar>
          </w:tcPr>
          <w:p w14:paraId="2E7AE49C"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150 </w:t>
            </w:r>
          </w:p>
        </w:tc>
        <w:tc>
          <w:tcPr>
            <w:tcW w:w="1035" w:type="dxa"/>
            <w:tcBorders>
              <w:top w:val="nil"/>
              <w:left w:val="nil"/>
              <w:bottom w:val="nil"/>
              <w:right w:val="nil"/>
              <w:tl2br w:val="nil"/>
              <w:tr2bl w:val="nil"/>
            </w:tcBorders>
            <w:shd w:val="clear" w:color="FFFFFF" w:fill="FFFFFF"/>
            <w:tcMar>
              <w:left w:w="101" w:type="dxa"/>
              <w:right w:w="101" w:type="dxa"/>
            </w:tcMar>
          </w:tcPr>
          <w:p w14:paraId="3BA0F6C2"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7,948</w:t>
            </w:r>
          </w:p>
        </w:tc>
        <w:tc>
          <w:tcPr>
            <w:tcW w:w="1035" w:type="dxa"/>
            <w:tcBorders>
              <w:top w:val="nil"/>
              <w:left w:val="nil"/>
              <w:bottom w:val="nil"/>
              <w:right w:val="nil"/>
              <w:tl2br w:val="nil"/>
              <w:tr2bl w:val="nil"/>
            </w:tcBorders>
            <w:shd w:val="clear" w:color="FFFFFF" w:fill="FFFFFF"/>
            <w:tcMar>
              <w:left w:w="101" w:type="dxa"/>
              <w:right w:w="101" w:type="dxa"/>
            </w:tcMar>
          </w:tcPr>
          <w:p w14:paraId="29275242"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19,716</w:t>
            </w:r>
          </w:p>
        </w:tc>
        <w:tc>
          <w:tcPr>
            <w:tcW w:w="1035" w:type="dxa"/>
            <w:tcBorders>
              <w:top w:val="nil"/>
              <w:left w:val="nil"/>
              <w:bottom w:val="nil"/>
              <w:right w:val="nil"/>
              <w:tl2br w:val="nil"/>
              <w:tr2bl w:val="nil"/>
            </w:tcBorders>
            <w:shd w:val="clear" w:color="FFFFFF" w:fill="FFFFFF"/>
            <w:tcMar>
              <w:left w:w="101" w:type="dxa"/>
              <w:right w:w="101" w:type="dxa"/>
            </w:tcMar>
          </w:tcPr>
          <w:p w14:paraId="648B8963"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52,612</w:t>
            </w:r>
          </w:p>
        </w:tc>
      </w:tr>
      <w:tr w:rsidR="00EF18CC" w14:paraId="4E17AFB0"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5D2CAD"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5187BEF1"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B4F21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B7AA87"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15DEE7"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4FFF0"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AB609E"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A683B6" w14:textId="77777777" w:rsidR="00EF18CC" w:rsidRDefault="00EF18CC" w:rsidP="006D3501">
            <w:pPr>
              <w:pStyle w:val="Normal9"/>
              <w:rPr>
                <w:rFonts w:ascii="Calibri" w:eastAsia="Calibri" w:hAnsi="Calibri" w:cs="Calibri"/>
                <w:color w:val="000000"/>
                <w:sz w:val="18"/>
              </w:rPr>
            </w:pPr>
          </w:p>
        </w:tc>
      </w:tr>
      <w:tr w:rsidR="00EF18CC" w14:paraId="7C9456ED"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BBD338"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14,736</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29A2F4D8" w14:textId="77777777" w:rsidR="00EF18CC" w:rsidRDefault="00EF18CC" w:rsidP="006D3501">
            <w:pPr>
              <w:pStyle w:val="Normal9"/>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B97D2B7"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59,285</w:t>
            </w:r>
          </w:p>
        </w:tc>
        <w:tc>
          <w:tcPr>
            <w:tcW w:w="1035" w:type="dxa"/>
            <w:tcBorders>
              <w:top w:val="nil"/>
              <w:left w:val="nil"/>
              <w:bottom w:val="nil"/>
              <w:right w:val="nil"/>
              <w:tl2br w:val="nil"/>
              <w:tr2bl w:val="nil"/>
            </w:tcBorders>
            <w:shd w:val="clear" w:color="FFFFFF" w:fill="FFFFFF"/>
            <w:tcMar>
              <w:left w:w="101" w:type="dxa"/>
              <w:right w:w="101" w:type="dxa"/>
            </w:tcMar>
          </w:tcPr>
          <w:p w14:paraId="3A7BA4ED"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7,948</w:t>
            </w:r>
          </w:p>
        </w:tc>
        <w:tc>
          <w:tcPr>
            <w:tcW w:w="600" w:type="dxa"/>
            <w:tcBorders>
              <w:top w:val="nil"/>
              <w:left w:val="nil"/>
              <w:bottom w:val="nil"/>
              <w:right w:val="nil"/>
              <w:tl2br w:val="nil"/>
              <w:tr2bl w:val="nil"/>
            </w:tcBorders>
            <w:shd w:val="clear" w:color="FFFFFF" w:fill="FFFFFF"/>
            <w:tcMar>
              <w:left w:w="101" w:type="dxa"/>
              <w:right w:w="101" w:type="dxa"/>
            </w:tcMar>
          </w:tcPr>
          <w:p w14:paraId="3472E80C"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 xml:space="preserve">-87 </w:t>
            </w:r>
          </w:p>
        </w:tc>
        <w:tc>
          <w:tcPr>
            <w:tcW w:w="1035" w:type="dxa"/>
            <w:tcBorders>
              <w:top w:val="nil"/>
              <w:left w:val="nil"/>
              <w:bottom w:val="nil"/>
              <w:right w:val="nil"/>
              <w:tl2br w:val="nil"/>
              <w:tr2bl w:val="nil"/>
            </w:tcBorders>
            <w:shd w:val="clear" w:color="FFFFFF" w:fill="FFFFFF"/>
            <w:tcMar>
              <w:left w:w="101" w:type="dxa"/>
              <w:right w:w="101" w:type="dxa"/>
            </w:tcMar>
          </w:tcPr>
          <w:p w14:paraId="373CE6EE"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19,716</w:t>
            </w:r>
          </w:p>
        </w:tc>
        <w:tc>
          <w:tcPr>
            <w:tcW w:w="1035" w:type="dxa"/>
            <w:tcBorders>
              <w:top w:val="nil"/>
              <w:left w:val="nil"/>
              <w:bottom w:val="nil"/>
              <w:right w:val="nil"/>
              <w:tl2br w:val="nil"/>
              <w:tr2bl w:val="nil"/>
            </w:tcBorders>
            <w:shd w:val="clear" w:color="FFFFFF" w:fill="FFFFFF"/>
            <w:tcMar>
              <w:left w:w="101" w:type="dxa"/>
              <w:right w:w="101" w:type="dxa"/>
            </w:tcMar>
          </w:tcPr>
          <w:p w14:paraId="367418BF"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52,612</w:t>
            </w:r>
          </w:p>
        </w:tc>
        <w:tc>
          <w:tcPr>
            <w:tcW w:w="1035" w:type="dxa"/>
            <w:tcBorders>
              <w:top w:val="nil"/>
              <w:left w:val="nil"/>
              <w:bottom w:val="nil"/>
              <w:right w:val="nil"/>
              <w:tl2br w:val="nil"/>
              <w:tr2bl w:val="nil"/>
            </w:tcBorders>
            <w:shd w:val="clear" w:color="FFFFFF" w:fill="FFFFFF"/>
            <w:tcMar>
              <w:left w:w="101" w:type="dxa"/>
              <w:right w:w="101" w:type="dxa"/>
            </w:tcMar>
          </w:tcPr>
          <w:p w14:paraId="1EE61A86" w14:textId="77777777" w:rsidR="00EF18CC" w:rsidRDefault="00EF18CC" w:rsidP="006D3501">
            <w:pPr>
              <w:pStyle w:val="Normal9"/>
              <w:jc w:val="right"/>
              <w:rPr>
                <w:rFonts w:ascii="Calibri" w:eastAsia="Calibri" w:hAnsi="Calibri" w:cs="Calibri"/>
                <w:b/>
                <w:color w:val="000000"/>
                <w:sz w:val="18"/>
              </w:rPr>
            </w:pPr>
            <w:r>
              <w:rPr>
                <w:rFonts w:ascii="Calibri" w:eastAsia="Calibri" w:hAnsi="Calibri" w:cs="Calibri"/>
                <w:b/>
                <w:color w:val="000000"/>
                <w:sz w:val="18"/>
              </w:rPr>
              <w:t>9,472</w:t>
            </w:r>
          </w:p>
        </w:tc>
      </w:tr>
      <w:tr w:rsidR="00EF18CC" w14:paraId="6A908AAF" w14:textId="77777777" w:rsidTr="006D3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1D7B08A" w14:textId="77777777" w:rsidR="00EF18CC" w:rsidRDefault="00EF18CC" w:rsidP="006D3501">
            <w:pPr>
              <w:pStyle w:val="Normal9"/>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A9C9472"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3F7ABFC"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8DC2D4" w14:textId="77777777" w:rsidR="00EF18CC" w:rsidRDefault="00EF18CC" w:rsidP="006D3501">
            <w:pPr>
              <w:pStyle w:val="Normal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C782883"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8B72034"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5B32F8" w14:textId="77777777" w:rsidR="00EF18CC" w:rsidRDefault="00EF18CC" w:rsidP="006D3501">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9BF4A41" w14:textId="77777777" w:rsidR="00EF18CC" w:rsidRDefault="00EF18CC" w:rsidP="006D3501">
            <w:pPr>
              <w:pStyle w:val="Normal9"/>
              <w:rPr>
                <w:rFonts w:ascii="Calibri" w:eastAsia="Calibri" w:hAnsi="Calibri" w:cs="Calibri"/>
                <w:color w:val="000000"/>
                <w:sz w:val="18"/>
              </w:rPr>
            </w:pPr>
          </w:p>
        </w:tc>
      </w:tr>
    </w:tbl>
    <w:p w14:paraId="0FFA04B3" w14:textId="77777777" w:rsidR="00DC0628" w:rsidRDefault="00DC0628">
      <w:pPr>
        <w:spacing w:before="0" w:after="0"/>
        <w:rPr>
          <w:b/>
          <w:bCs/>
          <w:sz w:val="28"/>
          <w:szCs w:val="26"/>
        </w:rPr>
      </w:pPr>
      <w:r>
        <w:br w:type="page"/>
      </w:r>
    </w:p>
    <w:p w14:paraId="46254B11" w14:textId="04280FFD" w:rsidR="00EF18CC" w:rsidRPr="001F1756" w:rsidRDefault="00EF18CC" w:rsidP="001F1756">
      <w:pPr>
        <w:pStyle w:val="Heading32"/>
      </w:pPr>
      <w:r w:rsidRPr="00DB6E11">
        <w:lastRenderedPageBreak/>
        <w:t>Notes to the Controlled Budget Statements</w:t>
      </w:r>
    </w:p>
    <w:p w14:paraId="1FBDAFCF" w14:textId="77777777" w:rsidR="00EF18CC" w:rsidRDefault="00EF18CC" w:rsidP="00EF18CC">
      <w:pPr>
        <w:pBdr>
          <w:top w:val="nil"/>
          <w:left w:val="nil"/>
          <w:bottom w:val="nil"/>
          <w:right w:val="nil"/>
          <w:between w:val="nil"/>
          <w:bar w:val="nil"/>
        </w:pBdr>
        <w:rPr>
          <w:bdr w:val="nil"/>
        </w:rPr>
      </w:pPr>
      <w:r>
        <w:rPr>
          <w:bdr w:val="nil"/>
        </w:rPr>
        <w:t>Significant variations are as follows:</w:t>
      </w:r>
    </w:p>
    <w:p w14:paraId="4B0E4980" w14:textId="77777777" w:rsidR="00EF18CC" w:rsidRDefault="00EF18CC" w:rsidP="001F1756">
      <w:pPr>
        <w:pStyle w:val="Heading4"/>
        <w:rPr>
          <w:bdr w:val="nil"/>
        </w:rPr>
      </w:pPr>
      <w:r>
        <w:rPr>
          <w:bdr w:val="nil"/>
        </w:rPr>
        <w:t>Operating Statement</w:t>
      </w:r>
    </w:p>
    <w:p w14:paraId="7E26A144" w14:textId="77777777" w:rsidR="00EF18CC" w:rsidRDefault="00EF18CC" w:rsidP="001F1756">
      <w:pPr>
        <w:pStyle w:val="BSbullet1"/>
        <w:numPr>
          <w:ilvl w:val="0"/>
          <w:numId w:val="40"/>
        </w:numPr>
        <w:pBdr>
          <w:top w:val="nil"/>
          <w:left w:val="nil"/>
          <w:bottom w:val="nil"/>
          <w:right w:val="nil"/>
          <w:between w:val="nil"/>
          <w:bar w:val="nil"/>
        </w:pBdr>
        <w:rPr>
          <w:bdr w:val="nil"/>
        </w:rPr>
      </w:pPr>
      <w:bookmarkStart w:id="61" w:name="_Hlk80882502"/>
      <w:r>
        <w:rPr>
          <w:bdr w:val="nil"/>
        </w:rPr>
        <w:t xml:space="preserve">other revenue:  </w:t>
      </w:r>
    </w:p>
    <w:p w14:paraId="2B05B1E1" w14:textId="293DC025"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$13.611 million in the 2020-21 </w:t>
      </w:r>
      <w:r w:rsidR="000F0FC3">
        <w:rPr>
          <w:bdr w:val="nil"/>
        </w:rPr>
        <w:t>I</w:t>
      </w:r>
      <w:r>
        <w:rPr>
          <w:bdr w:val="nil"/>
        </w:rPr>
        <w:t xml:space="preserve">nterim </w:t>
      </w:r>
      <w:r w:rsidR="000F0FC3">
        <w:rPr>
          <w:bdr w:val="nil"/>
        </w:rPr>
        <w:t>O</w:t>
      </w:r>
      <w:r>
        <w:rPr>
          <w:bdr w:val="nil"/>
        </w:rPr>
        <w:t xml:space="preserve">utcome from the original budget is predominately due to higher than anticipated sales prices on </w:t>
      </w:r>
      <w:proofErr w:type="gramStart"/>
      <w:r>
        <w:rPr>
          <w:bdr w:val="nil"/>
        </w:rPr>
        <w:t>a number of</w:t>
      </w:r>
      <w:proofErr w:type="gramEnd"/>
      <w:r>
        <w:rPr>
          <w:bdr w:val="nil"/>
        </w:rPr>
        <w:t xml:space="preserve"> properties, which is reflective of the ACT property market during the period, in conjunction with higher than budgeted insurance recoveries, and legal settlements, and</w:t>
      </w:r>
    </w:p>
    <w:p w14:paraId="1485C81A" w14:textId="0E794039"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decrease of $16.160 million in the 2021-22 </w:t>
      </w:r>
      <w:r w:rsidR="00532A77">
        <w:rPr>
          <w:bdr w:val="nil"/>
        </w:rPr>
        <w:t>B</w:t>
      </w:r>
      <w:r>
        <w:rPr>
          <w:bdr w:val="nil"/>
        </w:rPr>
        <w:t xml:space="preserve">udget from the 2020-21 </w:t>
      </w:r>
      <w:r w:rsidR="000F0FC3">
        <w:rPr>
          <w:bdr w:val="nil"/>
        </w:rPr>
        <w:t>I</w:t>
      </w:r>
      <w:r>
        <w:rPr>
          <w:bdr w:val="nil"/>
        </w:rPr>
        <w:t xml:space="preserve">nterim </w:t>
      </w:r>
      <w:r w:rsidR="000F0FC3">
        <w:rPr>
          <w:bdr w:val="nil"/>
        </w:rPr>
        <w:t>O</w:t>
      </w:r>
      <w:r>
        <w:rPr>
          <w:bdr w:val="nil"/>
        </w:rPr>
        <w:t xml:space="preserve">utcome, is primarily due to lower budgeted gains on the sale of properties due to Housing ACT undertaking a revaluation of the social housing portfolio increasing the carrying value of the properties.  </w:t>
      </w:r>
    </w:p>
    <w:p w14:paraId="6B5A4C3C"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other gain:</w:t>
      </w:r>
    </w:p>
    <w:p w14:paraId="022B7BE2" w14:textId="39D489DC" w:rsidR="00EF18CC" w:rsidRDefault="00EF18CC" w:rsidP="001F1756">
      <w:pPr>
        <w:pStyle w:val="BSbullet2"/>
        <w:pBdr>
          <w:top w:val="nil"/>
          <w:left w:val="nil"/>
          <w:bottom w:val="nil"/>
          <w:right w:val="nil"/>
          <w:between w:val="nil"/>
          <w:bar w:val="nil"/>
        </w:pBdr>
        <w:ind w:left="697" w:hanging="357"/>
        <w:rPr>
          <w:bdr w:val="nil"/>
        </w:rPr>
      </w:pPr>
      <w:bookmarkStart w:id="62" w:name="_Hlk80971643"/>
      <w:r>
        <w:rPr>
          <w:bdr w:val="nil"/>
        </w:rPr>
        <w:t xml:space="preserve">the increase of $2.340 million in the 2020-21 </w:t>
      </w:r>
      <w:r w:rsidR="000F0FC3">
        <w:rPr>
          <w:bdr w:val="nil"/>
        </w:rPr>
        <w:t>I</w:t>
      </w:r>
      <w:r>
        <w:rPr>
          <w:bdr w:val="nil"/>
        </w:rPr>
        <w:t xml:space="preserve">nterim </w:t>
      </w:r>
      <w:r w:rsidR="000F0FC3">
        <w:rPr>
          <w:bdr w:val="nil"/>
        </w:rPr>
        <w:t>O</w:t>
      </w:r>
      <w:r>
        <w:rPr>
          <w:bdr w:val="nil"/>
        </w:rPr>
        <w:t xml:space="preserve">utcome from the original budget is due to unbudgeted gains from revaluation of investment properties. The revaluation of the social housing portfolio was not budgeted to occur in 2020-21 financial year, however upon becoming aware of significant movements in the market value of properties in the ACT, Housing ACT undertook a revaluation during the period. </w:t>
      </w:r>
    </w:p>
    <w:p w14:paraId="593C37BC" w14:textId="77777777" w:rsidR="00EF18CC" w:rsidRDefault="00EF18CC" w:rsidP="001F1756">
      <w:pPr>
        <w:pStyle w:val="BSbullet1"/>
        <w:numPr>
          <w:ilvl w:val="0"/>
          <w:numId w:val="40"/>
        </w:numPr>
        <w:pBdr>
          <w:top w:val="nil"/>
          <w:left w:val="nil"/>
          <w:bottom w:val="nil"/>
          <w:right w:val="nil"/>
          <w:between w:val="nil"/>
          <w:bar w:val="nil"/>
        </w:pBdr>
        <w:rPr>
          <w:bdr w:val="nil"/>
          <w:shd w:val="clear" w:color="auto" w:fill="FFFF99"/>
        </w:rPr>
      </w:pPr>
      <w:r>
        <w:rPr>
          <w:bdr w:val="nil"/>
        </w:rPr>
        <w:t xml:space="preserve"> </w:t>
      </w:r>
      <w:bookmarkEnd w:id="62"/>
      <w:r>
        <w:rPr>
          <w:bdr w:val="nil"/>
        </w:rPr>
        <w:t>employee expenses:</w:t>
      </w:r>
    </w:p>
    <w:p w14:paraId="76330EB3" w14:textId="4F412F5E"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decrease of $1.935 million in the 2020-21 </w:t>
      </w:r>
      <w:r w:rsidR="000F0FC3">
        <w:rPr>
          <w:bdr w:val="nil"/>
        </w:rPr>
        <w:t>I</w:t>
      </w:r>
      <w:r>
        <w:rPr>
          <w:bdr w:val="nil"/>
        </w:rPr>
        <w:t xml:space="preserve">nterim </w:t>
      </w:r>
      <w:r w:rsidR="000F0FC3">
        <w:rPr>
          <w:bdr w:val="nil"/>
        </w:rPr>
        <w:t>O</w:t>
      </w:r>
      <w:r>
        <w:rPr>
          <w:bdr w:val="nil"/>
        </w:rPr>
        <w:t xml:space="preserve">utcome from the original budget is predominately due to delay with recruitment for </w:t>
      </w:r>
      <w:proofErr w:type="gramStart"/>
      <w:r>
        <w:rPr>
          <w:bdr w:val="nil"/>
        </w:rPr>
        <w:t>a number of</w:t>
      </w:r>
      <w:proofErr w:type="gramEnd"/>
      <w:r>
        <w:rPr>
          <w:bdr w:val="nil"/>
        </w:rPr>
        <w:t xml:space="preserve"> positions during 2020-21, and</w:t>
      </w:r>
    </w:p>
    <w:p w14:paraId="1FC7CCFC" w14:textId="5C81EAA9"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$3.233 million in the 2021-22 budget from the 2020-21 </w:t>
      </w:r>
      <w:r w:rsidR="000F0FC3">
        <w:rPr>
          <w:bdr w:val="nil"/>
        </w:rPr>
        <w:t>I</w:t>
      </w:r>
      <w:r>
        <w:rPr>
          <w:bdr w:val="nil"/>
        </w:rPr>
        <w:t xml:space="preserve">nterim </w:t>
      </w:r>
      <w:r w:rsidR="000F0FC3">
        <w:rPr>
          <w:bdr w:val="nil"/>
        </w:rPr>
        <w:t>O</w:t>
      </w:r>
      <w:r>
        <w:rPr>
          <w:bdr w:val="nil"/>
        </w:rPr>
        <w:t>utcome is primarily due to an increase in the budgeted Full Time Equivalents in 2021-22, and salary rate increases in accordance with relevant Enterprise Agreements.</w:t>
      </w:r>
    </w:p>
    <w:p w14:paraId="4F0F9F03" w14:textId="77777777" w:rsidR="00EF18CC" w:rsidRPr="001F1756" w:rsidRDefault="00EF18CC" w:rsidP="001F1756">
      <w:pPr>
        <w:pStyle w:val="BSbullet1"/>
        <w:numPr>
          <w:ilvl w:val="0"/>
          <w:numId w:val="40"/>
        </w:numPr>
        <w:pBdr>
          <w:top w:val="nil"/>
          <w:left w:val="nil"/>
          <w:bottom w:val="nil"/>
          <w:right w:val="nil"/>
          <w:between w:val="nil"/>
          <w:bar w:val="nil"/>
        </w:pBdr>
        <w:rPr>
          <w:bdr w:val="nil"/>
        </w:rPr>
      </w:pPr>
      <w:r>
        <w:rPr>
          <w:bdr w:val="nil"/>
        </w:rPr>
        <w:t xml:space="preserve">supplies and services:  </w:t>
      </w:r>
    </w:p>
    <w:p w14:paraId="25540A29" w14:textId="4741E17E" w:rsidR="00EF18CC" w:rsidRPr="00F81FBD"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$0.946 million in the 2020-21 </w:t>
      </w:r>
      <w:r w:rsidR="000F0FC3">
        <w:rPr>
          <w:bdr w:val="nil"/>
        </w:rPr>
        <w:t>I</w:t>
      </w:r>
      <w:r>
        <w:rPr>
          <w:bdr w:val="nil"/>
        </w:rPr>
        <w:t xml:space="preserve">nterim </w:t>
      </w:r>
      <w:r w:rsidR="000F0FC3">
        <w:rPr>
          <w:bdr w:val="nil"/>
        </w:rPr>
        <w:t>O</w:t>
      </w:r>
      <w:r>
        <w:rPr>
          <w:bdr w:val="nil"/>
        </w:rPr>
        <w:t>utcome from the original budget is primarily due to higher body corporate levies and higher contractor expenses, partially offset by lower general rates, sewerage rates, water rates and water consumption expenses and consultant expenses</w:t>
      </w:r>
      <w:r w:rsidRPr="001F1756">
        <w:rPr>
          <w:bdr w:val="nil"/>
        </w:rPr>
        <w:t>, and</w:t>
      </w:r>
    </w:p>
    <w:p w14:paraId="11FBEB2A" w14:textId="1DF3CB5A" w:rsidR="00EF18CC" w:rsidRPr="00E31D53" w:rsidRDefault="00EF18CC" w:rsidP="001F1756">
      <w:pPr>
        <w:pStyle w:val="BSbullet2"/>
        <w:pBdr>
          <w:top w:val="nil"/>
          <w:left w:val="nil"/>
          <w:bottom w:val="nil"/>
          <w:right w:val="nil"/>
          <w:between w:val="nil"/>
          <w:bar w:val="nil"/>
        </w:pBdr>
        <w:ind w:left="697" w:hanging="357"/>
        <w:rPr>
          <w:color w:val="000000"/>
          <w:bdr w:val="nil"/>
        </w:rPr>
      </w:pPr>
      <w:r w:rsidRPr="001F1756">
        <w:rPr>
          <w:bdr w:val="nil"/>
        </w:rPr>
        <w:t>the increase of $13.</w:t>
      </w:r>
      <w:r w:rsidR="00682B46">
        <w:rPr>
          <w:bdr w:val="nil"/>
        </w:rPr>
        <w:t>912</w:t>
      </w:r>
      <w:r w:rsidRPr="001F1756">
        <w:rPr>
          <w:bdr w:val="nil"/>
        </w:rPr>
        <w:t xml:space="preserve"> million in the 2021-22 budget from the 2020-21 </w:t>
      </w:r>
      <w:r w:rsidR="000F0FC3">
        <w:rPr>
          <w:bdr w:val="nil"/>
        </w:rPr>
        <w:t>I</w:t>
      </w:r>
      <w:r w:rsidRPr="001F1756">
        <w:rPr>
          <w:bdr w:val="nil"/>
        </w:rPr>
        <w:t xml:space="preserve">nterim </w:t>
      </w:r>
      <w:r w:rsidR="000F0FC3">
        <w:rPr>
          <w:bdr w:val="nil"/>
        </w:rPr>
        <w:t>O</w:t>
      </w:r>
      <w:r w:rsidRPr="001F1756">
        <w:rPr>
          <w:bdr w:val="nil"/>
        </w:rPr>
        <w:t xml:space="preserve">utcome is predominately the result of increases in repairs and maintenance including an increase in the Facility Management fee, consultancy and contractor expenditure and property ownership costs. </w:t>
      </w:r>
    </w:p>
    <w:p w14:paraId="08795BA4"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lastRenderedPageBreak/>
        <w:t xml:space="preserve">depreciation and amortisation: </w:t>
      </w:r>
    </w:p>
    <w:p w14:paraId="32BD4A97" w14:textId="4DACB4E5" w:rsidR="00EF18CC" w:rsidRDefault="00EF18CC" w:rsidP="001F1756">
      <w:pPr>
        <w:pStyle w:val="BSbullet2"/>
        <w:pBdr>
          <w:top w:val="nil"/>
          <w:left w:val="nil"/>
          <w:bottom w:val="nil"/>
          <w:right w:val="nil"/>
          <w:between w:val="nil"/>
          <w:bar w:val="nil"/>
        </w:pBdr>
        <w:ind w:left="697" w:hanging="357"/>
        <w:rPr>
          <w:bdr w:val="nil"/>
        </w:rPr>
      </w:pPr>
      <w:r w:rsidRPr="001F1756">
        <w:rPr>
          <w:bdr w:val="nil"/>
        </w:rPr>
        <w:t xml:space="preserve">the increase of $2.478 million in the 2020-21 </w:t>
      </w:r>
      <w:r w:rsidR="000F0FC3">
        <w:rPr>
          <w:bdr w:val="nil"/>
        </w:rPr>
        <w:t>I</w:t>
      </w:r>
      <w:r w:rsidRPr="001F1756">
        <w:rPr>
          <w:bdr w:val="nil"/>
        </w:rPr>
        <w:t xml:space="preserve">nterim </w:t>
      </w:r>
      <w:r w:rsidR="000F0FC3">
        <w:rPr>
          <w:bdr w:val="nil"/>
        </w:rPr>
        <w:t>O</w:t>
      </w:r>
      <w:r w:rsidRPr="001F1756">
        <w:rPr>
          <w:bdr w:val="nil"/>
        </w:rPr>
        <w:t>utcome from the original budget is due to the increase in property values in accordance with the portfolio revaluation conducted in 2020-21, and</w:t>
      </w:r>
    </w:p>
    <w:p w14:paraId="22E35C8C" w14:textId="5110BFC2" w:rsidR="00EF18CC" w:rsidRDefault="00EF18CC" w:rsidP="001F1756">
      <w:pPr>
        <w:pStyle w:val="BSbullet2"/>
        <w:pBdr>
          <w:top w:val="nil"/>
          <w:left w:val="nil"/>
          <w:bottom w:val="nil"/>
          <w:right w:val="nil"/>
          <w:between w:val="nil"/>
          <w:bar w:val="nil"/>
        </w:pBdr>
        <w:ind w:left="697" w:hanging="357"/>
        <w:rPr>
          <w:bdr w:val="nil"/>
        </w:rPr>
      </w:pPr>
      <w:r w:rsidRPr="001F1756">
        <w:rPr>
          <w:bdr w:val="nil"/>
        </w:rPr>
        <w:t xml:space="preserve">the increase of $10.069 million in the 2021-22 </w:t>
      </w:r>
      <w:r w:rsidR="000F0FC3">
        <w:rPr>
          <w:bdr w:val="nil"/>
        </w:rPr>
        <w:t>B</w:t>
      </w:r>
      <w:r w:rsidRPr="001F1756">
        <w:rPr>
          <w:bdr w:val="nil"/>
        </w:rPr>
        <w:t xml:space="preserve">udget from the 2020-21 </w:t>
      </w:r>
      <w:r w:rsidR="000F0FC3">
        <w:rPr>
          <w:bdr w:val="nil"/>
        </w:rPr>
        <w:t>I</w:t>
      </w:r>
      <w:r w:rsidRPr="001F1756">
        <w:rPr>
          <w:bdr w:val="nil"/>
        </w:rPr>
        <w:t xml:space="preserve">nterim </w:t>
      </w:r>
      <w:r w:rsidR="000F0FC3">
        <w:rPr>
          <w:bdr w:val="nil"/>
        </w:rPr>
        <w:t>O</w:t>
      </w:r>
      <w:r w:rsidRPr="001F1756">
        <w:rPr>
          <w:bdr w:val="nil"/>
        </w:rPr>
        <w:t>utcome is due to the increased carrying property values, in accordance with the portfolio revaluation conducted in 2020-21.</w:t>
      </w:r>
    </w:p>
    <w:p w14:paraId="07622A99"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 xml:space="preserve">grants and purchased services:  </w:t>
      </w:r>
    </w:p>
    <w:p w14:paraId="5C08EAD9" w14:textId="38E32CD0" w:rsidR="00EF18CC" w:rsidRPr="00F81FBD"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$4.180 million in the 2021-22 Budget from the 2020-21 </w:t>
      </w:r>
      <w:r w:rsidR="000F0FC3">
        <w:rPr>
          <w:bdr w:val="nil"/>
        </w:rPr>
        <w:t>I</w:t>
      </w:r>
      <w:r>
        <w:rPr>
          <w:bdr w:val="nil"/>
        </w:rPr>
        <w:t xml:space="preserve">nterim </w:t>
      </w:r>
      <w:r w:rsidR="000F0FC3">
        <w:rPr>
          <w:bdr w:val="nil"/>
        </w:rPr>
        <w:t>O</w:t>
      </w:r>
      <w:r>
        <w:rPr>
          <w:bdr w:val="nil"/>
        </w:rPr>
        <w:t xml:space="preserve">utcome is predominately due to additional controlled recurrent appropriation to strengthen specialist homelessness services. </w:t>
      </w:r>
    </w:p>
    <w:bookmarkEnd w:id="61"/>
    <w:p w14:paraId="5D267AAB"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 xml:space="preserve">other expenses:  </w:t>
      </w:r>
    </w:p>
    <w:p w14:paraId="283CEB48" w14:textId="66B361A3"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$5.502 million in the 2020-21 </w:t>
      </w:r>
      <w:r w:rsidR="000F0FC3">
        <w:rPr>
          <w:bdr w:val="nil"/>
        </w:rPr>
        <w:t>I</w:t>
      </w:r>
      <w:r>
        <w:rPr>
          <w:bdr w:val="nil"/>
        </w:rPr>
        <w:t xml:space="preserve">nterim </w:t>
      </w:r>
      <w:r w:rsidR="000F0FC3">
        <w:rPr>
          <w:bdr w:val="nil"/>
        </w:rPr>
        <w:t>O</w:t>
      </w:r>
      <w:r>
        <w:rPr>
          <w:bdr w:val="nil"/>
        </w:rPr>
        <w:t xml:space="preserve">utcome from the original budget is primarily due to a higher number of properties demolished for redevelopment during the year, higher bad and doubtful </w:t>
      </w:r>
      <w:proofErr w:type="gramStart"/>
      <w:r>
        <w:rPr>
          <w:bdr w:val="nil"/>
        </w:rPr>
        <w:t>expenses</w:t>
      </w:r>
      <w:proofErr w:type="gramEnd"/>
      <w:r>
        <w:rPr>
          <w:bdr w:val="nil"/>
        </w:rPr>
        <w:t xml:space="preserve"> and a one-off write-off of an infrastructure asset, and</w:t>
      </w:r>
    </w:p>
    <w:p w14:paraId="441AF7FB" w14:textId="70BD3D13" w:rsidR="00EF18CC" w:rsidRPr="004534AB" w:rsidRDefault="00EF18CC" w:rsidP="001F1756">
      <w:pPr>
        <w:pStyle w:val="BSbullet2"/>
        <w:pBdr>
          <w:top w:val="nil"/>
          <w:left w:val="nil"/>
          <w:bottom w:val="nil"/>
          <w:right w:val="nil"/>
          <w:between w:val="nil"/>
          <w:bar w:val="nil"/>
        </w:pBdr>
        <w:ind w:left="697" w:hanging="357"/>
        <w:rPr>
          <w:bdr w:val="nil"/>
        </w:rPr>
      </w:pPr>
      <w:r>
        <w:rPr>
          <w:bdr w:val="nil"/>
        </w:rPr>
        <w:t xml:space="preserve">the decrease of $1.622 million in the 2021-22 Budget from the 2020-21 </w:t>
      </w:r>
      <w:r w:rsidR="000F0FC3">
        <w:rPr>
          <w:bdr w:val="nil"/>
        </w:rPr>
        <w:t>I</w:t>
      </w:r>
      <w:r>
        <w:rPr>
          <w:bdr w:val="nil"/>
        </w:rPr>
        <w:t xml:space="preserve">nterim </w:t>
      </w:r>
      <w:r w:rsidR="000F0FC3">
        <w:rPr>
          <w:bdr w:val="nil"/>
        </w:rPr>
        <w:t>O</w:t>
      </w:r>
      <w:r>
        <w:rPr>
          <w:bdr w:val="nil"/>
        </w:rPr>
        <w:t xml:space="preserve">utcome is predominately due to lower bad and doubtful expenses and no budgeted infrastructure asset write-offs in 2021-22, partially offset by higher costs associated with demolishing properties for redevelopment. </w:t>
      </w:r>
    </w:p>
    <w:p w14:paraId="59A83551" w14:textId="77777777" w:rsidR="00EF18CC" w:rsidRDefault="00EF18CC" w:rsidP="00EF18CC">
      <w:pPr>
        <w:pStyle w:val="Heading4"/>
        <w:pBdr>
          <w:top w:val="nil"/>
          <w:left w:val="nil"/>
          <w:bottom w:val="nil"/>
          <w:right w:val="nil"/>
          <w:between w:val="nil"/>
          <w:bar w:val="nil"/>
        </w:pBdr>
        <w:rPr>
          <w:bdr w:val="nil"/>
        </w:rPr>
      </w:pPr>
      <w:r>
        <w:rPr>
          <w:bdr w:val="nil"/>
        </w:rPr>
        <w:t>Balance Sheet</w:t>
      </w:r>
    </w:p>
    <w:p w14:paraId="25125C2A"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 xml:space="preserve">current assets:  </w:t>
      </w:r>
    </w:p>
    <w:p w14:paraId="4C6674C6" w14:textId="77777777" w:rsidR="00EF18CC" w:rsidRDefault="00EF18CC" w:rsidP="001F1756">
      <w:pPr>
        <w:pStyle w:val="BSbullet2"/>
        <w:pBdr>
          <w:top w:val="nil"/>
          <w:left w:val="nil"/>
          <w:bottom w:val="nil"/>
          <w:right w:val="nil"/>
          <w:between w:val="nil"/>
          <w:bar w:val="nil"/>
        </w:pBdr>
        <w:ind w:left="697" w:hanging="357"/>
        <w:rPr>
          <w:bdr w:val="nil"/>
        </w:rPr>
      </w:pPr>
      <w:r>
        <w:rPr>
          <w:bdr w:val="nil"/>
        </w:rPr>
        <w:t>the increase of $46.713 million in the 2020-21 interim outcome from the original budget is predominately driven by higher cash balances resulting from higher than anticipated prices achieved in several property sales, in conjunction with revised timelines of a few capital projects with delays to 2021-22, in addition to higher receivables balances primarily due to several outstanding insurance claims and a large refund owing from the Australian Taxation Office, and</w:t>
      </w:r>
    </w:p>
    <w:p w14:paraId="119AAEA4" w14:textId="15976FAB" w:rsidR="00EF18CC" w:rsidRPr="00AA66E1" w:rsidRDefault="00EF18CC" w:rsidP="001F1756">
      <w:pPr>
        <w:pStyle w:val="BSbullet2"/>
        <w:pBdr>
          <w:top w:val="nil"/>
          <w:left w:val="nil"/>
          <w:bottom w:val="nil"/>
          <w:right w:val="nil"/>
          <w:between w:val="nil"/>
          <w:bar w:val="nil"/>
        </w:pBdr>
        <w:ind w:left="697" w:hanging="357"/>
        <w:rPr>
          <w:bdr w:val="nil"/>
        </w:rPr>
      </w:pPr>
      <w:r>
        <w:rPr>
          <w:bdr w:val="nil"/>
        </w:rPr>
        <w:t xml:space="preserve">the decrease of $52.783 million in the 2021-22 </w:t>
      </w:r>
      <w:r w:rsidR="000F0FC3">
        <w:rPr>
          <w:bdr w:val="nil"/>
        </w:rPr>
        <w:t>B</w:t>
      </w:r>
      <w:r>
        <w:rPr>
          <w:bdr w:val="nil"/>
        </w:rPr>
        <w:t xml:space="preserve">udget from the 2020-21 </w:t>
      </w:r>
      <w:r w:rsidR="000F0FC3">
        <w:rPr>
          <w:bdr w:val="nil"/>
        </w:rPr>
        <w:t>I</w:t>
      </w:r>
      <w:r>
        <w:rPr>
          <w:bdr w:val="nil"/>
        </w:rPr>
        <w:t xml:space="preserve">nterim </w:t>
      </w:r>
      <w:r w:rsidR="000F0FC3">
        <w:rPr>
          <w:bdr w:val="nil"/>
        </w:rPr>
        <w:t>O</w:t>
      </w:r>
      <w:r>
        <w:rPr>
          <w:bdr w:val="nil"/>
        </w:rPr>
        <w:t xml:space="preserve">utcome is primarily due to a decrease in cash holdings, as funds are required to meet expenditure related to the Growing and Renewing </w:t>
      </w:r>
      <w:bookmarkStart w:id="63" w:name="_Hlk9259922"/>
      <w:r>
        <w:rPr>
          <w:bdr w:val="nil"/>
        </w:rPr>
        <w:t>Public Housing</w:t>
      </w:r>
      <w:bookmarkEnd w:id="63"/>
      <w:r>
        <w:rPr>
          <w:bdr w:val="nil"/>
        </w:rPr>
        <w:t xml:space="preserve"> Program. </w:t>
      </w:r>
    </w:p>
    <w:p w14:paraId="7BF7F507" w14:textId="77777777" w:rsidR="00E31D53" w:rsidRDefault="00E31D53">
      <w:pPr>
        <w:spacing w:before="0" w:after="0"/>
        <w:rPr>
          <w:szCs w:val="24"/>
          <w:bdr w:val="nil"/>
        </w:rPr>
      </w:pPr>
      <w:r>
        <w:rPr>
          <w:bdr w:val="nil"/>
        </w:rPr>
        <w:br w:type="page"/>
      </w:r>
    </w:p>
    <w:p w14:paraId="762A93D4" w14:textId="280C53CF" w:rsidR="00EF18CC" w:rsidRDefault="00EF18CC" w:rsidP="001F1756">
      <w:pPr>
        <w:pStyle w:val="BSbullet1"/>
        <w:numPr>
          <w:ilvl w:val="0"/>
          <w:numId w:val="40"/>
        </w:numPr>
        <w:pBdr>
          <w:top w:val="nil"/>
          <w:left w:val="nil"/>
          <w:bottom w:val="nil"/>
          <w:right w:val="nil"/>
          <w:between w:val="nil"/>
          <w:bar w:val="nil"/>
        </w:pBdr>
        <w:rPr>
          <w:bdr w:val="nil"/>
        </w:rPr>
      </w:pPr>
      <w:r>
        <w:rPr>
          <w:bdr w:val="nil"/>
        </w:rPr>
        <w:lastRenderedPageBreak/>
        <w:t xml:space="preserve">non-current assets:  </w:t>
      </w:r>
    </w:p>
    <w:p w14:paraId="5A762C71" w14:textId="77777777" w:rsidR="00EF18CC" w:rsidRDefault="00EF18CC" w:rsidP="001F1756">
      <w:pPr>
        <w:pStyle w:val="BSbullet2"/>
        <w:pBdr>
          <w:top w:val="nil"/>
          <w:left w:val="nil"/>
          <w:bottom w:val="nil"/>
          <w:right w:val="nil"/>
          <w:between w:val="nil"/>
          <w:bar w:val="nil"/>
        </w:pBdr>
        <w:ind w:left="697" w:hanging="357"/>
        <w:rPr>
          <w:bdr w:val="nil"/>
        </w:rPr>
      </w:pPr>
      <w:r>
        <w:rPr>
          <w:bdr w:val="nil"/>
        </w:rPr>
        <w:t>the increase of $1.271 billion in the 2020-21 interim outcome from the original budget is predominately due to Housing ACT undertaking a revaluation of the social housing portfolio during the 2020-21 financial year, on becoming aware of significant movements in the market value of properties in the ACT, this increase is partially offset by a decrease in capital works in progress associated with delays in construction projects due to wet weather and supply issues, and</w:t>
      </w:r>
    </w:p>
    <w:p w14:paraId="0293D1C8" w14:textId="60A1CB4A" w:rsidR="00EF18CC" w:rsidRPr="00B013CC"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$114.848 million in the 2021-22 </w:t>
      </w:r>
      <w:r w:rsidR="000F0FC3">
        <w:rPr>
          <w:bdr w:val="nil"/>
        </w:rPr>
        <w:t>B</w:t>
      </w:r>
      <w:r>
        <w:rPr>
          <w:bdr w:val="nil"/>
        </w:rPr>
        <w:t xml:space="preserve">udget from the 2020-21 </w:t>
      </w:r>
      <w:r w:rsidR="000F0FC3">
        <w:rPr>
          <w:bdr w:val="nil"/>
        </w:rPr>
        <w:t>I</w:t>
      </w:r>
      <w:r>
        <w:rPr>
          <w:bdr w:val="nil"/>
        </w:rPr>
        <w:t xml:space="preserve">nterim </w:t>
      </w:r>
      <w:r w:rsidR="000F0FC3">
        <w:rPr>
          <w:bdr w:val="nil"/>
        </w:rPr>
        <w:t>O</w:t>
      </w:r>
      <w:r>
        <w:rPr>
          <w:bdr w:val="nil"/>
        </w:rPr>
        <w:t xml:space="preserve">utcome is primarily due to an increase in property, plant and equipment and capital works in progress as the result of third year of the Growing and Renewing Public Housing Program. </w:t>
      </w:r>
    </w:p>
    <w:p w14:paraId="7BE39A41"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 xml:space="preserve">non-current liabilities:  </w:t>
      </w:r>
    </w:p>
    <w:p w14:paraId="65A19D15" w14:textId="0B7A9D82" w:rsidR="00EF18CC" w:rsidRPr="004534AB" w:rsidRDefault="00EF18CC" w:rsidP="001F1756">
      <w:pPr>
        <w:pStyle w:val="BSbullet2"/>
        <w:pBdr>
          <w:top w:val="nil"/>
          <w:left w:val="nil"/>
          <w:bottom w:val="nil"/>
          <w:right w:val="nil"/>
          <w:between w:val="nil"/>
          <w:bar w:val="nil"/>
        </w:pBdr>
        <w:ind w:left="697" w:hanging="357"/>
        <w:rPr>
          <w:bdr w:val="nil"/>
        </w:rPr>
      </w:pPr>
      <w:r>
        <w:rPr>
          <w:bdr w:val="nil"/>
        </w:rPr>
        <w:t xml:space="preserve">the decrease of $4.102 million in the 2021-22 </w:t>
      </w:r>
      <w:r w:rsidR="000F0FC3">
        <w:rPr>
          <w:bdr w:val="nil"/>
        </w:rPr>
        <w:t>B</w:t>
      </w:r>
      <w:r>
        <w:rPr>
          <w:bdr w:val="nil"/>
        </w:rPr>
        <w:t xml:space="preserve">udget from the 2020-21 </w:t>
      </w:r>
      <w:r w:rsidR="000F0FC3">
        <w:rPr>
          <w:bdr w:val="nil"/>
        </w:rPr>
        <w:t>I</w:t>
      </w:r>
      <w:r>
        <w:rPr>
          <w:bdr w:val="nil"/>
        </w:rPr>
        <w:t xml:space="preserve">nterim </w:t>
      </w:r>
      <w:r w:rsidR="000F0FC3">
        <w:rPr>
          <w:bdr w:val="nil"/>
        </w:rPr>
        <w:t>O</w:t>
      </w:r>
      <w:r>
        <w:rPr>
          <w:bdr w:val="nil"/>
        </w:rPr>
        <w:t xml:space="preserve">utcome is predominately due to recognition of the annual repayment of the Commonwealth Government loans. </w:t>
      </w:r>
    </w:p>
    <w:p w14:paraId="04142DF0" w14:textId="77777777" w:rsidR="00EF18CC" w:rsidRDefault="00EF18CC" w:rsidP="00EF18CC">
      <w:pPr>
        <w:pStyle w:val="Heading4"/>
        <w:pBdr>
          <w:top w:val="nil"/>
          <w:left w:val="nil"/>
          <w:bottom w:val="nil"/>
          <w:right w:val="nil"/>
          <w:between w:val="nil"/>
          <w:bar w:val="nil"/>
        </w:pBdr>
        <w:rPr>
          <w:bdr w:val="nil"/>
        </w:rPr>
      </w:pPr>
      <w:r>
        <w:rPr>
          <w:bdr w:val="nil"/>
        </w:rPr>
        <w:t xml:space="preserve">Statement of Changes in Equity </w:t>
      </w:r>
    </w:p>
    <w:p w14:paraId="1532F49B"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 xml:space="preserve">asset revaluation reserve surpluses:  </w:t>
      </w:r>
    </w:p>
    <w:p w14:paraId="5EDE9C6C" w14:textId="6A1CB793"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$1.234 billion in the 2020-21 </w:t>
      </w:r>
      <w:r w:rsidR="000F0FC3">
        <w:rPr>
          <w:bdr w:val="nil"/>
        </w:rPr>
        <w:t>I</w:t>
      </w:r>
      <w:r>
        <w:rPr>
          <w:bdr w:val="nil"/>
        </w:rPr>
        <w:t xml:space="preserve">nterim </w:t>
      </w:r>
      <w:r w:rsidR="000F0FC3">
        <w:rPr>
          <w:bdr w:val="nil"/>
        </w:rPr>
        <w:t>O</w:t>
      </w:r>
      <w:r>
        <w:rPr>
          <w:bdr w:val="nil"/>
        </w:rPr>
        <w:t xml:space="preserve">utcome from the original budget is due to Housing ACT undertaking a revaluation of the social housing portfolio during the 2020-21 financial year, on becoming aware of significant movements in the market value of properties in the ACT, and </w:t>
      </w:r>
    </w:p>
    <w:p w14:paraId="1D23CB54" w14:textId="77777777" w:rsidR="00EF18CC" w:rsidRDefault="00EF18CC" w:rsidP="001F1756">
      <w:pPr>
        <w:pStyle w:val="BSbullet1"/>
        <w:numPr>
          <w:ilvl w:val="0"/>
          <w:numId w:val="40"/>
        </w:numPr>
        <w:pBdr>
          <w:top w:val="nil"/>
          <w:left w:val="nil"/>
          <w:bottom w:val="nil"/>
          <w:right w:val="nil"/>
          <w:between w:val="nil"/>
          <w:bar w:val="nil"/>
        </w:pBdr>
        <w:rPr>
          <w:bdr w:val="nil"/>
        </w:rPr>
      </w:pPr>
      <w:r>
        <w:rPr>
          <w:bdr w:val="nil"/>
        </w:rPr>
        <w:t xml:space="preserve">transactions involving owners affecting accumulated funds:  </w:t>
      </w:r>
    </w:p>
    <w:p w14:paraId="013C252B" w14:textId="3654C891"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decrease of $1.191 million in the 2020-21 </w:t>
      </w:r>
      <w:r w:rsidR="000F0FC3">
        <w:rPr>
          <w:bdr w:val="nil"/>
        </w:rPr>
        <w:t>I</w:t>
      </w:r>
      <w:r>
        <w:rPr>
          <w:bdr w:val="nil"/>
        </w:rPr>
        <w:t xml:space="preserve">nterim </w:t>
      </w:r>
      <w:r w:rsidR="000F0FC3">
        <w:rPr>
          <w:bdr w:val="nil"/>
        </w:rPr>
        <w:t>O</w:t>
      </w:r>
      <w:r>
        <w:rPr>
          <w:bdr w:val="nil"/>
        </w:rPr>
        <w:t xml:space="preserve">utcome from the original budget is primarily due to undrawn capital injection funding, which has been rolled over to the 2021-22 financial year, and </w:t>
      </w:r>
    </w:p>
    <w:p w14:paraId="7B6A9951" w14:textId="11AA9C93" w:rsidR="00EF18CC" w:rsidRDefault="00EF18CC" w:rsidP="001F1756">
      <w:pPr>
        <w:pStyle w:val="BSbullet2"/>
        <w:pBdr>
          <w:top w:val="nil"/>
          <w:left w:val="nil"/>
          <w:bottom w:val="nil"/>
          <w:right w:val="nil"/>
          <w:between w:val="nil"/>
          <w:bar w:val="nil"/>
        </w:pBdr>
        <w:ind w:left="697" w:hanging="357"/>
        <w:rPr>
          <w:bdr w:val="nil"/>
        </w:rPr>
      </w:pPr>
      <w:r>
        <w:rPr>
          <w:bdr w:val="nil"/>
        </w:rPr>
        <w:t xml:space="preserve">the increase of $14.968 million in the 2021-22 Budget from the 2020-21 </w:t>
      </w:r>
      <w:r w:rsidR="000F0FC3">
        <w:rPr>
          <w:bdr w:val="nil"/>
        </w:rPr>
        <w:t>I</w:t>
      </w:r>
      <w:r>
        <w:rPr>
          <w:bdr w:val="nil"/>
        </w:rPr>
        <w:t xml:space="preserve">nterim </w:t>
      </w:r>
      <w:r w:rsidR="000F0FC3">
        <w:rPr>
          <w:bdr w:val="nil"/>
        </w:rPr>
        <w:t>O</w:t>
      </w:r>
      <w:r>
        <w:rPr>
          <w:bdr w:val="nil"/>
        </w:rPr>
        <w:t xml:space="preserve">utcome is due to an overall increase in capital injections in 2021-22 with new initiatives including Securing High Quality Public Housing and Vulnerable Households Energy Support Scheme, in conjunction with continued initiatives Growing and Renewing Public Housing and Reducing Homelessness by delivery another Common Ground offset by the conclusion of other initiatives including Growth and Renewal – Land Capital and Justice Housing Program. </w:t>
      </w:r>
    </w:p>
    <w:p w14:paraId="4388A932" w14:textId="77777777" w:rsidR="00EF18CC" w:rsidRDefault="00EF18CC" w:rsidP="00EF18CC">
      <w:pPr>
        <w:pStyle w:val="Heading4"/>
        <w:pBdr>
          <w:top w:val="nil"/>
          <w:left w:val="nil"/>
          <w:bottom w:val="nil"/>
          <w:right w:val="nil"/>
          <w:between w:val="nil"/>
          <w:bar w:val="nil"/>
        </w:pBdr>
        <w:rPr>
          <w:bdr w:val="nil"/>
        </w:rPr>
      </w:pPr>
      <w:r>
        <w:rPr>
          <w:bdr w:val="nil"/>
        </w:rPr>
        <w:t>Cash Flow Statement</w:t>
      </w:r>
    </w:p>
    <w:p w14:paraId="5DC4236A" w14:textId="621ED30B" w:rsidR="00C07D35" w:rsidRDefault="00EF18CC" w:rsidP="001F1756">
      <w:pPr>
        <w:pBdr>
          <w:top w:val="nil"/>
          <w:left w:val="nil"/>
          <w:bottom w:val="nil"/>
          <w:right w:val="nil"/>
          <w:between w:val="nil"/>
          <w:bar w:val="nil"/>
        </w:pBdr>
      </w:pPr>
      <w:r>
        <w:rPr>
          <w:bdr w:val="nil"/>
        </w:rPr>
        <w:t>Variations in the Statement are explained in the notes above.</w:t>
      </w:r>
    </w:p>
    <w:sectPr w:rsidR="00C07D35" w:rsidSect="001F1756">
      <w:footerReference w:type="default" r:id="rId23"/>
      <w:pgSz w:w="11906" w:h="16838"/>
      <w:pgMar w:top="1151" w:right="1440" w:bottom="1729" w:left="1440" w:header="720" w:footer="720"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1A55C" w14:textId="77777777" w:rsidR="00B15DC9" w:rsidRDefault="00B15DC9">
      <w:pPr>
        <w:spacing w:before="0" w:after="0"/>
      </w:pPr>
      <w:r>
        <w:separator/>
      </w:r>
    </w:p>
  </w:endnote>
  <w:endnote w:type="continuationSeparator" w:id="0">
    <w:p w14:paraId="4D36471B" w14:textId="77777777" w:rsidR="00B15DC9" w:rsidRDefault="00B15D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6F76" w14:textId="77777777" w:rsidR="00B15DC9" w:rsidRPr="0004555B" w:rsidRDefault="00B15DC9" w:rsidP="00A4668D">
    <w:pPr>
      <w:pBdr>
        <w:top w:val="nil"/>
        <w:left w:val="nil"/>
        <w:bottom w:val="nil"/>
        <w:right w:val="nil"/>
        <w:between w:val="nil"/>
        <w:bar w:val="nil"/>
      </w:pBdr>
      <w:rPr>
        <w:rFonts w:eastAsia="TimesNewRomanPS-ItalicMT"/>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0F7C" w14:textId="77777777" w:rsidR="00B15DC9" w:rsidRPr="0004555B" w:rsidRDefault="00B15DC9" w:rsidP="00A4668D">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8450" w14:textId="77777777" w:rsidR="00B15DC9" w:rsidRDefault="00B15DC9">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7E427" w14:textId="77777777" w:rsidR="00B15DC9" w:rsidRPr="004B1382" w:rsidRDefault="00B15DC9" w:rsidP="00A4668D">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Community Services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11B8" w14:textId="77777777" w:rsidR="00B15DC9" w:rsidRPr="004B1382" w:rsidRDefault="00B15DC9" w:rsidP="00A4668D">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50</w:t>
    </w:r>
    <w:r>
      <w:rPr>
        <w:noProof/>
        <w:bdr w:val="nil"/>
      </w:rPr>
      <w:fldChar w:fldCharType="end"/>
    </w:r>
    <w:r>
      <w:rPr>
        <w:sz w:val="18"/>
        <w:szCs w:val="18"/>
        <w:bdr w:val="nil"/>
      </w:rPr>
      <w:tab/>
    </w:r>
    <w:r>
      <w:rPr>
        <w:bdr w:val="nil"/>
      </w:rPr>
      <w:t>Community Services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6714" w14:textId="77777777" w:rsidR="00B15DC9" w:rsidRDefault="00B15DC9">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F8FB" w14:textId="53933BD0" w:rsidR="00B15DC9" w:rsidRPr="004B1382" w:rsidRDefault="00B15DC9" w:rsidP="00A4668D">
    <w:pPr>
      <w:pStyle w:val="FooterBP"/>
      <w:pBdr>
        <w:left w:val="nil"/>
        <w:bottom w:val="nil"/>
        <w:right w:val="nil"/>
        <w:between w:val="nil"/>
        <w:bar w:val="nil"/>
      </w:pBdr>
      <w:rPr>
        <w:bdr w:val="nil"/>
      </w:rPr>
    </w:pPr>
    <w:r>
      <w:rPr>
        <w:bdr w:val="nil"/>
      </w:rPr>
      <w:t>2021-22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50</w:t>
    </w:r>
    <w:r>
      <w:rPr>
        <w:noProof/>
        <w:bdr w:val="nil"/>
      </w:rPr>
      <w:fldChar w:fldCharType="end"/>
    </w:r>
    <w:r>
      <w:rPr>
        <w:sz w:val="18"/>
        <w:szCs w:val="18"/>
        <w:bdr w:val="nil"/>
      </w:rPr>
      <w:tab/>
    </w:r>
    <w:r>
      <w:rPr>
        <w:bdr w:val="nil"/>
      </w:rPr>
      <w:t>Housing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C735" w14:textId="77777777" w:rsidR="00B15DC9" w:rsidRDefault="00B15DC9">
      <w:pPr>
        <w:spacing w:before="0" w:after="0"/>
      </w:pPr>
      <w:r>
        <w:separator/>
      </w:r>
    </w:p>
  </w:footnote>
  <w:footnote w:type="continuationSeparator" w:id="0">
    <w:p w14:paraId="4ABBA2E2" w14:textId="77777777" w:rsidR="00B15DC9" w:rsidRDefault="00B15D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0470" w14:textId="77777777" w:rsidR="00B15DC9" w:rsidRDefault="00B15DC9">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6AFE" w14:textId="77777777" w:rsidR="00B15DC9" w:rsidRDefault="00B15DC9">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F8B3" w14:textId="77777777" w:rsidR="00B15DC9" w:rsidRDefault="00B15DC9">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E40A" w14:textId="77777777" w:rsidR="00B15DC9" w:rsidRDefault="00B15DC9">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2B97" w14:textId="77777777" w:rsidR="00B15DC9" w:rsidRDefault="00B15DC9">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7CF4" w14:textId="77777777" w:rsidR="00B15DC9" w:rsidRDefault="00B15DC9">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DD70AB10">
      <w:start w:val="1"/>
      <w:numFmt w:val="bullet"/>
      <w:lvlText w:val=""/>
      <w:lvlJc w:val="left"/>
      <w:pPr>
        <w:tabs>
          <w:tab w:val="num" w:pos="360"/>
        </w:tabs>
        <w:ind w:left="357" w:hanging="357"/>
      </w:pPr>
      <w:rPr>
        <w:rFonts w:ascii="Symbol" w:hAnsi="Symbol" w:hint="default"/>
        <w:sz w:val="24"/>
      </w:rPr>
    </w:lvl>
    <w:lvl w:ilvl="1" w:tplc="1F00B3BE">
      <w:start w:val="1"/>
      <w:numFmt w:val="bullet"/>
      <w:lvlText w:val="o"/>
      <w:lvlJc w:val="left"/>
      <w:pPr>
        <w:tabs>
          <w:tab w:val="num" w:pos="1800"/>
        </w:tabs>
        <w:ind w:left="1800" w:hanging="360"/>
      </w:pPr>
      <w:rPr>
        <w:rFonts w:ascii="Courier New" w:hAnsi="Courier New" w:hint="default"/>
      </w:rPr>
    </w:lvl>
    <w:lvl w:ilvl="2" w:tplc="08087D14">
      <w:start w:val="1"/>
      <w:numFmt w:val="bullet"/>
      <w:lvlText w:val=""/>
      <w:lvlJc w:val="left"/>
      <w:pPr>
        <w:tabs>
          <w:tab w:val="num" w:pos="2520"/>
        </w:tabs>
        <w:ind w:left="2520" w:hanging="360"/>
      </w:pPr>
      <w:rPr>
        <w:rFonts w:ascii="Wingdings" w:hAnsi="Wingdings" w:hint="default"/>
      </w:rPr>
    </w:lvl>
    <w:lvl w:ilvl="3" w:tplc="C786F38E">
      <w:start w:val="1"/>
      <w:numFmt w:val="bullet"/>
      <w:lvlText w:val=""/>
      <w:lvlJc w:val="left"/>
      <w:pPr>
        <w:tabs>
          <w:tab w:val="num" w:pos="3240"/>
        </w:tabs>
        <w:ind w:left="3240" w:hanging="360"/>
      </w:pPr>
      <w:rPr>
        <w:rFonts w:ascii="Symbol" w:hAnsi="Symbol" w:hint="default"/>
      </w:rPr>
    </w:lvl>
    <w:lvl w:ilvl="4" w:tplc="0E565294">
      <w:start w:val="1"/>
      <w:numFmt w:val="bullet"/>
      <w:lvlText w:val="o"/>
      <w:lvlJc w:val="left"/>
      <w:pPr>
        <w:tabs>
          <w:tab w:val="num" w:pos="3960"/>
        </w:tabs>
        <w:ind w:left="3960" w:hanging="360"/>
      </w:pPr>
      <w:rPr>
        <w:rFonts w:ascii="Courier New" w:hAnsi="Courier New" w:hint="default"/>
      </w:rPr>
    </w:lvl>
    <w:lvl w:ilvl="5" w:tplc="5CDE1238">
      <w:start w:val="1"/>
      <w:numFmt w:val="bullet"/>
      <w:lvlText w:val=""/>
      <w:lvlJc w:val="left"/>
      <w:pPr>
        <w:tabs>
          <w:tab w:val="num" w:pos="4680"/>
        </w:tabs>
        <w:ind w:left="4680" w:hanging="360"/>
      </w:pPr>
      <w:rPr>
        <w:rFonts w:ascii="Wingdings" w:hAnsi="Wingdings" w:hint="default"/>
      </w:rPr>
    </w:lvl>
    <w:lvl w:ilvl="6" w:tplc="6B30734C">
      <w:start w:val="1"/>
      <w:numFmt w:val="bullet"/>
      <w:lvlText w:val=""/>
      <w:lvlJc w:val="left"/>
      <w:pPr>
        <w:tabs>
          <w:tab w:val="num" w:pos="5400"/>
        </w:tabs>
        <w:ind w:left="5400" w:hanging="360"/>
      </w:pPr>
      <w:rPr>
        <w:rFonts w:ascii="Symbol" w:hAnsi="Symbol" w:hint="default"/>
      </w:rPr>
    </w:lvl>
    <w:lvl w:ilvl="7" w:tplc="C7C41F02">
      <w:start w:val="1"/>
      <w:numFmt w:val="bullet"/>
      <w:lvlText w:val="o"/>
      <w:lvlJc w:val="left"/>
      <w:pPr>
        <w:tabs>
          <w:tab w:val="num" w:pos="6120"/>
        </w:tabs>
        <w:ind w:left="6120" w:hanging="360"/>
      </w:pPr>
      <w:rPr>
        <w:rFonts w:ascii="Courier New" w:hAnsi="Courier New" w:hint="default"/>
      </w:rPr>
    </w:lvl>
    <w:lvl w:ilvl="8" w:tplc="107A7C14">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747AF816"/>
    <w:lvl w:ilvl="0" w:tplc="0C9E715E">
      <w:start w:val="1"/>
      <w:numFmt w:val="bullet"/>
      <w:pStyle w:val="BodyTextIndent"/>
      <w:lvlText w:val=""/>
      <w:lvlJc w:val="left"/>
      <w:pPr>
        <w:tabs>
          <w:tab w:val="num" w:pos="360"/>
        </w:tabs>
        <w:ind w:left="360" w:hanging="360"/>
      </w:pPr>
      <w:rPr>
        <w:rFonts w:ascii="Symbol" w:hAnsi="Symbol" w:cs="Times New Roman" w:hint="default"/>
      </w:rPr>
    </w:lvl>
    <w:lvl w:ilvl="1" w:tplc="AD3EC87E">
      <w:start w:val="1"/>
      <w:numFmt w:val="bullet"/>
      <w:lvlText w:val="o"/>
      <w:lvlJc w:val="left"/>
      <w:pPr>
        <w:tabs>
          <w:tab w:val="num" w:pos="360"/>
        </w:tabs>
        <w:ind w:left="360" w:hanging="360"/>
      </w:pPr>
      <w:rPr>
        <w:rFonts w:ascii="Courier New" w:hAnsi="Courier New" w:hint="default"/>
      </w:rPr>
    </w:lvl>
    <w:lvl w:ilvl="2" w:tplc="2500B964" w:tentative="1">
      <w:start w:val="1"/>
      <w:numFmt w:val="bullet"/>
      <w:lvlText w:val=""/>
      <w:lvlJc w:val="left"/>
      <w:pPr>
        <w:tabs>
          <w:tab w:val="num" w:pos="1080"/>
        </w:tabs>
        <w:ind w:left="1080" w:hanging="360"/>
      </w:pPr>
      <w:rPr>
        <w:rFonts w:ascii="Wingdings" w:hAnsi="Wingdings" w:hint="default"/>
      </w:rPr>
    </w:lvl>
    <w:lvl w:ilvl="3" w:tplc="B770ED78" w:tentative="1">
      <w:start w:val="1"/>
      <w:numFmt w:val="bullet"/>
      <w:lvlText w:val=""/>
      <w:lvlJc w:val="left"/>
      <w:pPr>
        <w:tabs>
          <w:tab w:val="num" w:pos="1800"/>
        </w:tabs>
        <w:ind w:left="1800" w:hanging="360"/>
      </w:pPr>
      <w:rPr>
        <w:rFonts w:ascii="Symbol" w:hAnsi="Symbol" w:hint="default"/>
      </w:rPr>
    </w:lvl>
    <w:lvl w:ilvl="4" w:tplc="94EA61D6" w:tentative="1">
      <w:start w:val="1"/>
      <w:numFmt w:val="bullet"/>
      <w:lvlText w:val="o"/>
      <w:lvlJc w:val="left"/>
      <w:pPr>
        <w:tabs>
          <w:tab w:val="num" w:pos="2520"/>
        </w:tabs>
        <w:ind w:left="2520" w:hanging="360"/>
      </w:pPr>
      <w:rPr>
        <w:rFonts w:ascii="Courier New" w:hAnsi="Courier New" w:hint="default"/>
      </w:rPr>
    </w:lvl>
    <w:lvl w:ilvl="5" w:tplc="EB04A4B8" w:tentative="1">
      <w:start w:val="1"/>
      <w:numFmt w:val="bullet"/>
      <w:lvlText w:val=""/>
      <w:lvlJc w:val="left"/>
      <w:pPr>
        <w:tabs>
          <w:tab w:val="num" w:pos="3240"/>
        </w:tabs>
        <w:ind w:left="3240" w:hanging="360"/>
      </w:pPr>
      <w:rPr>
        <w:rFonts w:ascii="Wingdings" w:hAnsi="Wingdings" w:hint="default"/>
      </w:rPr>
    </w:lvl>
    <w:lvl w:ilvl="6" w:tplc="D1009BCA" w:tentative="1">
      <w:start w:val="1"/>
      <w:numFmt w:val="bullet"/>
      <w:lvlText w:val=""/>
      <w:lvlJc w:val="left"/>
      <w:pPr>
        <w:tabs>
          <w:tab w:val="num" w:pos="3960"/>
        </w:tabs>
        <w:ind w:left="3960" w:hanging="360"/>
      </w:pPr>
      <w:rPr>
        <w:rFonts w:ascii="Symbol" w:hAnsi="Symbol" w:hint="default"/>
      </w:rPr>
    </w:lvl>
    <w:lvl w:ilvl="7" w:tplc="163E86E8" w:tentative="1">
      <w:start w:val="1"/>
      <w:numFmt w:val="bullet"/>
      <w:lvlText w:val="o"/>
      <w:lvlJc w:val="left"/>
      <w:pPr>
        <w:tabs>
          <w:tab w:val="num" w:pos="4680"/>
        </w:tabs>
        <w:ind w:left="4680" w:hanging="360"/>
      </w:pPr>
      <w:rPr>
        <w:rFonts w:ascii="Courier New" w:hAnsi="Courier New" w:hint="default"/>
      </w:rPr>
    </w:lvl>
    <w:lvl w:ilvl="8" w:tplc="F140D0C4"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D3DC20E2"/>
    <w:lvl w:ilvl="0" w:tplc="5CAEFB18">
      <w:start w:val="1"/>
      <w:numFmt w:val="bullet"/>
      <w:lvlText w:val=""/>
      <w:lvlJc w:val="left"/>
      <w:pPr>
        <w:tabs>
          <w:tab w:val="num" w:pos="360"/>
        </w:tabs>
        <w:ind w:left="357" w:hanging="357"/>
      </w:pPr>
      <w:rPr>
        <w:rFonts w:ascii="Symbol" w:hAnsi="Symbol" w:hint="default"/>
        <w:sz w:val="24"/>
      </w:rPr>
    </w:lvl>
    <w:lvl w:ilvl="1" w:tplc="77EC00C6">
      <w:start w:val="1"/>
      <w:numFmt w:val="bullet"/>
      <w:lvlText w:val="o"/>
      <w:lvlJc w:val="left"/>
      <w:pPr>
        <w:tabs>
          <w:tab w:val="num" w:pos="1800"/>
        </w:tabs>
        <w:ind w:left="1800" w:hanging="360"/>
      </w:pPr>
      <w:rPr>
        <w:rFonts w:ascii="Courier New" w:hAnsi="Courier New" w:cs="Times New Roman" w:hint="default"/>
      </w:rPr>
    </w:lvl>
    <w:lvl w:ilvl="2" w:tplc="01684358">
      <w:start w:val="1"/>
      <w:numFmt w:val="bullet"/>
      <w:lvlText w:val=""/>
      <w:lvlJc w:val="left"/>
      <w:pPr>
        <w:tabs>
          <w:tab w:val="num" w:pos="2520"/>
        </w:tabs>
        <w:ind w:left="2520" w:hanging="360"/>
      </w:pPr>
      <w:rPr>
        <w:rFonts w:ascii="Wingdings" w:hAnsi="Wingdings" w:hint="default"/>
      </w:rPr>
    </w:lvl>
    <w:lvl w:ilvl="3" w:tplc="0D44531C">
      <w:start w:val="1"/>
      <w:numFmt w:val="bullet"/>
      <w:lvlText w:val=""/>
      <w:lvlJc w:val="left"/>
      <w:pPr>
        <w:tabs>
          <w:tab w:val="num" w:pos="3240"/>
        </w:tabs>
        <w:ind w:left="3240" w:hanging="360"/>
      </w:pPr>
      <w:rPr>
        <w:rFonts w:ascii="Symbol" w:hAnsi="Symbol" w:hint="default"/>
      </w:rPr>
    </w:lvl>
    <w:lvl w:ilvl="4" w:tplc="DBCCDFC4">
      <w:start w:val="1"/>
      <w:numFmt w:val="bullet"/>
      <w:lvlText w:val="o"/>
      <w:lvlJc w:val="left"/>
      <w:pPr>
        <w:tabs>
          <w:tab w:val="num" w:pos="3960"/>
        </w:tabs>
        <w:ind w:left="3960" w:hanging="360"/>
      </w:pPr>
      <w:rPr>
        <w:rFonts w:ascii="Courier New" w:hAnsi="Courier New" w:cs="Times New Roman" w:hint="default"/>
      </w:rPr>
    </w:lvl>
    <w:lvl w:ilvl="5" w:tplc="0E96EF42">
      <w:start w:val="1"/>
      <w:numFmt w:val="bullet"/>
      <w:lvlText w:val=""/>
      <w:lvlJc w:val="left"/>
      <w:pPr>
        <w:tabs>
          <w:tab w:val="num" w:pos="4680"/>
        </w:tabs>
        <w:ind w:left="4680" w:hanging="360"/>
      </w:pPr>
      <w:rPr>
        <w:rFonts w:ascii="Wingdings" w:hAnsi="Wingdings" w:hint="default"/>
      </w:rPr>
    </w:lvl>
    <w:lvl w:ilvl="6" w:tplc="7D3E2816">
      <w:start w:val="1"/>
      <w:numFmt w:val="bullet"/>
      <w:lvlText w:val=""/>
      <w:lvlJc w:val="left"/>
      <w:pPr>
        <w:tabs>
          <w:tab w:val="num" w:pos="5400"/>
        </w:tabs>
        <w:ind w:left="5400" w:hanging="360"/>
      </w:pPr>
      <w:rPr>
        <w:rFonts w:ascii="Symbol" w:hAnsi="Symbol" w:hint="default"/>
      </w:rPr>
    </w:lvl>
    <w:lvl w:ilvl="7" w:tplc="206E8DBA">
      <w:start w:val="1"/>
      <w:numFmt w:val="bullet"/>
      <w:lvlText w:val="o"/>
      <w:lvlJc w:val="left"/>
      <w:pPr>
        <w:tabs>
          <w:tab w:val="num" w:pos="6120"/>
        </w:tabs>
        <w:ind w:left="6120" w:hanging="360"/>
      </w:pPr>
      <w:rPr>
        <w:rFonts w:ascii="Courier New" w:hAnsi="Courier New" w:cs="Times New Roman" w:hint="default"/>
      </w:rPr>
    </w:lvl>
    <w:lvl w:ilvl="8" w:tplc="B07CF3A0">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4"/>
    <w:multiLevelType w:val="hybridMultilevel"/>
    <w:tmpl w:val="6D2455A2"/>
    <w:lvl w:ilvl="0" w:tplc="93583DAE">
      <w:start w:val="1"/>
      <w:numFmt w:val="decimal"/>
      <w:lvlText w:val="%1."/>
      <w:lvlJc w:val="left"/>
      <w:pPr>
        <w:ind w:left="360" w:hanging="360"/>
      </w:pPr>
    </w:lvl>
    <w:lvl w:ilvl="1" w:tplc="BC2C6356">
      <w:start w:val="1"/>
      <w:numFmt w:val="lowerLetter"/>
      <w:lvlText w:val="%2."/>
      <w:lvlJc w:val="left"/>
      <w:pPr>
        <w:ind w:left="1080" w:hanging="360"/>
      </w:pPr>
    </w:lvl>
    <w:lvl w:ilvl="2" w:tplc="39061F32">
      <w:start w:val="1"/>
      <w:numFmt w:val="lowerRoman"/>
      <w:lvlText w:val="%3."/>
      <w:lvlJc w:val="right"/>
      <w:pPr>
        <w:ind w:left="1800" w:hanging="180"/>
      </w:pPr>
    </w:lvl>
    <w:lvl w:ilvl="3" w:tplc="1BE69E36">
      <w:start w:val="1"/>
      <w:numFmt w:val="decimal"/>
      <w:lvlText w:val="%4."/>
      <w:lvlJc w:val="left"/>
      <w:pPr>
        <w:ind w:left="2520" w:hanging="360"/>
      </w:pPr>
    </w:lvl>
    <w:lvl w:ilvl="4" w:tplc="16C0456E">
      <w:start w:val="1"/>
      <w:numFmt w:val="lowerLetter"/>
      <w:lvlText w:val="%5."/>
      <w:lvlJc w:val="left"/>
      <w:pPr>
        <w:ind w:left="3240" w:hanging="360"/>
      </w:pPr>
    </w:lvl>
    <w:lvl w:ilvl="5" w:tplc="EEDC31DC">
      <w:start w:val="1"/>
      <w:numFmt w:val="lowerRoman"/>
      <w:lvlText w:val="%6."/>
      <w:lvlJc w:val="right"/>
      <w:pPr>
        <w:ind w:left="3960" w:hanging="180"/>
      </w:pPr>
    </w:lvl>
    <w:lvl w:ilvl="6" w:tplc="2A648F7A">
      <w:start w:val="1"/>
      <w:numFmt w:val="decimal"/>
      <w:lvlText w:val="%7."/>
      <w:lvlJc w:val="left"/>
      <w:pPr>
        <w:ind w:left="4680" w:hanging="360"/>
      </w:pPr>
    </w:lvl>
    <w:lvl w:ilvl="7" w:tplc="C19270AC">
      <w:start w:val="1"/>
      <w:numFmt w:val="lowerLetter"/>
      <w:lvlText w:val="%8."/>
      <w:lvlJc w:val="left"/>
      <w:pPr>
        <w:ind w:left="5400" w:hanging="360"/>
      </w:pPr>
    </w:lvl>
    <w:lvl w:ilvl="8" w:tplc="E7485718">
      <w:start w:val="1"/>
      <w:numFmt w:val="lowerRoman"/>
      <w:lvlText w:val="%9."/>
      <w:lvlJc w:val="right"/>
      <w:pPr>
        <w:ind w:left="6120" w:hanging="180"/>
      </w:pPr>
    </w:lvl>
  </w:abstractNum>
  <w:abstractNum w:abstractNumId="4" w15:restartNumberingAfterBreak="0">
    <w:nsid w:val="00000005"/>
    <w:multiLevelType w:val="hybridMultilevel"/>
    <w:tmpl w:val="C868B8B4"/>
    <w:lvl w:ilvl="0" w:tplc="893416FA">
      <w:start w:val="1"/>
      <w:numFmt w:val="decimal"/>
      <w:lvlText w:val="%1."/>
      <w:lvlJc w:val="left"/>
      <w:pPr>
        <w:ind w:left="360" w:hanging="360"/>
      </w:pPr>
    </w:lvl>
    <w:lvl w:ilvl="1" w:tplc="EA24EBAC">
      <w:start w:val="1"/>
      <w:numFmt w:val="decimal"/>
      <w:lvlText w:val="%2."/>
      <w:lvlJc w:val="left"/>
      <w:pPr>
        <w:tabs>
          <w:tab w:val="num" w:pos="1440"/>
        </w:tabs>
        <w:ind w:left="1440" w:hanging="360"/>
      </w:pPr>
    </w:lvl>
    <w:lvl w:ilvl="2" w:tplc="B90485EC">
      <w:start w:val="1"/>
      <w:numFmt w:val="decimal"/>
      <w:lvlText w:val="%3."/>
      <w:lvlJc w:val="left"/>
      <w:pPr>
        <w:tabs>
          <w:tab w:val="num" w:pos="2160"/>
        </w:tabs>
        <w:ind w:left="2160" w:hanging="360"/>
      </w:pPr>
    </w:lvl>
    <w:lvl w:ilvl="3" w:tplc="46A47D32">
      <w:start w:val="1"/>
      <w:numFmt w:val="decimal"/>
      <w:lvlText w:val="%4."/>
      <w:lvlJc w:val="left"/>
      <w:pPr>
        <w:tabs>
          <w:tab w:val="num" w:pos="2880"/>
        </w:tabs>
        <w:ind w:left="2880" w:hanging="360"/>
      </w:pPr>
    </w:lvl>
    <w:lvl w:ilvl="4" w:tplc="78746280">
      <w:start w:val="1"/>
      <w:numFmt w:val="decimal"/>
      <w:lvlText w:val="%5."/>
      <w:lvlJc w:val="left"/>
      <w:pPr>
        <w:tabs>
          <w:tab w:val="num" w:pos="3600"/>
        </w:tabs>
        <w:ind w:left="3600" w:hanging="360"/>
      </w:pPr>
    </w:lvl>
    <w:lvl w:ilvl="5" w:tplc="618EF8BE">
      <w:start w:val="1"/>
      <w:numFmt w:val="decimal"/>
      <w:lvlText w:val="%6."/>
      <w:lvlJc w:val="left"/>
      <w:pPr>
        <w:tabs>
          <w:tab w:val="num" w:pos="4320"/>
        </w:tabs>
        <w:ind w:left="4320" w:hanging="360"/>
      </w:pPr>
    </w:lvl>
    <w:lvl w:ilvl="6" w:tplc="1E365FAC">
      <w:start w:val="1"/>
      <w:numFmt w:val="decimal"/>
      <w:lvlText w:val="%7."/>
      <w:lvlJc w:val="left"/>
      <w:pPr>
        <w:tabs>
          <w:tab w:val="num" w:pos="5040"/>
        </w:tabs>
        <w:ind w:left="5040" w:hanging="360"/>
      </w:pPr>
    </w:lvl>
    <w:lvl w:ilvl="7" w:tplc="D26C130C">
      <w:start w:val="1"/>
      <w:numFmt w:val="decimal"/>
      <w:lvlText w:val="%8."/>
      <w:lvlJc w:val="left"/>
      <w:pPr>
        <w:tabs>
          <w:tab w:val="num" w:pos="5760"/>
        </w:tabs>
        <w:ind w:left="5760" w:hanging="360"/>
      </w:pPr>
    </w:lvl>
    <w:lvl w:ilvl="8" w:tplc="FDE6E546">
      <w:start w:val="1"/>
      <w:numFmt w:val="decimal"/>
      <w:lvlText w:val="%9."/>
      <w:lvlJc w:val="left"/>
      <w:pPr>
        <w:tabs>
          <w:tab w:val="num" w:pos="6480"/>
        </w:tabs>
        <w:ind w:left="6480" w:hanging="360"/>
      </w:pPr>
    </w:lvl>
  </w:abstractNum>
  <w:abstractNum w:abstractNumId="5" w15:restartNumberingAfterBreak="0">
    <w:nsid w:val="00000006"/>
    <w:multiLevelType w:val="hybridMultilevel"/>
    <w:tmpl w:val="22E87878"/>
    <w:lvl w:ilvl="0" w:tplc="0C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D722B15C" w:tentative="1">
      <w:start w:val="1"/>
      <w:numFmt w:val="lowerLetter"/>
      <w:lvlText w:val="%2."/>
      <w:lvlJc w:val="left"/>
      <w:pPr>
        <w:ind w:left="1080" w:hanging="360"/>
      </w:pPr>
    </w:lvl>
    <w:lvl w:ilvl="2" w:tplc="B478F2D0" w:tentative="1">
      <w:start w:val="1"/>
      <w:numFmt w:val="lowerRoman"/>
      <w:lvlText w:val="%3."/>
      <w:lvlJc w:val="right"/>
      <w:pPr>
        <w:ind w:left="1800" w:hanging="180"/>
      </w:pPr>
    </w:lvl>
    <w:lvl w:ilvl="3" w:tplc="CA444F2E" w:tentative="1">
      <w:start w:val="1"/>
      <w:numFmt w:val="decimal"/>
      <w:lvlText w:val="%4."/>
      <w:lvlJc w:val="left"/>
      <w:pPr>
        <w:ind w:left="2520" w:hanging="360"/>
      </w:pPr>
    </w:lvl>
    <w:lvl w:ilvl="4" w:tplc="2124B47A" w:tentative="1">
      <w:start w:val="1"/>
      <w:numFmt w:val="lowerLetter"/>
      <w:lvlText w:val="%5."/>
      <w:lvlJc w:val="left"/>
      <w:pPr>
        <w:ind w:left="3240" w:hanging="360"/>
      </w:pPr>
    </w:lvl>
    <w:lvl w:ilvl="5" w:tplc="2654E9A4" w:tentative="1">
      <w:start w:val="1"/>
      <w:numFmt w:val="lowerRoman"/>
      <w:lvlText w:val="%6."/>
      <w:lvlJc w:val="right"/>
      <w:pPr>
        <w:ind w:left="3960" w:hanging="180"/>
      </w:pPr>
    </w:lvl>
    <w:lvl w:ilvl="6" w:tplc="EA184EEE" w:tentative="1">
      <w:start w:val="1"/>
      <w:numFmt w:val="decimal"/>
      <w:lvlText w:val="%7."/>
      <w:lvlJc w:val="left"/>
      <w:pPr>
        <w:ind w:left="4680" w:hanging="360"/>
      </w:pPr>
    </w:lvl>
    <w:lvl w:ilvl="7" w:tplc="8B2C8246" w:tentative="1">
      <w:start w:val="1"/>
      <w:numFmt w:val="lowerLetter"/>
      <w:lvlText w:val="%8."/>
      <w:lvlJc w:val="left"/>
      <w:pPr>
        <w:ind w:left="5400" w:hanging="360"/>
      </w:pPr>
    </w:lvl>
    <w:lvl w:ilvl="8" w:tplc="57F00336" w:tentative="1">
      <w:start w:val="1"/>
      <w:numFmt w:val="lowerRoman"/>
      <w:lvlText w:val="%9."/>
      <w:lvlJc w:val="right"/>
      <w:pPr>
        <w:ind w:left="6120" w:hanging="180"/>
      </w:pPr>
    </w:lvl>
  </w:abstractNum>
  <w:abstractNum w:abstractNumId="6" w15:restartNumberingAfterBreak="0">
    <w:nsid w:val="00000007"/>
    <w:multiLevelType w:val="hybridMultilevel"/>
    <w:tmpl w:val="63D67E68"/>
    <w:lvl w:ilvl="0" w:tplc="67CC6AEA">
      <w:start w:val="1"/>
      <w:numFmt w:val="decimal"/>
      <w:pStyle w:val="Alnotes"/>
      <w:lvlText w:val="%1."/>
      <w:lvlJc w:val="left"/>
      <w:pPr>
        <w:ind w:left="360" w:hanging="360"/>
      </w:pPr>
      <w:rPr>
        <w:rFonts w:hint="default"/>
      </w:rPr>
    </w:lvl>
    <w:lvl w:ilvl="1" w:tplc="26144A50" w:tentative="1">
      <w:start w:val="1"/>
      <w:numFmt w:val="lowerLetter"/>
      <w:lvlText w:val="%2."/>
      <w:lvlJc w:val="left"/>
      <w:pPr>
        <w:ind w:left="1080" w:hanging="360"/>
      </w:pPr>
    </w:lvl>
    <w:lvl w:ilvl="2" w:tplc="6588720C" w:tentative="1">
      <w:start w:val="1"/>
      <w:numFmt w:val="lowerRoman"/>
      <w:lvlText w:val="%3."/>
      <w:lvlJc w:val="right"/>
      <w:pPr>
        <w:ind w:left="1800" w:hanging="180"/>
      </w:pPr>
    </w:lvl>
    <w:lvl w:ilvl="3" w:tplc="92041EAA" w:tentative="1">
      <w:start w:val="1"/>
      <w:numFmt w:val="decimal"/>
      <w:lvlText w:val="%4."/>
      <w:lvlJc w:val="left"/>
      <w:pPr>
        <w:ind w:left="2520" w:hanging="360"/>
      </w:pPr>
    </w:lvl>
    <w:lvl w:ilvl="4" w:tplc="E8385D9C" w:tentative="1">
      <w:start w:val="1"/>
      <w:numFmt w:val="lowerLetter"/>
      <w:lvlText w:val="%5."/>
      <w:lvlJc w:val="left"/>
      <w:pPr>
        <w:ind w:left="3240" w:hanging="360"/>
      </w:pPr>
    </w:lvl>
    <w:lvl w:ilvl="5" w:tplc="AE5EE45C" w:tentative="1">
      <w:start w:val="1"/>
      <w:numFmt w:val="lowerRoman"/>
      <w:lvlText w:val="%6."/>
      <w:lvlJc w:val="right"/>
      <w:pPr>
        <w:ind w:left="3960" w:hanging="180"/>
      </w:pPr>
    </w:lvl>
    <w:lvl w:ilvl="6" w:tplc="2B34C3C2" w:tentative="1">
      <w:start w:val="1"/>
      <w:numFmt w:val="decimal"/>
      <w:lvlText w:val="%7."/>
      <w:lvlJc w:val="left"/>
      <w:pPr>
        <w:ind w:left="4680" w:hanging="360"/>
      </w:pPr>
    </w:lvl>
    <w:lvl w:ilvl="7" w:tplc="69764ABC" w:tentative="1">
      <w:start w:val="1"/>
      <w:numFmt w:val="lowerLetter"/>
      <w:lvlText w:val="%8."/>
      <w:lvlJc w:val="left"/>
      <w:pPr>
        <w:ind w:left="5400" w:hanging="360"/>
      </w:pPr>
    </w:lvl>
    <w:lvl w:ilvl="8" w:tplc="6E10FF2E" w:tentative="1">
      <w:start w:val="1"/>
      <w:numFmt w:val="lowerRoman"/>
      <w:lvlText w:val="%9."/>
      <w:lvlJc w:val="right"/>
      <w:pPr>
        <w:ind w:left="6120" w:hanging="180"/>
      </w:pPr>
    </w:lvl>
  </w:abstractNum>
  <w:abstractNum w:abstractNumId="7" w15:restartNumberingAfterBreak="0">
    <w:nsid w:val="00000008"/>
    <w:multiLevelType w:val="hybridMultilevel"/>
    <w:tmpl w:val="38B6031E"/>
    <w:lvl w:ilvl="0" w:tplc="E2D24A14">
      <w:start w:val="1"/>
      <w:numFmt w:val="decimal"/>
      <w:lvlText w:val="%1."/>
      <w:lvlJc w:val="left"/>
      <w:pPr>
        <w:ind w:left="360" w:hanging="360"/>
      </w:pPr>
      <w:rPr>
        <w:color w:val="auto"/>
      </w:rPr>
    </w:lvl>
    <w:lvl w:ilvl="1" w:tplc="508EDE92">
      <w:start w:val="1"/>
      <w:numFmt w:val="lowerLetter"/>
      <w:lvlText w:val="%2."/>
      <w:lvlJc w:val="left"/>
      <w:pPr>
        <w:ind w:left="1080" w:hanging="360"/>
      </w:pPr>
    </w:lvl>
    <w:lvl w:ilvl="2" w:tplc="1D9E999C">
      <w:start w:val="1"/>
      <w:numFmt w:val="lowerRoman"/>
      <w:lvlText w:val="%3."/>
      <w:lvlJc w:val="right"/>
      <w:pPr>
        <w:ind w:left="1800" w:hanging="180"/>
      </w:pPr>
    </w:lvl>
    <w:lvl w:ilvl="3" w:tplc="67C6B5D4">
      <w:start w:val="1"/>
      <w:numFmt w:val="decimal"/>
      <w:lvlText w:val="%4."/>
      <w:lvlJc w:val="left"/>
      <w:pPr>
        <w:ind w:left="2520" w:hanging="360"/>
      </w:pPr>
    </w:lvl>
    <w:lvl w:ilvl="4" w:tplc="1AF6BD52">
      <w:start w:val="1"/>
      <w:numFmt w:val="lowerLetter"/>
      <w:lvlText w:val="%5."/>
      <w:lvlJc w:val="left"/>
      <w:pPr>
        <w:ind w:left="3240" w:hanging="360"/>
      </w:pPr>
    </w:lvl>
    <w:lvl w:ilvl="5" w:tplc="80FA78EC">
      <w:start w:val="1"/>
      <w:numFmt w:val="lowerRoman"/>
      <w:lvlText w:val="%6."/>
      <w:lvlJc w:val="right"/>
      <w:pPr>
        <w:ind w:left="3960" w:hanging="180"/>
      </w:pPr>
    </w:lvl>
    <w:lvl w:ilvl="6" w:tplc="999C71A8">
      <w:start w:val="1"/>
      <w:numFmt w:val="decimal"/>
      <w:lvlText w:val="%7."/>
      <w:lvlJc w:val="left"/>
      <w:pPr>
        <w:ind w:left="4680" w:hanging="360"/>
      </w:pPr>
    </w:lvl>
    <w:lvl w:ilvl="7" w:tplc="B9707B92">
      <w:start w:val="1"/>
      <w:numFmt w:val="lowerLetter"/>
      <w:lvlText w:val="%8."/>
      <w:lvlJc w:val="left"/>
      <w:pPr>
        <w:ind w:left="5400" w:hanging="360"/>
      </w:pPr>
    </w:lvl>
    <w:lvl w:ilvl="8" w:tplc="F4DA1486">
      <w:start w:val="1"/>
      <w:numFmt w:val="lowerRoman"/>
      <w:lvlText w:val="%9."/>
      <w:lvlJc w:val="right"/>
      <w:pPr>
        <w:ind w:left="6120" w:hanging="180"/>
      </w:pPr>
    </w:lvl>
  </w:abstractNum>
  <w:abstractNum w:abstractNumId="8" w15:restartNumberingAfterBreak="0">
    <w:nsid w:val="00000009"/>
    <w:multiLevelType w:val="hybridMultilevel"/>
    <w:tmpl w:val="38B6031E"/>
    <w:lvl w:ilvl="0" w:tplc="FCCCA0F8">
      <w:start w:val="1"/>
      <w:numFmt w:val="decimal"/>
      <w:pStyle w:val="BSnoteslist0"/>
      <w:lvlText w:val="%1."/>
      <w:lvlJc w:val="left"/>
      <w:pPr>
        <w:ind w:left="360" w:hanging="360"/>
      </w:pPr>
      <w:rPr>
        <w:color w:val="auto"/>
      </w:rPr>
    </w:lvl>
    <w:lvl w:ilvl="1" w:tplc="E048E096">
      <w:start w:val="1"/>
      <w:numFmt w:val="lowerLetter"/>
      <w:lvlText w:val="%2."/>
      <w:lvlJc w:val="left"/>
      <w:pPr>
        <w:ind w:left="1080" w:hanging="360"/>
      </w:pPr>
    </w:lvl>
    <w:lvl w:ilvl="2" w:tplc="93BE69AC">
      <w:start w:val="1"/>
      <w:numFmt w:val="lowerRoman"/>
      <w:lvlText w:val="%3."/>
      <w:lvlJc w:val="right"/>
      <w:pPr>
        <w:ind w:left="1800" w:hanging="180"/>
      </w:pPr>
    </w:lvl>
    <w:lvl w:ilvl="3" w:tplc="6A7CA798">
      <w:start w:val="1"/>
      <w:numFmt w:val="decimal"/>
      <w:lvlText w:val="%4."/>
      <w:lvlJc w:val="left"/>
      <w:pPr>
        <w:ind w:left="2520" w:hanging="360"/>
      </w:pPr>
    </w:lvl>
    <w:lvl w:ilvl="4" w:tplc="F07ED8FA">
      <w:start w:val="1"/>
      <w:numFmt w:val="lowerLetter"/>
      <w:lvlText w:val="%5."/>
      <w:lvlJc w:val="left"/>
      <w:pPr>
        <w:ind w:left="3240" w:hanging="360"/>
      </w:pPr>
    </w:lvl>
    <w:lvl w:ilvl="5" w:tplc="7006F39A">
      <w:start w:val="1"/>
      <w:numFmt w:val="lowerRoman"/>
      <w:lvlText w:val="%6."/>
      <w:lvlJc w:val="right"/>
      <w:pPr>
        <w:ind w:left="3960" w:hanging="180"/>
      </w:pPr>
    </w:lvl>
    <w:lvl w:ilvl="6" w:tplc="1632C050">
      <w:start w:val="1"/>
      <w:numFmt w:val="decimal"/>
      <w:lvlText w:val="%7."/>
      <w:lvlJc w:val="left"/>
      <w:pPr>
        <w:ind w:left="4680" w:hanging="360"/>
      </w:pPr>
    </w:lvl>
    <w:lvl w:ilvl="7" w:tplc="55AE7B68">
      <w:start w:val="1"/>
      <w:numFmt w:val="lowerLetter"/>
      <w:lvlText w:val="%8."/>
      <w:lvlJc w:val="left"/>
      <w:pPr>
        <w:ind w:left="5400" w:hanging="360"/>
      </w:pPr>
    </w:lvl>
    <w:lvl w:ilvl="8" w:tplc="A9E09D92">
      <w:start w:val="1"/>
      <w:numFmt w:val="lowerRoman"/>
      <w:lvlText w:val="%9."/>
      <w:lvlJc w:val="right"/>
      <w:pPr>
        <w:ind w:left="6120" w:hanging="180"/>
      </w:pPr>
    </w:lvl>
  </w:abstractNum>
  <w:abstractNum w:abstractNumId="9" w15:restartNumberingAfterBreak="0">
    <w:nsid w:val="0000000A"/>
    <w:multiLevelType w:val="hybridMultilevel"/>
    <w:tmpl w:val="F20406A0"/>
    <w:lvl w:ilvl="0" w:tplc="E6F49F40">
      <w:start w:val="1"/>
      <w:numFmt w:val="decimal"/>
      <w:lvlText w:val="%1."/>
      <w:lvlJc w:val="left"/>
      <w:pPr>
        <w:ind w:left="360" w:hanging="360"/>
      </w:pPr>
      <w:rPr>
        <w:color w:val="auto"/>
      </w:rPr>
    </w:lvl>
    <w:lvl w:ilvl="1" w:tplc="FAA2BABA">
      <w:start w:val="1"/>
      <w:numFmt w:val="lowerLetter"/>
      <w:lvlText w:val="%2."/>
      <w:lvlJc w:val="left"/>
      <w:pPr>
        <w:ind w:left="1080" w:hanging="360"/>
      </w:pPr>
    </w:lvl>
    <w:lvl w:ilvl="2" w:tplc="076C1516">
      <w:start w:val="1"/>
      <w:numFmt w:val="lowerRoman"/>
      <w:lvlText w:val="%3."/>
      <w:lvlJc w:val="right"/>
      <w:pPr>
        <w:ind w:left="1800" w:hanging="180"/>
      </w:pPr>
    </w:lvl>
    <w:lvl w:ilvl="3" w:tplc="6EDAF9F0">
      <w:start w:val="1"/>
      <w:numFmt w:val="decimal"/>
      <w:lvlText w:val="%4."/>
      <w:lvlJc w:val="left"/>
      <w:pPr>
        <w:ind w:left="2520" w:hanging="360"/>
      </w:pPr>
    </w:lvl>
    <w:lvl w:ilvl="4" w:tplc="1D92ABBE">
      <w:start w:val="1"/>
      <w:numFmt w:val="lowerLetter"/>
      <w:lvlText w:val="%5."/>
      <w:lvlJc w:val="left"/>
      <w:pPr>
        <w:ind w:left="3240" w:hanging="360"/>
      </w:pPr>
    </w:lvl>
    <w:lvl w:ilvl="5" w:tplc="4C664E7E">
      <w:start w:val="1"/>
      <w:numFmt w:val="lowerRoman"/>
      <w:lvlText w:val="%6."/>
      <w:lvlJc w:val="right"/>
      <w:pPr>
        <w:ind w:left="3960" w:hanging="180"/>
      </w:pPr>
    </w:lvl>
    <w:lvl w:ilvl="6" w:tplc="ACD4E4EC">
      <w:start w:val="1"/>
      <w:numFmt w:val="decimal"/>
      <w:lvlText w:val="%7."/>
      <w:lvlJc w:val="left"/>
      <w:pPr>
        <w:ind w:left="4680" w:hanging="360"/>
      </w:pPr>
    </w:lvl>
    <w:lvl w:ilvl="7" w:tplc="D6DEBF12">
      <w:start w:val="1"/>
      <w:numFmt w:val="lowerLetter"/>
      <w:lvlText w:val="%8."/>
      <w:lvlJc w:val="left"/>
      <w:pPr>
        <w:ind w:left="5400" w:hanging="360"/>
      </w:pPr>
    </w:lvl>
    <w:lvl w:ilvl="8" w:tplc="8E7CB360">
      <w:start w:val="1"/>
      <w:numFmt w:val="lowerRoman"/>
      <w:lvlText w:val="%9."/>
      <w:lvlJc w:val="right"/>
      <w:pPr>
        <w:ind w:left="6120" w:hanging="180"/>
      </w:pPr>
    </w:lvl>
  </w:abstractNum>
  <w:abstractNum w:abstractNumId="10" w15:restartNumberingAfterBreak="0">
    <w:nsid w:val="0000000B"/>
    <w:multiLevelType w:val="hybridMultilevel"/>
    <w:tmpl w:val="EAB0EDA0"/>
    <w:lvl w:ilvl="0" w:tplc="C518B640">
      <w:start w:val="1"/>
      <w:numFmt w:val="decimal"/>
      <w:lvlText w:val="%1."/>
      <w:lvlJc w:val="left"/>
      <w:pPr>
        <w:ind w:left="360" w:hanging="360"/>
      </w:pPr>
    </w:lvl>
    <w:lvl w:ilvl="1" w:tplc="376EED84">
      <w:start w:val="1"/>
      <w:numFmt w:val="lowerLetter"/>
      <w:lvlText w:val="%2."/>
      <w:lvlJc w:val="left"/>
      <w:pPr>
        <w:ind w:left="1080" w:hanging="360"/>
      </w:pPr>
    </w:lvl>
    <w:lvl w:ilvl="2" w:tplc="70DAB824">
      <w:start w:val="1"/>
      <w:numFmt w:val="lowerRoman"/>
      <w:lvlText w:val="%3."/>
      <w:lvlJc w:val="right"/>
      <w:pPr>
        <w:ind w:left="1800" w:hanging="180"/>
      </w:pPr>
    </w:lvl>
    <w:lvl w:ilvl="3" w:tplc="F1B078D2">
      <w:start w:val="1"/>
      <w:numFmt w:val="decimal"/>
      <w:lvlText w:val="%4."/>
      <w:lvlJc w:val="left"/>
      <w:pPr>
        <w:ind w:left="2520" w:hanging="360"/>
      </w:pPr>
    </w:lvl>
    <w:lvl w:ilvl="4" w:tplc="A78295DA">
      <w:start w:val="1"/>
      <w:numFmt w:val="lowerLetter"/>
      <w:lvlText w:val="%5."/>
      <w:lvlJc w:val="left"/>
      <w:pPr>
        <w:ind w:left="3240" w:hanging="360"/>
      </w:pPr>
    </w:lvl>
    <w:lvl w:ilvl="5" w:tplc="399C848A">
      <w:start w:val="1"/>
      <w:numFmt w:val="lowerRoman"/>
      <w:lvlText w:val="%6."/>
      <w:lvlJc w:val="right"/>
      <w:pPr>
        <w:ind w:left="3960" w:hanging="180"/>
      </w:pPr>
    </w:lvl>
    <w:lvl w:ilvl="6" w:tplc="3B1E6B74">
      <w:start w:val="1"/>
      <w:numFmt w:val="decimal"/>
      <w:lvlText w:val="%7."/>
      <w:lvlJc w:val="left"/>
      <w:pPr>
        <w:ind w:left="4680" w:hanging="360"/>
      </w:pPr>
    </w:lvl>
    <w:lvl w:ilvl="7" w:tplc="B71EAA90">
      <w:start w:val="1"/>
      <w:numFmt w:val="lowerLetter"/>
      <w:lvlText w:val="%8."/>
      <w:lvlJc w:val="left"/>
      <w:pPr>
        <w:ind w:left="5400" w:hanging="360"/>
      </w:pPr>
    </w:lvl>
    <w:lvl w:ilvl="8" w:tplc="088AF4F8">
      <w:start w:val="1"/>
      <w:numFmt w:val="lowerRoman"/>
      <w:lvlText w:val="%9."/>
      <w:lvlJc w:val="right"/>
      <w:pPr>
        <w:ind w:left="6120" w:hanging="180"/>
      </w:pPr>
    </w:lvl>
  </w:abstractNum>
  <w:abstractNum w:abstractNumId="11" w15:restartNumberingAfterBreak="0">
    <w:nsid w:val="0000000C"/>
    <w:multiLevelType w:val="hybridMultilevel"/>
    <w:tmpl w:val="EAB0EDA0"/>
    <w:lvl w:ilvl="0" w:tplc="92A0AAC0">
      <w:start w:val="1"/>
      <w:numFmt w:val="decimal"/>
      <w:lvlText w:val="%1."/>
      <w:lvlJc w:val="left"/>
      <w:pPr>
        <w:ind w:left="360" w:hanging="360"/>
      </w:pPr>
    </w:lvl>
    <w:lvl w:ilvl="1" w:tplc="3306DA3C">
      <w:start w:val="1"/>
      <w:numFmt w:val="lowerLetter"/>
      <w:lvlText w:val="%2."/>
      <w:lvlJc w:val="left"/>
      <w:pPr>
        <w:ind w:left="1080" w:hanging="360"/>
      </w:pPr>
    </w:lvl>
    <w:lvl w:ilvl="2" w:tplc="EDF80B04">
      <w:start w:val="1"/>
      <w:numFmt w:val="lowerRoman"/>
      <w:lvlText w:val="%3."/>
      <w:lvlJc w:val="right"/>
      <w:pPr>
        <w:ind w:left="1800" w:hanging="180"/>
      </w:pPr>
    </w:lvl>
    <w:lvl w:ilvl="3" w:tplc="E564A83A">
      <w:start w:val="1"/>
      <w:numFmt w:val="decimal"/>
      <w:lvlText w:val="%4."/>
      <w:lvlJc w:val="left"/>
      <w:pPr>
        <w:ind w:left="2520" w:hanging="360"/>
      </w:pPr>
    </w:lvl>
    <w:lvl w:ilvl="4" w:tplc="3A6C9862">
      <w:start w:val="1"/>
      <w:numFmt w:val="lowerLetter"/>
      <w:lvlText w:val="%5."/>
      <w:lvlJc w:val="left"/>
      <w:pPr>
        <w:ind w:left="3240" w:hanging="360"/>
      </w:pPr>
    </w:lvl>
    <w:lvl w:ilvl="5" w:tplc="971A46D8">
      <w:start w:val="1"/>
      <w:numFmt w:val="lowerRoman"/>
      <w:lvlText w:val="%6."/>
      <w:lvlJc w:val="right"/>
      <w:pPr>
        <w:ind w:left="3960" w:hanging="180"/>
      </w:pPr>
    </w:lvl>
    <w:lvl w:ilvl="6" w:tplc="411E6916">
      <w:start w:val="1"/>
      <w:numFmt w:val="decimal"/>
      <w:lvlText w:val="%7."/>
      <w:lvlJc w:val="left"/>
      <w:pPr>
        <w:ind w:left="4680" w:hanging="360"/>
      </w:pPr>
    </w:lvl>
    <w:lvl w:ilvl="7" w:tplc="E28A77C8">
      <w:start w:val="1"/>
      <w:numFmt w:val="lowerLetter"/>
      <w:lvlText w:val="%8."/>
      <w:lvlJc w:val="left"/>
      <w:pPr>
        <w:ind w:left="5400" w:hanging="360"/>
      </w:pPr>
    </w:lvl>
    <w:lvl w:ilvl="8" w:tplc="926E0BAC">
      <w:start w:val="1"/>
      <w:numFmt w:val="lowerRoman"/>
      <w:lvlText w:val="%9."/>
      <w:lvlJc w:val="right"/>
      <w:pPr>
        <w:ind w:left="6120" w:hanging="180"/>
      </w:pPr>
    </w:lvl>
  </w:abstractNum>
  <w:abstractNum w:abstractNumId="12" w15:restartNumberingAfterBreak="0">
    <w:nsid w:val="0000000D"/>
    <w:multiLevelType w:val="hybridMultilevel"/>
    <w:tmpl w:val="EAB0EDA0"/>
    <w:lvl w:ilvl="0" w:tplc="BA142762">
      <w:start w:val="1"/>
      <w:numFmt w:val="decimal"/>
      <w:lvlText w:val="%1."/>
      <w:lvlJc w:val="left"/>
      <w:pPr>
        <w:ind w:left="360" w:hanging="360"/>
      </w:pPr>
    </w:lvl>
    <w:lvl w:ilvl="1" w:tplc="2E980666">
      <w:start w:val="1"/>
      <w:numFmt w:val="lowerLetter"/>
      <w:lvlText w:val="%2."/>
      <w:lvlJc w:val="left"/>
      <w:pPr>
        <w:ind w:left="1080" w:hanging="360"/>
      </w:pPr>
    </w:lvl>
    <w:lvl w:ilvl="2" w:tplc="ED463120">
      <w:start w:val="1"/>
      <w:numFmt w:val="lowerRoman"/>
      <w:lvlText w:val="%3."/>
      <w:lvlJc w:val="right"/>
      <w:pPr>
        <w:ind w:left="1800" w:hanging="180"/>
      </w:pPr>
    </w:lvl>
    <w:lvl w:ilvl="3" w:tplc="FD3CAC0C">
      <w:start w:val="1"/>
      <w:numFmt w:val="decimal"/>
      <w:lvlText w:val="%4."/>
      <w:lvlJc w:val="left"/>
      <w:pPr>
        <w:ind w:left="2520" w:hanging="360"/>
      </w:pPr>
    </w:lvl>
    <w:lvl w:ilvl="4" w:tplc="E19CBAF8">
      <w:start w:val="1"/>
      <w:numFmt w:val="lowerLetter"/>
      <w:lvlText w:val="%5."/>
      <w:lvlJc w:val="left"/>
      <w:pPr>
        <w:ind w:left="3240" w:hanging="360"/>
      </w:pPr>
    </w:lvl>
    <w:lvl w:ilvl="5" w:tplc="4D16C976">
      <w:start w:val="1"/>
      <w:numFmt w:val="lowerRoman"/>
      <w:lvlText w:val="%6."/>
      <w:lvlJc w:val="right"/>
      <w:pPr>
        <w:ind w:left="3960" w:hanging="180"/>
      </w:pPr>
    </w:lvl>
    <w:lvl w:ilvl="6" w:tplc="66460CE8">
      <w:start w:val="1"/>
      <w:numFmt w:val="decimal"/>
      <w:lvlText w:val="%7."/>
      <w:lvlJc w:val="left"/>
      <w:pPr>
        <w:ind w:left="4680" w:hanging="360"/>
      </w:pPr>
    </w:lvl>
    <w:lvl w:ilvl="7" w:tplc="71AC5416">
      <w:start w:val="1"/>
      <w:numFmt w:val="lowerLetter"/>
      <w:lvlText w:val="%8."/>
      <w:lvlJc w:val="left"/>
      <w:pPr>
        <w:ind w:left="5400" w:hanging="360"/>
      </w:pPr>
    </w:lvl>
    <w:lvl w:ilvl="8" w:tplc="2F287F14">
      <w:start w:val="1"/>
      <w:numFmt w:val="lowerRoman"/>
      <w:lvlText w:val="%9."/>
      <w:lvlJc w:val="right"/>
      <w:pPr>
        <w:ind w:left="6120" w:hanging="180"/>
      </w:pPr>
    </w:lvl>
  </w:abstractNum>
  <w:abstractNum w:abstractNumId="13" w15:restartNumberingAfterBreak="0">
    <w:nsid w:val="0000000E"/>
    <w:multiLevelType w:val="hybridMultilevel"/>
    <w:tmpl w:val="EAB0EDA0"/>
    <w:lvl w:ilvl="0" w:tplc="6A826E52">
      <w:start w:val="1"/>
      <w:numFmt w:val="decimal"/>
      <w:lvlText w:val="%1."/>
      <w:lvlJc w:val="left"/>
      <w:pPr>
        <w:ind w:left="360" w:hanging="360"/>
      </w:pPr>
    </w:lvl>
    <w:lvl w:ilvl="1" w:tplc="CE82D452">
      <w:start w:val="1"/>
      <w:numFmt w:val="lowerLetter"/>
      <w:lvlText w:val="%2."/>
      <w:lvlJc w:val="left"/>
      <w:pPr>
        <w:ind w:left="1080" w:hanging="360"/>
      </w:pPr>
    </w:lvl>
    <w:lvl w:ilvl="2" w:tplc="F0825CE2">
      <w:start w:val="1"/>
      <w:numFmt w:val="lowerRoman"/>
      <w:lvlText w:val="%3."/>
      <w:lvlJc w:val="right"/>
      <w:pPr>
        <w:ind w:left="1800" w:hanging="180"/>
      </w:pPr>
    </w:lvl>
    <w:lvl w:ilvl="3" w:tplc="ABF8C344">
      <w:start w:val="1"/>
      <w:numFmt w:val="decimal"/>
      <w:lvlText w:val="%4."/>
      <w:lvlJc w:val="left"/>
      <w:pPr>
        <w:ind w:left="2520" w:hanging="360"/>
      </w:pPr>
    </w:lvl>
    <w:lvl w:ilvl="4" w:tplc="8ECC9D02">
      <w:start w:val="1"/>
      <w:numFmt w:val="lowerLetter"/>
      <w:lvlText w:val="%5."/>
      <w:lvlJc w:val="left"/>
      <w:pPr>
        <w:ind w:left="3240" w:hanging="360"/>
      </w:pPr>
    </w:lvl>
    <w:lvl w:ilvl="5" w:tplc="03401DF8">
      <w:start w:val="1"/>
      <w:numFmt w:val="lowerRoman"/>
      <w:lvlText w:val="%6."/>
      <w:lvlJc w:val="right"/>
      <w:pPr>
        <w:ind w:left="3960" w:hanging="180"/>
      </w:pPr>
    </w:lvl>
    <w:lvl w:ilvl="6" w:tplc="FC8C105A">
      <w:start w:val="1"/>
      <w:numFmt w:val="decimal"/>
      <w:lvlText w:val="%7."/>
      <w:lvlJc w:val="left"/>
      <w:pPr>
        <w:ind w:left="4680" w:hanging="360"/>
      </w:pPr>
    </w:lvl>
    <w:lvl w:ilvl="7" w:tplc="BBAC4B40">
      <w:start w:val="1"/>
      <w:numFmt w:val="lowerLetter"/>
      <w:lvlText w:val="%8."/>
      <w:lvlJc w:val="left"/>
      <w:pPr>
        <w:ind w:left="5400" w:hanging="360"/>
      </w:pPr>
    </w:lvl>
    <w:lvl w:ilvl="8" w:tplc="4332404E">
      <w:start w:val="1"/>
      <w:numFmt w:val="lowerRoman"/>
      <w:lvlText w:val="%9."/>
      <w:lvlJc w:val="right"/>
      <w:pPr>
        <w:ind w:left="6120" w:hanging="180"/>
      </w:pPr>
    </w:lvl>
  </w:abstractNum>
  <w:abstractNum w:abstractNumId="14" w15:restartNumberingAfterBreak="0">
    <w:nsid w:val="0000000F"/>
    <w:multiLevelType w:val="hybridMultilevel"/>
    <w:tmpl w:val="EAB0EDA0"/>
    <w:lvl w:ilvl="0" w:tplc="8D9E5E28">
      <w:start w:val="1"/>
      <w:numFmt w:val="decimal"/>
      <w:pStyle w:val="BSnoteslist2"/>
      <w:lvlText w:val="%1."/>
      <w:lvlJc w:val="left"/>
      <w:pPr>
        <w:ind w:left="360" w:hanging="360"/>
      </w:pPr>
    </w:lvl>
    <w:lvl w:ilvl="1" w:tplc="9C40D904">
      <w:start w:val="1"/>
      <w:numFmt w:val="lowerLetter"/>
      <w:lvlText w:val="%2."/>
      <w:lvlJc w:val="left"/>
      <w:pPr>
        <w:ind w:left="1080" w:hanging="360"/>
      </w:pPr>
    </w:lvl>
    <w:lvl w:ilvl="2" w:tplc="0A4A1FD2">
      <w:start w:val="1"/>
      <w:numFmt w:val="lowerRoman"/>
      <w:lvlText w:val="%3."/>
      <w:lvlJc w:val="right"/>
      <w:pPr>
        <w:ind w:left="1800" w:hanging="180"/>
      </w:pPr>
    </w:lvl>
    <w:lvl w:ilvl="3" w:tplc="32DED9EC">
      <w:start w:val="1"/>
      <w:numFmt w:val="decimal"/>
      <w:lvlText w:val="%4."/>
      <w:lvlJc w:val="left"/>
      <w:pPr>
        <w:ind w:left="2520" w:hanging="360"/>
      </w:pPr>
    </w:lvl>
    <w:lvl w:ilvl="4" w:tplc="C6CE460C">
      <w:start w:val="1"/>
      <w:numFmt w:val="lowerLetter"/>
      <w:lvlText w:val="%5."/>
      <w:lvlJc w:val="left"/>
      <w:pPr>
        <w:ind w:left="3240" w:hanging="360"/>
      </w:pPr>
    </w:lvl>
    <w:lvl w:ilvl="5" w:tplc="B9E07BF0">
      <w:start w:val="1"/>
      <w:numFmt w:val="lowerRoman"/>
      <w:lvlText w:val="%6."/>
      <w:lvlJc w:val="right"/>
      <w:pPr>
        <w:ind w:left="3960" w:hanging="180"/>
      </w:pPr>
    </w:lvl>
    <w:lvl w:ilvl="6" w:tplc="37C61210">
      <w:start w:val="1"/>
      <w:numFmt w:val="decimal"/>
      <w:lvlText w:val="%7."/>
      <w:lvlJc w:val="left"/>
      <w:pPr>
        <w:ind w:left="4680" w:hanging="360"/>
      </w:pPr>
    </w:lvl>
    <w:lvl w:ilvl="7" w:tplc="43D0D61E">
      <w:start w:val="1"/>
      <w:numFmt w:val="lowerLetter"/>
      <w:lvlText w:val="%8."/>
      <w:lvlJc w:val="left"/>
      <w:pPr>
        <w:ind w:left="5400" w:hanging="360"/>
      </w:pPr>
    </w:lvl>
    <w:lvl w:ilvl="8" w:tplc="F4BA4EAA">
      <w:start w:val="1"/>
      <w:numFmt w:val="lowerRoman"/>
      <w:lvlText w:val="%9."/>
      <w:lvlJc w:val="right"/>
      <w:pPr>
        <w:ind w:left="6120" w:hanging="180"/>
      </w:pPr>
    </w:lvl>
  </w:abstractNum>
  <w:abstractNum w:abstractNumId="15" w15:restartNumberingAfterBreak="0">
    <w:nsid w:val="00000010"/>
    <w:multiLevelType w:val="hybridMultilevel"/>
    <w:tmpl w:val="EAB0EDA0"/>
    <w:lvl w:ilvl="0" w:tplc="CBD0A562">
      <w:start w:val="1"/>
      <w:numFmt w:val="decimal"/>
      <w:lvlText w:val="%1."/>
      <w:lvlJc w:val="left"/>
      <w:pPr>
        <w:ind w:left="360" w:hanging="360"/>
      </w:pPr>
    </w:lvl>
    <w:lvl w:ilvl="1" w:tplc="291EB10C">
      <w:start w:val="1"/>
      <w:numFmt w:val="lowerLetter"/>
      <w:lvlText w:val="%2."/>
      <w:lvlJc w:val="left"/>
      <w:pPr>
        <w:ind w:left="1080" w:hanging="360"/>
      </w:pPr>
    </w:lvl>
    <w:lvl w:ilvl="2" w:tplc="97F04560">
      <w:start w:val="1"/>
      <w:numFmt w:val="lowerRoman"/>
      <w:lvlText w:val="%3."/>
      <w:lvlJc w:val="right"/>
      <w:pPr>
        <w:ind w:left="1800" w:hanging="180"/>
      </w:pPr>
    </w:lvl>
    <w:lvl w:ilvl="3" w:tplc="C1623E74">
      <w:start w:val="1"/>
      <w:numFmt w:val="decimal"/>
      <w:lvlText w:val="%4."/>
      <w:lvlJc w:val="left"/>
      <w:pPr>
        <w:ind w:left="2520" w:hanging="360"/>
      </w:pPr>
    </w:lvl>
    <w:lvl w:ilvl="4" w:tplc="6FB05206">
      <w:start w:val="1"/>
      <w:numFmt w:val="lowerLetter"/>
      <w:lvlText w:val="%5."/>
      <w:lvlJc w:val="left"/>
      <w:pPr>
        <w:ind w:left="3240" w:hanging="360"/>
      </w:pPr>
    </w:lvl>
    <w:lvl w:ilvl="5" w:tplc="030C561E">
      <w:start w:val="1"/>
      <w:numFmt w:val="lowerRoman"/>
      <w:lvlText w:val="%6."/>
      <w:lvlJc w:val="right"/>
      <w:pPr>
        <w:ind w:left="3960" w:hanging="180"/>
      </w:pPr>
    </w:lvl>
    <w:lvl w:ilvl="6" w:tplc="1A047028">
      <w:start w:val="1"/>
      <w:numFmt w:val="decimal"/>
      <w:lvlText w:val="%7."/>
      <w:lvlJc w:val="left"/>
      <w:pPr>
        <w:ind w:left="4680" w:hanging="360"/>
      </w:pPr>
    </w:lvl>
    <w:lvl w:ilvl="7" w:tplc="3A147C62">
      <w:start w:val="1"/>
      <w:numFmt w:val="lowerLetter"/>
      <w:lvlText w:val="%8."/>
      <w:lvlJc w:val="left"/>
      <w:pPr>
        <w:ind w:left="5400" w:hanging="360"/>
      </w:pPr>
    </w:lvl>
    <w:lvl w:ilvl="8" w:tplc="49AEED58">
      <w:start w:val="1"/>
      <w:numFmt w:val="lowerRoman"/>
      <w:lvlText w:val="%9."/>
      <w:lvlJc w:val="right"/>
      <w:pPr>
        <w:ind w:left="6120" w:hanging="180"/>
      </w:pPr>
    </w:lvl>
  </w:abstractNum>
  <w:abstractNum w:abstractNumId="16" w15:restartNumberingAfterBreak="0">
    <w:nsid w:val="00000011"/>
    <w:multiLevelType w:val="hybridMultilevel"/>
    <w:tmpl w:val="CBA65AF0"/>
    <w:lvl w:ilvl="0" w:tplc="B9FA4AAA">
      <w:start w:val="1"/>
      <w:numFmt w:val="decimal"/>
      <w:lvlText w:val="%1."/>
      <w:lvlJc w:val="left"/>
      <w:pPr>
        <w:ind w:left="720" w:hanging="360"/>
      </w:pPr>
    </w:lvl>
    <w:lvl w:ilvl="1" w:tplc="B6D0C1D0">
      <w:start w:val="1"/>
      <w:numFmt w:val="lowerLetter"/>
      <w:lvlText w:val="%2."/>
      <w:lvlJc w:val="left"/>
      <w:pPr>
        <w:ind w:left="1440" w:hanging="360"/>
      </w:pPr>
    </w:lvl>
    <w:lvl w:ilvl="2" w:tplc="E1C4CF6E">
      <w:start w:val="1"/>
      <w:numFmt w:val="lowerRoman"/>
      <w:lvlText w:val="%3."/>
      <w:lvlJc w:val="right"/>
      <w:pPr>
        <w:ind w:left="2160" w:hanging="180"/>
      </w:pPr>
    </w:lvl>
    <w:lvl w:ilvl="3" w:tplc="523060E4">
      <w:start w:val="1"/>
      <w:numFmt w:val="decimal"/>
      <w:lvlText w:val="%4."/>
      <w:lvlJc w:val="left"/>
      <w:pPr>
        <w:ind w:left="2880" w:hanging="360"/>
      </w:pPr>
    </w:lvl>
    <w:lvl w:ilvl="4" w:tplc="A81CC930">
      <w:start w:val="1"/>
      <w:numFmt w:val="lowerLetter"/>
      <w:lvlText w:val="%5."/>
      <w:lvlJc w:val="left"/>
      <w:pPr>
        <w:ind w:left="3600" w:hanging="360"/>
      </w:pPr>
    </w:lvl>
    <w:lvl w:ilvl="5" w:tplc="EA8A3AAC">
      <w:start w:val="1"/>
      <w:numFmt w:val="lowerRoman"/>
      <w:lvlText w:val="%6."/>
      <w:lvlJc w:val="right"/>
      <w:pPr>
        <w:ind w:left="4320" w:hanging="180"/>
      </w:pPr>
    </w:lvl>
    <w:lvl w:ilvl="6" w:tplc="50A09BEE">
      <w:start w:val="1"/>
      <w:numFmt w:val="decimal"/>
      <w:lvlText w:val="%7."/>
      <w:lvlJc w:val="left"/>
      <w:pPr>
        <w:ind w:left="5040" w:hanging="360"/>
      </w:pPr>
    </w:lvl>
    <w:lvl w:ilvl="7" w:tplc="8C8086BA">
      <w:start w:val="1"/>
      <w:numFmt w:val="lowerLetter"/>
      <w:lvlText w:val="%8."/>
      <w:lvlJc w:val="left"/>
      <w:pPr>
        <w:ind w:left="5760" w:hanging="360"/>
      </w:pPr>
    </w:lvl>
    <w:lvl w:ilvl="8" w:tplc="0480FE9C">
      <w:start w:val="1"/>
      <w:numFmt w:val="lowerRoman"/>
      <w:lvlText w:val="%9."/>
      <w:lvlJc w:val="right"/>
      <w:pPr>
        <w:ind w:left="6480" w:hanging="180"/>
      </w:pPr>
    </w:lvl>
  </w:abstractNum>
  <w:abstractNum w:abstractNumId="17" w15:restartNumberingAfterBreak="0">
    <w:nsid w:val="00000012"/>
    <w:multiLevelType w:val="hybridMultilevel"/>
    <w:tmpl w:val="BA0616E2"/>
    <w:lvl w:ilvl="0" w:tplc="C8FE65E0">
      <w:start w:val="1"/>
      <w:numFmt w:val="decimal"/>
      <w:lvlText w:val="%1."/>
      <w:lvlJc w:val="left"/>
      <w:pPr>
        <w:ind w:left="360" w:hanging="360"/>
      </w:pPr>
      <w:rPr>
        <w:b w:val="0"/>
      </w:rPr>
    </w:lvl>
    <w:lvl w:ilvl="1" w:tplc="BD3ADC42">
      <w:start w:val="1"/>
      <w:numFmt w:val="lowerLetter"/>
      <w:lvlText w:val="%2."/>
      <w:lvlJc w:val="left"/>
      <w:pPr>
        <w:ind w:left="1080" w:hanging="360"/>
      </w:pPr>
    </w:lvl>
    <w:lvl w:ilvl="2" w:tplc="7A7C6BD8">
      <w:start w:val="1"/>
      <w:numFmt w:val="lowerRoman"/>
      <w:lvlText w:val="%3."/>
      <w:lvlJc w:val="right"/>
      <w:pPr>
        <w:ind w:left="1800" w:hanging="180"/>
      </w:pPr>
    </w:lvl>
    <w:lvl w:ilvl="3" w:tplc="A4807060">
      <w:start w:val="1"/>
      <w:numFmt w:val="decimal"/>
      <w:lvlText w:val="%4."/>
      <w:lvlJc w:val="left"/>
      <w:pPr>
        <w:ind w:left="2520" w:hanging="360"/>
      </w:pPr>
    </w:lvl>
    <w:lvl w:ilvl="4" w:tplc="79AC40D8">
      <w:start w:val="1"/>
      <w:numFmt w:val="lowerLetter"/>
      <w:lvlText w:val="%5."/>
      <w:lvlJc w:val="left"/>
      <w:pPr>
        <w:ind w:left="3240" w:hanging="360"/>
      </w:pPr>
    </w:lvl>
    <w:lvl w:ilvl="5" w:tplc="271E2F46">
      <w:start w:val="1"/>
      <w:numFmt w:val="lowerRoman"/>
      <w:lvlText w:val="%6."/>
      <w:lvlJc w:val="right"/>
      <w:pPr>
        <w:ind w:left="3960" w:hanging="180"/>
      </w:pPr>
    </w:lvl>
    <w:lvl w:ilvl="6" w:tplc="1A00BFEE">
      <w:start w:val="1"/>
      <w:numFmt w:val="decimal"/>
      <w:lvlText w:val="%7."/>
      <w:lvlJc w:val="left"/>
      <w:pPr>
        <w:ind w:left="4680" w:hanging="360"/>
      </w:pPr>
    </w:lvl>
    <w:lvl w:ilvl="7" w:tplc="B0540028">
      <w:start w:val="1"/>
      <w:numFmt w:val="lowerLetter"/>
      <w:lvlText w:val="%8."/>
      <w:lvlJc w:val="left"/>
      <w:pPr>
        <w:ind w:left="5400" w:hanging="360"/>
      </w:pPr>
    </w:lvl>
    <w:lvl w:ilvl="8" w:tplc="54383EE0">
      <w:start w:val="1"/>
      <w:numFmt w:val="lowerRoman"/>
      <w:lvlText w:val="%9."/>
      <w:lvlJc w:val="right"/>
      <w:pPr>
        <w:ind w:left="6120" w:hanging="180"/>
      </w:pPr>
    </w:lvl>
  </w:abstractNum>
  <w:abstractNum w:abstractNumId="18" w15:restartNumberingAfterBreak="0">
    <w:nsid w:val="00000013"/>
    <w:multiLevelType w:val="hybridMultilevel"/>
    <w:tmpl w:val="EAB0EDA0"/>
    <w:lvl w:ilvl="0" w:tplc="7C7C45F4">
      <w:start w:val="1"/>
      <w:numFmt w:val="decimal"/>
      <w:lvlText w:val="%1."/>
      <w:lvlJc w:val="left"/>
      <w:pPr>
        <w:ind w:left="360" w:hanging="360"/>
      </w:pPr>
    </w:lvl>
    <w:lvl w:ilvl="1" w:tplc="FB42AEFE">
      <w:start w:val="1"/>
      <w:numFmt w:val="lowerLetter"/>
      <w:lvlText w:val="%2."/>
      <w:lvlJc w:val="left"/>
      <w:pPr>
        <w:ind w:left="1080" w:hanging="360"/>
      </w:pPr>
    </w:lvl>
    <w:lvl w:ilvl="2" w:tplc="BB509C04">
      <w:start w:val="1"/>
      <w:numFmt w:val="lowerRoman"/>
      <w:lvlText w:val="%3."/>
      <w:lvlJc w:val="right"/>
      <w:pPr>
        <w:ind w:left="1800" w:hanging="180"/>
      </w:pPr>
    </w:lvl>
    <w:lvl w:ilvl="3" w:tplc="B55AC750">
      <w:start w:val="1"/>
      <w:numFmt w:val="decimal"/>
      <w:lvlText w:val="%4."/>
      <w:lvlJc w:val="left"/>
      <w:pPr>
        <w:ind w:left="2520" w:hanging="360"/>
      </w:pPr>
    </w:lvl>
    <w:lvl w:ilvl="4" w:tplc="D04CAFFA">
      <w:start w:val="1"/>
      <w:numFmt w:val="lowerLetter"/>
      <w:lvlText w:val="%5."/>
      <w:lvlJc w:val="left"/>
      <w:pPr>
        <w:ind w:left="3240" w:hanging="360"/>
      </w:pPr>
    </w:lvl>
    <w:lvl w:ilvl="5" w:tplc="9C422288">
      <w:start w:val="1"/>
      <w:numFmt w:val="lowerRoman"/>
      <w:lvlText w:val="%6."/>
      <w:lvlJc w:val="right"/>
      <w:pPr>
        <w:ind w:left="3960" w:hanging="180"/>
      </w:pPr>
    </w:lvl>
    <w:lvl w:ilvl="6" w:tplc="2A9E3A90">
      <w:start w:val="1"/>
      <w:numFmt w:val="decimal"/>
      <w:lvlText w:val="%7."/>
      <w:lvlJc w:val="left"/>
      <w:pPr>
        <w:ind w:left="4680" w:hanging="360"/>
      </w:pPr>
    </w:lvl>
    <w:lvl w:ilvl="7" w:tplc="0B76025C">
      <w:start w:val="1"/>
      <w:numFmt w:val="lowerLetter"/>
      <w:lvlText w:val="%8."/>
      <w:lvlJc w:val="left"/>
      <w:pPr>
        <w:ind w:left="5400" w:hanging="360"/>
      </w:pPr>
    </w:lvl>
    <w:lvl w:ilvl="8" w:tplc="CB946C80">
      <w:start w:val="1"/>
      <w:numFmt w:val="lowerRoman"/>
      <w:lvlText w:val="%9."/>
      <w:lvlJc w:val="right"/>
      <w:pPr>
        <w:ind w:left="6120" w:hanging="180"/>
      </w:pPr>
    </w:lvl>
  </w:abstractNum>
  <w:abstractNum w:abstractNumId="19" w15:restartNumberingAfterBreak="0">
    <w:nsid w:val="00000014"/>
    <w:multiLevelType w:val="hybridMultilevel"/>
    <w:tmpl w:val="EAB0EDA0"/>
    <w:lvl w:ilvl="0" w:tplc="472497EE">
      <w:start w:val="1"/>
      <w:numFmt w:val="decimal"/>
      <w:lvlText w:val="%1."/>
      <w:lvlJc w:val="left"/>
      <w:pPr>
        <w:ind w:left="360" w:hanging="360"/>
      </w:pPr>
    </w:lvl>
    <w:lvl w:ilvl="1" w:tplc="16922FCA">
      <w:start w:val="1"/>
      <w:numFmt w:val="lowerLetter"/>
      <w:lvlText w:val="%2."/>
      <w:lvlJc w:val="left"/>
      <w:pPr>
        <w:ind w:left="1080" w:hanging="360"/>
      </w:pPr>
    </w:lvl>
    <w:lvl w:ilvl="2" w:tplc="9E548034">
      <w:start w:val="1"/>
      <w:numFmt w:val="lowerRoman"/>
      <w:lvlText w:val="%3."/>
      <w:lvlJc w:val="right"/>
      <w:pPr>
        <w:ind w:left="1800" w:hanging="180"/>
      </w:pPr>
    </w:lvl>
    <w:lvl w:ilvl="3" w:tplc="BE48661E">
      <w:start w:val="1"/>
      <w:numFmt w:val="decimal"/>
      <w:lvlText w:val="%4."/>
      <w:lvlJc w:val="left"/>
      <w:pPr>
        <w:ind w:left="2520" w:hanging="360"/>
      </w:pPr>
    </w:lvl>
    <w:lvl w:ilvl="4" w:tplc="117E6BF6">
      <w:start w:val="1"/>
      <w:numFmt w:val="lowerLetter"/>
      <w:lvlText w:val="%5."/>
      <w:lvlJc w:val="left"/>
      <w:pPr>
        <w:ind w:left="3240" w:hanging="360"/>
      </w:pPr>
    </w:lvl>
    <w:lvl w:ilvl="5" w:tplc="5E88DC5E">
      <w:start w:val="1"/>
      <w:numFmt w:val="lowerRoman"/>
      <w:lvlText w:val="%6."/>
      <w:lvlJc w:val="right"/>
      <w:pPr>
        <w:ind w:left="3960" w:hanging="180"/>
      </w:pPr>
    </w:lvl>
    <w:lvl w:ilvl="6" w:tplc="A796D2A2">
      <w:start w:val="1"/>
      <w:numFmt w:val="decimal"/>
      <w:lvlText w:val="%7."/>
      <w:lvlJc w:val="left"/>
      <w:pPr>
        <w:ind w:left="4680" w:hanging="360"/>
      </w:pPr>
    </w:lvl>
    <w:lvl w:ilvl="7" w:tplc="15AA7F02">
      <w:start w:val="1"/>
      <w:numFmt w:val="lowerLetter"/>
      <w:lvlText w:val="%8."/>
      <w:lvlJc w:val="left"/>
      <w:pPr>
        <w:ind w:left="5400" w:hanging="360"/>
      </w:pPr>
    </w:lvl>
    <w:lvl w:ilvl="8" w:tplc="CFC69896">
      <w:start w:val="1"/>
      <w:numFmt w:val="lowerRoman"/>
      <w:lvlText w:val="%9."/>
      <w:lvlJc w:val="right"/>
      <w:pPr>
        <w:ind w:left="6120" w:hanging="180"/>
      </w:pPr>
    </w:lvl>
  </w:abstractNum>
  <w:abstractNum w:abstractNumId="20" w15:restartNumberingAfterBreak="0">
    <w:nsid w:val="00000015"/>
    <w:multiLevelType w:val="hybridMultilevel"/>
    <w:tmpl w:val="ABCA0A62"/>
    <w:lvl w:ilvl="0" w:tplc="5204DD82">
      <w:start w:val="1"/>
      <w:numFmt w:val="decimal"/>
      <w:lvlText w:val="%1."/>
      <w:lvlJc w:val="left"/>
      <w:pPr>
        <w:ind w:left="360" w:hanging="360"/>
      </w:pPr>
    </w:lvl>
    <w:lvl w:ilvl="1" w:tplc="4FA26876">
      <w:start w:val="1"/>
      <w:numFmt w:val="lowerLetter"/>
      <w:lvlText w:val="%2."/>
      <w:lvlJc w:val="left"/>
      <w:pPr>
        <w:ind w:left="1080" w:hanging="360"/>
      </w:pPr>
    </w:lvl>
    <w:lvl w:ilvl="2" w:tplc="D8FCBE40">
      <w:start w:val="1"/>
      <w:numFmt w:val="lowerRoman"/>
      <w:lvlText w:val="%3."/>
      <w:lvlJc w:val="right"/>
      <w:pPr>
        <w:ind w:left="1800" w:hanging="180"/>
      </w:pPr>
    </w:lvl>
    <w:lvl w:ilvl="3" w:tplc="0D6E784C">
      <w:start w:val="1"/>
      <w:numFmt w:val="decimal"/>
      <w:lvlText w:val="%4."/>
      <w:lvlJc w:val="left"/>
      <w:pPr>
        <w:ind w:left="2520" w:hanging="360"/>
      </w:pPr>
    </w:lvl>
    <w:lvl w:ilvl="4" w:tplc="7FA457FA">
      <w:start w:val="1"/>
      <w:numFmt w:val="lowerLetter"/>
      <w:lvlText w:val="%5."/>
      <w:lvlJc w:val="left"/>
      <w:pPr>
        <w:ind w:left="3240" w:hanging="360"/>
      </w:pPr>
    </w:lvl>
    <w:lvl w:ilvl="5" w:tplc="8CA40EF4">
      <w:start w:val="1"/>
      <w:numFmt w:val="lowerRoman"/>
      <w:lvlText w:val="%6."/>
      <w:lvlJc w:val="right"/>
      <w:pPr>
        <w:ind w:left="3960" w:hanging="180"/>
      </w:pPr>
    </w:lvl>
    <w:lvl w:ilvl="6" w:tplc="0DD4E1E4">
      <w:start w:val="1"/>
      <w:numFmt w:val="decimal"/>
      <w:lvlText w:val="%7."/>
      <w:lvlJc w:val="left"/>
      <w:pPr>
        <w:ind w:left="4680" w:hanging="360"/>
      </w:pPr>
    </w:lvl>
    <w:lvl w:ilvl="7" w:tplc="7680739C">
      <w:start w:val="1"/>
      <w:numFmt w:val="lowerLetter"/>
      <w:lvlText w:val="%8."/>
      <w:lvlJc w:val="left"/>
      <w:pPr>
        <w:ind w:left="5400" w:hanging="360"/>
      </w:pPr>
    </w:lvl>
    <w:lvl w:ilvl="8" w:tplc="8FC600B8">
      <w:start w:val="1"/>
      <w:numFmt w:val="lowerRoman"/>
      <w:lvlText w:val="%9."/>
      <w:lvlJc w:val="right"/>
      <w:pPr>
        <w:ind w:left="6120" w:hanging="180"/>
      </w:pPr>
    </w:lvl>
  </w:abstractNum>
  <w:abstractNum w:abstractNumId="21" w15:restartNumberingAfterBreak="0">
    <w:nsid w:val="00000016"/>
    <w:multiLevelType w:val="hybridMultilevel"/>
    <w:tmpl w:val="EC143888"/>
    <w:lvl w:ilvl="0" w:tplc="573E4330">
      <w:start w:val="1"/>
      <w:numFmt w:val="lowerLetter"/>
      <w:pStyle w:val="BStablelist"/>
      <w:lvlText w:val="%1."/>
      <w:lvlJc w:val="left"/>
      <w:pPr>
        <w:ind w:left="360" w:hanging="360"/>
      </w:pPr>
      <w:rPr>
        <w:rFonts w:hint="default"/>
      </w:rPr>
    </w:lvl>
    <w:lvl w:ilvl="1" w:tplc="1AD8344C" w:tentative="1">
      <w:start w:val="1"/>
      <w:numFmt w:val="lowerLetter"/>
      <w:lvlText w:val="%2."/>
      <w:lvlJc w:val="left"/>
      <w:pPr>
        <w:tabs>
          <w:tab w:val="num" w:pos="1080"/>
        </w:tabs>
        <w:ind w:left="1080" w:hanging="360"/>
      </w:pPr>
      <w:rPr>
        <w:rFonts w:cs="Times New Roman"/>
      </w:rPr>
    </w:lvl>
    <w:lvl w:ilvl="2" w:tplc="D0226552" w:tentative="1">
      <w:start w:val="1"/>
      <w:numFmt w:val="lowerRoman"/>
      <w:lvlText w:val="%3."/>
      <w:lvlJc w:val="right"/>
      <w:pPr>
        <w:tabs>
          <w:tab w:val="num" w:pos="1800"/>
        </w:tabs>
        <w:ind w:left="1800" w:hanging="180"/>
      </w:pPr>
      <w:rPr>
        <w:rFonts w:cs="Times New Roman"/>
      </w:rPr>
    </w:lvl>
    <w:lvl w:ilvl="3" w:tplc="8D346E16" w:tentative="1">
      <w:start w:val="1"/>
      <w:numFmt w:val="decimal"/>
      <w:lvlText w:val="%4."/>
      <w:lvlJc w:val="left"/>
      <w:pPr>
        <w:tabs>
          <w:tab w:val="num" w:pos="2520"/>
        </w:tabs>
        <w:ind w:left="2520" w:hanging="360"/>
      </w:pPr>
      <w:rPr>
        <w:rFonts w:cs="Times New Roman"/>
      </w:rPr>
    </w:lvl>
    <w:lvl w:ilvl="4" w:tplc="AE324704" w:tentative="1">
      <w:start w:val="1"/>
      <w:numFmt w:val="lowerLetter"/>
      <w:lvlText w:val="%5."/>
      <w:lvlJc w:val="left"/>
      <w:pPr>
        <w:tabs>
          <w:tab w:val="num" w:pos="3240"/>
        </w:tabs>
        <w:ind w:left="3240" w:hanging="360"/>
      </w:pPr>
      <w:rPr>
        <w:rFonts w:cs="Times New Roman"/>
      </w:rPr>
    </w:lvl>
    <w:lvl w:ilvl="5" w:tplc="B7FE2F66" w:tentative="1">
      <w:start w:val="1"/>
      <w:numFmt w:val="lowerRoman"/>
      <w:lvlText w:val="%6."/>
      <w:lvlJc w:val="right"/>
      <w:pPr>
        <w:tabs>
          <w:tab w:val="num" w:pos="3960"/>
        </w:tabs>
        <w:ind w:left="3960" w:hanging="180"/>
      </w:pPr>
      <w:rPr>
        <w:rFonts w:cs="Times New Roman"/>
      </w:rPr>
    </w:lvl>
    <w:lvl w:ilvl="6" w:tplc="C8CE2B84" w:tentative="1">
      <w:start w:val="1"/>
      <w:numFmt w:val="decimal"/>
      <w:lvlText w:val="%7."/>
      <w:lvlJc w:val="left"/>
      <w:pPr>
        <w:tabs>
          <w:tab w:val="num" w:pos="4680"/>
        </w:tabs>
        <w:ind w:left="4680" w:hanging="360"/>
      </w:pPr>
      <w:rPr>
        <w:rFonts w:cs="Times New Roman"/>
      </w:rPr>
    </w:lvl>
    <w:lvl w:ilvl="7" w:tplc="CFEAFEE6" w:tentative="1">
      <w:start w:val="1"/>
      <w:numFmt w:val="lowerLetter"/>
      <w:lvlText w:val="%8."/>
      <w:lvlJc w:val="left"/>
      <w:pPr>
        <w:tabs>
          <w:tab w:val="num" w:pos="5400"/>
        </w:tabs>
        <w:ind w:left="5400" w:hanging="360"/>
      </w:pPr>
      <w:rPr>
        <w:rFonts w:cs="Times New Roman"/>
      </w:rPr>
    </w:lvl>
    <w:lvl w:ilvl="8" w:tplc="41FE2536" w:tentative="1">
      <w:start w:val="1"/>
      <w:numFmt w:val="lowerRoman"/>
      <w:lvlText w:val="%9."/>
      <w:lvlJc w:val="right"/>
      <w:pPr>
        <w:tabs>
          <w:tab w:val="num" w:pos="6120"/>
        </w:tabs>
        <w:ind w:left="6120" w:hanging="180"/>
      </w:pPr>
      <w:rPr>
        <w:rFonts w:cs="Times New Roman"/>
      </w:rPr>
    </w:lvl>
  </w:abstractNum>
  <w:abstractNum w:abstractNumId="22" w15:restartNumberingAfterBreak="0">
    <w:nsid w:val="00000017"/>
    <w:multiLevelType w:val="hybridMultilevel"/>
    <w:tmpl w:val="71A8B2AA"/>
    <w:lvl w:ilvl="0" w:tplc="2D36E616">
      <w:start w:val="1"/>
      <w:numFmt w:val="lowerLetter"/>
      <w:lvlText w:val="%1."/>
      <w:lvlJc w:val="left"/>
      <w:pPr>
        <w:ind w:left="360" w:hanging="360"/>
      </w:pPr>
      <w:rPr>
        <w:b w:val="0"/>
      </w:rPr>
    </w:lvl>
    <w:lvl w:ilvl="1" w:tplc="838AEBD4">
      <w:start w:val="1"/>
      <w:numFmt w:val="lowerLetter"/>
      <w:lvlText w:val="%2."/>
      <w:lvlJc w:val="left"/>
      <w:pPr>
        <w:tabs>
          <w:tab w:val="num" w:pos="1080"/>
        </w:tabs>
        <w:ind w:left="1080" w:hanging="360"/>
      </w:pPr>
      <w:rPr>
        <w:rFonts w:cs="Times New Roman"/>
      </w:rPr>
    </w:lvl>
    <w:lvl w:ilvl="2" w:tplc="DA708B70">
      <w:start w:val="1"/>
      <w:numFmt w:val="lowerRoman"/>
      <w:lvlText w:val="%3."/>
      <w:lvlJc w:val="right"/>
      <w:pPr>
        <w:tabs>
          <w:tab w:val="num" w:pos="1800"/>
        </w:tabs>
        <w:ind w:left="1800" w:hanging="180"/>
      </w:pPr>
      <w:rPr>
        <w:rFonts w:cs="Times New Roman"/>
      </w:rPr>
    </w:lvl>
    <w:lvl w:ilvl="3" w:tplc="DBD8ABA2">
      <w:start w:val="1"/>
      <w:numFmt w:val="decimal"/>
      <w:lvlText w:val="%4."/>
      <w:lvlJc w:val="left"/>
      <w:pPr>
        <w:tabs>
          <w:tab w:val="num" w:pos="2520"/>
        </w:tabs>
        <w:ind w:left="2520" w:hanging="360"/>
      </w:pPr>
      <w:rPr>
        <w:rFonts w:cs="Times New Roman"/>
      </w:rPr>
    </w:lvl>
    <w:lvl w:ilvl="4" w:tplc="D8E446E0">
      <w:start w:val="1"/>
      <w:numFmt w:val="lowerLetter"/>
      <w:lvlText w:val="%5."/>
      <w:lvlJc w:val="left"/>
      <w:pPr>
        <w:tabs>
          <w:tab w:val="num" w:pos="3240"/>
        </w:tabs>
        <w:ind w:left="3240" w:hanging="360"/>
      </w:pPr>
      <w:rPr>
        <w:rFonts w:cs="Times New Roman"/>
      </w:rPr>
    </w:lvl>
    <w:lvl w:ilvl="5" w:tplc="5254C90A">
      <w:start w:val="1"/>
      <w:numFmt w:val="lowerRoman"/>
      <w:lvlText w:val="%6."/>
      <w:lvlJc w:val="right"/>
      <w:pPr>
        <w:tabs>
          <w:tab w:val="num" w:pos="3960"/>
        </w:tabs>
        <w:ind w:left="3960" w:hanging="180"/>
      </w:pPr>
      <w:rPr>
        <w:rFonts w:cs="Times New Roman"/>
      </w:rPr>
    </w:lvl>
    <w:lvl w:ilvl="6" w:tplc="FE12AD28">
      <w:start w:val="1"/>
      <w:numFmt w:val="decimal"/>
      <w:lvlText w:val="%7."/>
      <w:lvlJc w:val="left"/>
      <w:pPr>
        <w:tabs>
          <w:tab w:val="num" w:pos="4680"/>
        </w:tabs>
        <w:ind w:left="4680" w:hanging="360"/>
      </w:pPr>
      <w:rPr>
        <w:rFonts w:cs="Times New Roman"/>
      </w:rPr>
    </w:lvl>
    <w:lvl w:ilvl="7" w:tplc="8D38149E">
      <w:start w:val="1"/>
      <w:numFmt w:val="lowerLetter"/>
      <w:lvlText w:val="%8."/>
      <w:lvlJc w:val="left"/>
      <w:pPr>
        <w:tabs>
          <w:tab w:val="num" w:pos="5400"/>
        </w:tabs>
        <w:ind w:left="5400" w:hanging="360"/>
      </w:pPr>
      <w:rPr>
        <w:rFonts w:cs="Times New Roman"/>
      </w:rPr>
    </w:lvl>
    <w:lvl w:ilvl="8" w:tplc="6DDC3296">
      <w:start w:val="1"/>
      <w:numFmt w:val="lowerRoman"/>
      <w:lvlText w:val="%9."/>
      <w:lvlJc w:val="right"/>
      <w:pPr>
        <w:tabs>
          <w:tab w:val="num" w:pos="6120"/>
        </w:tabs>
        <w:ind w:left="6120" w:hanging="180"/>
      </w:pPr>
      <w:rPr>
        <w:rFonts w:cs="Times New Roman"/>
      </w:rPr>
    </w:lvl>
  </w:abstractNum>
  <w:abstractNum w:abstractNumId="23" w15:restartNumberingAfterBreak="0">
    <w:nsid w:val="00000018"/>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000001A"/>
    <w:multiLevelType w:val="hybridMultilevel"/>
    <w:tmpl w:val="71A8B2AA"/>
    <w:lvl w:ilvl="0" w:tplc="8E026E9C">
      <w:start w:val="1"/>
      <w:numFmt w:val="lowerLetter"/>
      <w:lvlText w:val="%1."/>
      <w:lvlJc w:val="left"/>
      <w:pPr>
        <w:ind w:left="360" w:hanging="360"/>
      </w:pPr>
      <w:rPr>
        <w:b w:val="0"/>
      </w:rPr>
    </w:lvl>
    <w:lvl w:ilvl="1" w:tplc="DBB2DDD6">
      <w:start w:val="1"/>
      <w:numFmt w:val="lowerLetter"/>
      <w:lvlText w:val="%2."/>
      <w:lvlJc w:val="left"/>
      <w:pPr>
        <w:tabs>
          <w:tab w:val="num" w:pos="1080"/>
        </w:tabs>
        <w:ind w:left="1080" w:hanging="360"/>
      </w:pPr>
      <w:rPr>
        <w:rFonts w:cs="Times New Roman"/>
      </w:rPr>
    </w:lvl>
    <w:lvl w:ilvl="2" w:tplc="1B167C0E">
      <w:start w:val="1"/>
      <w:numFmt w:val="lowerRoman"/>
      <w:lvlText w:val="%3."/>
      <w:lvlJc w:val="right"/>
      <w:pPr>
        <w:tabs>
          <w:tab w:val="num" w:pos="1800"/>
        </w:tabs>
        <w:ind w:left="1800" w:hanging="180"/>
      </w:pPr>
      <w:rPr>
        <w:rFonts w:cs="Times New Roman"/>
      </w:rPr>
    </w:lvl>
    <w:lvl w:ilvl="3" w:tplc="C750FF36">
      <w:start w:val="1"/>
      <w:numFmt w:val="decimal"/>
      <w:lvlText w:val="%4."/>
      <w:lvlJc w:val="left"/>
      <w:pPr>
        <w:tabs>
          <w:tab w:val="num" w:pos="2520"/>
        </w:tabs>
        <w:ind w:left="2520" w:hanging="360"/>
      </w:pPr>
      <w:rPr>
        <w:rFonts w:cs="Times New Roman"/>
      </w:rPr>
    </w:lvl>
    <w:lvl w:ilvl="4" w:tplc="55308AAC">
      <w:start w:val="1"/>
      <w:numFmt w:val="lowerLetter"/>
      <w:lvlText w:val="%5."/>
      <w:lvlJc w:val="left"/>
      <w:pPr>
        <w:tabs>
          <w:tab w:val="num" w:pos="3240"/>
        </w:tabs>
        <w:ind w:left="3240" w:hanging="360"/>
      </w:pPr>
      <w:rPr>
        <w:rFonts w:cs="Times New Roman"/>
      </w:rPr>
    </w:lvl>
    <w:lvl w:ilvl="5" w:tplc="678A6F8E">
      <w:start w:val="1"/>
      <w:numFmt w:val="lowerRoman"/>
      <w:lvlText w:val="%6."/>
      <w:lvlJc w:val="right"/>
      <w:pPr>
        <w:tabs>
          <w:tab w:val="num" w:pos="3960"/>
        </w:tabs>
        <w:ind w:left="3960" w:hanging="180"/>
      </w:pPr>
      <w:rPr>
        <w:rFonts w:cs="Times New Roman"/>
      </w:rPr>
    </w:lvl>
    <w:lvl w:ilvl="6" w:tplc="2A2C55AE">
      <w:start w:val="1"/>
      <w:numFmt w:val="decimal"/>
      <w:lvlText w:val="%7."/>
      <w:lvlJc w:val="left"/>
      <w:pPr>
        <w:tabs>
          <w:tab w:val="num" w:pos="4680"/>
        </w:tabs>
        <w:ind w:left="4680" w:hanging="360"/>
      </w:pPr>
      <w:rPr>
        <w:rFonts w:cs="Times New Roman"/>
      </w:rPr>
    </w:lvl>
    <w:lvl w:ilvl="7" w:tplc="6D34BBE2">
      <w:start w:val="1"/>
      <w:numFmt w:val="lowerLetter"/>
      <w:lvlText w:val="%8."/>
      <w:lvlJc w:val="left"/>
      <w:pPr>
        <w:tabs>
          <w:tab w:val="num" w:pos="5400"/>
        </w:tabs>
        <w:ind w:left="5400" w:hanging="360"/>
      </w:pPr>
      <w:rPr>
        <w:rFonts w:cs="Times New Roman"/>
      </w:rPr>
    </w:lvl>
    <w:lvl w:ilvl="8" w:tplc="5030B218">
      <w:start w:val="1"/>
      <w:numFmt w:val="lowerRoman"/>
      <w:lvlText w:val="%9."/>
      <w:lvlJc w:val="right"/>
      <w:pPr>
        <w:tabs>
          <w:tab w:val="num" w:pos="6120"/>
        </w:tabs>
        <w:ind w:left="6120" w:hanging="180"/>
      </w:pPr>
      <w:rPr>
        <w:rFonts w:cs="Times New Roman"/>
      </w:rPr>
    </w:lvl>
  </w:abstractNum>
  <w:abstractNum w:abstractNumId="25" w15:restartNumberingAfterBreak="0">
    <w:nsid w:val="0000001B"/>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000001E"/>
    <w:multiLevelType w:val="hybridMultilevel"/>
    <w:tmpl w:val="71A8B2AA"/>
    <w:lvl w:ilvl="0" w:tplc="F2EAAA02">
      <w:start w:val="1"/>
      <w:numFmt w:val="lowerLetter"/>
      <w:lvlText w:val="%1."/>
      <w:lvlJc w:val="left"/>
      <w:pPr>
        <w:ind w:left="360" w:hanging="360"/>
      </w:pPr>
      <w:rPr>
        <w:b w:val="0"/>
      </w:rPr>
    </w:lvl>
    <w:lvl w:ilvl="1" w:tplc="94FAB686">
      <w:start w:val="1"/>
      <w:numFmt w:val="lowerLetter"/>
      <w:lvlText w:val="%2."/>
      <w:lvlJc w:val="left"/>
      <w:pPr>
        <w:tabs>
          <w:tab w:val="num" w:pos="1080"/>
        </w:tabs>
        <w:ind w:left="1080" w:hanging="360"/>
      </w:pPr>
      <w:rPr>
        <w:rFonts w:cs="Times New Roman"/>
      </w:rPr>
    </w:lvl>
    <w:lvl w:ilvl="2" w:tplc="BA2E20FE">
      <w:start w:val="1"/>
      <w:numFmt w:val="lowerRoman"/>
      <w:lvlText w:val="%3."/>
      <w:lvlJc w:val="right"/>
      <w:pPr>
        <w:tabs>
          <w:tab w:val="num" w:pos="1800"/>
        </w:tabs>
        <w:ind w:left="1800" w:hanging="180"/>
      </w:pPr>
      <w:rPr>
        <w:rFonts w:cs="Times New Roman"/>
      </w:rPr>
    </w:lvl>
    <w:lvl w:ilvl="3" w:tplc="14B84044">
      <w:start w:val="1"/>
      <w:numFmt w:val="decimal"/>
      <w:lvlText w:val="%4."/>
      <w:lvlJc w:val="left"/>
      <w:pPr>
        <w:tabs>
          <w:tab w:val="num" w:pos="2520"/>
        </w:tabs>
        <w:ind w:left="2520" w:hanging="360"/>
      </w:pPr>
      <w:rPr>
        <w:rFonts w:cs="Times New Roman"/>
      </w:rPr>
    </w:lvl>
    <w:lvl w:ilvl="4" w:tplc="C1F8CEC6">
      <w:start w:val="1"/>
      <w:numFmt w:val="lowerLetter"/>
      <w:lvlText w:val="%5."/>
      <w:lvlJc w:val="left"/>
      <w:pPr>
        <w:tabs>
          <w:tab w:val="num" w:pos="3240"/>
        </w:tabs>
        <w:ind w:left="3240" w:hanging="360"/>
      </w:pPr>
      <w:rPr>
        <w:rFonts w:cs="Times New Roman"/>
      </w:rPr>
    </w:lvl>
    <w:lvl w:ilvl="5" w:tplc="3DAA09DA">
      <w:start w:val="1"/>
      <w:numFmt w:val="lowerRoman"/>
      <w:lvlText w:val="%6."/>
      <w:lvlJc w:val="right"/>
      <w:pPr>
        <w:tabs>
          <w:tab w:val="num" w:pos="3960"/>
        </w:tabs>
        <w:ind w:left="3960" w:hanging="180"/>
      </w:pPr>
      <w:rPr>
        <w:rFonts w:cs="Times New Roman"/>
      </w:rPr>
    </w:lvl>
    <w:lvl w:ilvl="6" w:tplc="41FA8EDA">
      <w:start w:val="1"/>
      <w:numFmt w:val="decimal"/>
      <w:lvlText w:val="%7."/>
      <w:lvlJc w:val="left"/>
      <w:pPr>
        <w:tabs>
          <w:tab w:val="num" w:pos="4680"/>
        </w:tabs>
        <w:ind w:left="4680" w:hanging="360"/>
      </w:pPr>
      <w:rPr>
        <w:rFonts w:cs="Times New Roman"/>
      </w:rPr>
    </w:lvl>
    <w:lvl w:ilvl="7" w:tplc="A626A73A">
      <w:start w:val="1"/>
      <w:numFmt w:val="lowerLetter"/>
      <w:lvlText w:val="%8."/>
      <w:lvlJc w:val="left"/>
      <w:pPr>
        <w:tabs>
          <w:tab w:val="num" w:pos="5400"/>
        </w:tabs>
        <w:ind w:left="5400" w:hanging="360"/>
      </w:pPr>
      <w:rPr>
        <w:rFonts w:cs="Times New Roman"/>
      </w:rPr>
    </w:lvl>
    <w:lvl w:ilvl="8" w:tplc="CD385474">
      <w:start w:val="1"/>
      <w:numFmt w:val="lowerRoman"/>
      <w:lvlText w:val="%9."/>
      <w:lvlJc w:val="right"/>
      <w:pPr>
        <w:tabs>
          <w:tab w:val="num" w:pos="6120"/>
        </w:tabs>
        <w:ind w:left="6120" w:hanging="180"/>
      </w:pPr>
      <w:rPr>
        <w:rFonts w:cs="Times New Roman"/>
      </w:rPr>
    </w:lvl>
  </w:abstractNum>
  <w:abstractNum w:abstractNumId="27" w15:restartNumberingAfterBreak="0">
    <w:nsid w:val="0000001F"/>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0000021"/>
    <w:multiLevelType w:val="hybridMultilevel"/>
    <w:tmpl w:val="71A8B2AA"/>
    <w:lvl w:ilvl="0" w:tplc="5E5A1E18">
      <w:start w:val="1"/>
      <w:numFmt w:val="lowerLetter"/>
      <w:lvlText w:val="%1."/>
      <w:lvlJc w:val="left"/>
      <w:pPr>
        <w:ind w:left="360" w:hanging="360"/>
      </w:pPr>
      <w:rPr>
        <w:b w:val="0"/>
      </w:rPr>
    </w:lvl>
    <w:lvl w:ilvl="1" w:tplc="C38EBA8E">
      <w:start w:val="1"/>
      <w:numFmt w:val="lowerLetter"/>
      <w:lvlText w:val="%2."/>
      <w:lvlJc w:val="left"/>
      <w:pPr>
        <w:tabs>
          <w:tab w:val="num" w:pos="1080"/>
        </w:tabs>
        <w:ind w:left="1080" w:hanging="360"/>
      </w:pPr>
      <w:rPr>
        <w:rFonts w:cs="Times New Roman"/>
      </w:rPr>
    </w:lvl>
    <w:lvl w:ilvl="2" w:tplc="507070DA">
      <w:start w:val="1"/>
      <w:numFmt w:val="lowerRoman"/>
      <w:lvlText w:val="%3."/>
      <w:lvlJc w:val="right"/>
      <w:pPr>
        <w:tabs>
          <w:tab w:val="num" w:pos="1800"/>
        </w:tabs>
        <w:ind w:left="1800" w:hanging="180"/>
      </w:pPr>
      <w:rPr>
        <w:rFonts w:cs="Times New Roman"/>
      </w:rPr>
    </w:lvl>
    <w:lvl w:ilvl="3" w:tplc="D316A11E">
      <w:start w:val="1"/>
      <w:numFmt w:val="decimal"/>
      <w:lvlText w:val="%4."/>
      <w:lvlJc w:val="left"/>
      <w:pPr>
        <w:tabs>
          <w:tab w:val="num" w:pos="2520"/>
        </w:tabs>
        <w:ind w:left="2520" w:hanging="360"/>
      </w:pPr>
      <w:rPr>
        <w:rFonts w:cs="Times New Roman"/>
      </w:rPr>
    </w:lvl>
    <w:lvl w:ilvl="4" w:tplc="A962B134">
      <w:start w:val="1"/>
      <w:numFmt w:val="lowerLetter"/>
      <w:lvlText w:val="%5."/>
      <w:lvlJc w:val="left"/>
      <w:pPr>
        <w:tabs>
          <w:tab w:val="num" w:pos="3240"/>
        </w:tabs>
        <w:ind w:left="3240" w:hanging="360"/>
      </w:pPr>
      <w:rPr>
        <w:rFonts w:cs="Times New Roman"/>
      </w:rPr>
    </w:lvl>
    <w:lvl w:ilvl="5" w:tplc="B74A062A">
      <w:start w:val="1"/>
      <w:numFmt w:val="lowerRoman"/>
      <w:lvlText w:val="%6."/>
      <w:lvlJc w:val="right"/>
      <w:pPr>
        <w:tabs>
          <w:tab w:val="num" w:pos="3960"/>
        </w:tabs>
        <w:ind w:left="3960" w:hanging="180"/>
      </w:pPr>
      <w:rPr>
        <w:rFonts w:cs="Times New Roman"/>
      </w:rPr>
    </w:lvl>
    <w:lvl w:ilvl="6" w:tplc="FC0260AC">
      <w:start w:val="1"/>
      <w:numFmt w:val="decimal"/>
      <w:lvlText w:val="%7."/>
      <w:lvlJc w:val="left"/>
      <w:pPr>
        <w:tabs>
          <w:tab w:val="num" w:pos="4680"/>
        </w:tabs>
        <w:ind w:left="4680" w:hanging="360"/>
      </w:pPr>
      <w:rPr>
        <w:rFonts w:cs="Times New Roman"/>
      </w:rPr>
    </w:lvl>
    <w:lvl w:ilvl="7" w:tplc="05608764">
      <w:start w:val="1"/>
      <w:numFmt w:val="lowerLetter"/>
      <w:lvlText w:val="%8."/>
      <w:lvlJc w:val="left"/>
      <w:pPr>
        <w:tabs>
          <w:tab w:val="num" w:pos="5400"/>
        </w:tabs>
        <w:ind w:left="5400" w:hanging="360"/>
      </w:pPr>
      <w:rPr>
        <w:rFonts w:cs="Times New Roman"/>
      </w:rPr>
    </w:lvl>
    <w:lvl w:ilvl="8" w:tplc="9F96DF8E">
      <w:start w:val="1"/>
      <w:numFmt w:val="lowerRoman"/>
      <w:lvlText w:val="%9."/>
      <w:lvlJc w:val="right"/>
      <w:pPr>
        <w:tabs>
          <w:tab w:val="num" w:pos="6120"/>
        </w:tabs>
        <w:ind w:left="6120" w:hanging="180"/>
      </w:pPr>
      <w:rPr>
        <w:rFonts w:cs="Times New Roman"/>
      </w:rPr>
    </w:lvl>
  </w:abstractNum>
  <w:abstractNum w:abstractNumId="29" w15:restartNumberingAfterBreak="0">
    <w:nsid w:val="00000022"/>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00000024"/>
    <w:multiLevelType w:val="hybridMultilevel"/>
    <w:tmpl w:val="71A8B2AA"/>
    <w:lvl w:ilvl="0" w:tplc="0C580856">
      <w:start w:val="1"/>
      <w:numFmt w:val="lowerLetter"/>
      <w:lvlText w:val="%1."/>
      <w:lvlJc w:val="left"/>
      <w:pPr>
        <w:ind w:left="360" w:hanging="360"/>
      </w:pPr>
      <w:rPr>
        <w:b w:val="0"/>
      </w:rPr>
    </w:lvl>
    <w:lvl w:ilvl="1" w:tplc="2968D610">
      <w:start w:val="1"/>
      <w:numFmt w:val="lowerLetter"/>
      <w:lvlText w:val="%2."/>
      <w:lvlJc w:val="left"/>
      <w:pPr>
        <w:tabs>
          <w:tab w:val="num" w:pos="1080"/>
        </w:tabs>
        <w:ind w:left="1080" w:hanging="360"/>
      </w:pPr>
      <w:rPr>
        <w:rFonts w:cs="Times New Roman"/>
      </w:rPr>
    </w:lvl>
    <w:lvl w:ilvl="2" w:tplc="C332F36C">
      <w:start w:val="1"/>
      <w:numFmt w:val="lowerRoman"/>
      <w:lvlText w:val="%3."/>
      <w:lvlJc w:val="right"/>
      <w:pPr>
        <w:tabs>
          <w:tab w:val="num" w:pos="1800"/>
        </w:tabs>
        <w:ind w:left="1800" w:hanging="180"/>
      </w:pPr>
      <w:rPr>
        <w:rFonts w:cs="Times New Roman"/>
      </w:rPr>
    </w:lvl>
    <w:lvl w:ilvl="3" w:tplc="F998F14C">
      <w:start w:val="1"/>
      <w:numFmt w:val="decimal"/>
      <w:lvlText w:val="%4."/>
      <w:lvlJc w:val="left"/>
      <w:pPr>
        <w:tabs>
          <w:tab w:val="num" w:pos="2520"/>
        </w:tabs>
        <w:ind w:left="2520" w:hanging="360"/>
      </w:pPr>
      <w:rPr>
        <w:rFonts w:cs="Times New Roman"/>
      </w:rPr>
    </w:lvl>
    <w:lvl w:ilvl="4" w:tplc="AE02296C">
      <w:start w:val="1"/>
      <w:numFmt w:val="lowerLetter"/>
      <w:lvlText w:val="%5."/>
      <w:lvlJc w:val="left"/>
      <w:pPr>
        <w:tabs>
          <w:tab w:val="num" w:pos="3240"/>
        </w:tabs>
        <w:ind w:left="3240" w:hanging="360"/>
      </w:pPr>
      <w:rPr>
        <w:rFonts w:cs="Times New Roman"/>
      </w:rPr>
    </w:lvl>
    <w:lvl w:ilvl="5" w:tplc="60D89FAE">
      <w:start w:val="1"/>
      <w:numFmt w:val="lowerRoman"/>
      <w:lvlText w:val="%6."/>
      <w:lvlJc w:val="right"/>
      <w:pPr>
        <w:tabs>
          <w:tab w:val="num" w:pos="3960"/>
        </w:tabs>
        <w:ind w:left="3960" w:hanging="180"/>
      </w:pPr>
      <w:rPr>
        <w:rFonts w:cs="Times New Roman"/>
      </w:rPr>
    </w:lvl>
    <w:lvl w:ilvl="6" w:tplc="667E62A2">
      <w:start w:val="1"/>
      <w:numFmt w:val="decimal"/>
      <w:lvlText w:val="%7."/>
      <w:lvlJc w:val="left"/>
      <w:pPr>
        <w:tabs>
          <w:tab w:val="num" w:pos="4680"/>
        </w:tabs>
        <w:ind w:left="4680" w:hanging="360"/>
      </w:pPr>
      <w:rPr>
        <w:rFonts w:cs="Times New Roman"/>
      </w:rPr>
    </w:lvl>
    <w:lvl w:ilvl="7" w:tplc="6060BDAE">
      <w:start w:val="1"/>
      <w:numFmt w:val="lowerLetter"/>
      <w:lvlText w:val="%8."/>
      <w:lvlJc w:val="left"/>
      <w:pPr>
        <w:tabs>
          <w:tab w:val="num" w:pos="5400"/>
        </w:tabs>
        <w:ind w:left="5400" w:hanging="360"/>
      </w:pPr>
      <w:rPr>
        <w:rFonts w:cs="Times New Roman"/>
      </w:rPr>
    </w:lvl>
    <w:lvl w:ilvl="8" w:tplc="2ECA5F7A">
      <w:start w:val="1"/>
      <w:numFmt w:val="lowerRoman"/>
      <w:lvlText w:val="%9."/>
      <w:lvlJc w:val="right"/>
      <w:pPr>
        <w:tabs>
          <w:tab w:val="num" w:pos="6120"/>
        </w:tabs>
        <w:ind w:left="6120" w:hanging="180"/>
      </w:pPr>
      <w:rPr>
        <w:rFonts w:cs="Times New Roman"/>
      </w:rPr>
    </w:lvl>
  </w:abstractNum>
  <w:abstractNum w:abstractNumId="31" w15:restartNumberingAfterBreak="0">
    <w:nsid w:val="00000025"/>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00000027"/>
    <w:multiLevelType w:val="hybridMultilevel"/>
    <w:tmpl w:val="9CA6317A"/>
    <w:lvl w:ilvl="0" w:tplc="D31EC0E2">
      <w:start w:val="1"/>
      <w:numFmt w:val="lowerLetter"/>
      <w:lvlText w:val="%1."/>
      <w:lvlJc w:val="left"/>
      <w:pPr>
        <w:ind w:left="360" w:hanging="360"/>
      </w:pPr>
      <w:rPr>
        <w:b w:val="0"/>
      </w:rPr>
    </w:lvl>
    <w:lvl w:ilvl="1" w:tplc="142AF6F2">
      <w:start w:val="1"/>
      <w:numFmt w:val="decimal"/>
      <w:lvlText w:val="%2."/>
      <w:lvlJc w:val="left"/>
      <w:pPr>
        <w:tabs>
          <w:tab w:val="num" w:pos="1440"/>
        </w:tabs>
        <w:ind w:left="1440" w:hanging="360"/>
      </w:pPr>
    </w:lvl>
    <w:lvl w:ilvl="2" w:tplc="567E9906">
      <w:start w:val="1"/>
      <w:numFmt w:val="decimal"/>
      <w:lvlText w:val="%3."/>
      <w:lvlJc w:val="left"/>
      <w:pPr>
        <w:tabs>
          <w:tab w:val="num" w:pos="2160"/>
        </w:tabs>
        <w:ind w:left="2160" w:hanging="360"/>
      </w:pPr>
    </w:lvl>
    <w:lvl w:ilvl="3" w:tplc="2B3CF4A0">
      <w:start w:val="1"/>
      <w:numFmt w:val="decimal"/>
      <w:lvlText w:val="%4."/>
      <w:lvlJc w:val="left"/>
      <w:pPr>
        <w:tabs>
          <w:tab w:val="num" w:pos="2880"/>
        </w:tabs>
        <w:ind w:left="2880" w:hanging="360"/>
      </w:pPr>
    </w:lvl>
    <w:lvl w:ilvl="4" w:tplc="2FB0DD7A">
      <w:start w:val="1"/>
      <w:numFmt w:val="decimal"/>
      <w:lvlText w:val="%5."/>
      <w:lvlJc w:val="left"/>
      <w:pPr>
        <w:tabs>
          <w:tab w:val="num" w:pos="3600"/>
        </w:tabs>
        <w:ind w:left="3600" w:hanging="360"/>
      </w:pPr>
    </w:lvl>
    <w:lvl w:ilvl="5" w:tplc="1A5A6748">
      <w:start w:val="1"/>
      <w:numFmt w:val="decimal"/>
      <w:lvlText w:val="%6."/>
      <w:lvlJc w:val="left"/>
      <w:pPr>
        <w:tabs>
          <w:tab w:val="num" w:pos="4320"/>
        </w:tabs>
        <w:ind w:left="4320" w:hanging="360"/>
      </w:pPr>
    </w:lvl>
    <w:lvl w:ilvl="6" w:tplc="CF2C7F48">
      <w:start w:val="1"/>
      <w:numFmt w:val="decimal"/>
      <w:lvlText w:val="%7."/>
      <w:lvlJc w:val="left"/>
      <w:pPr>
        <w:tabs>
          <w:tab w:val="num" w:pos="5040"/>
        </w:tabs>
        <w:ind w:left="5040" w:hanging="360"/>
      </w:pPr>
    </w:lvl>
    <w:lvl w:ilvl="7" w:tplc="7B1674F6">
      <w:start w:val="1"/>
      <w:numFmt w:val="decimal"/>
      <w:lvlText w:val="%8."/>
      <w:lvlJc w:val="left"/>
      <w:pPr>
        <w:tabs>
          <w:tab w:val="num" w:pos="5760"/>
        </w:tabs>
        <w:ind w:left="5760" w:hanging="360"/>
      </w:pPr>
    </w:lvl>
    <w:lvl w:ilvl="8" w:tplc="9CDC5596">
      <w:start w:val="1"/>
      <w:numFmt w:val="decimal"/>
      <w:lvlText w:val="%9."/>
      <w:lvlJc w:val="left"/>
      <w:pPr>
        <w:tabs>
          <w:tab w:val="num" w:pos="6480"/>
        </w:tabs>
        <w:ind w:left="6480" w:hanging="360"/>
      </w:pPr>
    </w:lvl>
  </w:abstractNum>
  <w:abstractNum w:abstractNumId="33" w15:restartNumberingAfterBreak="0">
    <w:nsid w:val="00000028"/>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000002A"/>
    <w:multiLevelType w:val="hybridMultilevel"/>
    <w:tmpl w:val="71A8B2AA"/>
    <w:lvl w:ilvl="0" w:tplc="A57E5D5A">
      <w:start w:val="1"/>
      <w:numFmt w:val="lowerLetter"/>
      <w:lvlText w:val="%1."/>
      <w:lvlJc w:val="left"/>
      <w:pPr>
        <w:ind w:left="360" w:hanging="360"/>
      </w:pPr>
      <w:rPr>
        <w:b w:val="0"/>
      </w:rPr>
    </w:lvl>
    <w:lvl w:ilvl="1" w:tplc="E3D4FEE6">
      <w:start w:val="1"/>
      <w:numFmt w:val="lowerLetter"/>
      <w:lvlText w:val="%2."/>
      <w:lvlJc w:val="left"/>
      <w:pPr>
        <w:tabs>
          <w:tab w:val="num" w:pos="1080"/>
        </w:tabs>
        <w:ind w:left="1080" w:hanging="360"/>
      </w:pPr>
      <w:rPr>
        <w:rFonts w:cs="Times New Roman"/>
      </w:rPr>
    </w:lvl>
    <w:lvl w:ilvl="2" w:tplc="6436F998">
      <w:start w:val="1"/>
      <w:numFmt w:val="lowerRoman"/>
      <w:lvlText w:val="%3."/>
      <w:lvlJc w:val="right"/>
      <w:pPr>
        <w:tabs>
          <w:tab w:val="num" w:pos="1800"/>
        </w:tabs>
        <w:ind w:left="1800" w:hanging="180"/>
      </w:pPr>
      <w:rPr>
        <w:rFonts w:cs="Times New Roman"/>
      </w:rPr>
    </w:lvl>
    <w:lvl w:ilvl="3" w:tplc="D00CDFDE">
      <w:start w:val="1"/>
      <w:numFmt w:val="decimal"/>
      <w:lvlText w:val="%4."/>
      <w:lvlJc w:val="left"/>
      <w:pPr>
        <w:tabs>
          <w:tab w:val="num" w:pos="2520"/>
        </w:tabs>
        <w:ind w:left="2520" w:hanging="360"/>
      </w:pPr>
      <w:rPr>
        <w:rFonts w:cs="Times New Roman"/>
      </w:rPr>
    </w:lvl>
    <w:lvl w:ilvl="4" w:tplc="DC3452C0">
      <w:start w:val="1"/>
      <w:numFmt w:val="lowerLetter"/>
      <w:lvlText w:val="%5."/>
      <w:lvlJc w:val="left"/>
      <w:pPr>
        <w:tabs>
          <w:tab w:val="num" w:pos="3240"/>
        </w:tabs>
        <w:ind w:left="3240" w:hanging="360"/>
      </w:pPr>
      <w:rPr>
        <w:rFonts w:cs="Times New Roman"/>
      </w:rPr>
    </w:lvl>
    <w:lvl w:ilvl="5" w:tplc="F8EE8868">
      <w:start w:val="1"/>
      <w:numFmt w:val="lowerRoman"/>
      <w:lvlText w:val="%6."/>
      <w:lvlJc w:val="right"/>
      <w:pPr>
        <w:tabs>
          <w:tab w:val="num" w:pos="3960"/>
        </w:tabs>
        <w:ind w:left="3960" w:hanging="180"/>
      </w:pPr>
      <w:rPr>
        <w:rFonts w:cs="Times New Roman"/>
      </w:rPr>
    </w:lvl>
    <w:lvl w:ilvl="6" w:tplc="72C2EFCE">
      <w:start w:val="1"/>
      <w:numFmt w:val="decimal"/>
      <w:lvlText w:val="%7."/>
      <w:lvlJc w:val="left"/>
      <w:pPr>
        <w:tabs>
          <w:tab w:val="num" w:pos="4680"/>
        </w:tabs>
        <w:ind w:left="4680" w:hanging="360"/>
      </w:pPr>
      <w:rPr>
        <w:rFonts w:cs="Times New Roman"/>
      </w:rPr>
    </w:lvl>
    <w:lvl w:ilvl="7" w:tplc="7BA01BDA">
      <w:start w:val="1"/>
      <w:numFmt w:val="lowerLetter"/>
      <w:lvlText w:val="%8."/>
      <w:lvlJc w:val="left"/>
      <w:pPr>
        <w:tabs>
          <w:tab w:val="num" w:pos="5400"/>
        </w:tabs>
        <w:ind w:left="5400" w:hanging="360"/>
      </w:pPr>
      <w:rPr>
        <w:rFonts w:cs="Times New Roman"/>
      </w:rPr>
    </w:lvl>
    <w:lvl w:ilvl="8" w:tplc="C6122ED0">
      <w:start w:val="1"/>
      <w:numFmt w:val="lowerRoman"/>
      <w:lvlText w:val="%9."/>
      <w:lvlJc w:val="right"/>
      <w:pPr>
        <w:tabs>
          <w:tab w:val="num" w:pos="6120"/>
        </w:tabs>
        <w:ind w:left="6120" w:hanging="180"/>
      </w:pPr>
      <w:rPr>
        <w:rFonts w:cs="Times New Roman"/>
      </w:rPr>
    </w:lvl>
  </w:abstractNum>
  <w:abstractNum w:abstractNumId="35" w15:restartNumberingAfterBreak="0">
    <w:nsid w:val="0000002B"/>
    <w:multiLevelType w:val="multilevel"/>
    <w:tmpl w:val="E594E8AC"/>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0000002C"/>
    <w:multiLevelType w:val="hybridMultilevel"/>
    <w:tmpl w:val="71A8B2AA"/>
    <w:lvl w:ilvl="0" w:tplc="DC72AD8E">
      <w:start w:val="1"/>
      <w:numFmt w:val="lowerLetter"/>
      <w:lvlText w:val="%1."/>
      <w:lvlJc w:val="left"/>
      <w:pPr>
        <w:ind w:left="360" w:hanging="360"/>
      </w:pPr>
      <w:rPr>
        <w:b w:val="0"/>
      </w:rPr>
    </w:lvl>
    <w:lvl w:ilvl="1" w:tplc="D18460F2">
      <w:start w:val="1"/>
      <w:numFmt w:val="lowerLetter"/>
      <w:lvlText w:val="%2."/>
      <w:lvlJc w:val="left"/>
      <w:pPr>
        <w:tabs>
          <w:tab w:val="num" w:pos="1080"/>
        </w:tabs>
        <w:ind w:left="1080" w:hanging="360"/>
      </w:pPr>
      <w:rPr>
        <w:rFonts w:cs="Times New Roman"/>
      </w:rPr>
    </w:lvl>
    <w:lvl w:ilvl="2" w:tplc="AF5AA96E">
      <w:start w:val="1"/>
      <w:numFmt w:val="lowerRoman"/>
      <w:lvlText w:val="%3."/>
      <w:lvlJc w:val="right"/>
      <w:pPr>
        <w:tabs>
          <w:tab w:val="num" w:pos="1800"/>
        </w:tabs>
        <w:ind w:left="1800" w:hanging="180"/>
      </w:pPr>
      <w:rPr>
        <w:rFonts w:cs="Times New Roman"/>
      </w:rPr>
    </w:lvl>
    <w:lvl w:ilvl="3" w:tplc="7CAEBB9E">
      <w:start w:val="1"/>
      <w:numFmt w:val="decimal"/>
      <w:lvlText w:val="%4."/>
      <w:lvlJc w:val="left"/>
      <w:pPr>
        <w:tabs>
          <w:tab w:val="num" w:pos="2520"/>
        </w:tabs>
        <w:ind w:left="2520" w:hanging="360"/>
      </w:pPr>
      <w:rPr>
        <w:rFonts w:cs="Times New Roman"/>
      </w:rPr>
    </w:lvl>
    <w:lvl w:ilvl="4" w:tplc="2250A2EE">
      <w:start w:val="1"/>
      <w:numFmt w:val="lowerLetter"/>
      <w:lvlText w:val="%5."/>
      <w:lvlJc w:val="left"/>
      <w:pPr>
        <w:tabs>
          <w:tab w:val="num" w:pos="3240"/>
        </w:tabs>
        <w:ind w:left="3240" w:hanging="360"/>
      </w:pPr>
      <w:rPr>
        <w:rFonts w:cs="Times New Roman"/>
      </w:rPr>
    </w:lvl>
    <w:lvl w:ilvl="5" w:tplc="FC26F1AC">
      <w:start w:val="1"/>
      <w:numFmt w:val="lowerRoman"/>
      <w:lvlText w:val="%6."/>
      <w:lvlJc w:val="right"/>
      <w:pPr>
        <w:tabs>
          <w:tab w:val="num" w:pos="3960"/>
        </w:tabs>
        <w:ind w:left="3960" w:hanging="180"/>
      </w:pPr>
      <w:rPr>
        <w:rFonts w:cs="Times New Roman"/>
      </w:rPr>
    </w:lvl>
    <w:lvl w:ilvl="6" w:tplc="ED8A56BC">
      <w:start w:val="1"/>
      <w:numFmt w:val="decimal"/>
      <w:lvlText w:val="%7."/>
      <w:lvlJc w:val="left"/>
      <w:pPr>
        <w:tabs>
          <w:tab w:val="num" w:pos="4680"/>
        </w:tabs>
        <w:ind w:left="4680" w:hanging="360"/>
      </w:pPr>
      <w:rPr>
        <w:rFonts w:cs="Times New Roman"/>
      </w:rPr>
    </w:lvl>
    <w:lvl w:ilvl="7" w:tplc="FDA899D6">
      <w:start w:val="1"/>
      <w:numFmt w:val="lowerLetter"/>
      <w:lvlText w:val="%8."/>
      <w:lvlJc w:val="left"/>
      <w:pPr>
        <w:tabs>
          <w:tab w:val="num" w:pos="5400"/>
        </w:tabs>
        <w:ind w:left="5400" w:hanging="360"/>
      </w:pPr>
      <w:rPr>
        <w:rFonts w:cs="Times New Roman"/>
      </w:rPr>
    </w:lvl>
    <w:lvl w:ilvl="8" w:tplc="0F6273B6">
      <w:start w:val="1"/>
      <w:numFmt w:val="lowerRoman"/>
      <w:lvlText w:val="%9."/>
      <w:lvlJc w:val="right"/>
      <w:pPr>
        <w:tabs>
          <w:tab w:val="num" w:pos="6120"/>
        </w:tabs>
        <w:ind w:left="6120" w:hanging="180"/>
      </w:pPr>
      <w:rPr>
        <w:rFonts w:cs="Times New Roman"/>
      </w:rPr>
    </w:lvl>
  </w:abstractNum>
  <w:abstractNum w:abstractNumId="37" w15:restartNumberingAfterBreak="0">
    <w:nsid w:val="0000002D"/>
    <w:multiLevelType w:val="multilevel"/>
    <w:tmpl w:val="C17C69E4"/>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0000002F"/>
    <w:multiLevelType w:val="hybridMultilevel"/>
    <w:tmpl w:val="4E7EACC2"/>
    <w:lvl w:ilvl="0" w:tplc="45A67F9A">
      <w:start w:val="1"/>
      <w:numFmt w:val="bullet"/>
      <w:lvlText w:val=""/>
      <w:lvlJc w:val="left"/>
      <w:pPr>
        <w:tabs>
          <w:tab w:val="num" w:pos="360"/>
        </w:tabs>
        <w:ind w:left="357" w:hanging="357"/>
      </w:pPr>
      <w:rPr>
        <w:rFonts w:ascii="Symbol" w:hAnsi="Symbol" w:hint="default"/>
        <w:sz w:val="24"/>
      </w:rPr>
    </w:lvl>
    <w:lvl w:ilvl="1" w:tplc="DCCAD7B6">
      <w:start w:val="1"/>
      <w:numFmt w:val="bullet"/>
      <w:lvlText w:val="o"/>
      <w:lvlJc w:val="left"/>
      <w:pPr>
        <w:tabs>
          <w:tab w:val="num" w:pos="1800"/>
        </w:tabs>
        <w:ind w:left="1800" w:hanging="360"/>
      </w:pPr>
      <w:rPr>
        <w:rFonts w:ascii="Courier New" w:hAnsi="Courier New" w:hint="default"/>
      </w:rPr>
    </w:lvl>
    <w:lvl w:ilvl="2" w:tplc="04B6F80A">
      <w:start w:val="1"/>
      <w:numFmt w:val="bullet"/>
      <w:lvlText w:val=""/>
      <w:lvlJc w:val="left"/>
      <w:pPr>
        <w:tabs>
          <w:tab w:val="num" w:pos="2520"/>
        </w:tabs>
        <w:ind w:left="2520" w:hanging="360"/>
      </w:pPr>
      <w:rPr>
        <w:rFonts w:ascii="Wingdings" w:hAnsi="Wingdings" w:hint="default"/>
      </w:rPr>
    </w:lvl>
    <w:lvl w:ilvl="3" w:tplc="497698A0">
      <w:start w:val="1"/>
      <w:numFmt w:val="bullet"/>
      <w:lvlText w:val=""/>
      <w:lvlJc w:val="left"/>
      <w:pPr>
        <w:tabs>
          <w:tab w:val="num" w:pos="3240"/>
        </w:tabs>
        <w:ind w:left="3240" w:hanging="360"/>
      </w:pPr>
      <w:rPr>
        <w:rFonts w:ascii="Symbol" w:hAnsi="Symbol" w:hint="default"/>
      </w:rPr>
    </w:lvl>
    <w:lvl w:ilvl="4" w:tplc="C38ED45C">
      <w:start w:val="1"/>
      <w:numFmt w:val="bullet"/>
      <w:lvlText w:val="o"/>
      <w:lvlJc w:val="left"/>
      <w:pPr>
        <w:tabs>
          <w:tab w:val="num" w:pos="3960"/>
        </w:tabs>
        <w:ind w:left="3960" w:hanging="360"/>
      </w:pPr>
      <w:rPr>
        <w:rFonts w:ascii="Courier New" w:hAnsi="Courier New" w:hint="default"/>
      </w:rPr>
    </w:lvl>
    <w:lvl w:ilvl="5" w:tplc="61EC0C34">
      <w:start w:val="1"/>
      <w:numFmt w:val="bullet"/>
      <w:lvlText w:val=""/>
      <w:lvlJc w:val="left"/>
      <w:pPr>
        <w:tabs>
          <w:tab w:val="num" w:pos="4680"/>
        </w:tabs>
        <w:ind w:left="4680" w:hanging="360"/>
      </w:pPr>
      <w:rPr>
        <w:rFonts w:ascii="Wingdings" w:hAnsi="Wingdings" w:hint="default"/>
      </w:rPr>
    </w:lvl>
    <w:lvl w:ilvl="6" w:tplc="6C683BDE">
      <w:start w:val="1"/>
      <w:numFmt w:val="bullet"/>
      <w:lvlText w:val=""/>
      <w:lvlJc w:val="left"/>
      <w:pPr>
        <w:tabs>
          <w:tab w:val="num" w:pos="5400"/>
        </w:tabs>
        <w:ind w:left="5400" w:hanging="360"/>
      </w:pPr>
      <w:rPr>
        <w:rFonts w:ascii="Symbol" w:hAnsi="Symbol" w:hint="default"/>
      </w:rPr>
    </w:lvl>
    <w:lvl w:ilvl="7" w:tplc="3112C7B6">
      <w:start w:val="1"/>
      <w:numFmt w:val="bullet"/>
      <w:lvlText w:val="o"/>
      <w:lvlJc w:val="left"/>
      <w:pPr>
        <w:tabs>
          <w:tab w:val="num" w:pos="6120"/>
        </w:tabs>
        <w:ind w:left="6120" w:hanging="360"/>
      </w:pPr>
      <w:rPr>
        <w:rFonts w:ascii="Courier New" w:hAnsi="Courier New" w:hint="default"/>
      </w:rPr>
    </w:lvl>
    <w:lvl w:ilvl="8" w:tplc="24D0C4B2">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00000030"/>
    <w:multiLevelType w:val="hybridMultilevel"/>
    <w:tmpl w:val="2C643DB6"/>
    <w:lvl w:ilvl="0" w:tplc="CFB28C88">
      <w:start w:val="1"/>
      <w:numFmt w:val="bullet"/>
      <w:pStyle w:val="BSbullet2"/>
      <w:lvlText w:val="-"/>
      <w:lvlJc w:val="left"/>
      <w:pPr>
        <w:ind w:left="1077" w:hanging="360"/>
      </w:pPr>
      <w:rPr>
        <w:rFonts w:ascii="Calibri" w:hAnsi="Calibri" w:hint="default"/>
      </w:rPr>
    </w:lvl>
    <w:lvl w:ilvl="1" w:tplc="D9A2D706" w:tentative="1">
      <w:start w:val="1"/>
      <w:numFmt w:val="bullet"/>
      <w:lvlText w:val="o"/>
      <w:lvlJc w:val="left"/>
      <w:pPr>
        <w:ind w:left="1797" w:hanging="360"/>
      </w:pPr>
      <w:rPr>
        <w:rFonts w:ascii="Courier New" w:hAnsi="Courier New" w:cs="Courier New" w:hint="default"/>
      </w:rPr>
    </w:lvl>
    <w:lvl w:ilvl="2" w:tplc="8692FAEE" w:tentative="1">
      <w:start w:val="1"/>
      <w:numFmt w:val="bullet"/>
      <w:lvlText w:val=""/>
      <w:lvlJc w:val="left"/>
      <w:pPr>
        <w:ind w:left="2517" w:hanging="360"/>
      </w:pPr>
      <w:rPr>
        <w:rFonts w:ascii="Wingdings" w:hAnsi="Wingdings" w:hint="default"/>
      </w:rPr>
    </w:lvl>
    <w:lvl w:ilvl="3" w:tplc="27AE8786" w:tentative="1">
      <w:start w:val="1"/>
      <w:numFmt w:val="bullet"/>
      <w:lvlText w:val=""/>
      <w:lvlJc w:val="left"/>
      <w:pPr>
        <w:ind w:left="3237" w:hanging="360"/>
      </w:pPr>
      <w:rPr>
        <w:rFonts w:ascii="Symbol" w:hAnsi="Symbol" w:hint="default"/>
      </w:rPr>
    </w:lvl>
    <w:lvl w:ilvl="4" w:tplc="AEC2C2C2" w:tentative="1">
      <w:start w:val="1"/>
      <w:numFmt w:val="bullet"/>
      <w:lvlText w:val="o"/>
      <w:lvlJc w:val="left"/>
      <w:pPr>
        <w:ind w:left="3957" w:hanging="360"/>
      </w:pPr>
      <w:rPr>
        <w:rFonts w:ascii="Courier New" w:hAnsi="Courier New" w:cs="Courier New" w:hint="default"/>
      </w:rPr>
    </w:lvl>
    <w:lvl w:ilvl="5" w:tplc="034848D4" w:tentative="1">
      <w:start w:val="1"/>
      <w:numFmt w:val="bullet"/>
      <w:lvlText w:val=""/>
      <w:lvlJc w:val="left"/>
      <w:pPr>
        <w:ind w:left="4677" w:hanging="360"/>
      </w:pPr>
      <w:rPr>
        <w:rFonts w:ascii="Wingdings" w:hAnsi="Wingdings" w:hint="default"/>
      </w:rPr>
    </w:lvl>
    <w:lvl w:ilvl="6" w:tplc="573E6856" w:tentative="1">
      <w:start w:val="1"/>
      <w:numFmt w:val="bullet"/>
      <w:lvlText w:val=""/>
      <w:lvlJc w:val="left"/>
      <w:pPr>
        <w:ind w:left="5397" w:hanging="360"/>
      </w:pPr>
      <w:rPr>
        <w:rFonts w:ascii="Symbol" w:hAnsi="Symbol" w:hint="default"/>
      </w:rPr>
    </w:lvl>
    <w:lvl w:ilvl="7" w:tplc="184C9612" w:tentative="1">
      <w:start w:val="1"/>
      <w:numFmt w:val="bullet"/>
      <w:lvlText w:val="o"/>
      <w:lvlJc w:val="left"/>
      <w:pPr>
        <w:ind w:left="6117" w:hanging="360"/>
      </w:pPr>
      <w:rPr>
        <w:rFonts w:ascii="Courier New" w:hAnsi="Courier New" w:cs="Courier New" w:hint="default"/>
      </w:rPr>
    </w:lvl>
    <w:lvl w:ilvl="8" w:tplc="A8BA68D4" w:tentative="1">
      <w:start w:val="1"/>
      <w:numFmt w:val="bullet"/>
      <w:lvlText w:val=""/>
      <w:lvlJc w:val="left"/>
      <w:pPr>
        <w:ind w:left="6837" w:hanging="360"/>
      </w:pPr>
      <w:rPr>
        <w:rFonts w:ascii="Wingdings" w:hAnsi="Wingdings" w:hint="default"/>
      </w:rPr>
    </w:lvl>
  </w:abstractNum>
  <w:abstractNum w:abstractNumId="40" w15:restartNumberingAfterBreak="0">
    <w:nsid w:val="00000031"/>
    <w:multiLevelType w:val="hybridMultilevel"/>
    <w:tmpl w:val="4E7EACC2"/>
    <w:lvl w:ilvl="0" w:tplc="65A4D98A">
      <w:start w:val="1"/>
      <w:numFmt w:val="bullet"/>
      <w:lvlText w:val=""/>
      <w:lvlJc w:val="left"/>
      <w:pPr>
        <w:tabs>
          <w:tab w:val="num" w:pos="360"/>
        </w:tabs>
        <w:ind w:left="357" w:hanging="357"/>
      </w:pPr>
      <w:rPr>
        <w:rFonts w:ascii="Symbol" w:hAnsi="Symbol" w:hint="default"/>
        <w:sz w:val="24"/>
      </w:rPr>
    </w:lvl>
    <w:lvl w:ilvl="1" w:tplc="07A80FC8">
      <w:start w:val="1"/>
      <w:numFmt w:val="bullet"/>
      <w:lvlText w:val="o"/>
      <w:lvlJc w:val="left"/>
      <w:pPr>
        <w:tabs>
          <w:tab w:val="num" w:pos="1800"/>
        </w:tabs>
        <w:ind w:left="1800" w:hanging="360"/>
      </w:pPr>
      <w:rPr>
        <w:rFonts w:ascii="Courier New" w:hAnsi="Courier New" w:cs="Times New Roman" w:hint="default"/>
      </w:rPr>
    </w:lvl>
    <w:lvl w:ilvl="2" w:tplc="A6C2DABC">
      <w:start w:val="1"/>
      <w:numFmt w:val="bullet"/>
      <w:lvlText w:val=""/>
      <w:lvlJc w:val="left"/>
      <w:pPr>
        <w:tabs>
          <w:tab w:val="num" w:pos="2520"/>
        </w:tabs>
        <w:ind w:left="2520" w:hanging="360"/>
      </w:pPr>
      <w:rPr>
        <w:rFonts w:ascii="Wingdings" w:hAnsi="Wingdings" w:hint="default"/>
      </w:rPr>
    </w:lvl>
    <w:lvl w:ilvl="3" w:tplc="F9782D68">
      <w:start w:val="1"/>
      <w:numFmt w:val="bullet"/>
      <w:lvlText w:val=""/>
      <w:lvlJc w:val="left"/>
      <w:pPr>
        <w:tabs>
          <w:tab w:val="num" w:pos="3240"/>
        </w:tabs>
        <w:ind w:left="3240" w:hanging="360"/>
      </w:pPr>
      <w:rPr>
        <w:rFonts w:ascii="Symbol" w:hAnsi="Symbol" w:hint="default"/>
      </w:rPr>
    </w:lvl>
    <w:lvl w:ilvl="4" w:tplc="721AD53C">
      <w:start w:val="1"/>
      <w:numFmt w:val="bullet"/>
      <w:lvlText w:val="o"/>
      <w:lvlJc w:val="left"/>
      <w:pPr>
        <w:tabs>
          <w:tab w:val="num" w:pos="3960"/>
        </w:tabs>
        <w:ind w:left="3960" w:hanging="360"/>
      </w:pPr>
      <w:rPr>
        <w:rFonts w:ascii="Courier New" w:hAnsi="Courier New" w:cs="Times New Roman" w:hint="default"/>
      </w:rPr>
    </w:lvl>
    <w:lvl w:ilvl="5" w:tplc="E7F075B2">
      <w:start w:val="1"/>
      <w:numFmt w:val="bullet"/>
      <w:lvlText w:val=""/>
      <w:lvlJc w:val="left"/>
      <w:pPr>
        <w:tabs>
          <w:tab w:val="num" w:pos="4680"/>
        </w:tabs>
        <w:ind w:left="4680" w:hanging="360"/>
      </w:pPr>
      <w:rPr>
        <w:rFonts w:ascii="Wingdings" w:hAnsi="Wingdings" w:hint="default"/>
      </w:rPr>
    </w:lvl>
    <w:lvl w:ilvl="6" w:tplc="963273BA">
      <w:start w:val="1"/>
      <w:numFmt w:val="bullet"/>
      <w:lvlText w:val=""/>
      <w:lvlJc w:val="left"/>
      <w:pPr>
        <w:tabs>
          <w:tab w:val="num" w:pos="5400"/>
        </w:tabs>
        <w:ind w:left="5400" w:hanging="360"/>
      </w:pPr>
      <w:rPr>
        <w:rFonts w:ascii="Symbol" w:hAnsi="Symbol" w:hint="default"/>
      </w:rPr>
    </w:lvl>
    <w:lvl w:ilvl="7" w:tplc="43822016">
      <w:start w:val="1"/>
      <w:numFmt w:val="bullet"/>
      <w:lvlText w:val="o"/>
      <w:lvlJc w:val="left"/>
      <w:pPr>
        <w:tabs>
          <w:tab w:val="num" w:pos="6120"/>
        </w:tabs>
        <w:ind w:left="6120" w:hanging="360"/>
      </w:pPr>
      <w:rPr>
        <w:rFonts w:ascii="Courier New" w:hAnsi="Courier New" w:cs="Times New Roman" w:hint="default"/>
      </w:rPr>
    </w:lvl>
    <w:lvl w:ilvl="8" w:tplc="72CC78D6">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00000032"/>
    <w:multiLevelType w:val="hybridMultilevel"/>
    <w:tmpl w:val="2C643DB6"/>
    <w:lvl w:ilvl="0" w:tplc="FFE2349C">
      <w:start w:val="1"/>
      <w:numFmt w:val="bullet"/>
      <w:lvlText w:val="-"/>
      <w:lvlJc w:val="left"/>
      <w:pPr>
        <w:ind w:left="1077" w:hanging="360"/>
      </w:pPr>
      <w:rPr>
        <w:rFonts w:ascii="Calibri" w:hAnsi="Calibri" w:cs="Times New Roman" w:hint="default"/>
      </w:rPr>
    </w:lvl>
    <w:lvl w:ilvl="1" w:tplc="C946FF22">
      <w:start w:val="1"/>
      <w:numFmt w:val="bullet"/>
      <w:lvlText w:val="o"/>
      <w:lvlJc w:val="left"/>
      <w:pPr>
        <w:ind w:left="1797" w:hanging="360"/>
      </w:pPr>
      <w:rPr>
        <w:rFonts w:ascii="Courier New" w:hAnsi="Courier New" w:cs="Courier New" w:hint="default"/>
      </w:rPr>
    </w:lvl>
    <w:lvl w:ilvl="2" w:tplc="628054EA">
      <w:start w:val="1"/>
      <w:numFmt w:val="bullet"/>
      <w:lvlText w:val=""/>
      <w:lvlJc w:val="left"/>
      <w:pPr>
        <w:ind w:left="2517" w:hanging="360"/>
      </w:pPr>
      <w:rPr>
        <w:rFonts w:ascii="Wingdings" w:hAnsi="Wingdings" w:hint="default"/>
      </w:rPr>
    </w:lvl>
    <w:lvl w:ilvl="3" w:tplc="F2F08444">
      <w:start w:val="1"/>
      <w:numFmt w:val="bullet"/>
      <w:lvlText w:val=""/>
      <w:lvlJc w:val="left"/>
      <w:pPr>
        <w:ind w:left="3237" w:hanging="360"/>
      </w:pPr>
      <w:rPr>
        <w:rFonts w:ascii="Symbol" w:hAnsi="Symbol" w:hint="default"/>
      </w:rPr>
    </w:lvl>
    <w:lvl w:ilvl="4" w:tplc="B3F66342">
      <w:start w:val="1"/>
      <w:numFmt w:val="bullet"/>
      <w:lvlText w:val="o"/>
      <w:lvlJc w:val="left"/>
      <w:pPr>
        <w:ind w:left="3957" w:hanging="360"/>
      </w:pPr>
      <w:rPr>
        <w:rFonts w:ascii="Courier New" w:hAnsi="Courier New" w:cs="Courier New" w:hint="default"/>
      </w:rPr>
    </w:lvl>
    <w:lvl w:ilvl="5" w:tplc="443C2090">
      <w:start w:val="1"/>
      <w:numFmt w:val="bullet"/>
      <w:lvlText w:val=""/>
      <w:lvlJc w:val="left"/>
      <w:pPr>
        <w:ind w:left="4677" w:hanging="360"/>
      </w:pPr>
      <w:rPr>
        <w:rFonts w:ascii="Wingdings" w:hAnsi="Wingdings" w:hint="default"/>
      </w:rPr>
    </w:lvl>
    <w:lvl w:ilvl="6" w:tplc="B8B80726">
      <w:start w:val="1"/>
      <w:numFmt w:val="bullet"/>
      <w:lvlText w:val=""/>
      <w:lvlJc w:val="left"/>
      <w:pPr>
        <w:ind w:left="5397" w:hanging="360"/>
      </w:pPr>
      <w:rPr>
        <w:rFonts w:ascii="Symbol" w:hAnsi="Symbol" w:hint="default"/>
      </w:rPr>
    </w:lvl>
    <w:lvl w:ilvl="7" w:tplc="B8EA8DBE">
      <w:start w:val="1"/>
      <w:numFmt w:val="bullet"/>
      <w:lvlText w:val="o"/>
      <w:lvlJc w:val="left"/>
      <w:pPr>
        <w:ind w:left="6117" w:hanging="360"/>
      </w:pPr>
      <w:rPr>
        <w:rFonts w:ascii="Courier New" w:hAnsi="Courier New" w:cs="Courier New" w:hint="default"/>
      </w:rPr>
    </w:lvl>
    <w:lvl w:ilvl="8" w:tplc="59AA4724">
      <w:start w:val="1"/>
      <w:numFmt w:val="bullet"/>
      <w:lvlText w:val=""/>
      <w:lvlJc w:val="left"/>
      <w:pPr>
        <w:ind w:left="6837" w:hanging="360"/>
      </w:pPr>
      <w:rPr>
        <w:rFonts w:ascii="Wingdings" w:hAnsi="Wingdings" w:hint="default"/>
      </w:rPr>
    </w:lvl>
  </w:abstractNum>
  <w:abstractNum w:abstractNumId="42" w15:restartNumberingAfterBreak="0">
    <w:nsid w:val="10360D22"/>
    <w:multiLevelType w:val="hybridMultilevel"/>
    <w:tmpl w:val="38B6031E"/>
    <w:lvl w:ilvl="0" w:tplc="E2D24A14">
      <w:start w:val="1"/>
      <w:numFmt w:val="decimal"/>
      <w:lvlText w:val="%1."/>
      <w:lvlJc w:val="left"/>
      <w:pPr>
        <w:ind w:left="360" w:hanging="360"/>
      </w:pPr>
      <w:rPr>
        <w:color w:val="auto"/>
      </w:rPr>
    </w:lvl>
    <w:lvl w:ilvl="1" w:tplc="508EDE92">
      <w:start w:val="1"/>
      <w:numFmt w:val="lowerLetter"/>
      <w:lvlText w:val="%2."/>
      <w:lvlJc w:val="left"/>
      <w:pPr>
        <w:ind w:left="1080" w:hanging="360"/>
      </w:pPr>
    </w:lvl>
    <w:lvl w:ilvl="2" w:tplc="1D9E999C">
      <w:start w:val="1"/>
      <w:numFmt w:val="lowerRoman"/>
      <w:lvlText w:val="%3."/>
      <w:lvlJc w:val="right"/>
      <w:pPr>
        <w:ind w:left="1800" w:hanging="180"/>
      </w:pPr>
    </w:lvl>
    <w:lvl w:ilvl="3" w:tplc="67C6B5D4">
      <w:start w:val="1"/>
      <w:numFmt w:val="decimal"/>
      <w:lvlText w:val="%4."/>
      <w:lvlJc w:val="left"/>
      <w:pPr>
        <w:ind w:left="2520" w:hanging="360"/>
      </w:pPr>
    </w:lvl>
    <w:lvl w:ilvl="4" w:tplc="1AF6BD52">
      <w:start w:val="1"/>
      <w:numFmt w:val="lowerLetter"/>
      <w:lvlText w:val="%5."/>
      <w:lvlJc w:val="left"/>
      <w:pPr>
        <w:ind w:left="3240" w:hanging="360"/>
      </w:pPr>
    </w:lvl>
    <w:lvl w:ilvl="5" w:tplc="80FA78EC">
      <w:start w:val="1"/>
      <w:numFmt w:val="lowerRoman"/>
      <w:lvlText w:val="%6."/>
      <w:lvlJc w:val="right"/>
      <w:pPr>
        <w:ind w:left="3960" w:hanging="180"/>
      </w:pPr>
    </w:lvl>
    <w:lvl w:ilvl="6" w:tplc="999C71A8">
      <w:start w:val="1"/>
      <w:numFmt w:val="decimal"/>
      <w:lvlText w:val="%7."/>
      <w:lvlJc w:val="left"/>
      <w:pPr>
        <w:ind w:left="4680" w:hanging="360"/>
      </w:pPr>
    </w:lvl>
    <w:lvl w:ilvl="7" w:tplc="B9707B92">
      <w:start w:val="1"/>
      <w:numFmt w:val="lowerLetter"/>
      <w:lvlText w:val="%8."/>
      <w:lvlJc w:val="left"/>
      <w:pPr>
        <w:ind w:left="5400" w:hanging="360"/>
      </w:pPr>
    </w:lvl>
    <w:lvl w:ilvl="8" w:tplc="F4DA1486">
      <w:start w:val="1"/>
      <w:numFmt w:val="lowerRoman"/>
      <w:lvlText w:val="%9."/>
      <w:lvlJc w:val="right"/>
      <w:pPr>
        <w:ind w:left="6120" w:hanging="180"/>
      </w:pPr>
    </w:lvl>
  </w:abstractNum>
  <w:abstractNum w:abstractNumId="43" w15:restartNumberingAfterBreak="0">
    <w:nsid w:val="12586F5C"/>
    <w:multiLevelType w:val="hybridMultilevel"/>
    <w:tmpl w:val="C868B8B4"/>
    <w:lvl w:ilvl="0" w:tplc="893416FA">
      <w:start w:val="1"/>
      <w:numFmt w:val="decimal"/>
      <w:lvlText w:val="%1."/>
      <w:lvlJc w:val="left"/>
      <w:pPr>
        <w:ind w:left="360" w:hanging="360"/>
      </w:pPr>
    </w:lvl>
    <w:lvl w:ilvl="1" w:tplc="EA24EBAC">
      <w:start w:val="1"/>
      <w:numFmt w:val="decimal"/>
      <w:lvlText w:val="%2."/>
      <w:lvlJc w:val="left"/>
      <w:pPr>
        <w:tabs>
          <w:tab w:val="num" w:pos="1440"/>
        </w:tabs>
        <w:ind w:left="1440" w:hanging="360"/>
      </w:pPr>
    </w:lvl>
    <w:lvl w:ilvl="2" w:tplc="B90485EC">
      <w:start w:val="1"/>
      <w:numFmt w:val="decimal"/>
      <w:lvlText w:val="%3."/>
      <w:lvlJc w:val="left"/>
      <w:pPr>
        <w:tabs>
          <w:tab w:val="num" w:pos="2160"/>
        </w:tabs>
        <w:ind w:left="2160" w:hanging="360"/>
      </w:pPr>
    </w:lvl>
    <w:lvl w:ilvl="3" w:tplc="46A47D32">
      <w:start w:val="1"/>
      <w:numFmt w:val="decimal"/>
      <w:lvlText w:val="%4."/>
      <w:lvlJc w:val="left"/>
      <w:pPr>
        <w:tabs>
          <w:tab w:val="num" w:pos="2880"/>
        </w:tabs>
        <w:ind w:left="2880" w:hanging="360"/>
      </w:pPr>
    </w:lvl>
    <w:lvl w:ilvl="4" w:tplc="78746280">
      <w:start w:val="1"/>
      <w:numFmt w:val="decimal"/>
      <w:lvlText w:val="%5."/>
      <w:lvlJc w:val="left"/>
      <w:pPr>
        <w:tabs>
          <w:tab w:val="num" w:pos="3600"/>
        </w:tabs>
        <w:ind w:left="3600" w:hanging="360"/>
      </w:pPr>
    </w:lvl>
    <w:lvl w:ilvl="5" w:tplc="618EF8BE">
      <w:start w:val="1"/>
      <w:numFmt w:val="decimal"/>
      <w:lvlText w:val="%6."/>
      <w:lvlJc w:val="left"/>
      <w:pPr>
        <w:tabs>
          <w:tab w:val="num" w:pos="4320"/>
        </w:tabs>
        <w:ind w:left="4320" w:hanging="360"/>
      </w:pPr>
    </w:lvl>
    <w:lvl w:ilvl="6" w:tplc="1E365FAC">
      <w:start w:val="1"/>
      <w:numFmt w:val="decimal"/>
      <w:lvlText w:val="%7."/>
      <w:lvlJc w:val="left"/>
      <w:pPr>
        <w:tabs>
          <w:tab w:val="num" w:pos="5040"/>
        </w:tabs>
        <w:ind w:left="5040" w:hanging="360"/>
      </w:pPr>
    </w:lvl>
    <w:lvl w:ilvl="7" w:tplc="D26C130C">
      <w:start w:val="1"/>
      <w:numFmt w:val="decimal"/>
      <w:lvlText w:val="%8."/>
      <w:lvlJc w:val="left"/>
      <w:pPr>
        <w:tabs>
          <w:tab w:val="num" w:pos="5760"/>
        </w:tabs>
        <w:ind w:left="5760" w:hanging="360"/>
      </w:pPr>
    </w:lvl>
    <w:lvl w:ilvl="8" w:tplc="FDE6E546">
      <w:start w:val="1"/>
      <w:numFmt w:val="decimal"/>
      <w:lvlText w:val="%9."/>
      <w:lvlJc w:val="left"/>
      <w:pPr>
        <w:tabs>
          <w:tab w:val="num" w:pos="6480"/>
        </w:tabs>
        <w:ind w:left="6480" w:hanging="360"/>
      </w:pPr>
    </w:lvl>
  </w:abstractNum>
  <w:abstractNum w:abstractNumId="44" w15:restartNumberingAfterBreak="0">
    <w:nsid w:val="3DEA09DC"/>
    <w:multiLevelType w:val="hybridMultilevel"/>
    <w:tmpl w:val="197C27B4"/>
    <w:lvl w:ilvl="0" w:tplc="0C09000F">
      <w:start w:val="1"/>
      <w:numFmt w:val="decimal"/>
      <w:lvlText w:val="%1."/>
      <w:lvlJc w:val="left"/>
      <w:pPr>
        <w:ind w:left="360" w:hanging="360"/>
      </w:pPr>
      <w:rPr>
        <w:color w:val="auto"/>
      </w:rPr>
    </w:lvl>
    <w:lvl w:ilvl="1" w:tplc="FAA2BABA">
      <w:start w:val="1"/>
      <w:numFmt w:val="lowerLetter"/>
      <w:lvlText w:val="%2."/>
      <w:lvlJc w:val="left"/>
      <w:pPr>
        <w:ind w:left="1080" w:hanging="360"/>
      </w:pPr>
    </w:lvl>
    <w:lvl w:ilvl="2" w:tplc="076C1516">
      <w:start w:val="1"/>
      <w:numFmt w:val="lowerRoman"/>
      <w:lvlText w:val="%3."/>
      <w:lvlJc w:val="right"/>
      <w:pPr>
        <w:ind w:left="1800" w:hanging="180"/>
      </w:pPr>
    </w:lvl>
    <w:lvl w:ilvl="3" w:tplc="6EDAF9F0">
      <w:start w:val="1"/>
      <w:numFmt w:val="decimal"/>
      <w:lvlText w:val="%4."/>
      <w:lvlJc w:val="left"/>
      <w:pPr>
        <w:ind w:left="2520" w:hanging="360"/>
      </w:pPr>
    </w:lvl>
    <w:lvl w:ilvl="4" w:tplc="1D92ABBE">
      <w:start w:val="1"/>
      <w:numFmt w:val="lowerLetter"/>
      <w:lvlText w:val="%5."/>
      <w:lvlJc w:val="left"/>
      <w:pPr>
        <w:ind w:left="3240" w:hanging="360"/>
      </w:pPr>
    </w:lvl>
    <w:lvl w:ilvl="5" w:tplc="4C664E7E">
      <w:start w:val="1"/>
      <w:numFmt w:val="lowerRoman"/>
      <w:lvlText w:val="%6."/>
      <w:lvlJc w:val="right"/>
      <w:pPr>
        <w:ind w:left="3960" w:hanging="180"/>
      </w:pPr>
    </w:lvl>
    <w:lvl w:ilvl="6" w:tplc="ACD4E4EC">
      <w:start w:val="1"/>
      <w:numFmt w:val="decimal"/>
      <w:lvlText w:val="%7."/>
      <w:lvlJc w:val="left"/>
      <w:pPr>
        <w:ind w:left="4680" w:hanging="360"/>
      </w:pPr>
    </w:lvl>
    <w:lvl w:ilvl="7" w:tplc="D6DEBF12">
      <w:start w:val="1"/>
      <w:numFmt w:val="lowerLetter"/>
      <w:lvlText w:val="%8."/>
      <w:lvlJc w:val="left"/>
      <w:pPr>
        <w:ind w:left="5400" w:hanging="360"/>
      </w:pPr>
    </w:lvl>
    <w:lvl w:ilvl="8" w:tplc="8E7CB360">
      <w:start w:val="1"/>
      <w:numFmt w:val="lowerRoman"/>
      <w:lvlText w:val="%9."/>
      <w:lvlJc w:val="right"/>
      <w:pPr>
        <w:ind w:left="6120" w:hanging="180"/>
      </w:pPr>
    </w:lvl>
  </w:abstractNum>
  <w:abstractNum w:abstractNumId="45" w15:restartNumberingAfterBreak="0">
    <w:nsid w:val="5A5772E8"/>
    <w:multiLevelType w:val="hybridMultilevel"/>
    <w:tmpl w:val="F20406A0"/>
    <w:lvl w:ilvl="0" w:tplc="E6F49F40">
      <w:start w:val="1"/>
      <w:numFmt w:val="decimal"/>
      <w:lvlText w:val="%1."/>
      <w:lvlJc w:val="left"/>
      <w:pPr>
        <w:ind w:left="360" w:hanging="360"/>
      </w:pPr>
      <w:rPr>
        <w:color w:val="auto"/>
      </w:rPr>
    </w:lvl>
    <w:lvl w:ilvl="1" w:tplc="FAA2BABA">
      <w:start w:val="1"/>
      <w:numFmt w:val="lowerLetter"/>
      <w:lvlText w:val="%2."/>
      <w:lvlJc w:val="left"/>
      <w:pPr>
        <w:ind w:left="1080" w:hanging="360"/>
      </w:pPr>
    </w:lvl>
    <w:lvl w:ilvl="2" w:tplc="076C1516">
      <w:start w:val="1"/>
      <w:numFmt w:val="lowerRoman"/>
      <w:lvlText w:val="%3."/>
      <w:lvlJc w:val="right"/>
      <w:pPr>
        <w:ind w:left="1800" w:hanging="180"/>
      </w:pPr>
    </w:lvl>
    <w:lvl w:ilvl="3" w:tplc="6EDAF9F0">
      <w:start w:val="1"/>
      <w:numFmt w:val="decimal"/>
      <w:lvlText w:val="%4."/>
      <w:lvlJc w:val="left"/>
      <w:pPr>
        <w:ind w:left="2520" w:hanging="360"/>
      </w:pPr>
    </w:lvl>
    <w:lvl w:ilvl="4" w:tplc="1D92ABBE">
      <w:start w:val="1"/>
      <w:numFmt w:val="lowerLetter"/>
      <w:lvlText w:val="%5."/>
      <w:lvlJc w:val="left"/>
      <w:pPr>
        <w:ind w:left="3240" w:hanging="360"/>
      </w:pPr>
    </w:lvl>
    <w:lvl w:ilvl="5" w:tplc="4C664E7E">
      <w:start w:val="1"/>
      <w:numFmt w:val="lowerRoman"/>
      <w:lvlText w:val="%6."/>
      <w:lvlJc w:val="right"/>
      <w:pPr>
        <w:ind w:left="3960" w:hanging="180"/>
      </w:pPr>
    </w:lvl>
    <w:lvl w:ilvl="6" w:tplc="ACD4E4EC">
      <w:start w:val="1"/>
      <w:numFmt w:val="decimal"/>
      <w:lvlText w:val="%7."/>
      <w:lvlJc w:val="left"/>
      <w:pPr>
        <w:ind w:left="4680" w:hanging="360"/>
      </w:pPr>
    </w:lvl>
    <w:lvl w:ilvl="7" w:tplc="D6DEBF12">
      <w:start w:val="1"/>
      <w:numFmt w:val="lowerLetter"/>
      <w:lvlText w:val="%8."/>
      <w:lvlJc w:val="left"/>
      <w:pPr>
        <w:ind w:left="5400" w:hanging="360"/>
      </w:pPr>
    </w:lvl>
    <w:lvl w:ilvl="8" w:tplc="8E7CB360">
      <w:start w:val="1"/>
      <w:numFmt w:val="lowerRoman"/>
      <w:lvlText w:val="%9."/>
      <w:lvlJc w:val="right"/>
      <w:pPr>
        <w:ind w:left="6120" w:hanging="180"/>
      </w:pPr>
    </w:lvl>
  </w:abstractNum>
  <w:abstractNum w:abstractNumId="46" w15:restartNumberingAfterBreak="0">
    <w:nsid w:val="5BD13C90"/>
    <w:multiLevelType w:val="hybridMultilevel"/>
    <w:tmpl w:val="2CAAFD2A"/>
    <w:lvl w:ilvl="0" w:tplc="0C090019">
      <w:start w:val="1"/>
      <w:numFmt w:val="lowerLetter"/>
      <w:lvlText w:val="%1."/>
      <w:lvlJc w:val="left"/>
      <w:pPr>
        <w:ind w:left="360" w:hanging="360"/>
      </w:pPr>
      <w:rPr>
        <w:color w:val="auto"/>
      </w:rPr>
    </w:lvl>
    <w:lvl w:ilvl="1" w:tplc="508EDE92">
      <w:start w:val="1"/>
      <w:numFmt w:val="lowerLetter"/>
      <w:lvlText w:val="%2."/>
      <w:lvlJc w:val="left"/>
      <w:pPr>
        <w:ind w:left="1080" w:hanging="360"/>
      </w:pPr>
    </w:lvl>
    <w:lvl w:ilvl="2" w:tplc="1D9E999C">
      <w:start w:val="1"/>
      <w:numFmt w:val="lowerRoman"/>
      <w:lvlText w:val="%3."/>
      <w:lvlJc w:val="right"/>
      <w:pPr>
        <w:ind w:left="1800" w:hanging="180"/>
      </w:pPr>
    </w:lvl>
    <w:lvl w:ilvl="3" w:tplc="67C6B5D4">
      <w:start w:val="1"/>
      <w:numFmt w:val="decimal"/>
      <w:lvlText w:val="%4."/>
      <w:lvlJc w:val="left"/>
      <w:pPr>
        <w:ind w:left="2520" w:hanging="360"/>
      </w:pPr>
    </w:lvl>
    <w:lvl w:ilvl="4" w:tplc="1AF6BD52">
      <w:start w:val="1"/>
      <w:numFmt w:val="lowerLetter"/>
      <w:lvlText w:val="%5."/>
      <w:lvlJc w:val="left"/>
      <w:pPr>
        <w:ind w:left="3240" w:hanging="360"/>
      </w:pPr>
    </w:lvl>
    <w:lvl w:ilvl="5" w:tplc="80FA78EC">
      <w:start w:val="1"/>
      <w:numFmt w:val="lowerRoman"/>
      <w:lvlText w:val="%6."/>
      <w:lvlJc w:val="right"/>
      <w:pPr>
        <w:ind w:left="3960" w:hanging="180"/>
      </w:pPr>
    </w:lvl>
    <w:lvl w:ilvl="6" w:tplc="999C71A8">
      <w:start w:val="1"/>
      <w:numFmt w:val="decimal"/>
      <w:lvlText w:val="%7."/>
      <w:lvlJc w:val="left"/>
      <w:pPr>
        <w:ind w:left="4680" w:hanging="360"/>
      </w:pPr>
    </w:lvl>
    <w:lvl w:ilvl="7" w:tplc="B9707B92">
      <w:start w:val="1"/>
      <w:numFmt w:val="lowerLetter"/>
      <w:lvlText w:val="%8."/>
      <w:lvlJc w:val="left"/>
      <w:pPr>
        <w:ind w:left="5400" w:hanging="360"/>
      </w:pPr>
    </w:lvl>
    <w:lvl w:ilvl="8" w:tplc="F4DA1486">
      <w:start w:val="1"/>
      <w:numFmt w:val="lowerRoman"/>
      <w:lvlText w:val="%9."/>
      <w:lvlJc w:val="right"/>
      <w:pPr>
        <w:ind w:left="612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4"/>
  </w:num>
  <w:num w:numId="35">
    <w:abstractNumId w:val="35"/>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0"/>
  </w:num>
  <w:num w:numId="4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6"/>
  </w:num>
  <w:num w:numId="49">
    <w:abstractNumId w:val="0"/>
  </w:num>
  <w:num w:numId="50">
    <w:abstractNumId w:val="0"/>
  </w:num>
  <w:num w:numId="51">
    <w:abstractNumId w:val="4"/>
  </w:num>
  <w:num w:numId="52">
    <w:abstractNumId w:val="43"/>
  </w:num>
  <w:num w:numId="53">
    <w:abstractNumId w:val="44"/>
  </w:num>
  <w:num w:numId="54">
    <w:abstractNumId w:val="46"/>
  </w:num>
  <w:num w:numId="55">
    <w:abstractNumId w:val="1"/>
  </w:num>
  <w:num w:numId="56">
    <w:abstractNumId w:val="39"/>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num>
  <w:num w:numId="66">
    <w:abstractNumId w:val="1"/>
  </w:num>
  <w:num w:numId="67">
    <w:abstractNumId w:val="1"/>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35"/>
    <w:rsid w:val="0002624F"/>
    <w:rsid w:val="00031209"/>
    <w:rsid w:val="000500CC"/>
    <w:rsid w:val="00051548"/>
    <w:rsid w:val="00074FAC"/>
    <w:rsid w:val="000C0A59"/>
    <w:rsid w:val="000C7235"/>
    <w:rsid w:val="000D1F50"/>
    <w:rsid w:val="000E29BB"/>
    <w:rsid w:val="000F0FC3"/>
    <w:rsid w:val="00142BDE"/>
    <w:rsid w:val="00174C89"/>
    <w:rsid w:val="001E4FEE"/>
    <w:rsid w:val="001E5000"/>
    <w:rsid w:val="001F1756"/>
    <w:rsid w:val="00207E3E"/>
    <w:rsid w:val="002A7814"/>
    <w:rsid w:val="002E2C1E"/>
    <w:rsid w:val="003513CA"/>
    <w:rsid w:val="00380020"/>
    <w:rsid w:val="003C2FCF"/>
    <w:rsid w:val="003D6B3C"/>
    <w:rsid w:val="00421DDA"/>
    <w:rsid w:val="004647C7"/>
    <w:rsid w:val="00492C71"/>
    <w:rsid w:val="00532A77"/>
    <w:rsid w:val="00584E00"/>
    <w:rsid w:val="005E5B4F"/>
    <w:rsid w:val="005F57B5"/>
    <w:rsid w:val="00655027"/>
    <w:rsid w:val="00661B14"/>
    <w:rsid w:val="006730C0"/>
    <w:rsid w:val="00682B46"/>
    <w:rsid w:val="00696BF6"/>
    <w:rsid w:val="006D3501"/>
    <w:rsid w:val="00746957"/>
    <w:rsid w:val="00746BC5"/>
    <w:rsid w:val="00785F00"/>
    <w:rsid w:val="00795C9B"/>
    <w:rsid w:val="007E501B"/>
    <w:rsid w:val="0080539F"/>
    <w:rsid w:val="008F551C"/>
    <w:rsid w:val="009960B7"/>
    <w:rsid w:val="009A24FA"/>
    <w:rsid w:val="009B235F"/>
    <w:rsid w:val="009D54BA"/>
    <w:rsid w:val="009F7F5A"/>
    <w:rsid w:val="00A3539B"/>
    <w:rsid w:val="00A4668D"/>
    <w:rsid w:val="00A72D96"/>
    <w:rsid w:val="00A76EB1"/>
    <w:rsid w:val="00AB2182"/>
    <w:rsid w:val="00AD0805"/>
    <w:rsid w:val="00AD26B7"/>
    <w:rsid w:val="00AF09CF"/>
    <w:rsid w:val="00B15DC9"/>
    <w:rsid w:val="00B16B3B"/>
    <w:rsid w:val="00B937B9"/>
    <w:rsid w:val="00BA7B7D"/>
    <w:rsid w:val="00BB4223"/>
    <w:rsid w:val="00C02D88"/>
    <w:rsid w:val="00C07D35"/>
    <w:rsid w:val="00C3464E"/>
    <w:rsid w:val="00CD77D0"/>
    <w:rsid w:val="00CF0846"/>
    <w:rsid w:val="00D01CA3"/>
    <w:rsid w:val="00D4101A"/>
    <w:rsid w:val="00D50379"/>
    <w:rsid w:val="00D70523"/>
    <w:rsid w:val="00D73432"/>
    <w:rsid w:val="00DB6218"/>
    <w:rsid w:val="00DB6E11"/>
    <w:rsid w:val="00DC0628"/>
    <w:rsid w:val="00DC62BF"/>
    <w:rsid w:val="00E11B84"/>
    <w:rsid w:val="00E24F65"/>
    <w:rsid w:val="00E31D53"/>
    <w:rsid w:val="00E5563D"/>
    <w:rsid w:val="00E63FBF"/>
    <w:rsid w:val="00E7746C"/>
    <w:rsid w:val="00EC0E37"/>
    <w:rsid w:val="00EF108D"/>
    <w:rsid w:val="00EF18CC"/>
    <w:rsid w:val="00F36609"/>
    <w:rsid w:val="00F45701"/>
    <w:rsid w:val="00F72C3A"/>
    <w:rsid w:val="00FC7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4E790C"/>
  <w15:docId w15:val="{99C3CDCD-DABC-40F3-8286-6BEB0B9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DC0628"/>
    <w:pPr>
      <w:keepNext/>
      <w:keepLines/>
      <w:pageBreakBefore/>
      <w:pBdr>
        <w:top w:val="nil"/>
        <w:left w:val="nil"/>
        <w:bottom w:val="nil"/>
        <w:right w:val="nil"/>
        <w:between w:val="nil"/>
        <w:bar w:val="nil"/>
      </w:pBdr>
      <w:spacing w:before="360"/>
      <w:contextualSpacing/>
      <w:outlineLvl w:val="2"/>
    </w:pPr>
    <w:rPr>
      <w:b/>
      <w:bCs/>
      <w:szCs w:val="26"/>
      <w:bdr w:val="nil"/>
    </w:rPr>
  </w:style>
  <w:style w:type="paragraph" w:styleId="Heading4">
    <w:name w:val="heading 4"/>
    <w:basedOn w:val="Normal"/>
    <w:next w:val="Normal"/>
    <w:link w:val="Heading4Char"/>
    <w:autoRedefine/>
    <w:qFormat/>
    <w:rsid w:val="00EE4D16"/>
    <w:pPr>
      <w:keepNext/>
      <w:keepLines/>
      <w:spacing w:before="240" w:after="120"/>
      <w:outlineLvl w:val="3"/>
    </w:pPr>
    <w:rPr>
      <w:b/>
      <w:i/>
    </w:rPr>
  </w:style>
  <w:style w:type="paragraph" w:styleId="Heading6">
    <w:name w:val="heading 6"/>
    <w:basedOn w:val="Normal"/>
    <w:next w:val="Normal"/>
    <w:link w:val="Heading6Char"/>
    <w:uiPriority w:val="9"/>
    <w:qFormat/>
    <w:rsid w:val="00FB4CEC"/>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customStyle="1" w:styleId="BSbullet1">
    <w:name w:val="BS_bullet 1"/>
    <w:basedOn w:val="BodyTextIndent"/>
    <w:link w:val="BSbullet1Char"/>
    <w:qFormat/>
    <w:rsid w:val="009E4D5F"/>
    <w:pPr>
      <w:keepNext w:val="0"/>
      <w:keepLines w:val="0"/>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character" w:customStyle="1" w:styleId="Heading3Char">
    <w:name w:val="Heading 3 Char"/>
    <w:link w:val="Heading3"/>
    <w:locked/>
    <w:rsid w:val="00DC0628"/>
    <w:rPr>
      <w:rFonts w:ascii="Calibri" w:hAnsi="Calibri"/>
      <w:b/>
      <w:bCs/>
      <w:sz w:val="24"/>
      <w:szCs w:val="26"/>
      <w:bdr w:val="nil"/>
      <w:lang w:eastAsia="en-US"/>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rPr>
      <w:sz w:val="20"/>
    </w:rPr>
  </w:style>
  <w:style w:type="character" w:customStyle="1" w:styleId="CommentTextChar">
    <w:name w:val="Comment Text Char"/>
    <w:link w:val="CommentText"/>
    <w:locked/>
    <w:rsid w:val="007316E2"/>
    <w:rPr>
      <w:rFonts w:ascii="Calibri" w:hAnsi="Calibri"/>
      <w:lang w:eastAsia="en-US"/>
    </w:rPr>
  </w:style>
  <w:style w:type="character" w:customStyle="1" w:styleId="Calibri12">
    <w:name w:val="Calibri 12"/>
    <w:basedOn w:val="DefaultParagraphFont"/>
    <w:uiPriority w:val="1"/>
    <w:qFormat/>
    <w:rsid w:val="000C420B"/>
    <w:rPr>
      <w:rFonts w:ascii="Calibri" w:hAnsi="Calibri" w:cs="Calibri" w:hint="default"/>
      <w:sz w:val="24"/>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45AED"/>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45AED"/>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Heading30">
    <w:name w:val="Heading 3_0"/>
    <w:basedOn w:val="Normal2"/>
    <w:next w:val="Normal2"/>
    <w:link w:val="Heading3Char0"/>
    <w:autoRedefine/>
    <w:qFormat/>
    <w:rsid w:val="00D73432"/>
    <w:pPr>
      <w:keepNext/>
      <w:keepLines/>
      <w:spacing w:before="360"/>
      <w:contextualSpacing/>
      <w:outlineLvl w:val="2"/>
    </w:pPr>
    <w:rPr>
      <w:b/>
      <w:bCs/>
      <w:szCs w:val="24"/>
      <w:bdr w:val="nil"/>
    </w:rPr>
  </w:style>
  <w:style w:type="paragraph" w:customStyle="1" w:styleId="Normal2">
    <w:name w:val="Normal_2"/>
    <w:qFormat/>
    <w:rsid w:val="00F24588"/>
    <w:pPr>
      <w:spacing w:before="200" w:after="200"/>
    </w:pPr>
    <w:rPr>
      <w:rFonts w:ascii="Calibri" w:hAnsi="Calibri"/>
      <w:sz w:val="24"/>
      <w:lang w:eastAsia="en-US"/>
    </w:rPr>
  </w:style>
  <w:style w:type="character" w:customStyle="1" w:styleId="Heading3Char0">
    <w:name w:val="Heading 3 Char_0"/>
    <w:link w:val="Heading30"/>
    <w:locked/>
    <w:rsid w:val="00D73432"/>
    <w:rPr>
      <w:rFonts w:ascii="Calibri" w:hAnsi="Calibri"/>
      <w:b/>
      <w:bCs/>
      <w:sz w:val="24"/>
      <w:szCs w:val="24"/>
      <w:bdr w:val="nil"/>
      <w:lang w:eastAsia="en-US"/>
    </w:rPr>
  </w:style>
  <w:style w:type="character" w:customStyle="1" w:styleId="Heading4Char">
    <w:name w:val="Heading 4 Char"/>
    <w:link w:val="Heading4"/>
    <w:locked/>
    <w:rsid w:val="00EE4D16"/>
    <w:rPr>
      <w:rFonts w:ascii="Calibri" w:hAnsi="Calibri"/>
      <w:b/>
      <w:i/>
      <w:sz w:val="24"/>
      <w:lang w:eastAsia="en-US"/>
    </w:rPr>
  </w:style>
  <w:style w:type="paragraph" w:customStyle="1" w:styleId="Normal20">
    <w:name w:val="Normal_2_0"/>
    <w:qFormat/>
    <w:rsid w:val="002353A6"/>
    <w:pPr>
      <w:spacing w:before="200" w:after="200"/>
    </w:pPr>
    <w:rPr>
      <w:rFonts w:ascii="Calibri" w:hAnsi="Calibri"/>
      <w:sz w:val="24"/>
      <w:lang w:eastAsia="en-US"/>
    </w:rPr>
  </w:style>
  <w:style w:type="paragraph" w:customStyle="1" w:styleId="TableTextHeading1">
    <w:name w:val="Table Text Heading 1"/>
    <w:basedOn w:val="Normal"/>
    <w:rsid w:val="00260CAA"/>
    <w:pPr>
      <w:spacing w:before="0" w:after="0"/>
      <w:jc w:val="right"/>
    </w:pPr>
    <w:rPr>
      <w:rFonts w:ascii="Times New Roman" w:hAnsi="Times New Roman"/>
      <w:b/>
      <w:sz w:val="18"/>
      <w:lang w:eastAsia="en-AU"/>
    </w:rPr>
  </w:style>
  <w:style w:type="paragraph" w:customStyle="1" w:styleId="AITableText0">
    <w:name w:val="AI Table Text_0"/>
    <w:basedOn w:val="Normal2"/>
    <w:link w:val="AITableTextChar0"/>
    <w:rsid w:val="00F24588"/>
    <w:pPr>
      <w:jc w:val="right"/>
    </w:pPr>
    <w:rPr>
      <w:sz w:val="20"/>
      <w:szCs w:val="24"/>
    </w:rPr>
  </w:style>
  <w:style w:type="character" w:customStyle="1" w:styleId="AITableTextChar0">
    <w:name w:val="AI Table Text Char_0"/>
    <w:link w:val="AITableText0"/>
    <w:locked/>
    <w:rsid w:val="00F24588"/>
    <w:rPr>
      <w:rFonts w:ascii="Calibri" w:hAnsi="Calibri"/>
      <w:szCs w:val="24"/>
      <w:lang w:eastAsia="en-US"/>
    </w:rPr>
  </w:style>
  <w:style w:type="paragraph" w:customStyle="1" w:styleId="BSnote0">
    <w:name w:val="BS_note_0"/>
    <w:basedOn w:val="Normal"/>
    <w:link w:val="BSnoteChar0"/>
    <w:qFormat/>
    <w:rsid w:val="00F24588"/>
    <w:pPr>
      <w:keepNext/>
      <w:spacing w:before="120" w:after="0"/>
    </w:pPr>
    <w:rPr>
      <w:b/>
      <w:sz w:val="18"/>
      <w:szCs w:val="16"/>
    </w:rPr>
  </w:style>
  <w:style w:type="character" w:customStyle="1" w:styleId="BSnoteChar0">
    <w:name w:val="BS_note Char_0"/>
    <w:link w:val="BSnote0"/>
    <w:locked/>
    <w:rsid w:val="00F24588"/>
    <w:rPr>
      <w:rFonts w:ascii="Calibri" w:hAnsi="Calibri"/>
      <w:b/>
      <w:sz w:val="18"/>
      <w:szCs w:val="16"/>
      <w:lang w:eastAsia="en-US"/>
    </w:rPr>
  </w:style>
  <w:style w:type="paragraph" w:customStyle="1" w:styleId="BSnoteslist">
    <w:name w:val="BS_notes list"/>
    <w:basedOn w:val="Alnotes"/>
    <w:link w:val="BSnoteslistChar"/>
    <w:qFormat/>
    <w:rsid w:val="00833051"/>
    <w:pPr>
      <w:numPr>
        <w:numId w:val="0"/>
      </w:numPr>
    </w:pPr>
  </w:style>
  <w:style w:type="paragraph" w:customStyle="1" w:styleId="Alnotes">
    <w:name w:val="Al notes"/>
    <w:basedOn w:val="ListParagraph"/>
    <w:next w:val="Normal"/>
    <w:link w:val="AlnotesChar"/>
    <w:autoRedefine/>
    <w:rsid w:val="00C0540A"/>
    <w:pPr>
      <w:numPr>
        <w:numId w:val="6"/>
      </w:numPr>
      <w:spacing w:before="0"/>
    </w:pPr>
    <w:rPr>
      <w:sz w:val="18"/>
    </w:rPr>
  </w:style>
  <w:style w:type="paragraph" w:styleId="ListParagraph">
    <w:name w:val="List Paragraph"/>
    <w:basedOn w:val="Normal"/>
    <w:link w:val="ListParagraphChar"/>
    <w:qFormat/>
    <w:rsid w:val="009E567D"/>
    <w:pPr>
      <w:spacing w:after="0"/>
      <w:ind w:left="357" w:hanging="357"/>
    </w:pPr>
    <w:rPr>
      <w:sz w:val="16"/>
      <w:szCs w:val="24"/>
    </w:rPr>
  </w:style>
  <w:style w:type="character" w:customStyle="1" w:styleId="ListParagraphChar">
    <w:name w:val="List Paragraph Char"/>
    <w:link w:val="ListParagraph"/>
    <w:rsid w:val="005B5A37"/>
    <w:rPr>
      <w:rFonts w:ascii="Calibri" w:hAnsi="Calibri"/>
      <w:sz w:val="16"/>
      <w:szCs w:val="24"/>
      <w:lang w:eastAsia="en-US"/>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paragraph" w:customStyle="1" w:styleId="BSnoteslist0">
    <w:name w:val="BS_notes list_0"/>
    <w:basedOn w:val="Normal"/>
    <w:link w:val="BSnoteslistChar0"/>
    <w:qFormat/>
    <w:rsid w:val="00F24588"/>
    <w:pPr>
      <w:numPr>
        <w:numId w:val="8"/>
      </w:numPr>
      <w:spacing w:before="0" w:after="0"/>
    </w:pPr>
    <w:rPr>
      <w:sz w:val="18"/>
      <w:szCs w:val="24"/>
    </w:rPr>
  </w:style>
  <w:style w:type="character" w:customStyle="1" w:styleId="BSnoteslistChar0">
    <w:name w:val="BS_notes list Char_0"/>
    <w:basedOn w:val="DefaultParagraphFont"/>
    <w:link w:val="BSnoteslist0"/>
    <w:locked/>
    <w:rsid w:val="00F24588"/>
    <w:rPr>
      <w:rFonts w:ascii="Calibri" w:hAnsi="Calibri"/>
      <w:sz w:val="18"/>
      <w:szCs w:val="24"/>
      <w:lang w:eastAsia="en-US"/>
    </w:rPr>
  </w:style>
  <w:style w:type="paragraph" w:customStyle="1" w:styleId="BStablefiguresbold">
    <w:name w:val="BS_table figures bold"/>
    <w:basedOn w:val="BStablefigures"/>
    <w:qFormat/>
    <w:rsid w:val="006E57FD"/>
    <w:rPr>
      <w:b/>
    </w:rPr>
  </w:style>
  <w:style w:type="paragraph" w:customStyle="1" w:styleId="BStablefigures00">
    <w:name w:val="BS_table figures_0_0"/>
    <w:basedOn w:val="BStabletext00"/>
    <w:link w:val="BStablefiguresChar00"/>
    <w:autoRedefine/>
    <w:qFormat/>
    <w:rsid w:val="002353A6"/>
    <w:rPr>
      <w:bCs w:val="0"/>
      <w:lang w:eastAsia="en-US"/>
    </w:rPr>
  </w:style>
  <w:style w:type="paragraph" w:customStyle="1" w:styleId="BStabletext00">
    <w:name w:val="BS_table text_0_0"/>
    <w:basedOn w:val="Normal"/>
    <w:link w:val="BStabletextChar00"/>
    <w:autoRedefine/>
    <w:qFormat/>
    <w:rsid w:val="002353A6"/>
    <w:pPr>
      <w:spacing w:before="0" w:after="0"/>
      <w:jc w:val="right"/>
    </w:pPr>
    <w:rPr>
      <w:rFonts w:eastAsia="Calibri" w:cs="Calibri"/>
      <w:bCs/>
      <w:sz w:val="18"/>
      <w:szCs w:val="18"/>
      <w:lang w:eastAsia="en-AU"/>
    </w:rPr>
  </w:style>
  <w:style w:type="character" w:customStyle="1" w:styleId="BStabletextChar00">
    <w:name w:val="BS_table text Char_0_0"/>
    <w:basedOn w:val="DefaultParagraphFont"/>
    <w:link w:val="BStabletext00"/>
    <w:locked/>
    <w:rsid w:val="002353A6"/>
    <w:rPr>
      <w:rFonts w:ascii="Calibri" w:eastAsia="Calibri" w:hAnsi="Calibri" w:cs="Calibri"/>
      <w:bCs/>
      <w:sz w:val="18"/>
      <w:szCs w:val="18"/>
    </w:rPr>
  </w:style>
  <w:style w:type="character" w:customStyle="1" w:styleId="BStablefiguresChar00">
    <w:name w:val="BS_table figures Char_0_0"/>
    <w:basedOn w:val="AITableTextChar0"/>
    <w:link w:val="BStablefigures00"/>
    <w:locked/>
    <w:rsid w:val="002353A6"/>
    <w:rPr>
      <w:rFonts w:ascii="Calibri" w:eastAsia="Calibri" w:hAnsi="Calibri" w:cs="Calibri"/>
      <w:sz w:val="18"/>
      <w:szCs w:val="18"/>
      <w:lang w:eastAsia="en-US"/>
    </w:rPr>
  </w:style>
  <w:style w:type="paragraph" w:customStyle="1" w:styleId="BStabletextbold">
    <w:name w:val="BS_table text bold"/>
    <w:basedOn w:val="BStabletext"/>
    <w:link w:val="BStabletextboldChar"/>
    <w:qFormat/>
    <w:rsid w:val="00404AA2"/>
    <w:rPr>
      <w:b/>
    </w:rPr>
  </w:style>
  <w:style w:type="character" w:customStyle="1" w:styleId="BStabletextboldChar">
    <w:name w:val="BS_table text bold Char"/>
    <w:link w:val="BStabletextbold"/>
    <w:locked/>
    <w:rsid w:val="00D41F5F"/>
    <w:rPr>
      <w:rFonts w:ascii="Calibri" w:hAnsi="Calibri"/>
      <w:b/>
      <w:bCs/>
    </w:rPr>
  </w:style>
  <w:style w:type="paragraph" w:customStyle="1" w:styleId="BSnoteslist1">
    <w:name w:val="BS_notes list_1"/>
    <w:basedOn w:val="Normal"/>
    <w:link w:val="BSnoteslistChar1"/>
    <w:qFormat/>
    <w:rsid w:val="00EF7CAA"/>
    <w:pPr>
      <w:spacing w:before="0" w:after="0"/>
    </w:pPr>
    <w:rPr>
      <w:sz w:val="18"/>
      <w:szCs w:val="24"/>
    </w:rPr>
  </w:style>
  <w:style w:type="character" w:customStyle="1" w:styleId="BSnoteslistChar1">
    <w:name w:val="BS_notes list Char_1"/>
    <w:basedOn w:val="DefaultParagraphFont"/>
    <w:link w:val="BSnoteslist1"/>
    <w:locked/>
    <w:rsid w:val="00EF7CAA"/>
    <w:rPr>
      <w:rFonts w:ascii="Calibri" w:hAnsi="Calibri"/>
      <w:sz w:val="18"/>
      <w:szCs w:val="24"/>
      <w:lang w:eastAsia="en-US"/>
    </w:rPr>
  </w:style>
  <w:style w:type="paragraph" w:customStyle="1" w:styleId="Normal3">
    <w:name w:val="Normal_3"/>
    <w:qFormat/>
    <w:rsid w:val="00BF6A8E"/>
    <w:pPr>
      <w:spacing w:before="200" w:after="200"/>
    </w:pPr>
    <w:rPr>
      <w:rFonts w:ascii="Calibri" w:hAnsi="Calibri"/>
      <w:sz w:val="24"/>
      <w:lang w:eastAsia="en-US"/>
    </w:rPr>
  </w:style>
  <w:style w:type="paragraph" w:customStyle="1" w:styleId="BSnoteslist2">
    <w:name w:val="BS_notes list_2"/>
    <w:basedOn w:val="Normal"/>
    <w:link w:val="BSnoteslistChar2"/>
    <w:qFormat/>
    <w:rsid w:val="00BA438D"/>
    <w:pPr>
      <w:numPr>
        <w:numId w:val="14"/>
      </w:numPr>
      <w:spacing w:before="0" w:after="0"/>
    </w:pPr>
    <w:rPr>
      <w:rFonts w:cs="Calibri"/>
      <w:sz w:val="18"/>
      <w:szCs w:val="24"/>
    </w:rPr>
  </w:style>
  <w:style w:type="character" w:customStyle="1" w:styleId="BSnoteslistChar2">
    <w:name w:val="BS_notes list Char_2"/>
    <w:basedOn w:val="DefaultParagraphFont"/>
    <w:link w:val="BSnoteslist2"/>
    <w:locked/>
    <w:rsid w:val="00BA438D"/>
    <w:rPr>
      <w:rFonts w:ascii="Calibri" w:hAnsi="Calibri" w:cs="Calibri"/>
      <w:sz w:val="18"/>
      <w:szCs w:val="24"/>
      <w:lang w:eastAsia="en-US"/>
    </w:rPr>
  </w:style>
  <w:style w:type="paragraph" w:customStyle="1" w:styleId="Normal1">
    <w:name w:val="Normal_1"/>
    <w:qFormat/>
    <w:rsid w:val="00EF7CAA"/>
    <w:pPr>
      <w:spacing w:before="200" w:after="200"/>
    </w:pPr>
    <w:rPr>
      <w:rFonts w:ascii="Calibri" w:hAnsi="Calibri"/>
      <w:sz w:val="24"/>
      <w:lang w:eastAsia="en-US"/>
    </w:rPr>
  </w:style>
  <w:style w:type="paragraph" w:customStyle="1" w:styleId="BSnoteslist10">
    <w:name w:val="BS_notes list_1_0"/>
    <w:basedOn w:val="Normal"/>
    <w:link w:val="BSnoteslistChar10"/>
    <w:qFormat/>
    <w:rsid w:val="00BA438D"/>
    <w:pPr>
      <w:spacing w:before="0" w:after="0"/>
    </w:pPr>
    <w:rPr>
      <w:rFonts w:cs="Calibri"/>
      <w:sz w:val="18"/>
      <w:szCs w:val="24"/>
    </w:rPr>
  </w:style>
  <w:style w:type="character" w:customStyle="1" w:styleId="BSnoteslistChar10">
    <w:name w:val="BS_notes list Char_1_0"/>
    <w:basedOn w:val="DefaultParagraphFont"/>
    <w:link w:val="BSnoteslist10"/>
    <w:locked/>
    <w:rsid w:val="00BA438D"/>
    <w:rPr>
      <w:rFonts w:ascii="Calibri" w:hAnsi="Calibri" w:cs="Calibri"/>
      <w:sz w:val="18"/>
      <w:szCs w:val="24"/>
      <w:lang w:eastAsia="en-US"/>
    </w:rPr>
  </w:style>
  <w:style w:type="paragraph" w:customStyle="1" w:styleId="Heading32">
    <w:name w:val="Heading 3_2"/>
    <w:basedOn w:val="Normal"/>
    <w:next w:val="Normal"/>
    <w:link w:val="Heading3Char2"/>
    <w:autoRedefine/>
    <w:qFormat/>
    <w:rsid w:val="0009313D"/>
    <w:pPr>
      <w:keepNext/>
      <w:keepLines/>
      <w:spacing w:before="360"/>
      <w:contextualSpacing/>
      <w:outlineLvl w:val="2"/>
    </w:pPr>
    <w:rPr>
      <w:rFonts w:cs="Calibri"/>
      <w:b/>
      <w:bCs/>
      <w:sz w:val="28"/>
      <w:szCs w:val="26"/>
    </w:rPr>
  </w:style>
  <w:style w:type="character" w:customStyle="1" w:styleId="Heading3Char2">
    <w:name w:val="Heading 3 Char_2"/>
    <w:link w:val="Heading32"/>
    <w:locked/>
    <w:rsid w:val="0009313D"/>
    <w:rPr>
      <w:rFonts w:ascii="Calibri" w:hAnsi="Calibri" w:cs="Calibri"/>
      <w:b/>
      <w:bCs/>
      <w:sz w:val="28"/>
      <w:szCs w:val="26"/>
      <w:lang w:eastAsia="en-US"/>
    </w:rPr>
  </w:style>
  <w:style w:type="paragraph" w:customStyle="1" w:styleId="Heading41">
    <w:name w:val="Heading 4_1"/>
    <w:basedOn w:val="Normal"/>
    <w:next w:val="Normal"/>
    <w:link w:val="Heading4Char1"/>
    <w:autoRedefine/>
    <w:qFormat/>
    <w:rsid w:val="00645BD9"/>
    <w:pPr>
      <w:keepNext/>
      <w:keepLines/>
      <w:spacing w:before="240" w:after="120"/>
      <w:outlineLvl w:val="3"/>
    </w:pPr>
    <w:rPr>
      <w:b/>
      <w:i/>
    </w:rPr>
  </w:style>
  <w:style w:type="character" w:customStyle="1" w:styleId="Heading4Char1">
    <w:name w:val="Heading 4 Char_1"/>
    <w:link w:val="Heading41"/>
    <w:locked/>
    <w:rsid w:val="00645BD9"/>
    <w:rPr>
      <w:rFonts w:ascii="Calibri" w:hAnsi="Calibri"/>
      <w:b/>
      <w:i/>
      <w:sz w:val="24"/>
      <w:lang w:eastAsia="en-US"/>
    </w:rPr>
  </w:style>
  <w:style w:type="character" w:customStyle="1" w:styleId="Heading6Char">
    <w:name w:val="Heading 6 Char"/>
    <w:link w:val="Heading6"/>
    <w:uiPriority w:val="9"/>
    <w:locked/>
    <w:rsid w:val="007316E2"/>
    <w:rPr>
      <w:rFonts w:ascii="Calibri" w:hAnsi="Calibri"/>
      <w:b/>
      <w:lang w:eastAsia="en-US"/>
    </w:rPr>
  </w:style>
  <w:style w:type="paragraph" w:customStyle="1" w:styleId="BStableheading11">
    <w:name w:val="BS_table heading 1_1"/>
    <w:basedOn w:val="Normal"/>
    <w:link w:val="BStableheading1Char1"/>
    <w:rsid w:val="00604AB5"/>
    <w:pPr>
      <w:framePr w:wrap="around" w:vAnchor="text" w:hAnchor="text" w:y="1"/>
      <w:spacing w:before="0" w:after="0"/>
      <w:jc w:val="right"/>
    </w:pPr>
    <w:rPr>
      <w:b/>
      <w:bCs/>
      <w:sz w:val="20"/>
    </w:rPr>
  </w:style>
  <w:style w:type="character" w:customStyle="1" w:styleId="BStableheading1Char1">
    <w:name w:val="BS_table heading 1 Char_1"/>
    <w:basedOn w:val="DefaultParagraphFont"/>
    <w:link w:val="BStableheading11"/>
    <w:locked/>
    <w:rsid w:val="00604AB5"/>
    <w:rPr>
      <w:rFonts w:ascii="Calibri" w:hAnsi="Calibri"/>
      <w:b/>
      <w:bCs/>
      <w:lang w:eastAsia="en-US"/>
    </w:rPr>
  </w:style>
  <w:style w:type="paragraph" w:customStyle="1" w:styleId="BStablelist">
    <w:name w:val="BS_table list"/>
    <w:basedOn w:val="AIIndent"/>
    <w:link w:val="BStablelistChar"/>
    <w:qFormat/>
    <w:rsid w:val="009D6846"/>
    <w:pPr>
      <w:numPr>
        <w:numId w:val="21"/>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tablefigures1">
    <w:name w:val="BS_table figures_1"/>
    <w:basedOn w:val="BStabletext1"/>
    <w:link w:val="BStablefiguresChar1"/>
    <w:autoRedefine/>
    <w:qFormat/>
    <w:rsid w:val="00604AB5"/>
    <w:pPr>
      <w:jc w:val="right"/>
    </w:pPr>
    <w:rPr>
      <w:bCs w:val="0"/>
    </w:rPr>
  </w:style>
  <w:style w:type="paragraph" w:customStyle="1" w:styleId="BStabletext1">
    <w:name w:val="BS_table text_1"/>
    <w:basedOn w:val="BStableheading11"/>
    <w:link w:val="BStabletextChar1"/>
    <w:autoRedefine/>
    <w:qFormat/>
    <w:rsid w:val="00604AB5"/>
    <w:pPr>
      <w:framePr w:wrap="auto" w:vAnchor="margin" w:yAlign="inline"/>
      <w:ind w:left="227" w:hanging="227"/>
      <w:jc w:val="left"/>
    </w:pPr>
  </w:style>
  <w:style w:type="character" w:customStyle="1" w:styleId="BStabletextChar1">
    <w:name w:val="BS_table text Char_1"/>
    <w:basedOn w:val="BStableheading1Char1"/>
    <w:link w:val="BStabletext1"/>
    <w:locked/>
    <w:rsid w:val="00604AB5"/>
    <w:rPr>
      <w:rFonts w:ascii="Calibri" w:hAnsi="Calibri"/>
      <w:b/>
      <w:bCs/>
      <w:lang w:eastAsia="en-US"/>
    </w:rPr>
  </w:style>
  <w:style w:type="character" w:customStyle="1" w:styleId="BStablefiguresChar1">
    <w:name w:val="BS_table figures Char_1"/>
    <w:basedOn w:val="DefaultParagraphFont"/>
    <w:link w:val="BStablefigures1"/>
    <w:locked/>
    <w:rsid w:val="00604AB5"/>
    <w:rPr>
      <w:rFonts w:ascii="Calibri" w:hAnsi="Calibri"/>
      <w:b/>
      <w:lang w:eastAsia="en-US"/>
    </w:rPr>
  </w:style>
  <w:style w:type="paragraph" w:customStyle="1" w:styleId="BSnote2">
    <w:name w:val="BS_note_2"/>
    <w:basedOn w:val="Normal"/>
    <w:link w:val="BSnoteChar2"/>
    <w:qFormat/>
    <w:rsid w:val="00140801"/>
    <w:pPr>
      <w:keepNext/>
      <w:spacing w:before="120" w:after="0"/>
    </w:pPr>
    <w:rPr>
      <w:b/>
      <w:sz w:val="18"/>
      <w:szCs w:val="16"/>
    </w:rPr>
  </w:style>
  <w:style w:type="character" w:customStyle="1" w:styleId="BSnoteChar2">
    <w:name w:val="BS_note Char_2"/>
    <w:link w:val="BSnote2"/>
    <w:locked/>
    <w:rsid w:val="00140801"/>
    <w:rPr>
      <w:rFonts w:ascii="Calibri" w:hAnsi="Calibri"/>
      <w:b/>
      <w:sz w:val="18"/>
      <w:szCs w:val="16"/>
      <w:lang w:eastAsia="en-US"/>
    </w:rPr>
  </w:style>
  <w:style w:type="character" w:customStyle="1" w:styleId="Strong0">
    <w:name w:val="Strong_0"/>
    <w:qFormat/>
    <w:rsid w:val="00604AB5"/>
    <w:rPr>
      <w:rFonts w:ascii="Calibri" w:hAnsi="Calibri" w:hint="default"/>
      <w:b/>
      <w:bCs/>
      <w:lang w:eastAsia="en-US"/>
    </w:rPr>
  </w:style>
  <w:style w:type="paragraph" w:customStyle="1" w:styleId="BStabletextbold0">
    <w:name w:val="BS_table text bold_0"/>
    <w:basedOn w:val="Normal"/>
    <w:link w:val="BStabletextboldChar0"/>
    <w:qFormat/>
    <w:rsid w:val="0009313D"/>
    <w:pPr>
      <w:spacing w:before="0" w:after="0"/>
      <w:ind w:left="227" w:hanging="227"/>
    </w:pPr>
    <w:rPr>
      <w:rFonts w:cs="Calibri"/>
      <w:b/>
      <w:bCs/>
      <w:sz w:val="20"/>
      <w:lang w:eastAsia="en-AU"/>
    </w:rPr>
  </w:style>
  <w:style w:type="character" w:customStyle="1" w:styleId="BStabletextboldChar0">
    <w:name w:val="BS_table text bold Char_0"/>
    <w:link w:val="BStabletextbold0"/>
    <w:locked/>
    <w:rsid w:val="0009313D"/>
    <w:rPr>
      <w:rFonts w:ascii="Calibri" w:hAnsi="Calibri" w:cs="Calibri"/>
      <w:b/>
      <w:bCs/>
    </w:rPr>
  </w:style>
  <w:style w:type="paragraph" w:customStyle="1" w:styleId="BSnote20">
    <w:name w:val="BS_note_2_0"/>
    <w:basedOn w:val="Normal"/>
    <w:link w:val="BSnoteChar20"/>
    <w:qFormat/>
    <w:rsid w:val="0009313D"/>
    <w:pPr>
      <w:keepNext/>
      <w:spacing w:before="120" w:after="0"/>
    </w:pPr>
    <w:rPr>
      <w:rFonts w:cs="Calibri"/>
      <w:b/>
      <w:sz w:val="18"/>
      <w:szCs w:val="16"/>
    </w:rPr>
  </w:style>
  <w:style w:type="character" w:customStyle="1" w:styleId="BSnoteChar20">
    <w:name w:val="BS_note Char_2_0"/>
    <w:link w:val="BSnote20"/>
    <w:locked/>
    <w:rsid w:val="0009313D"/>
    <w:rPr>
      <w:rFonts w:ascii="Calibri" w:hAnsi="Calibri" w:cs="Calibri"/>
      <w:b/>
      <w:sz w:val="18"/>
      <w:szCs w:val="16"/>
      <w:lang w:eastAsia="en-US"/>
    </w:rPr>
  </w:style>
  <w:style w:type="paragraph" w:customStyle="1" w:styleId="Normal0">
    <w:name w:val="Normal_0"/>
    <w:qFormat/>
    <w:rPr>
      <w:sz w:val="24"/>
      <w:szCs w:val="24"/>
    </w:rPr>
  </w:style>
  <w:style w:type="table" w:customStyle="1" w:styleId="CDMRange1">
    <w:name w:val="CDM Range 1"/>
    <w:basedOn w:val="TableNormal"/>
    <w:next w:val="TableNormal"/>
    <w:semiHidden/>
    <w:tblPr/>
  </w:style>
  <w:style w:type="paragraph" w:customStyle="1" w:styleId="Normal4">
    <w:name w:val="Normal_4"/>
    <w:qFormat/>
    <w:rPr>
      <w:sz w:val="24"/>
      <w:szCs w:val="24"/>
    </w:rPr>
  </w:style>
  <w:style w:type="table" w:customStyle="1" w:styleId="CDMRange2">
    <w:name w:val="CDM Range 2"/>
    <w:basedOn w:val="TableNormal"/>
    <w:next w:val="TableNormal"/>
    <w:semiHidden/>
    <w:tblPr/>
  </w:style>
  <w:style w:type="paragraph" w:customStyle="1" w:styleId="Normal5">
    <w:name w:val="Normal_5"/>
    <w:qFormat/>
    <w:rPr>
      <w:sz w:val="24"/>
      <w:szCs w:val="24"/>
    </w:rPr>
  </w:style>
  <w:style w:type="table" w:customStyle="1" w:styleId="CDMRange10">
    <w:name w:val="CDM Range 1_0"/>
    <w:basedOn w:val="TableNormal"/>
    <w:next w:val="TableNormal"/>
    <w:semiHidden/>
    <w:tblPr/>
  </w:style>
  <w:style w:type="paragraph" w:customStyle="1" w:styleId="Normal6">
    <w:name w:val="Normal_6"/>
    <w:qFormat/>
    <w:rPr>
      <w:sz w:val="24"/>
      <w:szCs w:val="24"/>
    </w:rPr>
  </w:style>
  <w:style w:type="table" w:customStyle="1" w:styleId="CDMRange20">
    <w:name w:val="CDM Range 2_0"/>
    <w:basedOn w:val="TableNormal"/>
    <w:next w:val="TableNormal"/>
    <w:semiHidden/>
    <w:tblPr/>
  </w:style>
  <w:style w:type="paragraph" w:customStyle="1" w:styleId="Normal7">
    <w:name w:val="Normal_7"/>
    <w:qFormat/>
    <w:rPr>
      <w:sz w:val="24"/>
      <w:szCs w:val="24"/>
    </w:rPr>
  </w:style>
  <w:style w:type="table" w:customStyle="1" w:styleId="CDMRange11">
    <w:name w:val="CDM Range 1_1"/>
    <w:basedOn w:val="TableNormal"/>
    <w:next w:val="TableNormal"/>
    <w:semiHidden/>
    <w:tblPr/>
  </w:style>
  <w:style w:type="paragraph" w:customStyle="1" w:styleId="Normal8">
    <w:name w:val="Normal_8"/>
    <w:qFormat/>
    <w:rPr>
      <w:sz w:val="24"/>
      <w:szCs w:val="24"/>
    </w:rPr>
  </w:style>
  <w:style w:type="table" w:customStyle="1" w:styleId="CDMRange21">
    <w:name w:val="CDM Range 2_1"/>
    <w:basedOn w:val="TableNormal"/>
    <w:next w:val="TableNormal"/>
    <w:semiHidden/>
    <w:tblPr/>
  </w:style>
  <w:style w:type="paragraph" w:customStyle="1" w:styleId="Normal9">
    <w:name w:val="Normal_9"/>
    <w:qFormat/>
    <w:rPr>
      <w:sz w:val="24"/>
      <w:szCs w:val="24"/>
    </w:rPr>
  </w:style>
  <w:style w:type="table" w:customStyle="1" w:styleId="CDMRange12">
    <w:name w:val="CDM Range 1_2"/>
    <w:basedOn w:val="TableNormal"/>
    <w:next w:val="TableNormal"/>
    <w:semiHidden/>
    <w:tblPr/>
  </w:style>
  <w:style w:type="paragraph" w:customStyle="1" w:styleId="BSbullet2">
    <w:name w:val="BS_bullet 2"/>
    <w:basedOn w:val="BSbullet1"/>
    <w:link w:val="BSbullet2Char"/>
    <w:qFormat/>
    <w:rsid w:val="009D76F0"/>
    <w:pPr>
      <w:numPr>
        <w:numId w:val="39"/>
      </w:numPr>
    </w:pPr>
  </w:style>
  <w:style w:type="character" w:customStyle="1" w:styleId="BSbullet2Char">
    <w:name w:val="BS_bullet 2 Char"/>
    <w:basedOn w:val="BSbullet1Char"/>
    <w:link w:val="BSbullet2"/>
    <w:rsid w:val="009D76F0"/>
    <w:rPr>
      <w:rFonts w:ascii="Calibri" w:hAnsi="Calibri"/>
      <w:sz w:val="24"/>
      <w:szCs w:val="24"/>
      <w:lang w:eastAsia="en-US"/>
    </w:rPr>
  </w:style>
  <w:style w:type="paragraph" w:customStyle="1" w:styleId="Normal10">
    <w:name w:val="Normal_10"/>
    <w:qFormat/>
    <w:rPr>
      <w:sz w:val="24"/>
      <w:szCs w:val="24"/>
    </w:rPr>
  </w:style>
  <w:style w:type="table" w:customStyle="1" w:styleId="CDMRange22">
    <w:name w:val="CDM Range 2_2"/>
    <w:basedOn w:val="TableNormal"/>
    <w:next w:val="TableNormal"/>
    <w:semiHidden/>
    <w:tblPr/>
  </w:style>
  <w:style w:type="paragraph" w:customStyle="1" w:styleId="Normal11">
    <w:name w:val="Normal_11"/>
    <w:qFormat/>
    <w:rPr>
      <w:sz w:val="24"/>
      <w:szCs w:val="24"/>
    </w:rPr>
  </w:style>
  <w:style w:type="table" w:customStyle="1" w:styleId="CDMRange13">
    <w:name w:val="CDM Range 1_3"/>
    <w:basedOn w:val="TableNormal"/>
    <w:next w:val="TableNormal"/>
    <w:semiHidden/>
    <w:tblPr/>
  </w:style>
  <w:style w:type="paragraph" w:customStyle="1" w:styleId="Normal12">
    <w:name w:val="Normal_12"/>
    <w:qFormat/>
    <w:rPr>
      <w:sz w:val="24"/>
      <w:szCs w:val="24"/>
    </w:rPr>
  </w:style>
  <w:style w:type="table" w:customStyle="1" w:styleId="CDMRange23">
    <w:name w:val="CDM Range 2_3"/>
    <w:basedOn w:val="TableNormal"/>
    <w:next w:val="TableNormal"/>
    <w:semiHidden/>
    <w:tblPr/>
  </w:style>
  <w:style w:type="character" w:styleId="Emphasis">
    <w:name w:val="Emphasis"/>
    <w:qFormat/>
    <w:rsid w:val="00FB4CEC"/>
    <w:rPr>
      <w:rFonts w:ascii="Calibri" w:hAnsi="Calibri"/>
      <w:i/>
      <w:iCs/>
    </w:rPr>
  </w:style>
  <w:style w:type="paragraph" w:customStyle="1" w:styleId="Normal13">
    <w:name w:val="Normal_13"/>
    <w:qFormat/>
    <w:rPr>
      <w:sz w:val="24"/>
      <w:szCs w:val="24"/>
    </w:rPr>
  </w:style>
  <w:style w:type="table" w:customStyle="1" w:styleId="CDMRange14">
    <w:name w:val="CDM Range 1_4"/>
    <w:basedOn w:val="TableNormal"/>
    <w:next w:val="TableNormal"/>
    <w:semiHidden/>
    <w:tblPr/>
  </w:style>
  <w:style w:type="paragraph" w:customStyle="1" w:styleId="Normal14">
    <w:name w:val="Normal_14"/>
    <w:qFormat/>
    <w:rPr>
      <w:sz w:val="24"/>
      <w:szCs w:val="24"/>
    </w:rPr>
  </w:style>
  <w:style w:type="table" w:customStyle="1" w:styleId="CDMRange24">
    <w:name w:val="CDM Range 2_4"/>
    <w:basedOn w:val="TableNormal"/>
    <w:next w:val="TableNormal"/>
    <w:semiHidden/>
    <w:tblPr/>
  </w:style>
  <w:style w:type="paragraph" w:customStyle="1" w:styleId="Normal15">
    <w:name w:val="Normal_15"/>
    <w:qFormat/>
    <w:rPr>
      <w:sz w:val="24"/>
      <w:szCs w:val="24"/>
    </w:rPr>
  </w:style>
  <w:style w:type="table" w:customStyle="1" w:styleId="CDMRange15">
    <w:name w:val="CDM Range 1_5"/>
    <w:basedOn w:val="TableNormal"/>
    <w:next w:val="TableNormal"/>
    <w:semiHidden/>
    <w:tblPr/>
  </w:style>
  <w:style w:type="paragraph" w:customStyle="1" w:styleId="BStablefigures0">
    <w:name w:val="BS_table figures_0"/>
    <w:basedOn w:val="Normal"/>
    <w:link w:val="BStablefiguresChar0"/>
    <w:autoRedefine/>
    <w:qFormat/>
    <w:rsid w:val="00EF18CC"/>
    <w:pPr>
      <w:spacing w:before="0" w:after="0"/>
      <w:ind w:left="227" w:hanging="227"/>
      <w:jc w:val="right"/>
    </w:pPr>
    <w:rPr>
      <w:rFonts w:eastAsia="Calibri"/>
      <w:sz w:val="18"/>
      <w:szCs w:val="18"/>
      <w:lang w:eastAsia="en-AU"/>
    </w:rPr>
  </w:style>
  <w:style w:type="character" w:customStyle="1" w:styleId="BStablefiguresChar0">
    <w:name w:val="BS_table figures Char_0"/>
    <w:basedOn w:val="DefaultParagraphFont"/>
    <w:link w:val="BStablefigures0"/>
    <w:locked/>
    <w:rsid w:val="00EF18CC"/>
    <w:rPr>
      <w:rFonts w:ascii="Calibri" w:eastAsia="Calibri" w:hAnsi="Calibri"/>
      <w:sz w:val="18"/>
      <w:szCs w:val="18"/>
    </w:rPr>
  </w:style>
  <w:style w:type="paragraph" w:styleId="TOC1">
    <w:name w:val="toc 1"/>
    <w:basedOn w:val="Normal"/>
    <w:next w:val="Normal"/>
    <w:autoRedefine/>
    <w:uiPriority w:val="39"/>
    <w:unhideWhenUsed/>
    <w:qFormat/>
    <w:locked/>
    <w:rsid w:val="00D50379"/>
    <w:pPr>
      <w:spacing w:after="100"/>
    </w:pPr>
  </w:style>
  <w:style w:type="paragraph" w:styleId="TOC2">
    <w:name w:val="toc 2"/>
    <w:basedOn w:val="Normal"/>
    <w:next w:val="Normal"/>
    <w:autoRedefine/>
    <w:uiPriority w:val="39"/>
    <w:unhideWhenUsed/>
    <w:qFormat/>
    <w:locked/>
    <w:rsid w:val="00D50379"/>
    <w:pPr>
      <w:spacing w:after="100"/>
      <w:ind w:left="240"/>
    </w:pPr>
  </w:style>
  <w:style w:type="paragraph" w:styleId="TOC3">
    <w:name w:val="toc 3"/>
    <w:basedOn w:val="Normal"/>
    <w:next w:val="Normal"/>
    <w:autoRedefine/>
    <w:uiPriority w:val="39"/>
    <w:unhideWhenUsed/>
    <w:locked/>
    <w:rsid w:val="00D50379"/>
    <w:pPr>
      <w:spacing w:after="100"/>
      <w:ind w:left="480"/>
    </w:pPr>
  </w:style>
  <w:style w:type="character" w:styleId="Hyperlink">
    <w:name w:val="Hyperlink"/>
    <w:basedOn w:val="DefaultParagraphFont"/>
    <w:uiPriority w:val="99"/>
    <w:unhideWhenUsed/>
    <w:rsid w:val="00D50379"/>
    <w:rPr>
      <w:color w:val="0000FF" w:themeColor="hyperlink"/>
      <w:u w:val="single"/>
    </w:rPr>
  </w:style>
  <w:style w:type="paragraph" w:styleId="Footer">
    <w:name w:val="footer"/>
    <w:basedOn w:val="Normal"/>
    <w:link w:val="FooterChar"/>
    <w:unhideWhenUsed/>
    <w:rsid w:val="009960B7"/>
    <w:pPr>
      <w:tabs>
        <w:tab w:val="center" w:pos="4513"/>
        <w:tab w:val="right" w:pos="9026"/>
      </w:tabs>
      <w:spacing w:before="0" w:after="0"/>
    </w:pPr>
  </w:style>
  <w:style w:type="character" w:customStyle="1" w:styleId="FooterChar">
    <w:name w:val="Footer Char"/>
    <w:basedOn w:val="DefaultParagraphFont"/>
    <w:link w:val="Footer"/>
    <w:rsid w:val="009960B7"/>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2.xml><?xml version="1.0" encoding="utf-8"?>
<ds:datastoreItem xmlns:ds="http://schemas.openxmlformats.org/officeDocument/2006/customXml" ds:itemID="{EDC4EF5B-89DB-42DE-A108-5054DD84C582}">
  <ds:schemaRefs>
    <ds:schemaRef ds:uri="http://schemas.microsoft.com/office/2006/metadata/properties"/>
  </ds:schemaRefs>
</ds:datastoreItem>
</file>

<file path=customXml/itemProps3.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4.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63</Pages>
  <Words>15681</Words>
  <Characters>93527</Characters>
  <Application>Microsoft Office Word</Application>
  <DocSecurity>0</DocSecurity>
  <Lines>779</Lines>
  <Paragraphs>217</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108991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Territory and Municipal Services Directorate</dc:title>
  <dc:subject>Territory and Municipal Services Directorate</dc:subject>
  <dc:creator>charlotte miles</dc:creator>
  <cp:lastModifiedBy>Zhao, Ricky</cp:lastModifiedBy>
  <cp:revision>81</cp:revision>
  <cp:lastPrinted>2014-03-25T23:32:00Z</cp:lastPrinted>
  <dcterms:created xsi:type="dcterms:W3CDTF">2021-09-28T02:39:00Z</dcterms:created>
  <dcterms:modified xsi:type="dcterms:W3CDTF">2021-10-02T02:48:00Z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