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6B" w:rsidRDefault="001116F4" w:rsidP="001116F4">
      <w:pPr>
        <w:pStyle w:val="BodyText"/>
        <w:spacing w:before="1"/>
        <w:jc w:val="right"/>
        <w:rPr>
          <w:b/>
          <w:i/>
          <w:sz w:val="11"/>
        </w:rPr>
      </w:pPr>
      <w:r>
        <w:rPr>
          <w:b/>
          <w:i/>
          <w:noProof/>
          <w:sz w:val="11"/>
          <w:lang w:val="en-AU" w:eastAsia="en-AU"/>
        </w:rPr>
        <w:drawing>
          <wp:inline distT="0" distB="0" distL="0" distR="0">
            <wp:extent cx="2011680" cy="898525"/>
            <wp:effectExtent l="19050" t="0" r="7620" b="0"/>
            <wp:docPr id="2" name="Picture 1" descr="Actew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011680" cy="898525"/>
                    </a:xfrm>
                    <a:prstGeom prst="rect">
                      <a:avLst/>
                    </a:prstGeom>
                    <a:noFill/>
                    <a:ln w="9525">
                      <a:noFill/>
                      <a:miter lim="800000"/>
                      <a:headEnd/>
                      <a:tailEnd/>
                    </a:ln>
                  </pic:spPr>
                </pic:pic>
              </a:graphicData>
            </a:graphic>
          </wp:inline>
        </w:drawing>
      </w:r>
    </w:p>
    <w:p w:rsidR="00A86F6B" w:rsidRDefault="0098186F">
      <w:pPr>
        <w:pStyle w:val="Heading1"/>
        <w:spacing w:before="336"/>
        <w:ind w:left="125"/>
      </w:pPr>
      <w:r>
        <w:rPr>
          <w:color w:val="08080A"/>
          <w:w w:val="95"/>
        </w:rPr>
        <w:t>Economic and Financial Group</w:t>
      </w:r>
    </w:p>
    <w:p w:rsidR="00A86F6B" w:rsidRDefault="0098186F">
      <w:pPr>
        <w:spacing w:before="58" w:line="285" w:lineRule="auto"/>
        <w:ind w:left="121" w:right="1105" w:firstLine="5"/>
        <w:rPr>
          <w:b/>
          <w:sz w:val="25"/>
        </w:rPr>
      </w:pPr>
      <w:r>
        <w:rPr>
          <w:b/>
          <w:color w:val="08080A"/>
          <w:sz w:val="25"/>
        </w:rPr>
        <w:t>Chief</w:t>
      </w:r>
      <w:r>
        <w:rPr>
          <w:b/>
          <w:color w:val="08080A"/>
          <w:spacing w:val="-43"/>
          <w:sz w:val="25"/>
        </w:rPr>
        <w:t xml:space="preserve"> </w:t>
      </w:r>
      <w:r>
        <w:rPr>
          <w:b/>
          <w:color w:val="08080A"/>
          <w:sz w:val="25"/>
        </w:rPr>
        <w:t>Minister,</w:t>
      </w:r>
      <w:r>
        <w:rPr>
          <w:b/>
          <w:color w:val="08080A"/>
          <w:spacing w:val="-44"/>
          <w:sz w:val="25"/>
        </w:rPr>
        <w:t xml:space="preserve"> </w:t>
      </w:r>
      <w:r>
        <w:rPr>
          <w:b/>
          <w:color w:val="08080A"/>
          <w:sz w:val="25"/>
        </w:rPr>
        <w:t>Treasury</w:t>
      </w:r>
      <w:r>
        <w:rPr>
          <w:b/>
          <w:color w:val="08080A"/>
          <w:spacing w:val="-42"/>
          <w:sz w:val="25"/>
        </w:rPr>
        <w:t xml:space="preserve"> </w:t>
      </w:r>
      <w:r>
        <w:rPr>
          <w:b/>
          <w:color w:val="08080A"/>
          <w:sz w:val="25"/>
        </w:rPr>
        <w:t>and</w:t>
      </w:r>
      <w:r>
        <w:rPr>
          <w:b/>
          <w:color w:val="08080A"/>
          <w:spacing w:val="-45"/>
          <w:sz w:val="25"/>
        </w:rPr>
        <w:t xml:space="preserve"> </w:t>
      </w:r>
      <w:r>
        <w:rPr>
          <w:b/>
          <w:color w:val="08080A"/>
          <w:sz w:val="25"/>
        </w:rPr>
        <w:t>Economic</w:t>
      </w:r>
      <w:r>
        <w:rPr>
          <w:b/>
          <w:color w:val="08080A"/>
          <w:spacing w:val="-39"/>
          <w:sz w:val="25"/>
        </w:rPr>
        <w:t xml:space="preserve"> </w:t>
      </w:r>
      <w:r>
        <w:rPr>
          <w:b/>
          <w:color w:val="08080A"/>
          <w:sz w:val="25"/>
        </w:rPr>
        <w:t>Development</w:t>
      </w:r>
      <w:r>
        <w:rPr>
          <w:b/>
          <w:color w:val="08080A"/>
          <w:spacing w:val="-33"/>
          <w:sz w:val="25"/>
        </w:rPr>
        <w:t xml:space="preserve"> </w:t>
      </w:r>
      <w:r>
        <w:rPr>
          <w:b/>
          <w:color w:val="08080A"/>
          <w:sz w:val="25"/>
        </w:rPr>
        <w:t xml:space="preserve">Directorate </w:t>
      </w:r>
      <w:r>
        <w:rPr>
          <w:b/>
          <w:color w:val="08080A"/>
          <w:w w:val="95"/>
          <w:sz w:val="25"/>
        </w:rPr>
        <w:t>GPO Box</w:t>
      </w:r>
      <w:r>
        <w:rPr>
          <w:b/>
          <w:color w:val="08080A"/>
          <w:spacing w:val="-17"/>
          <w:w w:val="95"/>
          <w:sz w:val="25"/>
        </w:rPr>
        <w:t xml:space="preserve"> </w:t>
      </w:r>
      <w:r>
        <w:rPr>
          <w:b/>
          <w:color w:val="08080A"/>
          <w:w w:val="95"/>
          <w:sz w:val="25"/>
        </w:rPr>
        <w:t>158</w:t>
      </w:r>
    </w:p>
    <w:p w:rsidR="00A86F6B" w:rsidRDefault="0098186F">
      <w:pPr>
        <w:spacing w:before="5"/>
        <w:ind w:left="122"/>
        <w:rPr>
          <w:b/>
          <w:sz w:val="25"/>
        </w:rPr>
      </w:pPr>
      <w:r>
        <w:rPr>
          <w:b/>
          <w:color w:val="08080A"/>
          <w:w w:val="95"/>
          <w:sz w:val="25"/>
        </w:rPr>
        <w:t>CANBERRA CITY ACT 2601</w:t>
      </w:r>
    </w:p>
    <w:p w:rsidR="00A86F6B" w:rsidRDefault="00A86F6B">
      <w:pPr>
        <w:pStyle w:val="BodyText"/>
        <w:spacing w:before="10"/>
        <w:rPr>
          <w:b/>
          <w:sz w:val="32"/>
        </w:rPr>
      </w:pPr>
    </w:p>
    <w:p w:rsidR="00A86F6B" w:rsidRDefault="0098186F">
      <w:pPr>
        <w:pStyle w:val="BodyText"/>
        <w:spacing w:before="1" w:line="554" w:lineRule="auto"/>
        <w:ind w:left="122" w:right="6559" w:firstLine="2"/>
      </w:pPr>
      <w:r>
        <w:rPr>
          <w:color w:val="08080A"/>
        </w:rPr>
        <w:t>8 February 2016 Dear Panel</w:t>
      </w:r>
    </w:p>
    <w:p w:rsidR="00A86F6B" w:rsidRDefault="0098186F">
      <w:pPr>
        <w:pStyle w:val="Heading1"/>
        <w:spacing w:before="52" w:line="268" w:lineRule="auto"/>
        <w:ind w:right="850" w:firstLine="5"/>
      </w:pPr>
      <w:proofErr w:type="spellStart"/>
      <w:r>
        <w:rPr>
          <w:color w:val="08080A"/>
          <w:w w:val="95"/>
        </w:rPr>
        <w:t>ActewAGL</w:t>
      </w:r>
      <w:proofErr w:type="spellEnd"/>
      <w:r>
        <w:rPr>
          <w:color w:val="08080A"/>
          <w:w w:val="95"/>
        </w:rPr>
        <w:t xml:space="preserve"> Distribution comments on the ACT Energy Industry Levy </w:t>
      </w:r>
      <w:r>
        <w:rPr>
          <w:color w:val="08080A"/>
          <w:w w:val="90"/>
        </w:rPr>
        <w:t>discussion</w:t>
      </w:r>
      <w:r>
        <w:rPr>
          <w:color w:val="08080A"/>
          <w:spacing w:val="52"/>
          <w:w w:val="90"/>
        </w:rPr>
        <w:t xml:space="preserve"> </w:t>
      </w:r>
      <w:r>
        <w:rPr>
          <w:color w:val="08080A"/>
          <w:w w:val="90"/>
        </w:rPr>
        <w:t>paper</w:t>
      </w:r>
    </w:p>
    <w:p w:rsidR="00A86F6B" w:rsidRDefault="00A86F6B">
      <w:pPr>
        <w:pStyle w:val="BodyText"/>
        <w:spacing w:before="8"/>
        <w:rPr>
          <w:b/>
          <w:sz w:val="28"/>
        </w:rPr>
      </w:pPr>
    </w:p>
    <w:p w:rsidR="00A86F6B" w:rsidRDefault="0098186F">
      <w:pPr>
        <w:pStyle w:val="BodyText"/>
        <w:spacing w:line="292" w:lineRule="auto"/>
        <w:ind w:left="122" w:right="431" w:firstLine="6"/>
      </w:pPr>
      <w:proofErr w:type="spellStart"/>
      <w:r>
        <w:rPr>
          <w:color w:val="08080A"/>
          <w:w w:val="105"/>
        </w:rPr>
        <w:t>ActewAGL</w:t>
      </w:r>
      <w:proofErr w:type="spellEnd"/>
      <w:r>
        <w:rPr>
          <w:color w:val="08080A"/>
          <w:w w:val="105"/>
        </w:rPr>
        <w:t xml:space="preserve"> Distribution welcomes the opportunity to comment on the discussion paper and asks that this late submission be considered by the panel. </w:t>
      </w:r>
      <w:proofErr w:type="spellStart"/>
      <w:r>
        <w:rPr>
          <w:color w:val="08080A"/>
          <w:w w:val="105"/>
        </w:rPr>
        <w:t>ActewAGL</w:t>
      </w:r>
      <w:proofErr w:type="spellEnd"/>
      <w:r>
        <w:rPr>
          <w:color w:val="08080A"/>
          <w:w w:val="105"/>
        </w:rPr>
        <w:t xml:space="preserve"> Distribution personnel have reviewed the paper and provide the following comments and responses to the questions posed in the paper:</w:t>
      </w:r>
    </w:p>
    <w:p w:rsidR="00A86F6B" w:rsidRDefault="00A86F6B">
      <w:pPr>
        <w:pStyle w:val="BodyText"/>
        <w:spacing w:before="7"/>
        <w:rPr>
          <w:sz w:val="22"/>
        </w:rPr>
      </w:pPr>
    </w:p>
    <w:p w:rsidR="00A86F6B" w:rsidRDefault="0098186F">
      <w:pPr>
        <w:pStyle w:val="Heading2"/>
        <w:numPr>
          <w:ilvl w:val="0"/>
          <w:numId w:val="2"/>
        </w:numPr>
        <w:tabs>
          <w:tab w:val="left" w:pos="501"/>
        </w:tabs>
        <w:ind w:hanging="452"/>
        <w:jc w:val="left"/>
        <w:rPr>
          <w:color w:val="08080A"/>
        </w:rPr>
      </w:pPr>
      <w:r>
        <w:rPr>
          <w:color w:val="08080A"/>
        </w:rPr>
        <w:t>Has</w:t>
      </w:r>
      <w:r>
        <w:rPr>
          <w:color w:val="08080A"/>
          <w:spacing w:val="-31"/>
        </w:rPr>
        <w:t xml:space="preserve"> </w:t>
      </w:r>
      <w:r>
        <w:rPr>
          <w:color w:val="08080A"/>
        </w:rPr>
        <w:t>the</w:t>
      </w:r>
      <w:r>
        <w:rPr>
          <w:color w:val="08080A"/>
          <w:spacing w:val="-33"/>
        </w:rPr>
        <w:t xml:space="preserve"> </w:t>
      </w:r>
      <w:r>
        <w:rPr>
          <w:color w:val="08080A"/>
        </w:rPr>
        <w:t>basis</w:t>
      </w:r>
      <w:r>
        <w:rPr>
          <w:color w:val="08080A"/>
          <w:spacing w:val="-17"/>
        </w:rPr>
        <w:t xml:space="preserve"> </w:t>
      </w:r>
      <w:r>
        <w:rPr>
          <w:color w:val="08080A"/>
        </w:rPr>
        <w:t>for</w:t>
      </w:r>
      <w:r>
        <w:rPr>
          <w:color w:val="08080A"/>
          <w:spacing w:val="-37"/>
        </w:rPr>
        <w:t xml:space="preserve"> </w:t>
      </w:r>
      <w:r>
        <w:rPr>
          <w:color w:val="08080A"/>
        </w:rPr>
        <w:t>the</w:t>
      </w:r>
      <w:r>
        <w:rPr>
          <w:color w:val="08080A"/>
          <w:spacing w:val="-27"/>
        </w:rPr>
        <w:t xml:space="preserve"> </w:t>
      </w:r>
      <w:r>
        <w:rPr>
          <w:color w:val="08080A"/>
        </w:rPr>
        <w:t>determination</w:t>
      </w:r>
      <w:r>
        <w:rPr>
          <w:color w:val="08080A"/>
          <w:spacing w:val="-18"/>
        </w:rPr>
        <w:t xml:space="preserve"> </w:t>
      </w:r>
      <w:r>
        <w:rPr>
          <w:color w:val="08080A"/>
        </w:rPr>
        <w:t>of</w:t>
      </w:r>
      <w:r>
        <w:rPr>
          <w:color w:val="08080A"/>
          <w:spacing w:val="-21"/>
        </w:rPr>
        <w:t xml:space="preserve"> </w:t>
      </w:r>
      <w:r>
        <w:rPr>
          <w:color w:val="08080A"/>
        </w:rPr>
        <w:t>the</w:t>
      </w:r>
      <w:r>
        <w:rPr>
          <w:color w:val="08080A"/>
          <w:spacing w:val="-30"/>
        </w:rPr>
        <w:t xml:space="preserve"> </w:t>
      </w:r>
      <w:r>
        <w:rPr>
          <w:rFonts w:ascii="Arial"/>
          <w:color w:val="08080A"/>
          <w:sz w:val="21"/>
        </w:rPr>
        <w:t>Ell</w:t>
      </w:r>
      <w:r>
        <w:rPr>
          <w:rFonts w:ascii="Arial"/>
          <w:color w:val="08080A"/>
          <w:spacing w:val="-19"/>
          <w:sz w:val="21"/>
        </w:rPr>
        <w:t xml:space="preserve"> </w:t>
      </w:r>
      <w:r>
        <w:rPr>
          <w:color w:val="08080A"/>
        </w:rPr>
        <w:t>been</w:t>
      </w:r>
      <w:r>
        <w:rPr>
          <w:color w:val="08080A"/>
          <w:spacing w:val="-24"/>
        </w:rPr>
        <w:t xml:space="preserve"> </w:t>
      </w:r>
      <w:r>
        <w:rPr>
          <w:color w:val="08080A"/>
        </w:rPr>
        <w:t>well</w:t>
      </w:r>
      <w:r>
        <w:rPr>
          <w:color w:val="08080A"/>
          <w:spacing w:val="-29"/>
        </w:rPr>
        <w:t xml:space="preserve"> </w:t>
      </w:r>
      <w:r>
        <w:rPr>
          <w:color w:val="08080A"/>
        </w:rPr>
        <w:t>understood</w:t>
      </w:r>
      <w:r>
        <w:rPr>
          <w:color w:val="08080A"/>
          <w:spacing w:val="-19"/>
        </w:rPr>
        <w:t xml:space="preserve"> </w:t>
      </w:r>
      <w:r>
        <w:rPr>
          <w:color w:val="08080A"/>
        </w:rPr>
        <w:t>by</w:t>
      </w:r>
      <w:r>
        <w:rPr>
          <w:color w:val="08080A"/>
          <w:spacing w:val="-33"/>
        </w:rPr>
        <w:t xml:space="preserve"> </w:t>
      </w:r>
      <w:r>
        <w:rPr>
          <w:color w:val="08080A"/>
        </w:rPr>
        <w:t>operators?</w:t>
      </w:r>
    </w:p>
    <w:p w:rsidR="00A86F6B" w:rsidRDefault="00A86F6B">
      <w:pPr>
        <w:pStyle w:val="BodyText"/>
        <w:spacing w:before="4"/>
        <w:rPr>
          <w:rFonts w:ascii="Times New Roman"/>
          <w:i/>
          <w:sz w:val="27"/>
        </w:rPr>
      </w:pPr>
    </w:p>
    <w:p w:rsidR="00A86F6B" w:rsidRDefault="0098186F">
      <w:pPr>
        <w:pStyle w:val="BodyText"/>
        <w:spacing w:line="292" w:lineRule="auto"/>
        <w:ind w:left="123" w:right="378" w:firstLine="3"/>
      </w:pPr>
      <w:r>
        <w:rPr>
          <w:color w:val="08080A"/>
          <w:w w:val="105"/>
        </w:rPr>
        <w:t>No. Although the levy has been operating since 2007, apart from any preliminary discussion prior to the introduction of the levy, the Levy Administrator has not communicated with industry</w:t>
      </w:r>
      <w:r>
        <w:rPr>
          <w:color w:val="28282B"/>
          <w:w w:val="105"/>
        </w:rPr>
        <w:t xml:space="preserve">. </w:t>
      </w:r>
      <w:r>
        <w:rPr>
          <w:color w:val="08080A"/>
          <w:w w:val="105"/>
        </w:rPr>
        <w:t xml:space="preserve">The only written communications are the </w:t>
      </w:r>
      <w:proofErr w:type="spellStart"/>
      <w:r>
        <w:rPr>
          <w:color w:val="08080A"/>
          <w:w w:val="105"/>
        </w:rPr>
        <w:t>Notifiable</w:t>
      </w:r>
      <w:proofErr w:type="spellEnd"/>
      <w:r>
        <w:rPr>
          <w:color w:val="08080A"/>
          <w:w w:val="105"/>
        </w:rPr>
        <w:t xml:space="preserve"> Instruments (NI) and their explanatory statements released a</w:t>
      </w:r>
      <w:r w:rsidR="001116F4">
        <w:rPr>
          <w:color w:val="08080A"/>
          <w:w w:val="105"/>
        </w:rPr>
        <w:t xml:space="preserve">nnually. These contain </w:t>
      </w:r>
      <w:proofErr w:type="gramStart"/>
      <w:r w:rsidR="001116F4">
        <w:rPr>
          <w:color w:val="08080A"/>
          <w:w w:val="105"/>
        </w:rPr>
        <w:t>minimal</w:t>
      </w:r>
      <w:proofErr w:type="gramEnd"/>
      <w:r w:rsidR="001116F4">
        <w:rPr>
          <w:color w:val="08080A"/>
          <w:w w:val="105"/>
        </w:rPr>
        <w:t xml:space="preserve"> </w:t>
      </w:r>
      <w:r>
        <w:rPr>
          <w:color w:val="08080A"/>
          <w:w w:val="105"/>
        </w:rPr>
        <w:t>information.</w:t>
      </w:r>
    </w:p>
    <w:p w:rsidR="00A86F6B" w:rsidRDefault="00A86F6B">
      <w:pPr>
        <w:pStyle w:val="BodyText"/>
        <w:spacing w:before="2"/>
        <w:rPr>
          <w:sz w:val="22"/>
        </w:rPr>
      </w:pPr>
    </w:p>
    <w:p w:rsidR="00A86F6B" w:rsidRDefault="0098186F">
      <w:pPr>
        <w:pStyle w:val="Heading2"/>
        <w:numPr>
          <w:ilvl w:val="0"/>
          <w:numId w:val="2"/>
        </w:numPr>
        <w:tabs>
          <w:tab w:val="left" w:pos="506"/>
          <w:tab w:val="left" w:pos="507"/>
        </w:tabs>
        <w:ind w:left="506" w:hanging="377"/>
        <w:jc w:val="left"/>
        <w:rPr>
          <w:color w:val="08080A"/>
          <w:sz w:val="22"/>
        </w:rPr>
      </w:pPr>
      <w:r>
        <w:rPr>
          <w:color w:val="08080A"/>
        </w:rPr>
        <w:t>Is</w:t>
      </w:r>
      <w:r>
        <w:rPr>
          <w:color w:val="08080A"/>
          <w:spacing w:val="-41"/>
        </w:rPr>
        <w:t xml:space="preserve"> </w:t>
      </w:r>
      <w:r>
        <w:rPr>
          <w:color w:val="08080A"/>
        </w:rPr>
        <w:t>the</w:t>
      </w:r>
      <w:r>
        <w:rPr>
          <w:color w:val="08080A"/>
          <w:spacing w:val="-33"/>
        </w:rPr>
        <w:t xml:space="preserve"> </w:t>
      </w:r>
      <w:r>
        <w:rPr>
          <w:color w:val="08080A"/>
        </w:rPr>
        <w:t>range</w:t>
      </w:r>
      <w:r>
        <w:rPr>
          <w:color w:val="08080A"/>
          <w:spacing w:val="-28"/>
        </w:rPr>
        <w:t xml:space="preserve"> </w:t>
      </w:r>
      <w:r>
        <w:rPr>
          <w:color w:val="08080A"/>
        </w:rPr>
        <w:t>of</w:t>
      </w:r>
      <w:r>
        <w:rPr>
          <w:color w:val="08080A"/>
          <w:spacing w:val="-23"/>
        </w:rPr>
        <w:t xml:space="preserve"> </w:t>
      </w:r>
      <w:r>
        <w:rPr>
          <w:color w:val="08080A"/>
        </w:rPr>
        <w:t>regulatory</w:t>
      </w:r>
      <w:r>
        <w:rPr>
          <w:color w:val="08080A"/>
          <w:spacing w:val="-27"/>
        </w:rPr>
        <w:t xml:space="preserve"> </w:t>
      </w:r>
      <w:r>
        <w:rPr>
          <w:color w:val="08080A"/>
        </w:rPr>
        <w:t>costs</w:t>
      </w:r>
      <w:r>
        <w:rPr>
          <w:color w:val="08080A"/>
          <w:spacing w:val="-31"/>
        </w:rPr>
        <w:t xml:space="preserve"> </w:t>
      </w:r>
      <w:r>
        <w:rPr>
          <w:color w:val="08080A"/>
        </w:rPr>
        <w:t>covered</w:t>
      </w:r>
      <w:r>
        <w:rPr>
          <w:color w:val="08080A"/>
          <w:spacing w:val="-24"/>
        </w:rPr>
        <w:t xml:space="preserve"> </w:t>
      </w:r>
      <w:r>
        <w:rPr>
          <w:color w:val="08080A"/>
        </w:rPr>
        <w:t>by</w:t>
      </w:r>
      <w:r>
        <w:rPr>
          <w:color w:val="08080A"/>
          <w:spacing w:val="-35"/>
        </w:rPr>
        <w:t xml:space="preserve"> </w:t>
      </w:r>
      <w:r>
        <w:rPr>
          <w:color w:val="08080A"/>
        </w:rPr>
        <w:t>the</w:t>
      </w:r>
      <w:r>
        <w:rPr>
          <w:color w:val="08080A"/>
          <w:spacing w:val="-34"/>
        </w:rPr>
        <w:t xml:space="preserve"> </w:t>
      </w:r>
      <w:r>
        <w:rPr>
          <w:rFonts w:ascii="Arial"/>
          <w:color w:val="08080A"/>
          <w:sz w:val="21"/>
        </w:rPr>
        <w:t>Ell</w:t>
      </w:r>
      <w:r>
        <w:rPr>
          <w:rFonts w:ascii="Arial"/>
          <w:color w:val="08080A"/>
          <w:spacing w:val="-16"/>
          <w:sz w:val="21"/>
        </w:rPr>
        <w:t xml:space="preserve"> </w:t>
      </w:r>
      <w:r>
        <w:rPr>
          <w:color w:val="08080A"/>
        </w:rPr>
        <w:t>understood</w:t>
      </w:r>
      <w:r>
        <w:rPr>
          <w:color w:val="08080A"/>
          <w:spacing w:val="-25"/>
        </w:rPr>
        <w:t xml:space="preserve"> </w:t>
      </w:r>
      <w:r>
        <w:rPr>
          <w:color w:val="08080A"/>
        </w:rPr>
        <w:t>by</w:t>
      </w:r>
      <w:r>
        <w:rPr>
          <w:color w:val="08080A"/>
          <w:spacing w:val="-35"/>
        </w:rPr>
        <w:t xml:space="preserve"> </w:t>
      </w:r>
      <w:r>
        <w:rPr>
          <w:color w:val="08080A"/>
        </w:rPr>
        <w:t>operators?</w:t>
      </w:r>
    </w:p>
    <w:p w:rsidR="00A86F6B" w:rsidRDefault="00A86F6B">
      <w:pPr>
        <w:pStyle w:val="BodyText"/>
        <w:spacing w:before="5"/>
        <w:rPr>
          <w:rFonts w:ascii="Times New Roman"/>
          <w:i/>
          <w:sz w:val="29"/>
        </w:rPr>
      </w:pPr>
    </w:p>
    <w:p w:rsidR="00A86F6B" w:rsidRDefault="0098186F">
      <w:pPr>
        <w:pStyle w:val="BodyText"/>
        <w:spacing w:line="292" w:lineRule="auto"/>
        <w:ind w:left="128" w:right="431" w:firstLine="3"/>
      </w:pPr>
      <w:r>
        <w:rPr>
          <w:color w:val="08080A"/>
        </w:rPr>
        <w:t xml:space="preserve">No. The </w:t>
      </w:r>
      <w:proofErr w:type="spellStart"/>
      <w:r>
        <w:rPr>
          <w:color w:val="08080A"/>
        </w:rPr>
        <w:t>Nls</w:t>
      </w:r>
      <w:proofErr w:type="spellEnd"/>
      <w:r>
        <w:rPr>
          <w:color w:val="08080A"/>
        </w:rPr>
        <w:t xml:space="preserve"> contain dollar values for the estimated year and the previous actual year only</w:t>
      </w:r>
      <w:r>
        <w:rPr>
          <w:color w:val="28282B"/>
        </w:rPr>
        <w:t xml:space="preserve">. </w:t>
      </w:r>
      <w:r>
        <w:rPr>
          <w:color w:val="08080A"/>
        </w:rPr>
        <w:t xml:space="preserve">It is understood that other agencies contribute to the costs borne by the Independent Competition and Regulatory Commission (ICRC), notably the Utilities Technical Regulation team at Access Canberra; and the ACT Civil and Administrative Tribunal (ACAT), but the separate costs for each agency are not provided to utilities. The </w:t>
      </w:r>
      <w:proofErr w:type="spellStart"/>
      <w:r>
        <w:rPr>
          <w:color w:val="08080A"/>
        </w:rPr>
        <w:t>Nls</w:t>
      </w:r>
      <w:proofErr w:type="spellEnd"/>
      <w:r w:rsidR="001116F4">
        <w:rPr>
          <w:color w:val="08080A"/>
        </w:rPr>
        <w:t xml:space="preserve"> should provide the detail for </w:t>
      </w:r>
      <w:r>
        <w:rPr>
          <w:color w:val="08080A"/>
        </w:rPr>
        <w:t>local regulatory costs by</w:t>
      </w:r>
      <w:r w:rsidR="001116F4">
        <w:rPr>
          <w:color w:val="08080A"/>
        </w:rPr>
        <w:t xml:space="preserve"> </w:t>
      </w:r>
      <w:r>
        <w:rPr>
          <w:color w:val="08080A"/>
        </w:rPr>
        <w:t>agency.</w:t>
      </w:r>
    </w:p>
    <w:p w:rsidR="00A86F6B" w:rsidRDefault="00A86F6B">
      <w:pPr>
        <w:pStyle w:val="BodyText"/>
        <w:spacing w:before="6"/>
        <w:rPr>
          <w:sz w:val="20"/>
        </w:rPr>
      </w:pPr>
    </w:p>
    <w:p w:rsidR="00A86F6B" w:rsidRDefault="0098186F">
      <w:pPr>
        <w:pStyle w:val="Heading2"/>
        <w:numPr>
          <w:ilvl w:val="0"/>
          <w:numId w:val="2"/>
        </w:numPr>
        <w:tabs>
          <w:tab w:val="left" w:pos="487"/>
        </w:tabs>
        <w:ind w:left="486" w:hanging="351"/>
        <w:jc w:val="left"/>
        <w:rPr>
          <w:color w:val="08080A"/>
        </w:rPr>
      </w:pPr>
      <w:r>
        <w:rPr>
          <w:color w:val="08080A"/>
        </w:rPr>
        <w:t>Volatility</w:t>
      </w:r>
      <w:r>
        <w:rPr>
          <w:color w:val="08080A"/>
          <w:spacing w:val="-38"/>
        </w:rPr>
        <w:t xml:space="preserve"> </w:t>
      </w:r>
      <w:r>
        <w:rPr>
          <w:color w:val="08080A"/>
        </w:rPr>
        <w:t>of</w:t>
      </w:r>
      <w:r>
        <w:rPr>
          <w:color w:val="08080A"/>
          <w:spacing w:val="-37"/>
        </w:rPr>
        <w:t xml:space="preserve"> </w:t>
      </w:r>
      <w:r>
        <w:rPr>
          <w:color w:val="08080A"/>
        </w:rPr>
        <w:t>regulatory</w:t>
      </w:r>
      <w:r>
        <w:rPr>
          <w:color w:val="08080A"/>
          <w:spacing w:val="-40"/>
        </w:rPr>
        <w:t xml:space="preserve"> </w:t>
      </w:r>
      <w:r>
        <w:rPr>
          <w:color w:val="08080A"/>
        </w:rPr>
        <w:t>costs</w:t>
      </w:r>
      <w:r>
        <w:rPr>
          <w:color w:val="08080A"/>
          <w:spacing w:val="-42"/>
        </w:rPr>
        <w:t xml:space="preserve"> </w:t>
      </w:r>
      <w:r>
        <w:rPr>
          <w:i w:val="0"/>
          <w:color w:val="08080A"/>
        </w:rPr>
        <w:t>-</w:t>
      </w:r>
      <w:r>
        <w:rPr>
          <w:i w:val="0"/>
          <w:color w:val="08080A"/>
          <w:spacing w:val="-45"/>
        </w:rPr>
        <w:t xml:space="preserve"> </w:t>
      </w:r>
      <w:r>
        <w:rPr>
          <w:color w:val="08080A"/>
        </w:rPr>
        <w:t>Table</w:t>
      </w:r>
      <w:r>
        <w:rPr>
          <w:color w:val="08080A"/>
          <w:spacing w:val="-42"/>
        </w:rPr>
        <w:t xml:space="preserve"> </w:t>
      </w:r>
      <w:r>
        <w:rPr>
          <w:color w:val="08080A"/>
        </w:rPr>
        <w:t>1</w:t>
      </w:r>
      <w:r>
        <w:rPr>
          <w:color w:val="424146"/>
        </w:rPr>
        <w:t>.</w:t>
      </w:r>
    </w:p>
    <w:p w:rsidR="00A86F6B" w:rsidRDefault="00A86F6B">
      <w:pPr>
        <w:pStyle w:val="BodyText"/>
        <w:spacing w:before="10"/>
        <w:rPr>
          <w:rFonts w:ascii="Times New Roman"/>
          <w:i/>
          <w:sz w:val="29"/>
        </w:rPr>
      </w:pPr>
    </w:p>
    <w:p w:rsidR="00A86F6B" w:rsidRDefault="0098186F">
      <w:pPr>
        <w:pStyle w:val="BodyText"/>
        <w:spacing w:line="292" w:lineRule="auto"/>
        <w:ind w:left="139" w:right="378" w:hanging="7"/>
      </w:pPr>
      <w:r>
        <w:rPr>
          <w:color w:val="08080A"/>
          <w:w w:val="105"/>
        </w:rPr>
        <w:t>Table 1 is limited in how it presents total cost</w:t>
      </w:r>
      <w:r>
        <w:rPr>
          <w:color w:val="08080A"/>
          <w:spacing w:val="-3"/>
          <w:w w:val="105"/>
        </w:rPr>
        <w:t>s</w:t>
      </w:r>
      <w:r>
        <w:rPr>
          <w:color w:val="28282B"/>
          <w:spacing w:val="-3"/>
          <w:w w:val="105"/>
        </w:rPr>
        <w:t xml:space="preserve">. </w:t>
      </w:r>
      <w:r>
        <w:rPr>
          <w:color w:val="08080A"/>
          <w:w w:val="105"/>
        </w:rPr>
        <w:t>The total costs shown in this table are those that are recoverable from utilities and cover local and national regulatory cost</w:t>
      </w:r>
      <w:r>
        <w:rPr>
          <w:color w:val="08080A"/>
          <w:spacing w:val="-32"/>
          <w:w w:val="105"/>
        </w:rPr>
        <w:t xml:space="preserve"> </w:t>
      </w:r>
      <w:r>
        <w:rPr>
          <w:color w:val="08080A"/>
          <w:w w:val="105"/>
        </w:rPr>
        <w:t>s</w:t>
      </w:r>
      <w:r>
        <w:rPr>
          <w:color w:val="28282B"/>
          <w:w w:val="105"/>
        </w:rPr>
        <w:t>.</w:t>
      </w:r>
      <w:r>
        <w:rPr>
          <w:color w:val="28282B"/>
          <w:spacing w:val="-10"/>
          <w:w w:val="105"/>
        </w:rPr>
        <w:t xml:space="preserve"> </w:t>
      </w:r>
      <w:r>
        <w:rPr>
          <w:color w:val="08080A"/>
          <w:w w:val="105"/>
        </w:rPr>
        <w:t>As</w:t>
      </w:r>
      <w:r>
        <w:rPr>
          <w:color w:val="08080A"/>
          <w:spacing w:val="-29"/>
          <w:w w:val="105"/>
        </w:rPr>
        <w:t xml:space="preserve"> </w:t>
      </w:r>
      <w:r>
        <w:rPr>
          <w:color w:val="08080A"/>
          <w:w w:val="105"/>
        </w:rPr>
        <w:t>identified</w:t>
      </w:r>
      <w:r>
        <w:rPr>
          <w:color w:val="08080A"/>
          <w:spacing w:val="-14"/>
          <w:w w:val="105"/>
        </w:rPr>
        <w:t xml:space="preserve"> </w:t>
      </w:r>
      <w:r>
        <w:rPr>
          <w:color w:val="08080A"/>
          <w:w w:val="105"/>
        </w:rPr>
        <w:t>in</w:t>
      </w:r>
      <w:r>
        <w:rPr>
          <w:color w:val="08080A"/>
          <w:spacing w:val="-23"/>
          <w:w w:val="105"/>
        </w:rPr>
        <w:t xml:space="preserve"> </w:t>
      </w:r>
      <w:r>
        <w:rPr>
          <w:color w:val="08080A"/>
          <w:w w:val="105"/>
        </w:rPr>
        <w:t>the</w:t>
      </w:r>
      <w:r>
        <w:rPr>
          <w:color w:val="08080A"/>
          <w:spacing w:val="-14"/>
          <w:w w:val="105"/>
        </w:rPr>
        <w:t xml:space="preserve"> </w:t>
      </w:r>
      <w:r>
        <w:rPr>
          <w:color w:val="08080A"/>
          <w:w w:val="105"/>
        </w:rPr>
        <w:t>previous</w:t>
      </w:r>
      <w:r>
        <w:rPr>
          <w:color w:val="08080A"/>
          <w:spacing w:val="-12"/>
          <w:w w:val="105"/>
        </w:rPr>
        <w:t xml:space="preserve"> </w:t>
      </w:r>
      <w:r>
        <w:rPr>
          <w:color w:val="08080A"/>
          <w:w w:val="105"/>
        </w:rPr>
        <w:t>comment</w:t>
      </w:r>
      <w:r>
        <w:rPr>
          <w:color w:val="08080A"/>
          <w:spacing w:val="-7"/>
          <w:w w:val="105"/>
        </w:rPr>
        <w:t xml:space="preserve"> </w:t>
      </w:r>
      <w:r>
        <w:rPr>
          <w:color w:val="08080A"/>
          <w:w w:val="105"/>
        </w:rPr>
        <w:t>above,</w:t>
      </w:r>
      <w:r>
        <w:rPr>
          <w:color w:val="08080A"/>
          <w:spacing w:val="-15"/>
          <w:w w:val="105"/>
        </w:rPr>
        <w:t xml:space="preserve"> </w:t>
      </w:r>
      <w:r>
        <w:rPr>
          <w:color w:val="08080A"/>
          <w:w w:val="105"/>
        </w:rPr>
        <w:t>individual</w:t>
      </w:r>
      <w:r>
        <w:rPr>
          <w:color w:val="08080A"/>
          <w:spacing w:val="-7"/>
          <w:w w:val="105"/>
        </w:rPr>
        <w:t xml:space="preserve"> </w:t>
      </w:r>
      <w:r>
        <w:rPr>
          <w:color w:val="08080A"/>
          <w:w w:val="105"/>
        </w:rPr>
        <w:t>local</w:t>
      </w:r>
      <w:r>
        <w:rPr>
          <w:color w:val="08080A"/>
          <w:spacing w:val="-13"/>
          <w:w w:val="105"/>
        </w:rPr>
        <w:t xml:space="preserve"> </w:t>
      </w:r>
      <w:r>
        <w:rPr>
          <w:color w:val="08080A"/>
          <w:w w:val="105"/>
        </w:rPr>
        <w:t>agency</w:t>
      </w:r>
      <w:r>
        <w:rPr>
          <w:color w:val="08080A"/>
          <w:spacing w:val="-18"/>
          <w:w w:val="105"/>
        </w:rPr>
        <w:t xml:space="preserve"> </w:t>
      </w:r>
      <w:r>
        <w:rPr>
          <w:color w:val="08080A"/>
          <w:w w:val="105"/>
        </w:rPr>
        <w:t>costs</w:t>
      </w:r>
      <w:r>
        <w:rPr>
          <w:color w:val="08080A"/>
          <w:spacing w:val="-17"/>
          <w:w w:val="105"/>
        </w:rPr>
        <w:t xml:space="preserve"> </w:t>
      </w:r>
      <w:r>
        <w:rPr>
          <w:color w:val="08080A"/>
          <w:w w:val="105"/>
        </w:rPr>
        <w:t>are not</w:t>
      </w:r>
      <w:r>
        <w:rPr>
          <w:color w:val="08080A"/>
          <w:spacing w:val="17"/>
          <w:w w:val="105"/>
        </w:rPr>
        <w:t xml:space="preserve"> </w:t>
      </w:r>
      <w:r>
        <w:rPr>
          <w:color w:val="08080A"/>
          <w:w w:val="105"/>
        </w:rPr>
        <w:t>presented</w:t>
      </w:r>
      <w:r>
        <w:rPr>
          <w:color w:val="08080A"/>
          <w:spacing w:val="-6"/>
          <w:w w:val="105"/>
        </w:rPr>
        <w:t xml:space="preserve"> </w:t>
      </w:r>
      <w:r>
        <w:rPr>
          <w:color w:val="08080A"/>
          <w:w w:val="105"/>
        </w:rPr>
        <w:t>in</w:t>
      </w:r>
      <w:r>
        <w:rPr>
          <w:color w:val="08080A"/>
          <w:spacing w:val="-1"/>
          <w:w w:val="105"/>
        </w:rPr>
        <w:t xml:space="preserve"> </w:t>
      </w:r>
      <w:r>
        <w:rPr>
          <w:color w:val="08080A"/>
          <w:w w:val="105"/>
        </w:rPr>
        <w:t>a</w:t>
      </w:r>
      <w:r>
        <w:rPr>
          <w:color w:val="08080A"/>
          <w:spacing w:val="-18"/>
          <w:w w:val="105"/>
        </w:rPr>
        <w:t xml:space="preserve"> </w:t>
      </w:r>
      <w:r>
        <w:rPr>
          <w:color w:val="08080A"/>
          <w:w w:val="105"/>
        </w:rPr>
        <w:t>transparent</w:t>
      </w:r>
      <w:r>
        <w:rPr>
          <w:color w:val="08080A"/>
          <w:spacing w:val="9"/>
          <w:w w:val="105"/>
        </w:rPr>
        <w:t xml:space="preserve"> </w:t>
      </w:r>
      <w:r>
        <w:rPr>
          <w:color w:val="08080A"/>
          <w:spacing w:val="3"/>
          <w:w w:val="105"/>
        </w:rPr>
        <w:t>man</w:t>
      </w:r>
      <w:r>
        <w:rPr>
          <w:color w:val="08080A"/>
          <w:w w:val="105"/>
        </w:rPr>
        <w:t>ner</w:t>
      </w:r>
      <w:r>
        <w:rPr>
          <w:color w:val="28282B"/>
          <w:w w:val="105"/>
        </w:rPr>
        <w:t>.</w:t>
      </w:r>
      <w:r>
        <w:rPr>
          <w:color w:val="28282B"/>
          <w:spacing w:val="-12"/>
          <w:w w:val="105"/>
        </w:rPr>
        <w:t xml:space="preserve"> </w:t>
      </w:r>
      <w:r>
        <w:rPr>
          <w:color w:val="08080A"/>
          <w:w w:val="105"/>
        </w:rPr>
        <w:t>For</w:t>
      </w:r>
      <w:r>
        <w:rPr>
          <w:color w:val="08080A"/>
          <w:spacing w:val="-12"/>
          <w:w w:val="105"/>
        </w:rPr>
        <w:t xml:space="preserve"> </w:t>
      </w:r>
      <w:r>
        <w:rPr>
          <w:color w:val="08080A"/>
          <w:w w:val="105"/>
        </w:rPr>
        <w:t>local</w:t>
      </w:r>
      <w:r>
        <w:rPr>
          <w:color w:val="08080A"/>
          <w:spacing w:val="-11"/>
          <w:w w:val="105"/>
        </w:rPr>
        <w:t xml:space="preserve"> </w:t>
      </w:r>
      <w:r>
        <w:rPr>
          <w:color w:val="08080A"/>
          <w:w w:val="105"/>
        </w:rPr>
        <w:t>costs,</w:t>
      </w:r>
      <w:r>
        <w:rPr>
          <w:color w:val="08080A"/>
          <w:spacing w:val="-16"/>
          <w:w w:val="105"/>
        </w:rPr>
        <w:t xml:space="preserve"> </w:t>
      </w:r>
      <w:r>
        <w:rPr>
          <w:color w:val="08080A"/>
          <w:w w:val="105"/>
        </w:rPr>
        <w:t>the</w:t>
      </w:r>
      <w:r>
        <w:rPr>
          <w:color w:val="08080A"/>
          <w:spacing w:val="-15"/>
          <w:w w:val="105"/>
        </w:rPr>
        <w:t xml:space="preserve"> </w:t>
      </w:r>
      <w:r>
        <w:rPr>
          <w:color w:val="08080A"/>
          <w:w w:val="105"/>
        </w:rPr>
        <w:t>growth</w:t>
      </w:r>
      <w:r>
        <w:rPr>
          <w:color w:val="08080A"/>
          <w:spacing w:val="-6"/>
          <w:w w:val="105"/>
        </w:rPr>
        <w:t xml:space="preserve"> </w:t>
      </w:r>
      <w:r>
        <w:rPr>
          <w:color w:val="08080A"/>
          <w:w w:val="105"/>
        </w:rPr>
        <w:t>in</w:t>
      </w:r>
      <w:r>
        <w:rPr>
          <w:color w:val="08080A"/>
          <w:spacing w:val="-18"/>
          <w:w w:val="105"/>
        </w:rPr>
        <w:t xml:space="preserve"> </w:t>
      </w:r>
      <w:r>
        <w:rPr>
          <w:color w:val="08080A"/>
          <w:w w:val="105"/>
        </w:rPr>
        <w:t>staffing</w:t>
      </w:r>
      <w:r>
        <w:rPr>
          <w:color w:val="08080A"/>
          <w:spacing w:val="-16"/>
          <w:w w:val="105"/>
        </w:rPr>
        <w:t xml:space="preserve"> </w:t>
      </w:r>
      <w:r>
        <w:rPr>
          <w:color w:val="08080A"/>
          <w:w w:val="105"/>
        </w:rPr>
        <w:t>levels in the</w:t>
      </w:r>
      <w:r>
        <w:rPr>
          <w:color w:val="08080A"/>
          <w:spacing w:val="11"/>
          <w:w w:val="105"/>
        </w:rPr>
        <w:t xml:space="preserve"> </w:t>
      </w:r>
      <w:r>
        <w:rPr>
          <w:color w:val="08080A"/>
          <w:w w:val="105"/>
        </w:rPr>
        <w:t>Technical</w:t>
      </w:r>
      <w:r>
        <w:rPr>
          <w:color w:val="08080A"/>
          <w:spacing w:val="-5"/>
          <w:w w:val="105"/>
        </w:rPr>
        <w:t xml:space="preserve"> </w:t>
      </w:r>
      <w:r>
        <w:rPr>
          <w:color w:val="08080A"/>
          <w:w w:val="105"/>
        </w:rPr>
        <w:t>Regulator's</w:t>
      </w:r>
      <w:r>
        <w:rPr>
          <w:color w:val="08080A"/>
          <w:spacing w:val="-6"/>
          <w:w w:val="105"/>
        </w:rPr>
        <w:t xml:space="preserve"> </w:t>
      </w:r>
      <w:r>
        <w:rPr>
          <w:color w:val="08080A"/>
          <w:w w:val="105"/>
        </w:rPr>
        <w:t>team</w:t>
      </w:r>
      <w:r>
        <w:rPr>
          <w:color w:val="08080A"/>
          <w:spacing w:val="-11"/>
          <w:w w:val="105"/>
        </w:rPr>
        <w:t xml:space="preserve"> </w:t>
      </w:r>
      <w:r>
        <w:rPr>
          <w:color w:val="08080A"/>
          <w:w w:val="105"/>
        </w:rPr>
        <w:t>may</w:t>
      </w:r>
      <w:r>
        <w:rPr>
          <w:color w:val="08080A"/>
          <w:spacing w:val="-6"/>
          <w:w w:val="105"/>
        </w:rPr>
        <w:t xml:space="preserve"> </w:t>
      </w:r>
      <w:r>
        <w:rPr>
          <w:color w:val="08080A"/>
          <w:w w:val="105"/>
        </w:rPr>
        <w:t>account</w:t>
      </w:r>
      <w:r>
        <w:rPr>
          <w:color w:val="08080A"/>
          <w:spacing w:val="-1"/>
          <w:w w:val="105"/>
        </w:rPr>
        <w:t xml:space="preserve"> </w:t>
      </w:r>
      <w:r>
        <w:rPr>
          <w:color w:val="08080A"/>
          <w:w w:val="105"/>
        </w:rPr>
        <w:t>for</w:t>
      </w:r>
      <w:r>
        <w:rPr>
          <w:color w:val="08080A"/>
          <w:spacing w:val="-10"/>
          <w:w w:val="105"/>
        </w:rPr>
        <w:t xml:space="preserve"> </w:t>
      </w:r>
      <w:r>
        <w:rPr>
          <w:color w:val="08080A"/>
          <w:w w:val="105"/>
        </w:rPr>
        <w:t>the</w:t>
      </w:r>
      <w:r>
        <w:rPr>
          <w:color w:val="08080A"/>
          <w:spacing w:val="-9"/>
          <w:w w:val="105"/>
        </w:rPr>
        <w:t xml:space="preserve"> </w:t>
      </w:r>
      <w:r>
        <w:rPr>
          <w:color w:val="08080A"/>
          <w:w w:val="105"/>
        </w:rPr>
        <w:t>largest</w:t>
      </w:r>
      <w:r>
        <w:rPr>
          <w:color w:val="08080A"/>
          <w:spacing w:val="-11"/>
          <w:w w:val="105"/>
        </w:rPr>
        <w:t xml:space="preserve"> </w:t>
      </w:r>
      <w:r>
        <w:rPr>
          <w:color w:val="08080A"/>
          <w:w w:val="105"/>
        </w:rPr>
        <w:t>proportion</w:t>
      </w:r>
      <w:r>
        <w:rPr>
          <w:color w:val="08080A"/>
          <w:spacing w:val="2"/>
          <w:w w:val="105"/>
        </w:rPr>
        <w:t xml:space="preserve"> </w:t>
      </w:r>
      <w:r>
        <w:rPr>
          <w:color w:val="08080A"/>
          <w:w w:val="105"/>
        </w:rPr>
        <w:t>of</w:t>
      </w:r>
      <w:r>
        <w:rPr>
          <w:color w:val="08080A"/>
          <w:spacing w:val="-11"/>
          <w:w w:val="105"/>
        </w:rPr>
        <w:t xml:space="preserve"> </w:t>
      </w:r>
      <w:r>
        <w:rPr>
          <w:color w:val="08080A"/>
          <w:w w:val="105"/>
        </w:rPr>
        <w:t>cost.</w:t>
      </w:r>
    </w:p>
    <w:p w:rsidR="00A86F6B" w:rsidRDefault="00A86F6B">
      <w:pPr>
        <w:spacing w:line="292" w:lineRule="auto"/>
        <w:sectPr w:rsidR="00A86F6B" w:rsidSect="00FC250F">
          <w:footerReference w:type="default" r:id="rId8"/>
          <w:type w:val="continuous"/>
          <w:pgSz w:w="11900" w:h="16840"/>
          <w:pgMar w:top="1120" w:right="1680" w:bottom="280" w:left="1560" w:header="720" w:footer="720" w:gutter="0"/>
          <w:cols w:space="720"/>
          <w:titlePg/>
          <w:docGrid w:linePitch="299"/>
        </w:sectPr>
      </w:pPr>
    </w:p>
    <w:p w:rsidR="00A86F6B" w:rsidRDefault="0098186F">
      <w:pPr>
        <w:pStyle w:val="BodyText"/>
        <w:spacing w:before="74" w:line="292" w:lineRule="auto"/>
        <w:ind w:left="231" w:right="610" w:firstLine="11"/>
      </w:pPr>
      <w:r>
        <w:rPr>
          <w:color w:val="0A080C"/>
          <w:w w:val="105"/>
        </w:rPr>
        <w:lastRenderedPageBreak/>
        <w:t xml:space="preserve">Whilst that growth has occurred, there is no empirical evidence around utilities failing to meet performance standards that can support the growth; i.e. by way of example, if the number of breaches of law; or the number of consumer complaints has risen through the years, then evidence of that trend would support the expansion of regulatory staff. </w:t>
      </w:r>
      <w:proofErr w:type="spellStart"/>
      <w:r>
        <w:rPr>
          <w:color w:val="0A080C"/>
          <w:w w:val="105"/>
        </w:rPr>
        <w:t>ActewAGL</w:t>
      </w:r>
      <w:proofErr w:type="spellEnd"/>
      <w:r>
        <w:rPr>
          <w:color w:val="0A080C"/>
          <w:w w:val="105"/>
        </w:rPr>
        <w:t xml:space="preserve"> Distribution has not seen nor been presented with evidence of such.</w:t>
      </w:r>
    </w:p>
    <w:p w:rsidR="00A86F6B" w:rsidRDefault="00A86F6B">
      <w:pPr>
        <w:pStyle w:val="BodyText"/>
        <w:spacing w:before="3"/>
        <w:rPr>
          <w:sz w:val="25"/>
        </w:rPr>
      </w:pPr>
    </w:p>
    <w:p w:rsidR="00A86F6B" w:rsidRDefault="0098186F">
      <w:pPr>
        <w:spacing w:line="254" w:lineRule="auto"/>
        <w:ind w:left="224" w:right="610" w:firstLine="2"/>
        <w:rPr>
          <w:b/>
          <w:sz w:val="19"/>
        </w:rPr>
      </w:pPr>
      <w:r>
        <w:rPr>
          <w:b/>
          <w:color w:val="0A080C"/>
          <w:sz w:val="19"/>
        </w:rPr>
        <w:t xml:space="preserve">Table 1-Actual total regulatory costs from 2008-09 to 2014-15 as determined by the levy administrator, </w:t>
      </w:r>
      <w:r>
        <w:rPr>
          <w:rFonts w:ascii="Times New Roman"/>
          <w:color w:val="0A080C"/>
          <w:sz w:val="23"/>
        </w:rPr>
        <w:t xml:space="preserve">($, </w:t>
      </w:r>
      <w:r>
        <w:rPr>
          <w:b/>
          <w:color w:val="0A080C"/>
          <w:sz w:val="19"/>
        </w:rPr>
        <w:t>dollars)</w:t>
      </w:r>
    </w:p>
    <w:tbl>
      <w:tblPr>
        <w:tblStyle w:val="LightShading-Accent1"/>
        <w:tblW w:w="0" w:type="auto"/>
        <w:tblLayout w:type="fixed"/>
        <w:tblLook w:val="04A0"/>
      </w:tblPr>
      <w:tblGrid>
        <w:gridCol w:w="1384"/>
        <w:gridCol w:w="1116"/>
        <w:gridCol w:w="1117"/>
        <w:gridCol w:w="1116"/>
        <w:gridCol w:w="1117"/>
        <w:gridCol w:w="1116"/>
        <w:gridCol w:w="1117"/>
      </w:tblGrid>
      <w:tr w:rsidR="00A86F6B" w:rsidTr="009E7334">
        <w:trPr>
          <w:cnfStyle w:val="100000000000"/>
          <w:trHeight w:val="456"/>
          <w:tblHeader/>
        </w:trPr>
        <w:tc>
          <w:tcPr>
            <w:cnfStyle w:val="001000000000"/>
            <w:tcW w:w="1384" w:type="dxa"/>
          </w:tcPr>
          <w:p w:rsidR="00A86F6B" w:rsidRDefault="0098186F">
            <w:pPr>
              <w:pStyle w:val="TableParagraph"/>
              <w:spacing w:before="18"/>
              <w:ind w:left="104"/>
              <w:rPr>
                <w:rFonts w:ascii="Arial"/>
                <w:b w:val="0"/>
                <w:sz w:val="18"/>
              </w:rPr>
            </w:pPr>
            <w:r>
              <w:rPr>
                <w:rFonts w:ascii="Arial"/>
                <w:color w:val="0A080C"/>
                <w:w w:val="95"/>
                <w:sz w:val="18"/>
              </w:rPr>
              <w:t>Industry Sector</w:t>
            </w:r>
          </w:p>
        </w:tc>
        <w:tc>
          <w:tcPr>
            <w:tcW w:w="1116" w:type="dxa"/>
          </w:tcPr>
          <w:p w:rsidR="00A86F6B" w:rsidRPr="001116F4" w:rsidRDefault="0098186F">
            <w:pPr>
              <w:pStyle w:val="TableParagraph"/>
              <w:spacing w:before="14"/>
              <w:ind w:left="172"/>
              <w:cnfStyle w:val="100000000000"/>
              <w:rPr>
                <w:b w:val="0"/>
                <w:sz w:val="18"/>
              </w:rPr>
            </w:pPr>
            <w:r w:rsidRPr="001116F4">
              <w:rPr>
                <w:color w:val="0A080C"/>
                <w:sz w:val="18"/>
              </w:rPr>
              <w:t>2009-10</w:t>
            </w:r>
          </w:p>
        </w:tc>
        <w:tc>
          <w:tcPr>
            <w:tcW w:w="1117" w:type="dxa"/>
          </w:tcPr>
          <w:p w:rsidR="00A86F6B" w:rsidRPr="001116F4" w:rsidRDefault="0098186F">
            <w:pPr>
              <w:pStyle w:val="TableParagraph"/>
              <w:spacing w:before="14"/>
              <w:ind w:left="172"/>
              <w:cnfStyle w:val="100000000000"/>
              <w:rPr>
                <w:b w:val="0"/>
                <w:sz w:val="18"/>
              </w:rPr>
            </w:pPr>
            <w:r w:rsidRPr="001116F4">
              <w:rPr>
                <w:color w:val="0A080C"/>
                <w:sz w:val="18"/>
              </w:rPr>
              <w:t>2010-11</w:t>
            </w:r>
          </w:p>
        </w:tc>
        <w:tc>
          <w:tcPr>
            <w:tcW w:w="1116" w:type="dxa"/>
          </w:tcPr>
          <w:p w:rsidR="00A86F6B" w:rsidRPr="001116F4" w:rsidRDefault="0098186F">
            <w:pPr>
              <w:pStyle w:val="TableParagraph"/>
              <w:spacing w:before="9"/>
              <w:ind w:left="172"/>
              <w:cnfStyle w:val="100000000000"/>
              <w:rPr>
                <w:b w:val="0"/>
                <w:sz w:val="18"/>
              </w:rPr>
            </w:pPr>
            <w:r w:rsidRPr="001116F4">
              <w:rPr>
                <w:color w:val="0A080C"/>
                <w:sz w:val="18"/>
              </w:rPr>
              <w:t>2011-12</w:t>
            </w:r>
          </w:p>
        </w:tc>
        <w:tc>
          <w:tcPr>
            <w:tcW w:w="1117" w:type="dxa"/>
          </w:tcPr>
          <w:p w:rsidR="00A86F6B" w:rsidRPr="001116F4" w:rsidRDefault="0098186F">
            <w:pPr>
              <w:pStyle w:val="TableParagraph"/>
              <w:spacing w:before="14"/>
              <w:ind w:left="172"/>
              <w:cnfStyle w:val="100000000000"/>
              <w:rPr>
                <w:b w:val="0"/>
                <w:sz w:val="18"/>
              </w:rPr>
            </w:pPr>
            <w:r w:rsidRPr="001116F4">
              <w:rPr>
                <w:color w:val="0A080C"/>
                <w:sz w:val="18"/>
              </w:rPr>
              <w:t>2012-13</w:t>
            </w:r>
          </w:p>
        </w:tc>
        <w:tc>
          <w:tcPr>
            <w:tcW w:w="1116" w:type="dxa"/>
          </w:tcPr>
          <w:p w:rsidR="00A86F6B" w:rsidRPr="001116F4" w:rsidRDefault="0098186F">
            <w:pPr>
              <w:pStyle w:val="TableParagraph"/>
              <w:spacing w:before="9"/>
              <w:ind w:left="77" w:right="77"/>
              <w:jc w:val="center"/>
              <w:cnfStyle w:val="100000000000"/>
              <w:rPr>
                <w:b w:val="0"/>
                <w:sz w:val="18"/>
              </w:rPr>
            </w:pPr>
            <w:r w:rsidRPr="001116F4">
              <w:rPr>
                <w:color w:val="0A080C"/>
                <w:sz w:val="18"/>
              </w:rPr>
              <w:t>2013-14</w:t>
            </w:r>
          </w:p>
        </w:tc>
        <w:tc>
          <w:tcPr>
            <w:tcW w:w="1117" w:type="dxa"/>
          </w:tcPr>
          <w:p w:rsidR="00A86F6B" w:rsidRPr="001116F4" w:rsidRDefault="0098186F">
            <w:pPr>
              <w:pStyle w:val="TableParagraph"/>
              <w:spacing w:before="14"/>
              <w:ind w:left="172"/>
              <w:cnfStyle w:val="100000000000"/>
              <w:rPr>
                <w:b w:val="0"/>
                <w:sz w:val="18"/>
              </w:rPr>
            </w:pPr>
            <w:r w:rsidRPr="001116F4">
              <w:rPr>
                <w:color w:val="0A080C"/>
                <w:sz w:val="18"/>
              </w:rPr>
              <w:t>2014-15</w:t>
            </w:r>
          </w:p>
        </w:tc>
      </w:tr>
      <w:tr w:rsidR="00A86F6B" w:rsidTr="001116F4">
        <w:trPr>
          <w:cnfStyle w:val="000000100000"/>
          <w:trHeight w:val="456"/>
        </w:trPr>
        <w:tc>
          <w:tcPr>
            <w:cnfStyle w:val="001000000000"/>
            <w:tcW w:w="1384" w:type="dxa"/>
          </w:tcPr>
          <w:p w:rsidR="00A86F6B" w:rsidRDefault="0098186F">
            <w:pPr>
              <w:pStyle w:val="TableParagraph"/>
              <w:spacing w:before="15"/>
              <w:ind w:left="99"/>
              <w:rPr>
                <w:rFonts w:ascii="Arial"/>
                <w:b w:val="0"/>
                <w:sz w:val="18"/>
              </w:rPr>
            </w:pPr>
            <w:r>
              <w:rPr>
                <w:rFonts w:ascii="Arial"/>
                <w:color w:val="0A080C"/>
                <w:w w:val="95"/>
                <w:sz w:val="18"/>
              </w:rPr>
              <w:t>Electricity Distribution</w:t>
            </w:r>
          </w:p>
        </w:tc>
        <w:tc>
          <w:tcPr>
            <w:tcW w:w="1116" w:type="dxa"/>
          </w:tcPr>
          <w:p w:rsidR="00A86F6B" w:rsidRPr="001116F4" w:rsidRDefault="0098186F">
            <w:pPr>
              <w:pStyle w:val="TableParagraph"/>
              <w:spacing w:before="12"/>
              <w:ind w:right="102"/>
              <w:jc w:val="right"/>
              <w:cnfStyle w:val="000000100000"/>
              <w:rPr>
                <w:sz w:val="18"/>
              </w:rPr>
            </w:pPr>
            <w:r w:rsidRPr="001116F4">
              <w:rPr>
                <w:color w:val="0A080C"/>
                <w:sz w:val="18"/>
              </w:rPr>
              <w:t>736,046</w:t>
            </w:r>
          </w:p>
        </w:tc>
        <w:tc>
          <w:tcPr>
            <w:tcW w:w="1117" w:type="dxa"/>
          </w:tcPr>
          <w:p w:rsidR="00A86F6B" w:rsidRPr="001116F4" w:rsidRDefault="0098186F">
            <w:pPr>
              <w:pStyle w:val="TableParagraph"/>
              <w:spacing w:before="12"/>
              <w:ind w:right="102"/>
              <w:jc w:val="right"/>
              <w:cnfStyle w:val="000000100000"/>
              <w:rPr>
                <w:sz w:val="18"/>
              </w:rPr>
            </w:pPr>
            <w:r w:rsidRPr="001116F4">
              <w:rPr>
                <w:color w:val="0A080C"/>
                <w:sz w:val="18"/>
              </w:rPr>
              <w:t>801</w:t>
            </w:r>
            <w:r w:rsidRPr="001116F4">
              <w:rPr>
                <w:color w:val="312F34"/>
                <w:sz w:val="18"/>
              </w:rPr>
              <w:t>,</w:t>
            </w:r>
            <w:r w:rsidRPr="001116F4">
              <w:rPr>
                <w:color w:val="0A080C"/>
                <w:sz w:val="18"/>
              </w:rPr>
              <w:t>707</w:t>
            </w:r>
          </w:p>
        </w:tc>
        <w:tc>
          <w:tcPr>
            <w:tcW w:w="1116" w:type="dxa"/>
          </w:tcPr>
          <w:p w:rsidR="00A86F6B" w:rsidRPr="001116F4" w:rsidRDefault="0098186F">
            <w:pPr>
              <w:pStyle w:val="TableParagraph"/>
              <w:spacing w:before="12"/>
              <w:ind w:right="83"/>
              <w:jc w:val="right"/>
              <w:cnfStyle w:val="000000100000"/>
              <w:rPr>
                <w:sz w:val="18"/>
              </w:rPr>
            </w:pPr>
            <w:r w:rsidRPr="001116F4">
              <w:rPr>
                <w:color w:val="0A080C"/>
                <w:w w:val="105"/>
                <w:sz w:val="18"/>
              </w:rPr>
              <w:t>1,001</w:t>
            </w:r>
            <w:r w:rsidRPr="001116F4">
              <w:rPr>
                <w:color w:val="312F34"/>
                <w:w w:val="105"/>
                <w:sz w:val="18"/>
              </w:rPr>
              <w:t>,</w:t>
            </w:r>
            <w:r w:rsidRPr="001116F4">
              <w:rPr>
                <w:color w:val="0A080C"/>
                <w:w w:val="105"/>
                <w:sz w:val="18"/>
              </w:rPr>
              <w:t>838</w:t>
            </w:r>
          </w:p>
        </w:tc>
        <w:tc>
          <w:tcPr>
            <w:tcW w:w="1117" w:type="dxa"/>
          </w:tcPr>
          <w:p w:rsidR="00A86F6B" w:rsidRPr="001116F4" w:rsidRDefault="0098186F">
            <w:pPr>
              <w:pStyle w:val="TableParagraph"/>
              <w:spacing w:before="12"/>
              <w:ind w:right="103"/>
              <w:jc w:val="right"/>
              <w:cnfStyle w:val="000000100000"/>
              <w:rPr>
                <w:sz w:val="18"/>
              </w:rPr>
            </w:pPr>
            <w:r w:rsidRPr="001116F4">
              <w:rPr>
                <w:color w:val="0A080C"/>
                <w:sz w:val="18"/>
              </w:rPr>
              <w:t>999,909</w:t>
            </w:r>
          </w:p>
        </w:tc>
        <w:tc>
          <w:tcPr>
            <w:tcW w:w="1116" w:type="dxa"/>
          </w:tcPr>
          <w:p w:rsidR="00A86F6B" w:rsidRPr="001116F4" w:rsidRDefault="0098186F">
            <w:pPr>
              <w:pStyle w:val="TableParagraph"/>
              <w:spacing w:before="12"/>
              <w:ind w:left="158" w:right="19"/>
              <w:jc w:val="center"/>
              <w:cnfStyle w:val="000000100000"/>
              <w:rPr>
                <w:sz w:val="18"/>
              </w:rPr>
            </w:pPr>
            <w:r w:rsidRPr="001116F4">
              <w:rPr>
                <w:color w:val="0A080C"/>
                <w:w w:val="105"/>
                <w:sz w:val="18"/>
              </w:rPr>
              <w:t>867,556</w:t>
            </w:r>
          </w:p>
        </w:tc>
        <w:tc>
          <w:tcPr>
            <w:tcW w:w="1117" w:type="dxa"/>
          </w:tcPr>
          <w:p w:rsidR="00A86F6B" w:rsidRPr="001116F4" w:rsidRDefault="0098186F">
            <w:pPr>
              <w:pStyle w:val="TableParagraph"/>
              <w:spacing w:before="16"/>
              <w:ind w:right="103"/>
              <w:jc w:val="right"/>
              <w:cnfStyle w:val="000000100000"/>
              <w:rPr>
                <w:sz w:val="18"/>
              </w:rPr>
            </w:pPr>
            <w:r w:rsidRPr="001116F4">
              <w:rPr>
                <w:color w:val="0A080C"/>
                <w:sz w:val="18"/>
              </w:rPr>
              <w:t>786,119</w:t>
            </w:r>
          </w:p>
        </w:tc>
      </w:tr>
      <w:tr w:rsidR="00A86F6B" w:rsidTr="001116F4">
        <w:trPr>
          <w:trHeight w:val="456"/>
        </w:trPr>
        <w:tc>
          <w:tcPr>
            <w:cnfStyle w:val="001000000000"/>
            <w:tcW w:w="1384" w:type="dxa"/>
          </w:tcPr>
          <w:p w:rsidR="00A86F6B" w:rsidRDefault="0098186F">
            <w:pPr>
              <w:pStyle w:val="TableParagraph"/>
              <w:spacing w:before="20"/>
              <w:ind w:left="99"/>
              <w:rPr>
                <w:rFonts w:ascii="Arial"/>
                <w:b w:val="0"/>
                <w:sz w:val="18"/>
              </w:rPr>
            </w:pPr>
            <w:r>
              <w:rPr>
                <w:rFonts w:ascii="Arial"/>
                <w:color w:val="0A080C"/>
                <w:w w:val="90"/>
                <w:sz w:val="18"/>
              </w:rPr>
              <w:t>Electricity Supply</w:t>
            </w:r>
          </w:p>
        </w:tc>
        <w:tc>
          <w:tcPr>
            <w:tcW w:w="1116" w:type="dxa"/>
          </w:tcPr>
          <w:p w:rsidR="00A86F6B" w:rsidRPr="001116F4" w:rsidRDefault="0098186F">
            <w:pPr>
              <w:pStyle w:val="TableParagraph"/>
              <w:spacing w:before="16"/>
              <w:ind w:right="99"/>
              <w:jc w:val="right"/>
              <w:cnfStyle w:val="000000000000"/>
              <w:rPr>
                <w:sz w:val="18"/>
              </w:rPr>
            </w:pPr>
            <w:r w:rsidRPr="001116F4">
              <w:rPr>
                <w:color w:val="0A080C"/>
                <w:sz w:val="18"/>
              </w:rPr>
              <w:t>855,967</w:t>
            </w:r>
          </w:p>
        </w:tc>
        <w:tc>
          <w:tcPr>
            <w:tcW w:w="1117" w:type="dxa"/>
          </w:tcPr>
          <w:p w:rsidR="00A86F6B" w:rsidRPr="001116F4" w:rsidRDefault="0098186F">
            <w:pPr>
              <w:pStyle w:val="TableParagraph"/>
              <w:spacing w:before="12"/>
              <w:ind w:right="102"/>
              <w:jc w:val="right"/>
              <w:cnfStyle w:val="000000000000"/>
              <w:rPr>
                <w:sz w:val="18"/>
              </w:rPr>
            </w:pPr>
            <w:r w:rsidRPr="001116F4">
              <w:rPr>
                <w:color w:val="0A080C"/>
                <w:sz w:val="18"/>
              </w:rPr>
              <w:t>728,567</w:t>
            </w:r>
          </w:p>
        </w:tc>
        <w:tc>
          <w:tcPr>
            <w:tcW w:w="1116" w:type="dxa"/>
          </w:tcPr>
          <w:p w:rsidR="00A86F6B" w:rsidRPr="001116F4" w:rsidRDefault="0098186F">
            <w:pPr>
              <w:pStyle w:val="TableParagraph"/>
              <w:spacing w:before="16"/>
              <w:ind w:right="97"/>
              <w:jc w:val="right"/>
              <w:cnfStyle w:val="000000000000"/>
              <w:rPr>
                <w:sz w:val="18"/>
              </w:rPr>
            </w:pPr>
            <w:r w:rsidRPr="001116F4">
              <w:rPr>
                <w:color w:val="0A080C"/>
                <w:sz w:val="18"/>
              </w:rPr>
              <w:t>738,178</w:t>
            </w:r>
          </w:p>
        </w:tc>
        <w:tc>
          <w:tcPr>
            <w:tcW w:w="1117" w:type="dxa"/>
          </w:tcPr>
          <w:p w:rsidR="00A86F6B" w:rsidRPr="001116F4" w:rsidRDefault="0098186F">
            <w:pPr>
              <w:pStyle w:val="TableParagraph"/>
              <w:spacing w:before="12"/>
              <w:ind w:right="103"/>
              <w:jc w:val="right"/>
              <w:cnfStyle w:val="000000000000"/>
              <w:rPr>
                <w:sz w:val="18"/>
              </w:rPr>
            </w:pPr>
            <w:r w:rsidRPr="001116F4">
              <w:rPr>
                <w:color w:val="0A080C"/>
                <w:sz w:val="18"/>
              </w:rPr>
              <w:t>723,457</w:t>
            </w:r>
          </w:p>
        </w:tc>
        <w:tc>
          <w:tcPr>
            <w:tcW w:w="1116" w:type="dxa"/>
          </w:tcPr>
          <w:p w:rsidR="00A86F6B" w:rsidRPr="001116F4" w:rsidRDefault="0098186F">
            <w:pPr>
              <w:pStyle w:val="TableParagraph"/>
              <w:spacing w:before="12"/>
              <w:ind w:left="158" w:right="10"/>
              <w:jc w:val="center"/>
              <w:cnfStyle w:val="000000000000"/>
              <w:rPr>
                <w:sz w:val="18"/>
              </w:rPr>
            </w:pPr>
            <w:r w:rsidRPr="001116F4">
              <w:rPr>
                <w:color w:val="0A080C"/>
                <w:w w:val="105"/>
                <w:sz w:val="18"/>
              </w:rPr>
              <w:t>770,388</w:t>
            </w:r>
          </w:p>
        </w:tc>
        <w:tc>
          <w:tcPr>
            <w:tcW w:w="1117" w:type="dxa"/>
          </w:tcPr>
          <w:p w:rsidR="00A86F6B" w:rsidRPr="001116F4" w:rsidRDefault="0098186F">
            <w:pPr>
              <w:pStyle w:val="TableParagraph"/>
              <w:spacing w:before="16"/>
              <w:ind w:right="97"/>
              <w:jc w:val="right"/>
              <w:cnfStyle w:val="000000000000"/>
              <w:rPr>
                <w:sz w:val="18"/>
              </w:rPr>
            </w:pPr>
            <w:r w:rsidRPr="001116F4">
              <w:rPr>
                <w:color w:val="0A080C"/>
                <w:sz w:val="18"/>
              </w:rPr>
              <w:t>715,635</w:t>
            </w:r>
          </w:p>
        </w:tc>
      </w:tr>
      <w:tr w:rsidR="00A86F6B" w:rsidTr="001116F4">
        <w:trPr>
          <w:cnfStyle w:val="000000100000"/>
          <w:trHeight w:val="456"/>
        </w:trPr>
        <w:tc>
          <w:tcPr>
            <w:cnfStyle w:val="001000000000"/>
            <w:tcW w:w="1384" w:type="dxa"/>
          </w:tcPr>
          <w:p w:rsidR="00A86F6B" w:rsidRDefault="0098186F">
            <w:pPr>
              <w:pStyle w:val="TableParagraph"/>
              <w:spacing w:before="20"/>
              <w:ind w:left="94"/>
              <w:rPr>
                <w:rFonts w:ascii="Arial"/>
                <w:b w:val="0"/>
                <w:sz w:val="18"/>
              </w:rPr>
            </w:pPr>
            <w:r>
              <w:rPr>
                <w:rFonts w:ascii="Arial"/>
                <w:color w:val="0A080C"/>
                <w:w w:val="95"/>
                <w:sz w:val="18"/>
              </w:rPr>
              <w:t>Gas Distribution</w:t>
            </w:r>
          </w:p>
        </w:tc>
        <w:tc>
          <w:tcPr>
            <w:tcW w:w="1116" w:type="dxa"/>
          </w:tcPr>
          <w:p w:rsidR="00A86F6B" w:rsidRPr="001116F4" w:rsidRDefault="0098186F">
            <w:pPr>
              <w:pStyle w:val="TableParagraph"/>
              <w:spacing w:before="12"/>
              <w:ind w:right="106"/>
              <w:jc w:val="right"/>
              <w:cnfStyle w:val="000000100000"/>
              <w:rPr>
                <w:sz w:val="18"/>
              </w:rPr>
            </w:pPr>
            <w:r w:rsidRPr="001116F4">
              <w:rPr>
                <w:color w:val="0A080C"/>
                <w:w w:val="95"/>
                <w:sz w:val="18"/>
              </w:rPr>
              <w:t>316</w:t>
            </w:r>
            <w:r w:rsidRPr="001116F4">
              <w:rPr>
                <w:color w:val="312F34"/>
                <w:w w:val="95"/>
                <w:sz w:val="18"/>
              </w:rPr>
              <w:t xml:space="preserve">, </w:t>
            </w:r>
            <w:r w:rsidRPr="001116F4">
              <w:rPr>
                <w:color w:val="0A080C"/>
                <w:w w:val="95"/>
                <w:sz w:val="18"/>
              </w:rPr>
              <w:t>204</w:t>
            </w:r>
          </w:p>
        </w:tc>
        <w:tc>
          <w:tcPr>
            <w:tcW w:w="1117" w:type="dxa"/>
          </w:tcPr>
          <w:p w:rsidR="00A86F6B" w:rsidRPr="001116F4" w:rsidRDefault="0098186F">
            <w:pPr>
              <w:pStyle w:val="TableParagraph"/>
              <w:spacing w:before="12"/>
              <w:ind w:right="103"/>
              <w:jc w:val="right"/>
              <w:cnfStyle w:val="000000100000"/>
              <w:rPr>
                <w:sz w:val="18"/>
              </w:rPr>
            </w:pPr>
            <w:r w:rsidRPr="001116F4">
              <w:rPr>
                <w:color w:val="0A080C"/>
                <w:sz w:val="18"/>
              </w:rPr>
              <w:t>574,735</w:t>
            </w:r>
          </w:p>
        </w:tc>
        <w:tc>
          <w:tcPr>
            <w:tcW w:w="1116" w:type="dxa"/>
          </w:tcPr>
          <w:p w:rsidR="00A86F6B" w:rsidRPr="001116F4" w:rsidRDefault="0098186F">
            <w:pPr>
              <w:pStyle w:val="TableParagraph"/>
              <w:spacing w:before="12"/>
              <w:ind w:right="104"/>
              <w:jc w:val="right"/>
              <w:cnfStyle w:val="000000100000"/>
              <w:rPr>
                <w:sz w:val="18"/>
              </w:rPr>
            </w:pPr>
            <w:r w:rsidRPr="001116F4">
              <w:rPr>
                <w:color w:val="0A080C"/>
                <w:sz w:val="18"/>
              </w:rPr>
              <w:t>584,629</w:t>
            </w:r>
          </w:p>
        </w:tc>
        <w:tc>
          <w:tcPr>
            <w:tcW w:w="1117" w:type="dxa"/>
          </w:tcPr>
          <w:p w:rsidR="00A86F6B" w:rsidRPr="001116F4" w:rsidRDefault="0098186F">
            <w:pPr>
              <w:pStyle w:val="TableParagraph"/>
              <w:spacing w:before="12"/>
              <w:ind w:right="104"/>
              <w:jc w:val="right"/>
              <w:cnfStyle w:val="000000100000"/>
              <w:rPr>
                <w:sz w:val="18"/>
              </w:rPr>
            </w:pPr>
            <w:r w:rsidRPr="001116F4">
              <w:rPr>
                <w:color w:val="0A080C"/>
                <w:sz w:val="18"/>
              </w:rPr>
              <w:t>460,692</w:t>
            </w:r>
          </w:p>
        </w:tc>
        <w:tc>
          <w:tcPr>
            <w:tcW w:w="1116" w:type="dxa"/>
          </w:tcPr>
          <w:p w:rsidR="00A86F6B" w:rsidRPr="001116F4" w:rsidRDefault="0098186F">
            <w:pPr>
              <w:pStyle w:val="TableParagraph"/>
              <w:spacing w:before="12"/>
              <w:ind w:left="158" w:right="12"/>
              <w:jc w:val="center"/>
              <w:cnfStyle w:val="000000100000"/>
              <w:rPr>
                <w:sz w:val="18"/>
              </w:rPr>
            </w:pPr>
            <w:r w:rsidRPr="001116F4">
              <w:rPr>
                <w:color w:val="0A080C"/>
                <w:w w:val="105"/>
                <w:sz w:val="18"/>
              </w:rPr>
              <w:t>406,238</w:t>
            </w:r>
          </w:p>
        </w:tc>
        <w:tc>
          <w:tcPr>
            <w:tcW w:w="1117" w:type="dxa"/>
          </w:tcPr>
          <w:p w:rsidR="00A86F6B" w:rsidRPr="001116F4" w:rsidRDefault="0098186F">
            <w:pPr>
              <w:pStyle w:val="TableParagraph"/>
              <w:spacing w:before="16"/>
              <w:ind w:right="85"/>
              <w:jc w:val="right"/>
              <w:cnfStyle w:val="000000100000"/>
              <w:rPr>
                <w:sz w:val="18"/>
              </w:rPr>
            </w:pPr>
            <w:r w:rsidRPr="001116F4">
              <w:rPr>
                <w:color w:val="0A080C"/>
                <w:w w:val="105"/>
                <w:sz w:val="18"/>
              </w:rPr>
              <w:t>451,061</w:t>
            </w:r>
          </w:p>
        </w:tc>
      </w:tr>
      <w:tr w:rsidR="00A86F6B" w:rsidTr="001116F4">
        <w:trPr>
          <w:trHeight w:val="456"/>
        </w:trPr>
        <w:tc>
          <w:tcPr>
            <w:cnfStyle w:val="001000000000"/>
            <w:tcW w:w="1384" w:type="dxa"/>
          </w:tcPr>
          <w:p w:rsidR="00A86F6B" w:rsidRDefault="0098186F">
            <w:pPr>
              <w:pStyle w:val="TableParagraph"/>
              <w:spacing w:before="15"/>
              <w:ind w:left="94"/>
              <w:rPr>
                <w:rFonts w:ascii="Arial"/>
                <w:b w:val="0"/>
                <w:sz w:val="18"/>
              </w:rPr>
            </w:pPr>
            <w:r>
              <w:rPr>
                <w:rFonts w:ascii="Arial"/>
                <w:color w:val="0A080C"/>
                <w:w w:val="90"/>
                <w:sz w:val="18"/>
              </w:rPr>
              <w:t>Gas Supply</w:t>
            </w:r>
          </w:p>
        </w:tc>
        <w:tc>
          <w:tcPr>
            <w:tcW w:w="1116" w:type="dxa"/>
          </w:tcPr>
          <w:p w:rsidR="00A86F6B" w:rsidRPr="001116F4" w:rsidRDefault="0098186F">
            <w:pPr>
              <w:pStyle w:val="TableParagraph"/>
              <w:spacing w:before="12"/>
              <w:ind w:right="101"/>
              <w:jc w:val="right"/>
              <w:cnfStyle w:val="000000000000"/>
              <w:rPr>
                <w:sz w:val="18"/>
              </w:rPr>
            </w:pPr>
            <w:r w:rsidRPr="001116F4">
              <w:rPr>
                <w:color w:val="0A080C"/>
                <w:sz w:val="18"/>
              </w:rPr>
              <w:t>340,092</w:t>
            </w:r>
          </w:p>
        </w:tc>
        <w:tc>
          <w:tcPr>
            <w:tcW w:w="1117" w:type="dxa"/>
          </w:tcPr>
          <w:p w:rsidR="00A86F6B" w:rsidRPr="001116F4" w:rsidRDefault="0098186F">
            <w:pPr>
              <w:pStyle w:val="TableParagraph"/>
              <w:spacing w:before="12"/>
              <w:ind w:right="109"/>
              <w:jc w:val="right"/>
              <w:cnfStyle w:val="000000000000"/>
              <w:rPr>
                <w:sz w:val="18"/>
              </w:rPr>
            </w:pPr>
            <w:r w:rsidRPr="001116F4">
              <w:rPr>
                <w:color w:val="0A080C"/>
                <w:sz w:val="18"/>
              </w:rPr>
              <w:t>441,472</w:t>
            </w:r>
          </w:p>
        </w:tc>
        <w:tc>
          <w:tcPr>
            <w:tcW w:w="1116" w:type="dxa"/>
          </w:tcPr>
          <w:p w:rsidR="00A86F6B" w:rsidRPr="001116F4" w:rsidRDefault="0098186F">
            <w:pPr>
              <w:pStyle w:val="TableParagraph"/>
              <w:spacing w:before="12"/>
              <w:ind w:right="97"/>
              <w:jc w:val="right"/>
              <w:cnfStyle w:val="000000000000"/>
              <w:rPr>
                <w:sz w:val="18"/>
              </w:rPr>
            </w:pPr>
            <w:r w:rsidRPr="001116F4">
              <w:rPr>
                <w:color w:val="0A080C"/>
                <w:sz w:val="18"/>
              </w:rPr>
              <w:t>472,568</w:t>
            </w:r>
          </w:p>
        </w:tc>
        <w:tc>
          <w:tcPr>
            <w:tcW w:w="1117" w:type="dxa"/>
          </w:tcPr>
          <w:p w:rsidR="00A86F6B" w:rsidRPr="001116F4" w:rsidRDefault="0098186F">
            <w:pPr>
              <w:pStyle w:val="TableParagraph"/>
              <w:spacing w:before="12"/>
              <w:ind w:right="103"/>
              <w:jc w:val="right"/>
              <w:cnfStyle w:val="000000000000"/>
              <w:rPr>
                <w:sz w:val="18"/>
              </w:rPr>
            </w:pPr>
            <w:r w:rsidRPr="001116F4">
              <w:rPr>
                <w:color w:val="0A080C"/>
                <w:sz w:val="18"/>
              </w:rPr>
              <w:t>356,115</w:t>
            </w:r>
          </w:p>
        </w:tc>
        <w:tc>
          <w:tcPr>
            <w:tcW w:w="1116" w:type="dxa"/>
          </w:tcPr>
          <w:p w:rsidR="00A86F6B" w:rsidRPr="001116F4" w:rsidRDefault="0098186F">
            <w:pPr>
              <w:pStyle w:val="TableParagraph"/>
              <w:spacing w:before="12"/>
              <w:ind w:left="158" w:right="1"/>
              <w:jc w:val="center"/>
              <w:cnfStyle w:val="000000000000"/>
              <w:rPr>
                <w:sz w:val="18"/>
              </w:rPr>
            </w:pPr>
            <w:r w:rsidRPr="001116F4">
              <w:rPr>
                <w:color w:val="0A080C"/>
                <w:sz w:val="18"/>
              </w:rPr>
              <w:t>292,465</w:t>
            </w:r>
          </w:p>
        </w:tc>
        <w:tc>
          <w:tcPr>
            <w:tcW w:w="1117" w:type="dxa"/>
          </w:tcPr>
          <w:p w:rsidR="00A86F6B" w:rsidRPr="001116F4" w:rsidRDefault="0098186F">
            <w:pPr>
              <w:pStyle w:val="TableParagraph"/>
              <w:spacing w:before="12"/>
              <w:ind w:right="104"/>
              <w:jc w:val="right"/>
              <w:cnfStyle w:val="000000000000"/>
              <w:rPr>
                <w:sz w:val="18"/>
              </w:rPr>
            </w:pPr>
            <w:r w:rsidRPr="001116F4">
              <w:rPr>
                <w:color w:val="0A080C"/>
                <w:sz w:val="18"/>
              </w:rPr>
              <w:t>305,837</w:t>
            </w:r>
          </w:p>
        </w:tc>
      </w:tr>
      <w:tr w:rsidR="00A86F6B" w:rsidTr="001116F4">
        <w:trPr>
          <w:cnfStyle w:val="000000100000"/>
          <w:trHeight w:val="456"/>
        </w:trPr>
        <w:tc>
          <w:tcPr>
            <w:cnfStyle w:val="001000000000"/>
            <w:tcW w:w="1384" w:type="dxa"/>
          </w:tcPr>
          <w:p w:rsidR="00A86F6B" w:rsidRDefault="0098186F">
            <w:pPr>
              <w:pStyle w:val="TableParagraph"/>
              <w:spacing w:before="23"/>
              <w:ind w:left="89"/>
              <w:rPr>
                <w:rFonts w:ascii="Arial"/>
                <w:b w:val="0"/>
                <w:sz w:val="18"/>
              </w:rPr>
            </w:pPr>
            <w:r>
              <w:rPr>
                <w:rFonts w:ascii="Arial"/>
                <w:color w:val="0A080C"/>
                <w:sz w:val="18"/>
              </w:rPr>
              <w:t>Total</w:t>
            </w:r>
          </w:p>
        </w:tc>
        <w:tc>
          <w:tcPr>
            <w:tcW w:w="1116" w:type="dxa"/>
          </w:tcPr>
          <w:p w:rsidR="00A86F6B" w:rsidRPr="001116F4" w:rsidRDefault="0098186F">
            <w:pPr>
              <w:pStyle w:val="TableParagraph"/>
              <w:spacing w:before="14"/>
              <w:ind w:right="102"/>
              <w:jc w:val="right"/>
              <w:cnfStyle w:val="000000100000"/>
              <w:rPr>
                <w:sz w:val="18"/>
              </w:rPr>
            </w:pPr>
            <w:r w:rsidRPr="001116F4">
              <w:rPr>
                <w:color w:val="0A080C"/>
                <w:sz w:val="18"/>
              </w:rPr>
              <w:t>2,248,309</w:t>
            </w:r>
          </w:p>
        </w:tc>
        <w:tc>
          <w:tcPr>
            <w:tcW w:w="1117" w:type="dxa"/>
          </w:tcPr>
          <w:p w:rsidR="00A86F6B" w:rsidRPr="001116F4" w:rsidRDefault="0098186F">
            <w:pPr>
              <w:pStyle w:val="TableParagraph"/>
              <w:spacing w:before="14"/>
              <w:ind w:right="94"/>
              <w:jc w:val="right"/>
              <w:cnfStyle w:val="000000100000"/>
              <w:rPr>
                <w:sz w:val="18"/>
              </w:rPr>
            </w:pPr>
            <w:r w:rsidRPr="001116F4">
              <w:rPr>
                <w:color w:val="0A080C"/>
                <w:sz w:val="18"/>
              </w:rPr>
              <w:t>2,546,481</w:t>
            </w:r>
          </w:p>
        </w:tc>
        <w:tc>
          <w:tcPr>
            <w:tcW w:w="1116" w:type="dxa"/>
          </w:tcPr>
          <w:p w:rsidR="00A86F6B" w:rsidRPr="001116F4" w:rsidRDefault="0098186F">
            <w:pPr>
              <w:pStyle w:val="TableParagraph"/>
              <w:spacing w:before="14"/>
              <w:ind w:right="102"/>
              <w:jc w:val="right"/>
              <w:cnfStyle w:val="000000100000"/>
              <w:rPr>
                <w:sz w:val="18"/>
              </w:rPr>
            </w:pPr>
            <w:r w:rsidRPr="001116F4">
              <w:rPr>
                <w:color w:val="0A080C"/>
                <w:sz w:val="18"/>
              </w:rPr>
              <w:t>2,797,213</w:t>
            </w:r>
          </w:p>
        </w:tc>
        <w:tc>
          <w:tcPr>
            <w:tcW w:w="1117" w:type="dxa"/>
          </w:tcPr>
          <w:p w:rsidR="00A86F6B" w:rsidRPr="001116F4" w:rsidRDefault="0098186F">
            <w:pPr>
              <w:pStyle w:val="TableParagraph"/>
              <w:spacing w:before="14"/>
              <w:ind w:left="110"/>
              <w:cnfStyle w:val="000000100000"/>
              <w:rPr>
                <w:sz w:val="18"/>
              </w:rPr>
            </w:pPr>
            <w:r w:rsidRPr="001116F4">
              <w:rPr>
                <w:color w:val="0A080C"/>
                <w:sz w:val="18"/>
              </w:rPr>
              <w:t>2,540,173</w:t>
            </w:r>
          </w:p>
        </w:tc>
        <w:tc>
          <w:tcPr>
            <w:tcW w:w="1116" w:type="dxa"/>
          </w:tcPr>
          <w:p w:rsidR="00A86F6B" w:rsidRPr="001116F4" w:rsidRDefault="0098186F">
            <w:pPr>
              <w:pStyle w:val="TableParagraph"/>
              <w:spacing w:before="14"/>
              <w:ind w:left="76" w:right="77"/>
              <w:jc w:val="center"/>
              <w:cnfStyle w:val="000000100000"/>
              <w:rPr>
                <w:sz w:val="18"/>
              </w:rPr>
            </w:pPr>
            <w:r w:rsidRPr="001116F4">
              <w:rPr>
                <w:color w:val="0A080C"/>
                <w:sz w:val="18"/>
              </w:rPr>
              <w:t>2,336,647</w:t>
            </w:r>
          </w:p>
        </w:tc>
        <w:tc>
          <w:tcPr>
            <w:tcW w:w="1117" w:type="dxa"/>
          </w:tcPr>
          <w:p w:rsidR="00A86F6B" w:rsidRPr="001116F4" w:rsidRDefault="0098186F">
            <w:pPr>
              <w:pStyle w:val="TableParagraph"/>
              <w:spacing w:before="19"/>
              <w:ind w:right="109"/>
              <w:jc w:val="right"/>
              <w:cnfStyle w:val="000000100000"/>
              <w:rPr>
                <w:sz w:val="18"/>
              </w:rPr>
            </w:pPr>
            <w:r w:rsidRPr="001116F4">
              <w:rPr>
                <w:color w:val="1F1F23"/>
                <w:sz w:val="18"/>
              </w:rPr>
              <w:t>2,258,652</w:t>
            </w:r>
          </w:p>
        </w:tc>
      </w:tr>
    </w:tbl>
    <w:p w:rsidR="00A86F6B" w:rsidRDefault="00A86F6B">
      <w:pPr>
        <w:pStyle w:val="BodyText"/>
        <w:spacing w:before="10"/>
        <w:rPr>
          <w:b/>
          <w:sz w:val="24"/>
        </w:rPr>
      </w:pPr>
    </w:p>
    <w:p w:rsidR="00A86F6B" w:rsidRDefault="0098186F">
      <w:pPr>
        <w:pStyle w:val="Heading2"/>
        <w:numPr>
          <w:ilvl w:val="0"/>
          <w:numId w:val="2"/>
        </w:numPr>
        <w:tabs>
          <w:tab w:val="left" w:pos="573"/>
        </w:tabs>
        <w:spacing w:line="244" w:lineRule="auto"/>
        <w:ind w:right="866" w:hanging="361"/>
        <w:jc w:val="left"/>
        <w:rPr>
          <w:color w:val="0A080C"/>
        </w:rPr>
      </w:pPr>
      <w:r>
        <w:rPr>
          <w:color w:val="0A080C"/>
        </w:rPr>
        <w:t>The national and local costs for a financial year depend on the amount of regulatory activities undertaken by a regulator, the number of complaints received</w:t>
      </w:r>
      <w:r>
        <w:rPr>
          <w:color w:val="0A080C"/>
          <w:spacing w:val="-35"/>
        </w:rPr>
        <w:t xml:space="preserve"> </w:t>
      </w:r>
      <w:r>
        <w:rPr>
          <w:color w:val="0A080C"/>
        </w:rPr>
        <w:t>and/or</w:t>
      </w:r>
      <w:r>
        <w:rPr>
          <w:color w:val="0A080C"/>
          <w:spacing w:val="-40"/>
        </w:rPr>
        <w:t xml:space="preserve"> </w:t>
      </w:r>
      <w:r>
        <w:rPr>
          <w:color w:val="0A080C"/>
        </w:rPr>
        <w:t>how</w:t>
      </w:r>
      <w:r>
        <w:rPr>
          <w:color w:val="0A080C"/>
          <w:spacing w:val="-42"/>
        </w:rPr>
        <w:t xml:space="preserve"> </w:t>
      </w:r>
      <w:r>
        <w:rPr>
          <w:color w:val="0A080C"/>
        </w:rPr>
        <w:t>a</w:t>
      </w:r>
      <w:r>
        <w:rPr>
          <w:color w:val="0A080C"/>
          <w:spacing w:val="-41"/>
        </w:rPr>
        <w:t xml:space="preserve"> </w:t>
      </w:r>
      <w:r>
        <w:rPr>
          <w:color w:val="0A080C"/>
        </w:rPr>
        <w:t>regulator</w:t>
      </w:r>
      <w:r>
        <w:rPr>
          <w:color w:val="0A080C"/>
          <w:spacing w:val="-38"/>
        </w:rPr>
        <w:t xml:space="preserve"> </w:t>
      </w:r>
      <w:r>
        <w:rPr>
          <w:color w:val="0A080C"/>
        </w:rPr>
        <w:t>or</w:t>
      </w:r>
      <w:r>
        <w:rPr>
          <w:color w:val="0A080C"/>
          <w:spacing w:val="-44"/>
        </w:rPr>
        <w:t xml:space="preserve"> </w:t>
      </w:r>
      <w:r>
        <w:rPr>
          <w:color w:val="0A080C"/>
        </w:rPr>
        <w:t>arbiter</w:t>
      </w:r>
      <w:r>
        <w:rPr>
          <w:color w:val="0A080C"/>
          <w:spacing w:val="-40"/>
        </w:rPr>
        <w:t xml:space="preserve"> </w:t>
      </w:r>
      <w:r>
        <w:rPr>
          <w:color w:val="0A080C"/>
        </w:rPr>
        <w:t>classifies</w:t>
      </w:r>
      <w:r>
        <w:rPr>
          <w:color w:val="0A080C"/>
          <w:spacing w:val="-42"/>
        </w:rPr>
        <w:t xml:space="preserve"> </w:t>
      </w:r>
      <w:r>
        <w:rPr>
          <w:color w:val="0A080C"/>
        </w:rPr>
        <w:t>its</w:t>
      </w:r>
      <w:r>
        <w:rPr>
          <w:color w:val="0A080C"/>
          <w:spacing w:val="-43"/>
        </w:rPr>
        <w:t xml:space="preserve"> </w:t>
      </w:r>
      <w:r>
        <w:rPr>
          <w:color w:val="0A080C"/>
        </w:rPr>
        <w:t>regulatory</w:t>
      </w:r>
      <w:r>
        <w:rPr>
          <w:color w:val="0A080C"/>
          <w:spacing w:val="-37"/>
        </w:rPr>
        <w:t xml:space="preserve"> </w:t>
      </w:r>
      <w:r>
        <w:rPr>
          <w:color w:val="0A080C"/>
        </w:rPr>
        <w:t>costs</w:t>
      </w:r>
      <w:r>
        <w:rPr>
          <w:color w:val="0A080C"/>
          <w:spacing w:val="-42"/>
        </w:rPr>
        <w:t xml:space="preserve"> </w:t>
      </w:r>
      <w:r>
        <w:rPr>
          <w:color w:val="0A080C"/>
        </w:rPr>
        <w:t>in</w:t>
      </w:r>
      <w:r>
        <w:rPr>
          <w:color w:val="0A080C"/>
          <w:spacing w:val="-43"/>
        </w:rPr>
        <w:t xml:space="preserve"> </w:t>
      </w:r>
      <w:r>
        <w:rPr>
          <w:color w:val="0A080C"/>
        </w:rPr>
        <w:t>the year.</w:t>
      </w:r>
    </w:p>
    <w:p w:rsidR="00A86F6B" w:rsidRDefault="00A86F6B">
      <w:pPr>
        <w:pStyle w:val="BodyText"/>
        <w:spacing w:before="3"/>
        <w:rPr>
          <w:rFonts w:ascii="Times New Roman"/>
          <w:i/>
          <w:sz w:val="29"/>
        </w:rPr>
      </w:pPr>
    </w:p>
    <w:p w:rsidR="00A86F6B" w:rsidRDefault="0098186F">
      <w:pPr>
        <w:pStyle w:val="BodyText"/>
        <w:ind w:left="207"/>
      </w:pPr>
      <w:r>
        <w:rPr>
          <w:color w:val="0A080C"/>
          <w:w w:val="105"/>
        </w:rPr>
        <w:t>This statement in the paper is commented on above in item 3.</w:t>
      </w:r>
    </w:p>
    <w:p w:rsidR="00A86F6B" w:rsidRDefault="00A86F6B">
      <w:pPr>
        <w:pStyle w:val="BodyText"/>
        <w:rPr>
          <w:sz w:val="27"/>
        </w:rPr>
      </w:pPr>
    </w:p>
    <w:p w:rsidR="00A86F6B" w:rsidRPr="001116F4" w:rsidRDefault="0098186F">
      <w:pPr>
        <w:pStyle w:val="Heading2"/>
        <w:numPr>
          <w:ilvl w:val="0"/>
          <w:numId w:val="2"/>
        </w:numPr>
        <w:tabs>
          <w:tab w:val="left" w:pos="583"/>
          <w:tab w:val="left" w:pos="584"/>
        </w:tabs>
        <w:spacing w:line="244" w:lineRule="auto"/>
        <w:ind w:left="565" w:right="525" w:hanging="364"/>
        <w:jc w:val="left"/>
        <w:rPr>
          <w:color w:val="0A080C"/>
        </w:rPr>
      </w:pPr>
      <w:r>
        <w:rPr>
          <w:color w:val="0A080C"/>
        </w:rPr>
        <w:t>Does</w:t>
      </w:r>
      <w:r>
        <w:rPr>
          <w:color w:val="0A080C"/>
          <w:spacing w:val="-38"/>
        </w:rPr>
        <w:t xml:space="preserve"> </w:t>
      </w:r>
      <w:r>
        <w:rPr>
          <w:color w:val="0A080C"/>
        </w:rPr>
        <w:t>the</w:t>
      </w:r>
      <w:r>
        <w:rPr>
          <w:color w:val="0A080C"/>
          <w:spacing w:val="-30"/>
        </w:rPr>
        <w:t xml:space="preserve"> </w:t>
      </w:r>
      <w:r>
        <w:rPr>
          <w:color w:val="0A080C"/>
        </w:rPr>
        <w:t>volatility</w:t>
      </w:r>
      <w:r>
        <w:rPr>
          <w:color w:val="0A080C"/>
          <w:spacing w:val="-28"/>
        </w:rPr>
        <w:t xml:space="preserve"> </w:t>
      </w:r>
      <w:r>
        <w:rPr>
          <w:color w:val="0A080C"/>
        </w:rPr>
        <w:t>of</w:t>
      </w:r>
      <w:r>
        <w:rPr>
          <w:color w:val="0A080C"/>
          <w:spacing w:val="-31"/>
        </w:rPr>
        <w:t xml:space="preserve"> </w:t>
      </w:r>
      <w:r>
        <w:rPr>
          <w:color w:val="0A080C"/>
        </w:rPr>
        <w:t>the</w:t>
      </w:r>
      <w:r>
        <w:rPr>
          <w:color w:val="0A080C"/>
          <w:spacing w:val="-34"/>
        </w:rPr>
        <w:t xml:space="preserve"> </w:t>
      </w:r>
      <w:r>
        <w:rPr>
          <w:color w:val="0A080C"/>
        </w:rPr>
        <w:t>total</w:t>
      </w:r>
      <w:r>
        <w:rPr>
          <w:color w:val="0A080C"/>
          <w:spacing w:val="-31"/>
        </w:rPr>
        <w:t xml:space="preserve"> </w:t>
      </w:r>
      <w:r>
        <w:rPr>
          <w:color w:val="0A080C"/>
        </w:rPr>
        <w:t>regulatory</w:t>
      </w:r>
      <w:r>
        <w:rPr>
          <w:color w:val="0A080C"/>
          <w:spacing w:val="-30"/>
        </w:rPr>
        <w:t xml:space="preserve"> </w:t>
      </w:r>
      <w:r>
        <w:rPr>
          <w:color w:val="0A080C"/>
        </w:rPr>
        <w:t>costs</w:t>
      </w:r>
      <w:r>
        <w:rPr>
          <w:color w:val="0A080C"/>
          <w:spacing w:val="-35"/>
        </w:rPr>
        <w:t xml:space="preserve"> </w:t>
      </w:r>
      <w:r>
        <w:rPr>
          <w:color w:val="0A080C"/>
        </w:rPr>
        <w:t>(or</w:t>
      </w:r>
      <w:r>
        <w:rPr>
          <w:color w:val="0A080C"/>
          <w:spacing w:val="-38"/>
        </w:rPr>
        <w:t xml:space="preserve"> </w:t>
      </w:r>
      <w:r>
        <w:rPr>
          <w:color w:val="0A080C"/>
        </w:rPr>
        <w:t>the</w:t>
      </w:r>
      <w:r>
        <w:rPr>
          <w:color w:val="0A080C"/>
          <w:spacing w:val="-34"/>
        </w:rPr>
        <w:t xml:space="preserve"> </w:t>
      </w:r>
      <w:r>
        <w:rPr>
          <w:color w:val="0A080C"/>
        </w:rPr>
        <w:t>components</w:t>
      </w:r>
      <w:r>
        <w:rPr>
          <w:color w:val="0A080C"/>
          <w:spacing w:val="-25"/>
        </w:rPr>
        <w:t xml:space="preserve"> </w:t>
      </w:r>
      <w:r>
        <w:rPr>
          <w:color w:val="0A080C"/>
        </w:rPr>
        <w:t>thereof)</w:t>
      </w:r>
      <w:r>
        <w:rPr>
          <w:color w:val="0A080C"/>
          <w:spacing w:val="-31"/>
        </w:rPr>
        <w:t xml:space="preserve"> </w:t>
      </w:r>
      <w:r>
        <w:rPr>
          <w:color w:val="0A080C"/>
        </w:rPr>
        <w:t xml:space="preserve">make </w:t>
      </w:r>
      <w:r w:rsidRPr="001116F4">
        <w:rPr>
          <w:color w:val="0A080C"/>
        </w:rPr>
        <w:t>the predictability of your annual levy difficult?</w:t>
      </w:r>
    </w:p>
    <w:p w:rsidR="00A86F6B" w:rsidRDefault="00A86F6B">
      <w:pPr>
        <w:pStyle w:val="BodyText"/>
        <w:spacing w:before="10"/>
        <w:rPr>
          <w:rFonts w:ascii="Times New Roman"/>
          <w:i/>
          <w:sz w:val="28"/>
        </w:rPr>
      </w:pPr>
    </w:p>
    <w:p w:rsidR="00A86F6B" w:rsidRDefault="00FC250F">
      <w:pPr>
        <w:pStyle w:val="BodyText"/>
        <w:ind w:left="212"/>
      </w:pPr>
      <w:proofErr w:type="spellStart"/>
      <w:r>
        <w:rPr>
          <w:color w:val="0A080C"/>
        </w:rPr>
        <w:t>ActewAGL</w:t>
      </w:r>
      <w:proofErr w:type="spellEnd"/>
      <w:r>
        <w:rPr>
          <w:color w:val="0A080C"/>
        </w:rPr>
        <w:t xml:space="preserve"> Distribution is concerned </w:t>
      </w:r>
      <w:r w:rsidR="0098186F">
        <w:rPr>
          <w:color w:val="0A080C"/>
        </w:rPr>
        <w:t>with:</w:t>
      </w:r>
    </w:p>
    <w:p w:rsidR="00A86F6B" w:rsidRDefault="00A86F6B">
      <w:pPr>
        <w:pStyle w:val="BodyText"/>
        <w:rPr>
          <w:sz w:val="31"/>
        </w:rPr>
      </w:pPr>
    </w:p>
    <w:p w:rsidR="00A86F6B" w:rsidRDefault="0098186F">
      <w:pPr>
        <w:pStyle w:val="ListParagraph"/>
        <w:numPr>
          <w:ilvl w:val="0"/>
          <w:numId w:val="1"/>
        </w:numPr>
        <w:tabs>
          <w:tab w:val="left" w:pos="556"/>
          <w:tab w:val="left" w:pos="557"/>
        </w:tabs>
        <w:spacing w:before="1" w:line="290" w:lineRule="auto"/>
        <w:ind w:right="1035" w:hanging="359"/>
        <w:rPr>
          <w:rFonts w:ascii="Arial"/>
          <w:sz w:val="21"/>
        </w:rPr>
      </w:pPr>
      <w:r>
        <w:rPr>
          <w:rFonts w:ascii="Arial"/>
          <w:color w:val="0A080C"/>
          <w:sz w:val="21"/>
        </w:rPr>
        <w:t xml:space="preserve">The way the levy is charged - a forecast and actual with </w:t>
      </w:r>
      <w:r w:rsidR="00FC250F">
        <w:rPr>
          <w:rFonts w:ascii="Arial"/>
          <w:color w:val="0A080C"/>
          <w:sz w:val="21"/>
        </w:rPr>
        <w:t xml:space="preserve">last year's payment subtracted (this creates volatility when the forecast </w:t>
      </w:r>
      <w:r>
        <w:rPr>
          <w:rFonts w:ascii="Arial"/>
          <w:color w:val="0A080C"/>
          <w:sz w:val="21"/>
        </w:rPr>
        <w:t>is significantly</w:t>
      </w:r>
      <w:r>
        <w:rPr>
          <w:rFonts w:ascii="Arial"/>
          <w:color w:val="0A080C"/>
          <w:spacing w:val="42"/>
          <w:sz w:val="21"/>
        </w:rPr>
        <w:t xml:space="preserve"> </w:t>
      </w:r>
      <w:r>
        <w:rPr>
          <w:rFonts w:ascii="Arial"/>
          <w:color w:val="0A080C"/>
          <w:sz w:val="21"/>
        </w:rPr>
        <w:t>wrong).</w:t>
      </w:r>
    </w:p>
    <w:p w:rsidR="00A86F6B" w:rsidRDefault="0098186F">
      <w:pPr>
        <w:pStyle w:val="ListParagraph"/>
        <w:numPr>
          <w:ilvl w:val="0"/>
          <w:numId w:val="1"/>
        </w:numPr>
        <w:tabs>
          <w:tab w:val="left" w:pos="556"/>
          <w:tab w:val="left" w:pos="557"/>
        </w:tabs>
        <w:spacing w:before="16"/>
        <w:ind w:left="556" w:hanging="355"/>
        <w:rPr>
          <w:rFonts w:ascii="Arial"/>
          <w:sz w:val="21"/>
        </w:rPr>
      </w:pPr>
      <w:r>
        <w:rPr>
          <w:rFonts w:ascii="Arial"/>
          <w:color w:val="0A080C"/>
          <w:sz w:val="21"/>
        </w:rPr>
        <w:t>The lack of transparency in the costs included and how they are allocated.</w:t>
      </w:r>
    </w:p>
    <w:p w:rsidR="00A86F6B" w:rsidRDefault="00A86F6B">
      <w:pPr>
        <w:pStyle w:val="BodyText"/>
        <w:spacing w:before="2"/>
        <w:rPr>
          <w:sz w:val="30"/>
        </w:rPr>
      </w:pPr>
    </w:p>
    <w:p w:rsidR="00A86F6B" w:rsidRDefault="0098186F">
      <w:pPr>
        <w:pStyle w:val="BodyText"/>
        <w:spacing w:before="1" w:line="290" w:lineRule="auto"/>
        <w:ind w:left="197" w:right="610" w:firstLine="9"/>
      </w:pPr>
      <w:proofErr w:type="spellStart"/>
      <w:r>
        <w:rPr>
          <w:color w:val="0A080C"/>
          <w:w w:val="105"/>
        </w:rPr>
        <w:t>ActewAGL</w:t>
      </w:r>
      <w:proofErr w:type="spellEnd"/>
      <w:r>
        <w:rPr>
          <w:color w:val="0A080C"/>
          <w:w w:val="105"/>
        </w:rPr>
        <w:t xml:space="preserve"> Distribution has improved cost recovery and limited exposure to unexpected cost movements through the jurisdictional scheme mechanism (for electricity networks) and the automatic adjustment factor (for gas networks </w:t>
      </w:r>
      <w:r>
        <w:rPr>
          <w:color w:val="1F1F23"/>
          <w:w w:val="105"/>
        </w:rPr>
        <w:t xml:space="preserve">- </w:t>
      </w:r>
      <w:r>
        <w:rPr>
          <w:color w:val="0A080C"/>
          <w:w w:val="105"/>
        </w:rPr>
        <w:t>although the latter years of the regulatory period are uncertain). Additionally, the paper states that the variable component generally has no effect upon the distribution operators but analysis of the financial figures contradicts that claim.</w:t>
      </w:r>
    </w:p>
    <w:p w:rsidR="00A86F6B" w:rsidRDefault="00A86F6B">
      <w:pPr>
        <w:pStyle w:val="BodyText"/>
        <w:spacing w:before="11"/>
        <w:rPr>
          <w:sz w:val="25"/>
        </w:rPr>
      </w:pPr>
    </w:p>
    <w:p w:rsidR="00A86F6B" w:rsidRDefault="0098186F">
      <w:pPr>
        <w:pStyle w:val="BodyText"/>
        <w:spacing w:line="295" w:lineRule="auto"/>
        <w:ind w:left="200" w:right="628" w:hanging="3"/>
      </w:pPr>
      <w:r>
        <w:rPr>
          <w:color w:val="0A080C"/>
          <w:w w:val="105"/>
        </w:rPr>
        <w:t xml:space="preserve">Table 2 displays the volatility in the yearly charge for the distribution network </w:t>
      </w:r>
      <w:r w:rsidR="00FC250F">
        <w:rPr>
          <w:color w:val="0A080C"/>
        </w:rPr>
        <w:t>operator/</w:t>
      </w:r>
      <w:r>
        <w:rPr>
          <w:color w:val="0A080C"/>
        </w:rPr>
        <w:t>s</w:t>
      </w:r>
      <w:r>
        <w:rPr>
          <w:color w:val="312F34"/>
        </w:rPr>
        <w:t>.</w:t>
      </w:r>
    </w:p>
    <w:p w:rsidR="00A86F6B" w:rsidRDefault="00A86F6B">
      <w:pPr>
        <w:pStyle w:val="BodyText"/>
        <w:rPr>
          <w:sz w:val="22"/>
        </w:rPr>
      </w:pPr>
    </w:p>
    <w:p w:rsidR="00A86F6B" w:rsidRDefault="00A86F6B">
      <w:pPr>
        <w:pStyle w:val="BodyText"/>
        <w:rPr>
          <w:sz w:val="22"/>
        </w:rPr>
      </w:pPr>
    </w:p>
    <w:p w:rsidR="00A86F6B" w:rsidRDefault="00A86F6B">
      <w:pPr>
        <w:rPr>
          <w:sz w:val="10"/>
        </w:rPr>
        <w:sectPr w:rsidR="00A86F6B" w:rsidSect="00430D1E">
          <w:pgSz w:w="11900" w:h="16840"/>
          <w:pgMar w:top="1440" w:right="1440" w:bottom="1440" w:left="1440" w:header="720" w:footer="720" w:gutter="0"/>
          <w:cols w:space="720"/>
          <w:docGrid w:linePitch="299"/>
        </w:sectPr>
      </w:pPr>
    </w:p>
    <w:p w:rsidR="00A86F6B" w:rsidRDefault="0098186F" w:rsidP="00430D1E">
      <w:pPr>
        <w:pStyle w:val="BodyText"/>
        <w:spacing w:before="76"/>
      </w:pPr>
      <w:r>
        <w:rPr>
          <w:color w:val="030305"/>
          <w:w w:val="105"/>
        </w:rPr>
        <w:t xml:space="preserve">Table 2 </w:t>
      </w:r>
      <w:r>
        <w:rPr>
          <w:color w:val="18161A"/>
          <w:w w:val="105"/>
        </w:rPr>
        <w:t xml:space="preserve">- </w:t>
      </w:r>
      <w:proofErr w:type="spellStart"/>
      <w:r>
        <w:rPr>
          <w:color w:val="030305"/>
          <w:w w:val="105"/>
        </w:rPr>
        <w:t>ActewAGL</w:t>
      </w:r>
      <w:proofErr w:type="spellEnd"/>
      <w:r>
        <w:rPr>
          <w:color w:val="030305"/>
          <w:w w:val="105"/>
        </w:rPr>
        <w:t xml:space="preserve"> Distribution table showing volatility of levy</w:t>
      </w:r>
    </w:p>
    <w:p w:rsidR="00A86F6B" w:rsidRDefault="00A86F6B">
      <w:pPr>
        <w:pStyle w:val="BodyText"/>
        <w:spacing w:before="3"/>
        <w:rPr>
          <w:sz w:val="27"/>
        </w:rPr>
      </w:pPr>
    </w:p>
    <w:tbl>
      <w:tblPr>
        <w:tblW w:w="0" w:type="auto"/>
        <w:tblInd w:w="10" w:type="dxa"/>
        <w:tblBorders>
          <w:top w:val="nil"/>
          <w:left w:val="nil"/>
          <w:bottom w:val="nil"/>
          <w:right w:val="nil"/>
          <w:insideH w:val="nil"/>
          <w:insideV w:val="nil"/>
        </w:tblBorders>
        <w:tblLayout w:type="fixed"/>
        <w:tblCellMar>
          <w:left w:w="0" w:type="dxa"/>
          <w:right w:w="0" w:type="dxa"/>
        </w:tblCellMar>
        <w:tblLook w:val="01E0"/>
      </w:tblPr>
      <w:tblGrid>
        <w:gridCol w:w="1176"/>
        <w:gridCol w:w="2385"/>
        <w:gridCol w:w="2367"/>
        <w:gridCol w:w="1067"/>
      </w:tblGrid>
      <w:tr w:rsidR="00A86F6B" w:rsidTr="009E7334">
        <w:trPr>
          <w:trHeight w:hRule="exact" w:val="972"/>
          <w:tblHeader/>
        </w:trPr>
        <w:tc>
          <w:tcPr>
            <w:tcW w:w="1176" w:type="dxa"/>
            <w:tcBorders>
              <w:top w:val="single" w:sz="8" w:space="0" w:color="1F282F"/>
              <w:left w:val="single" w:sz="8" w:space="0" w:color="1F1F28"/>
              <w:bottom w:val="single" w:sz="8" w:space="0" w:color="1F2834"/>
            </w:tcBorders>
            <w:shd w:val="clear" w:color="auto" w:fill="B8CCE4" w:themeFill="accent1" w:themeFillTint="66"/>
          </w:tcPr>
          <w:p w:rsidR="00A86F6B" w:rsidRDefault="00A86F6B">
            <w:pPr>
              <w:pStyle w:val="TableParagraph"/>
              <w:spacing w:before="10"/>
              <w:rPr>
                <w:rFonts w:ascii="Arial"/>
                <w:sz w:val="29"/>
              </w:rPr>
            </w:pPr>
          </w:p>
          <w:p w:rsidR="00A86F6B" w:rsidRDefault="0098186F">
            <w:pPr>
              <w:pStyle w:val="TableParagraph"/>
              <w:spacing w:before="0"/>
              <w:ind w:left="98"/>
              <w:rPr>
                <w:rFonts w:ascii="Arial"/>
                <w:b/>
              </w:rPr>
            </w:pPr>
            <w:r>
              <w:rPr>
                <w:rFonts w:ascii="Arial"/>
                <w:b/>
                <w:color w:val="154D99"/>
                <w:w w:val="95"/>
              </w:rPr>
              <w:t>Electricity</w:t>
            </w:r>
          </w:p>
        </w:tc>
        <w:tc>
          <w:tcPr>
            <w:tcW w:w="2385" w:type="dxa"/>
            <w:tcBorders>
              <w:top w:val="single" w:sz="8" w:space="0" w:color="1F282F"/>
              <w:bottom w:val="single" w:sz="8" w:space="0" w:color="1F2834"/>
            </w:tcBorders>
            <w:shd w:val="clear" w:color="auto" w:fill="B8CCE4" w:themeFill="accent1" w:themeFillTint="66"/>
          </w:tcPr>
          <w:p w:rsidR="00A86F6B" w:rsidRDefault="00A86F6B">
            <w:pPr>
              <w:pStyle w:val="TableParagraph"/>
              <w:spacing w:before="10"/>
              <w:rPr>
                <w:rFonts w:ascii="Arial"/>
                <w:sz w:val="29"/>
              </w:rPr>
            </w:pPr>
          </w:p>
          <w:p w:rsidR="00A86F6B" w:rsidRDefault="0098186F">
            <w:pPr>
              <w:pStyle w:val="TableParagraph"/>
              <w:spacing w:before="0"/>
              <w:ind w:left="112"/>
              <w:rPr>
                <w:rFonts w:ascii="Arial"/>
                <w:b/>
              </w:rPr>
            </w:pPr>
            <w:r>
              <w:rPr>
                <w:rFonts w:ascii="Arial"/>
                <w:b/>
                <w:color w:val="154D99"/>
                <w:w w:val="95"/>
              </w:rPr>
              <w:t>Total (Estimated)</w:t>
            </w:r>
          </w:p>
        </w:tc>
        <w:tc>
          <w:tcPr>
            <w:tcW w:w="2367" w:type="dxa"/>
            <w:tcBorders>
              <w:top w:val="single" w:sz="8" w:space="0" w:color="1F282F"/>
              <w:bottom w:val="single" w:sz="8" w:space="0" w:color="1F2834"/>
            </w:tcBorders>
            <w:shd w:val="clear" w:color="auto" w:fill="B8CCE4" w:themeFill="accent1" w:themeFillTint="66"/>
          </w:tcPr>
          <w:p w:rsidR="00A86F6B" w:rsidRDefault="00A86F6B">
            <w:pPr>
              <w:pStyle w:val="TableParagraph"/>
              <w:spacing w:before="8"/>
              <w:rPr>
                <w:rFonts w:ascii="Arial"/>
                <w:sz w:val="30"/>
              </w:rPr>
            </w:pPr>
          </w:p>
          <w:p w:rsidR="00A86F6B" w:rsidRDefault="0098186F">
            <w:pPr>
              <w:pStyle w:val="TableParagraph"/>
              <w:spacing w:before="0"/>
              <w:ind w:left="103"/>
              <w:rPr>
                <w:rFonts w:ascii="Arial"/>
                <w:b/>
              </w:rPr>
            </w:pPr>
            <w:r>
              <w:rPr>
                <w:rFonts w:ascii="Arial"/>
                <w:b/>
                <w:color w:val="154D99"/>
                <w:w w:val="95"/>
              </w:rPr>
              <w:t>Total (Actual)</w:t>
            </w:r>
          </w:p>
        </w:tc>
        <w:tc>
          <w:tcPr>
            <w:tcW w:w="1067" w:type="dxa"/>
            <w:tcBorders>
              <w:top w:val="single" w:sz="8" w:space="0" w:color="1F282F"/>
              <w:bottom w:val="single" w:sz="8" w:space="0" w:color="1F2834"/>
              <w:right w:val="single" w:sz="8" w:space="0" w:color="64839C"/>
            </w:tcBorders>
            <w:shd w:val="clear" w:color="auto" w:fill="B8CCE4" w:themeFill="accent1" w:themeFillTint="66"/>
          </w:tcPr>
          <w:p w:rsidR="00A86F6B" w:rsidRDefault="00A86F6B">
            <w:pPr>
              <w:pStyle w:val="TableParagraph"/>
              <w:spacing w:before="3"/>
              <w:rPr>
                <w:rFonts w:ascii="Arial"/>
                <w:sz w:val="30"/>
              </w:rPr>
            </w:pPr>
          </w:p>
          <w:p w:rsidR="00A86F6B" w:rsidRDefault="0098186F">
            <w:pPr>
              <w:pStyle w:val="TableParagraph"/>
              <w:spacing w:before="1"/>
              <w:ind w:right="99"/>
              <w:jc w:val="right"/>
              <w:rPr>
                <w:rFonts w:ascii="Arial"/>
                <w:b/>
              </w:rPr>
            </w:pPr>
            <w:r>
              <w:rPr>
                <w:rFonts w:ascii="Arial"/>
                <w:b/>
                <w:color w:val="154D99"/>
                <w:w w:val="90"/>
              </w:rPr>
              <w:t>Variance</w:t>
            </w:r>
          </w:p>
        </w:tc>
      </w:tr>
      <w:tr w:rsidR="00A86F6B" w:rsidTr="00430D1E">
        <w:trPr>
          <w:trHeight w:hRule="exact" w:val="316"/>
        </w:trPr>
        <w:tc>
          <w:tcPr>
            <w:tcW w:w="1176" w:type="dxa"/>
            <w:tcBorders>
              <w:top w:val="single" w:sz="8" w:space="0" w:color="1F2834"/>
              <w:left w:val="single" w:sz="8" w:space="0" w:color="1F1F28"/>
            </w:tcBorders>
          </w:tcPr>
          <w:p w:rsidR="00A86F6B" w:rsidRDefault="0098186F">
            <w:pPr>
              <w:pStyle w:val="TableParagraph"/>
              <w:spacing w:before="42"/>
              <w:ind w:left="97"/>
              <w:rPr>
                <w:rFonts w:ascii="Courier New"/>
                <w:b/>
              </w:rPr>
            </w:pPr>
            <w:r>
              <w:rPr>
                <w:rFonts w:ascii="Courier New"/>
                <w:b/>
                <w:color w:val="154D99"/>
                <w:w w:val="90"/>
              </w:rPr>
              <w:t>2007/08</w:t>
            </w:r>
          </w:p>
        </w:tc>
        <w:tc>
          <w:tcPr>
            <w:tcW w:w="2385" w:type="dxa"/>
            <w:tcBorders>
              <w:top w:val="single" w:sz="8" w:space="0" w:color="1F2834"/>
            </w:tcBorders>
          </w:tcPr>
          <w:p w:rsidR="00A86F6B" w:rsidRDefault="0098186F">
            <w:pPr>
              <w:pStyle w:val="TableParagraph"/>
              <w:tabs>
                <w:tab w:val="left" w:pos="2089"/>
              </w:tabs>
              <w:spacing w:before="16"/>
              <w:ind w:left="166"/>
              <w:rPr>
                <w:sz w:val="18"/>
              </w:rPr>
            </w:pPr>
            <w:r>
              <w:rPr>
                <w:color w:val="154D99"/>
                <w:position w:val="-1"/>
                <w:sz w:val="23"/>
              </w:rPr>
              <w:t>$</w:t>
            </w:r>
            <w:r>
              <w:rPr>
                <w:color w:val="154D99"/>
                <w:position w:val="-1"/>
                <w:sz w:val="23"/>
              </w:rPr>
              <w:tab/>
            </w:r>
            <w:r>
              <w:rPr>
                <w:color w:val="154D99"/>
                <w:sz w:val="18"/>
              </w:rPr>
              <w:t>-</w:t>
            </w:r>
          </w:p>
        </w:tc>
        <w:tc>
          <w:tcPr>
            <w:tcW w:w="2367" w:type="dxa"/>
            <w:tcBorders>
              <w:top w:val="single" w:sz="8" w:space="0" w:color="1F2834"/>
            </w:tcBorders>
          </w:tcPr>
          <w:p w:rsidR="00A86F6B" w:rsidRDefault="0098186F">
            <w:pPr>
              <w:pStyle w:val="TableParagraph"/>
              <w:tabs>
                <w:tab w:val="left" w:pos="1545"/>
              </w:tabs>
              <w:spacing w:before="24"/>
              <w:ind w:left="158"/>
              <w:rPr>
                <w:sz w:val="20"/>
              </w:rPr>
            </w:pPr>
            <w:r>
              <w:rPr>
                <w:color w:val="154D99"/>
                <w:w w:val="105"/>
                <w:sz w:val="23"/>
              </w:rPr>
              <w:t>$</w:t>
            </w:r>
            <w:r>
              <w:rPr>
                <w:color w:val="154D99"/>
                <w:w w:val="105"/>
                <w:sz w:val="23"/>
              </w:rPr>
              <w:tab/>
            </w:r>
            <w:r>
              <w:rPr>
                <w:color w:val="154D99"/>
                <w:w w:val="105"/>
                <w:position w:val="1"/>
                <w:sz w:val="20"/>
              </w:rPr>
              <w:t>162,978</w:t>
            </w:r>
          </w:p>
        </w:tc>
        <w:tc>
          <w:tcPr>
            <w:tcW w:w="1067" w:type="dxa"/>
            <w:tcBorders>
              <w:top w:val="single" w:sz="8" w:space="0" w:color="1F2834"/>
              <w:right w:val="single" w:sz="8" w:space="0" w:color="1F1F28"/>
            </w:tcBorders>
          </w:tcPr>
          <w:p w:rsidR="00A86F6B" w:rsidRDefault="00A86F6B"/>
        </w:tc>
      </w:tr>
      <w:tr w:rsidR="00A86F6B" w:rsidTr="00430D1E">
        <w:trPr>
          <w:trHeight w:hRule="exact" w:val="285"/>
        </w:trPr>
        <w:tc>
          <w:tcPr>
            <w:tcW w:w="1176" w:type="dxa"/>
            <w:tcBorders>
              <w:left w:val="single" w:sz="8" w:space="0" w:color="1F1F28"/>
            </w:tcBorders>
          </w:tcPr>
          <w:p w:rsidR="00A86F6B" w:rsidRDefault="0098186F">
            <w:pPr>
              <w:pStyle w:val="TableParagraph"/>
              <w:spacing w:before="22"/>
              <w:ind w:left="97"/>
              <w:rPr>
                <w:rFonts w:ascii="Courier New"/>
                <w:b/>
              </w:rPr>
            </w:pPr>
            <w:r>
              <w:rPr>
                <w:rFonts w:ascii="Courier New"/>
                <w:b/>
                <w:color w:val="154D99"/>
                <w:w w:val="90"/>
              </w:rPr>
              <w:t>2008/09</w:t>
            </w:r>
          </w:p>
        </w:tc>
        <w:tc>
          <w:tcPr>
            <w:tcW w:w="2385" w:type="dxa"/>
          </w:tcPr>
          <w:p w:rsidR="00A86F6B" w:rsidRDefault="00A86F6B"/>
        </w:tc>
        <w:tc>
          <w:tcPr>
            <w:tcW w:w="2367" w:type="dxa"/>
          </w:tcPr>
          <w:p w:rsidR="00A86F6B" w:rsidRDefault="0098186F">
            <w:pPr>
              <w:pStyle w:val="TableParagraph"/>
              <w:tabs>
                <w:tab w:val="left" w:pos="1555"/>
              </w:tabs>
              <w:spacing w:before="5"/>
              <w:ind w:left="158"/>
              <w:rPr>
                <w:sz w:val="20"/>
              </w:rPr>
            </w:pPr>
            <w:r>
              <w:rPr>
                <w:color w:val="154D99"/>
                <w:sz w:val="23"/>
              </w:rPr>
              <w:t>$</w:t>
            </w:r>
            <w:r>
              <w:rPr>
                <w:color w:val="154D99"/>
                <w:sz w:val="23"/>
              </w:rPr>
              <w:tab/>
            </w:r>
            <w:r>
              <w:rPr>
                <w:color w:val="154D99"/>
                <w:position w:val="1"/>
                <w:sz w:val="20"/>
              </w:rPr>
              <w:t>492,412</w:t>
            </w:r>
          </w:p>
        </w:tc>
        <w:tc>
          <w:tcPr>
            <w:tcW w:w="1067" w:type="dxa"/>
            <w:tcBorders>
              <w:right w:val="single" w:sz="8" w:space="0" w:color="1F1F28"/>
            </w:tcBorders>
          </w:tcPr>
          <w:p w:rsidR="00A86F6B" w:rsidRDefault="00A86F6B"/>
        </w:tc>
      </w:tr>
      <w:tr w:rsidR="00A86F6B" w:rsidTr="00430D1E">
        <w:trPr>
          <w:trHeight w:hRule="exact" w:val="290"/>
        </w:trPr>
        <w:tc>
          <w:tcPr>
            <w:tcW w:w="1176" w:type="dxa"/>
            <w:tcBorders>
              <w:left w:val="single" w:sz="8" w:space="0" w:color="1F1F28"/>
            </w:tcBorders>
          </w:tcPr>
          <w:p w:rsidR="00A86F6B" w:rsidRDefault="0098186F">
            <w:pPr>
              <w:pStyle w:val="TableParagraph"/>
              <w:ind w:left="97"/>
              <w:rPr>
                <w:rFonts w:ascii="Courier New"/>
                <w:b/>
              </w:rPr>
            </w:pPr>
            <w:r>
              <w:rPr>
                <w:rFonts w:ascii="Courier New"/>
                <w:b/>
                <w:color w:val="154D99"/>
                <w:w w:val="90"/>
              </w:rPr>
              <w:t>2009/10</w:t>
            </w:r>
          </w:p>
        </w:tc>
        <w:tc>
          <w:tcPr>
            <w:tcW w:w="2385" w:type="dxa"/>
          </w:tcPr>
          <w:p w:rsidR="00A86F6B" w:rsidRDefault="0098186F">
            <w:pPr>
              <w:pStyle w:val="TableParagraph"/>
              <w:tabs>
                <w:tab w:val="left" w:pos="1229"/>
              </w:tabs>
              <w:spacing w:before="3"/>
              <w:ind w:right="106"/>
              <w:jc w:val="right"/>
              <w:rPr>
                <w:sz w:val="20"/>
              </w:rPr>
            </w:pPr>
            <w:r>
              <w:rPr>
                <w:color w:val="154D99"/>
                <w:w w:val="105"/>
                <w:sz w:val="23"/>
              </w:rPr>
              <w:t>$</w:t>
            </w:r>
            <w:r>
              <w:rPr>
                <w:color w:val="154D99"/>
                <w:w w:val="105"/>
                <w:sz w:val="23"/>
              </w:rPr>
              <w:tab/>
            </w:r>
            <w:r>
              <w:rPr>
                <w:color w:val="154D99"/>
                <w:w w:val="105"/>
                <w:position w:val="1"/>
                <w:sz w:val="20"/>
              </w:rPr>
              <w:t>1,108,994</w:t>
            </w:r>
          </w:p>
        </w:tc>
        <w:tc>
          <w:tcPr>
            <w:tcW w:w="2367" w:type="dxa"/>
          </w:tcPr>
          <w:p w:rsidR="00A86F6B" w:rsidRDefault="0098186F">
            <w:pPr>
              <w:pStyle w:val="TableParagraph"/>
              <w:tabs>
                <w:tab w:val="left" w:pos="1397"/>
              </w:tabs>
              <w:spacing w:before="8"/>
              <w:ind w:left="158"/>
              <w:rPr>
                <w:sz w:val="20"/>
              </w:rPr>
            </w:pPr>
            <w:r>
              <w:rPr>
                <w:color w:val="154D99"/>
                <w:w w:val="105"/>
                <w:sz w:val="23"/>
              </w:rPr>
              <w:t>$</w:t>
            </w:r>
            <w:r>
              <w:rPr>
                <w:color w:val="154D99"/>
                <w:w w:val="105"/>
                <w:sz w:val="23"/>
              </w:rPr>
              <w:tab/>
            </w:r>
            <w:r>
              <w:rPr>
                <w:color w:val="154D99"/>
                <w:w w:val="105"/>
                <w:position w:val="1"/>
                <w:sz w:val="20"/>
              </w:rPr>
              <w:t>1,079,376</w:t>
            </w:r>
          </w:p>
        </w:tc>
        <w:tc>
          <w:tcPr>
            <w:tcW w:w="1067" w:type="dxa"/>
            <w:tcBorders>
              <w:right w:val="single" w:sz="8" w:space="0" w:color="1F1F28"/>
            </w:tcBorders>
          </w:tcPr>
          <w:p w:rsidR="00A86F6B" w:rsidRDefault="0098186F">
            <w:pPr>
              <w:pStyle w:val="TableParagraph"/>
              <w:spacing w:before="30"/>
              <w:ind w:right="93"/>
              <w:jc w:val="right"/>
              <w:rPr>
                <w:rFonts w:ascii="Courier New"/>
                <w:b/>
              </w:rPr>
            </w:pPr>
            <w:r>
              <w:rPr>
                <w:rFonts w:ascii="Courier New"/>
                <w:b/>
                <w:color w:val="154D99"/>
                <w:w w:val="85"/>
              </w:rPr>
              <w:t>-3%</w:t>
            </w:r>
          </w:p>
        </w:tc>
      </w:tr>
      <w:tr w:rsidR="00A86F6B" w:rsidTr="00430D1E">
        <w:trPr>
          <w:trHeight w:hRule="exact" w:val="290"/>
        </w:trPr>
        <w:tc>
          <w:tcPr>
            <w:tcW w:w="1176" w:type="dxa"/>
            <w:tcBorders>
              <w:left w:val="single" w:sz="8" w:space="0" w:color="1F1F28"/>
            </w:tcBorders>
          </w:tcPr>
          <w:p w:rsidR="00A86F6B" w:rsidRDefault="0098186F">
            <w:pPr>
              <w:pStyle w:val="TableParagraph"/>
              <w:spacing w:before="22"/>
              <w:ind w:left="97"/>
              <w:rPr>
                <w:rFonts w:ascii="Courier New"/>
                <w:b/>
              </w:rPr>
            </w:pPr>
            <w:r>
              <w:rPr>
                <w:rFonts w:ascii="Courier New"/>
                <w:b/>
                <w:color w:val="154D99"/>
                <w:w w:val="90"/>
              </w:rPr>
              <w:t>2010/11</w:t>
            </w:r>
          </w:p>
        </w:tc>
        <w:tc>
          <w:tcPr>
            <w:tcW w:w="2385" w:type="dxa"/>
          </w:tcPr>
          <w:p w:rsidR="00A86F6B" w:rsidRDefault="0098186F">
            <w:pPr>
              <w:pStyle w:val="TableParagraph"/>
              <w:tabs>
                <w:tab w:val="left" w:pos="1234"/>
              </w:tabs>
              <w:spacing w:before="0"/>
              <w:ind w:right="135"/>
              <w:jc w:val="right"/>
              <w:rPr>
                <w:sz w:val="20"/>
              </w:rPr>
            </w:pPr>
            <w:r>
              <w:rPr>
                <w:color w:val="154D99"/>
                <w:sz w:val="23"/>
              </w:rPr>
              <w:t>$</w:t>
            </w:r>
            <w:r>
              <w:rPr>
                <w:color w:val="154D99"/>
                <w:sz w:val="23"/>
              </w:rPr>
              <w:tab/>
            </w:r>
            <w:r w:rsidRPr="004A3A48">
              <w:rPr>
                <w:color w:val="154D99"/>
                <w:w w:val="105"/>
                <w:position w:val="1"/>
                <w:sz w:val="20"/>
              </w:rPr>
              <w:t>1,168,205</w:t>
            </w:r>
          </w:p>
        </w:tc>
        <w:tc>
          <w:tcPr>
            <w:tcW w:w="2367" w:type="dxa"/>
          </w:tcPr>
          <w:p w:rsidR="00A86F6B" w:rsidRDefault="0098186F">
            <w:pPr>
              <w:pStyle w:val="TableParagraph"/>
              <w:tabs>
                <w:tab w:val="left" w:pos="1397"/>
              </w:tabs>
              <w:spacing w:before="5"/>
              <w:ind w:left="158"/>
              <w:rPr>
                <w:sz w:val="20"/>
              </w:rPr>
            </w:pPr>
            <w:r>
              <w:rPr>
                <w:color w:val="154D99"/>
                <w:w w:val="105"/>
                <w:sz w:val="23"/>
              </w:rPr>
              <w:t>$</w:t>
            </w:r>
            <w:r>
              <w:rPr>
                <w:color w:val="154D99"/>
                <w:w w:val="105"/>
                <w:sz w:val="23"/>
              </w:rPr>
              <w:tab/>
            </w:r>
            <w:r>
              <w:rPr>
                <w:color w:val="154D99"/>
                <w:w w:val="105"/>
                <w:position w:val="1"/>
                <w:sz w:val="20"/>
              </w:rPr>
              <w:t>1,228,198</w:t>
            </w:r>
          </w:p>
        </w:tc>
        <w:tc>
          <w:tcPr>
            <w:tcW w:w="1067" w:type="dxa"/>
            <w:tcBorders>
              <w:right w:val="single" w:sz="8" w:space="0" w:color="1F1F28"/>
            </w:tcBorders>
          </w:tcPr>
          <w:p w:rsidR="00A86F6B" w:rsidRDefault="0098186F">
            <w:pPr>
              <w:pStyle w:val="TableParagraph"/>
              <w:spacing w:before="27"/>
              <w:ind w:right="85"/>
              <w:jc w:val="right"/>
              <w:rPr>
                <w:rFonts w:ascii="Courier New"/>
                <w:b/>
              </w:rPr>
            </w:pPr>
            <w:r>
              <w:rPr>
                <w:rFonts w:ascii="Courier New"/>
                <w:b/>
                <w:color w:val="154D99"/>
                <w:w w:val="105"/>
              </w:rPr>
              <w:t>5%</w:t>
            </w:r>
          </w:p>
        </w:tc>
      </w:tr>
      <w:tr w:rsidR="00A86F6B" w:rsidTr="00430D1E">
        <w:trPr>
          <w:trHeight w:hRule="exact" w:val="287"/>
        </w:trPr>
        <w:tc>
          <w:tcPr>
            <w:tcW w:w="1176" w:type="dxa"/>
            <w:tcBorders>
              <w:left w:val="single" w:sz="8" w:space="0" w:color="1F1F28"/>
            </w:tcBorders>
          </w:tcPr>
          <w:p w:rsidR="00A86F6B" w:rsidRDefault="0098186F">
            <w:pPr>
              <w:pStyle w:val="TableParagraph"/>
              <w:ind w:left="97"/>
              <w:rPr>
                <w:rFonts w:ascii="Courier New"/>
                <w:b/>
              </w:rPr>
            </w:pPr>
            <w:r>
              <w:rPr>
                <w:rFonts w:ascii="Courier New"/>
                <w:b/>
                <w:color w:val="154D99"/>
                <w:w w:val="90"/>
              </w:rPr>
              <w:t>2011/12</w:t>
            </w:r>
          </w:p>
        </w:tc>
        <w:tc>
          <w:tcPr>
            <w:tcW w:w="2385" w:type="dxa"/>
          </w:tcPr>
          <w:p w:rsidR="00A86F6B" w:rsidRDefault="0098186F">
            <w:pPr>
              <w:pStyle w:val="TableParagraph"/>
              <w:tabs>
                <w:tab w:val="left" w:pos="1229"/>
              </w:tabs>
              <w:spacing w:before="3"/>
              <w:ind w:right="114"/>
              <w:jc w:val="right"/>
              <w:rPr>
                <w:sz w:val="20"/>
              </w:rPr>
            </w:pPr>
            <w:r>
              <w:rPr>
                <w:color w:val="154D99"/>
                <w:w w:val="105"/>
                <w:sz w:val="23"/>
              </w:rPr>
              <w:t>$</w:t>
            </w:r>
            <w:r>
              <w:rPr>
                <w:color w:val="154D99"/>
                <w:w w:val="105"/>
                <w:sz w:val="23"/>
              </w:rPr>
              <w:tab/>
            </w:r>
            <w:r>
              <w:rPr>
                <w:color w:val="154D99"/>
                <w:spacing w:val="-1"/>
                <w:w w:val="105"/>
                <w:position w:val="1"/>
                <w:sz w:val="20"/>
              </w:rPr>
              <w:t>1,810,897</w:t>
            </w:r>
          </w:p>
        </w:tc>
        <w:tc>
          <w:tcPr>
            <w:tcW w:w="2367" w:type="dxa"/>
          </w:tcPr>
          <w:p w:rsidR="00A86F6B" w:rsidRDefault="0098186F" w:rsidP="004A3A48">
            <w:pPr>
              <w:pStyle w:val="TableParagraph"/>
              <w:tabs>
                <w:tab w:val="left" w:pos="1397"/>
              </w:tabs>
              <w:spacing w:before="8"/>
              <w:ind w:left="158"/>
              <w:rPr>
                <w:sz w:val="20"/>
              </w:rPr>
            </w:pPr>
            <w:r>
              <w:rPr>
                <w:color w:val="154D99"/>
                <w:sz w:val="23"/>
              </w:rPr>
              <w:t>$</w:t>
            </w:r>
            <w:r>
              <w:rPr>
                <w:color w:val="154D99"/>
                <w:sz w:val="23"/>
              </w:rPr>
              <w:tab/>
            </w:r>
            <w:r>
              <w:rPr>
                <w:color w:val="154D99"/>
                <w:position w:val="1"/>
                <w:sz w:val="20"/>
              </w:rPr>
              <w:t>1,463</w:t>
            </w:r>
            <w:r>
              <w:rPr>
                <w:color w:val="0F2D67"/>
                <w:position w:val="1"/>
                <w:sz w:val="20"/>
              </w:rPr>
              <w:t>,</w:t>
            </w:r>
            <w:r>
              <w:rPr>
                <w:color w:val="154D99"/>
                <w:position w:val="1"/>
                <w:sz w:val="20"/>
              </w:rPr>
              <w:t>510</w:t>
            </w:r>
          </w:p>
        </w:tc>
        <w:tc>
          <w:tcPr>
            <w:tcW w:w="1067" w:type="dxa"/>
            <w:tcBorders>
              <w:right w:val="single" w:sz="8" w:space="0" w:color="1F1F28"/>
            </w:tcBorders>
          </w:tcPr>
          <w:p w:rsidR="00A86F6B" w:rsidRDefault="0098186F">
            <w:pPr>
              <w:pStyle w:val="TableParagraph"/>
              <w:ind w:right="98"/>
              <w:jc w:val="right"/>
              <w:rPr>
                <w:rFonts w:ascii="Courier New"/>
                <w:b/>
              </w:rPr>
            </w:pPr>
            <w:r>
              <w:rPr>
                <w:rFonts w:ascii="Courier New"/>
                <w:b/>
                <w:color w:val="154D99"/>
                <w:w w:val="85"/>
              </w:rPr>
              <w:t>-19%</w:t>
            </w:r>
          </w:p>
        </w:tc>
      </w:tr>
      <w:tr w:rsidR="00A86F6B" w:rsidTr="00430D1E">
        <w:trPr>
          <w:trHeight w:hRule="exact" w:val="287"/>
        </w:trPr>
        <w:tc>
          <w:tcPr>
            <w:tcW w:w="1176" w:type="dxa"/>
            <w:tcBorders>
              <w:left w:val="single" w:sz="8" w:space="0" w:color="1F1F28"/>
            </w:tcBorders>
          </w:tcPr>
          <w:p w:rsidR="00A86F6B" w:rsidRDefault="0098186F">
            <w:pPr>
              <w:pStyle w:val="TableParagraph"/>
              <w:ind w:left="97"/>
              <w:rPr>
                <w:rFonts w:ascii="Courier New"/>
                <w:b/>
              </w:rPr>
            </w:pPr>
            <w:r>
              <w:rPr>
                <w:rFonts w:ascii="Courier New"/>
                <w:b/>
                <w:color w:val="154D99"/>
                <w:w w:val="90"/>
              </w:rPr>
              <w:t>2012/13</w:t>
            </w:r>
          </w:p>
        </w:tc>
        <w:tc>
          <w:tcPr>
            <w:tcW w:w="2385" w:type="dxa"/>
          </w:tcPr>
          <w:p w:rsidR="00A86F6B" w:rsidRDefault="0098186F">
            <w:pPr>
              <w:pStyle w:val="TableParagraph"/>
              <w:tabs>
                <w:tab w:val="left" w:pos="1234"/>
              </w:tabs>
              <w:spacing w:before="3"/>
              <w:ind w:right="105"/>
              <w:jc w:val="right"/>
              <w:rPr>
                <w:sz w:val="20"/>
              </w:rPr>
            </w:pPr>
            <w:r>
              <w:rPr>
                <w:color w:val="154D99"/>
                <w:sz w:val="23"/>
              </w:rPr>
              <w:t>$</w:t>
            </w:r>
            <w:r>
              <w:rPr>
                <w:color w:val="154D99"/>
                <w:sz w:val="23"/>
              </w:rPr>
              <w:tab/>
            </w:r>
            <w:r>
              <w:rPr>
                <w:color w:val="154D99"/>
                <w:spacing w:val="7"/>
                <w:position w:val="1"/>
                <w:sz w:val="20"/>
              </w:rPr>
              <w:t>1</w:t>
            </w:r>
            <w:r>
              <w:rPr>
                <w:color w:val="3F62A1"/>
                <w:spacing w:val="7"/>
                <w:position w:val="1"/>
                <w:sz w:val="20"/>
              </w:rPr>
              <w:t>,</w:t>
            </w:r>
            <w:r>
              <w:rPr>
                <w:color w:val="154D99"/>
                <w:position w:val="1"/>
                <w:sz w:val="20"/>
              </w:rPr>
              <w:t>403</w:t>
            </w:r>
            <w:r>
              <w:rPr>
                <w:color w:val="3F62A1"/>
                <w:position w:val="1"/>
                <w:sz w:val="20"/>
              </w:rPr>
              <w:t>,</w:t>
            </w:r>
            <w:r>
              <w:rPr>
                <w:color w:val="154D99"/>
                <w:position w:val="1"/>
                <w:sz w:val="20"/>
              </w:rPr>
              <w:t>123</w:t>
            </w:r>
          </w:p>
        </w:tc>
        <w:tc>
          <w:tcPr>
            <w:tcW w:w="2367" w:type="dxa"/>
          </w:tcPr>
          <w:p w:rsidR="00A86F6B" w:rsidRDefault="0098186F">
            <w:pPr>
              <w:pStyle w:val="TableParagraph"/>
              <w:tabs>
                <w:tab w:val="left" w:pos="1397"/>
              </w:tabs>
              <w:spacing w:before="8"/>
              <w:ind w:left="158"/>
              <w:rPr>
                <w:sz w:val="20"/>
              </w:rPr>
            </w:pPr>
            <w:r>
              <w:rPr>
                <w:color w:val="154D99"/>
                <w:w w:val="105"/>
                <w:sz w:val="23"/>
              </w:rPr>
              <w:t>$</w:t>
            </w:r>
            <w:r>
              <w:rPr>
                <w:color w:val="154D99"/>
                <w:w w:val="105"/>
                <w:sz w:val="23"/>
              </w:rPr>
              <w:tab/>
            </w:r>
            <w:r>
              <w:rPr>
                <w:color w:val="154D99"/>
                <w:w w:val="105"/>
                <w:position w:val="1"/>
                <w:sz w:val="20"/>
              </w:rPr>
              <w:t>1,511,915</w:t>
            </w:r>
          </w:p>
        </w:tc>
        <w:tc>
          <w:tcPr>
            <w:tcW w:w="1067" w:type="dxa"/>
            <w:tcBorders>
              <w:right w:val="single" w:sz="8" w:space="0" w:color="1F1F28"/>
            </w:tcBorders>
          </w:tcPr>
          <w:p w:rsidR="00A86F6B" w:rsidRDefault="0098186F">
            <w:pPr>
              <w:pStyle w:val="TableParagraph"/>
              <w:ind w:right="84"/>
              <w:jc w:val="right"/>
              <w:rPr>
                <w:rFonts w:ascii="Courier New"/>
                <w:b/>
              </w:rPr>
            </w:pPr>
            <w:r>
              <w:rPr>
                <w:rFonts w:ascii="Courier New"/>
                <w:b/>
                <w:color w:val="154D99"/>
                <w:w w:val="105"/>
              </w:rPr>
              <w:t>8%</w:t>
            </w:r>
          </w:p>
        </w:tc>
      </w:tr>
      <w:tr w:rsidR="00A86F6B" w:rsidTr="00430D1E">
        <w:trPr>
          <w:trHeight w:hRule="exact" w:val="287"/>
        </w:trPr>
        <w:tc>
          <w:tcPr>
            <w:tcW w:w="1176" w:type="dxa"/>
            <w:tcBorders>
              <w:left w:val="single" w:sz="8" w:space="0" w:color="1F1F28"/>
            </w:tcBorders>
          </w:tcPr>
          <w:p w:rsidR="00A86F6B" w:rsidRDefault="0098186F">
            <w:pPr>
              <w:pStyle w:val="TableParagraph"/>
              <w:ind w:left="97"/>
              <w:rPr>
                <w:rFonts w:ascii="Courier New"/>
                <w:b/>
              </w:rPr>
            </w:pPr>
            <w:r>
              <w:rPr>
                <w:rFonts w:ascii="Courier New"/>
                <w:b/>
                <w:color w:val="154D99"/>
                <w:w w:val="90"/>
              </w:rPr>
              <w:t>2013/14</w:t>
            </w:r>
          </w:p>
        </w:tc>
        <w:tc>
          <w:tcPr>
            <w:tcW w:w="2385" w:type="dxa"/>
          </w:tcPr>
          <w:p w:rsidR="00A86F6B" w:rsidRDefault="0098186F">
            <w:pPr>
              <w:pStyle w:val="TableParagraph"/>
              <w:tabs>
                <w:tab w:val="left" w:pos="1234"/>
              </w:tabs>
              <w:spacing w:before="3"/>
              <w:ind w:right="109"/>
              <w:jc w:val="right"/>
              <w:rPr>
                <w:sz w:val="20"/>
              </w:rPr>
            </w:pPr>
            <w:r>
              <w:rPr>
                <w:color w:val="154D99"/>
                <w:w w:val="105"/>
                <w:sz w:val="23"/>
              </w:rPr>
              <w:t>$</w:t>
            </w:r>
            <w:r>
              <w:rPr>
                <w:color w:val="154D99"/>
                <w:w w:val="105"/>
                <w:sz w:val="23"/>
              </w:rPr>
              <w:tab/>
            </w:r>
            <w:r>
              <w:rPr>
                <w:color w:val="154D99"/>
                <w:spacing w:val="-1"/>
                <w:w w:val="105"/>
                <w:position w:val="1"/>
                <w:sz w:val="20"/>
              </w:rPr>
              <w:t>1,789,932</w:t>
            </w:r>
          </w:p>
        </w:tc>
        <w:tc>
          <w:tcPr>
            <w:tcW w:w="2367" w:type="dxa"/>
          </w:tcPr>
          <w:p w:rsidR="00A86F6B" w:rsidRDefault="0098186F">
            <w:pPr>
              <w:pStyle w:val="TableParagraph"/>
              <w:tabs>
                <w:tab w:val="left" w:pos="1397"/>
              </w:tabs>
              <w:spacing w:before="8"/>
              <w:ind w:left="158"/>
              <w:rPr>
                <w:sz w:val="20"/>
              </w:rPr>
            </w:pPr>
            <w:r>
              <w:rPr>
                <w:color w:val="154D99"/>
                <w:w w:val="105"/>
                <w:sz w:val="23"/>
              </w:rPr>
              <w:t>$</w:t>
            </w:r>
            <w:r>
              <w:rPr>
                <w:color w:val="154D99"/>
                <w:w w:val="105"/>
                <w:sz w:val="23"/>
              </w:rPr>
              <w:tab/>
            </w:r>
            <w:r>
              <w:rPr>
                <w:color w:val="154D99"/>
                <w:w w:val="105"/>
                <w:position w:val="1"/>
                <w:sz w:val="20"/>
              </w:rPr>
              <w:t>1,362,793</w:t>
            </w:r>
          </w:p>
        </w:tc>
        <w:tc>
          <w:tcPr>
            <w:tcW w:w="1067" w:type="dxa"/>
            <w:tcBorders>
              <w:right w:val="single" w:sz="8" w:space="0" w:color="1F1F28"/>
            </w:tcBorders>
          </w:tcPr>
          <w:p w:rsidR="00A86F6B" w:rsidRDefault="0098186F">
            <w:pPr>
              <w:pStyle w:val="TableParagraph"/>
              <w:ind w:right="98"/>
              <w:jc w:val="right"/>
              <w:rPr>
                <w:rFonts w:ascii="Courier New"/>
                <w:b/>
              </w:rPr>
            </w:pPr>
            <w:r>
              <w:rPr>
                <w:rFonts w:ascii="Courier New"/>
                <w:b/>
                <w:color w:val="154D99"/>
                <w:w w:val="85"/>
              </w:rPr>
              <w:t>-24%</w:t>
            </w:r>
          </w:p>
        </w:tc>
      </w:tr>
      <w:tr w:rsidR="00A86F6B" w:rsidTr="00430D1E">
        <w:trPr>
          <w:trHeight w:hRule="exact" w:val="295"/>
        </w:trPr>
        <w:tc>
          <w:tcPr>
            <w:tcW w:w="1176" w:type="dxa"/>
            <w:tcBorders>
              <w:left w:val="single" w:sz="8" w:space="0" w:color="1F1F28"/>
            </w:tcBorders>
          </w:tcPr>
          <w:p w:rsidR="00A86F6B" w:rsidRDefault="0098186F">
            <w:pPr>
              <w:pStyle w:val="TableParagraph"/>
              <w:ind w:left="102"/>
              <w:rPr>
                <w:rFonts w:ascii="Courier New"/>
                <w:b/>
              </w:rPr>
            </w:pPr>
            <w:r>
              <w:rPr>
                <w:rFonts w:ascii="Courier New"/>
                <w:b/>
                <w:color w:val="154D99"/>
                <w:w w:val="90"/>
              </w:rPr>
              <w:t>2014/15</w:t>
            </w:r>
          </w:p>
        </w:tc>
        <w:tc>
          <w:tcPr>
            <w:tcW w:w="2385" w:type="dxa"/>
          </w:tcPr>
          <w:p w:rsidR="00A86F6B" w:rsidRDefault="0098186F" w:rsidP="004A3A48">
            <w:pPr>
              <w:pStyle w:val="TableParagraph"/>
              <w:tabs>
                <w:tab w:val="left" w:pos="1234"/>
              </w:tabs>
              <w:spacing w:before="3"/>
              <w:ind w:right="109"/>
              <w:jc w:val="right"/>
              <w:rPr>
                <w:sz w:val="20"/>
              </w:rPr>
            </w:pPr>
            <w:r>
              <w:rPr>
                <w:color w:val="154D99"/>
                <w:sz w:val="23"/>
              </w:rPr>
              <w:t>$</w:t>
            </w:r>
            <w:r>
              <w:rPr>
                <w:color w:val="154D99"/>
                <w:sz w:val="23"/>
              </w:rPr>
              <w:tab/>
            </w:r>
            <w:r>
              <w:rPr>
                <w:color w:val="154D99"/>
                <w:position w:val="1"/>
                <w:sz w:val="20"/>
              </w:rPr>
              <w:t>1,795</w:t>
            </w:r>
            <w:r>
              <w:rPr>
                <w:color w:val="3F62A1"/>
                <w:spacing w:val="2"/>
                <w:position w:val="1"/>
                <w:sz w:val="20"/>
              </w:rPr>
              <w:t>,</w:t>
            </w:r>
            <w:r>
              <w:rPr>
                <w:color w:val="154D99"/>
                <w:spacing w:val="2"/>
                <w:position w:val="1"/>
                <w:sz w:val="20"/>
              </w:rPr>
              <w:t>310</w:t>
            </w:r>
          </w:p>
        </w:tc>
        <w:tc>
          <w:tcPr>
            <w:tcW w:w="2367" w:type="dxa"/>
          </w:tcPr>
          <w:p w:rsidR="00A86F6B" w:rsidRDefault="0098186F" w:rsidP="004A3A48">
            <w:pPr>
              <w:pStyle w:val="TableParagraph"/>
              <w:tabs>
                <w:tab w:val="left" w:pos="1397"/>
              </w:tabs>
              <w:spacing w:before="8"/>
              <w:ind w:left="158"/>
              <w:rPr>
                <w:sz w:val="20"/>
              </w:rPr>
            </w:pPr>
            <w:r>
              <w:rPr>
                <w:color w:val="154D99"/>
                <w:sz w:val="23"/>
              </w:rPr>
              <w:t>$</w:t>
            </w:r>
            <w:r>
              <w:rPr>
                <w:color w:val="154D99"/>
                <w:sz w:val="23"/>
              </w:rPr>
              <w:tab/>
            </w:r>
            <w:r>
              <w:rPr>
                <w:color w:val="154D99"/>
                <w:position w:val="1"/>
                <w:sz w:val="20"/>
              </w:rPr>
              <w:t>1,035</w:t>
            </w:r>
            <w:r>
              <w:rPr>
                <w:color w:val="3F62A1"/>
                <w:position w:val="1"/>
                <w:sz w:val="20"/>
              </w:rPr>
              <w:t>,</w:t>
            </w:r>
            <w:r>
              <w:rPr>
                <w:color w:val="154D99"/>
                <w:position w:val="1"/>
                <w:sz w:val="20"/>
              </w:rPr>
              <w:t>770</w:t>
            </w:r>
          </w:p>
        </w:tc>
        <w:tc>
          <w:tcPr>
            <w:tcW w:w="1067" w:type="dxa"/>
            <w:tcBorders>
              <w:right w:val="single" w:sz="8" w:space="0" w:color="1F1F28"/>
            </w:tcBorders>
          </w:tcPr>
          <w:p w:rsidR="00A86F6B" w:rsidRDefault="0098186F">
            <w:pPr>
              <w:pStyle w:val="TableParagraph"/>
              <w:ind w:right="78"/>
              <w:jc w:val="right"/>
              <w:rPr>
                <w:rFonts w:ascii="Courier New"/>
                <w:b/>
              </w:rPr>
            </w:pPr>
            <w:r>
              <w:rPr>
                <w:rFonts w:ascii="Courier New"/>
                <w:b/>
                <w:color w:val="2367A7"/>
                <w:w w:val="90"/>
              </w:rPr>
              <w:t>-</w:t>
            </w:r>
            <w:r>
              <w:rPr>
                <w:rFonts w:ascii="Courier New"/>
                <w:b/>
                <w:color w:val="154D99"/>
                <w:w w:val="90"/>
              </w:rPr>
              <w:t>42%</w:t>
            </w:r>
          </w:p>
        </w:tc>
      </w:tr>
      <w:tr w:rsidR="00A86F6B" w:rsidTr="00430D1E">
        <w:trPr>
          <w:trHeight w:hRule="exact" w:val="289"/>
        </w:trPr>
        <w:tc>
          <w:tcPr>
            <w:tcW w:w="1176" w:type="dxa"/>
            <w:tcBorders>
              <w:left w:val="single" w:sz="8" w:space="0" w:color="1F1F28"/>
              <w:bottom w:val="single" w:sz="8" w:space="0" w:color="2F2818"/>
            </w:tcBorders>
          </w:tcPr>
          <w:p w:rsidR="00A86F6B" w:rsidRDefault="0098186F">
            <w:pPr>
              <w:pStyle w:val="TableParagraph"/>
              <w:spacing w:before="32"/>
              <w:ind w:left="97"/>
              <w:rPr>
                <w:rFonts w:ascii="Courier New"/>
                <w:b/>
              </w:rPr>
            </w:pPr>
            <w:r>
              <w:rPr>
                <w:rFonts w:ascii="Courier New"/>
                <w:b/>
                <w:color w:val="154D99"/>
                <w:w w:val="90"/>
              </w:rPr>
              <w:t>2015/16</w:t>
            </w:r>
          </w:p>
        </w:tc>
        <w:tc>
          <w:tcPr>
            <w:tcW w:w="2385" w:type="dxa"/>
            <w:tcBorders>
              <w:bottom w:val="single" w:sz="8" w:space="0" w:color="2F2818"/>
            </w:tcBorders>
          </w:tcPr>
          <w:p w:rsidR="00A86F6B" w:rsidRDefault="00A86F6B"/>
        </w:tc>
        <w:tc>
          <w:tcPr>
            <w:tcW w:w="2367" w:type="dxa"/>
            <w:tcBorders>
              <w:bottom w:val="single" w:sz="8" w:space="0" w:color="2F2818"/>
            </w:tcBorders>
          </w:tcPr>
          <w:p w:rsidR="00A86F6B" w:rsidRDefault="0098186F">
            <w:pPr>
              <w:pStyle w:val="TableParagraph"/>
              <w:spacing w:before="13"/>
              <w:ind w:right="238"/>
              <w:jc w:val="right"/>
              <w:rPr>
                <w:rFonts w:ascii="Arial"/>
                <w:sz w:val="21"/>
              </w:rPr>
            </w:pPr>
            <w:r>
              <w:rPr>
                <w:rFonts w:ascii="Arial"/>
                <w:color w:val="3F62A1"/>
                <w:w w:val="89"/>
                <w:sz w:val="21"/>
              </w:rPr>
              <w:t>-</w:t>
            </w:r>
          </w:p>
        </w:tc>
        <w:tc>
          <w:tcPr>
            <w:tcW w:w="1067" w:type="dxa"/>
            <w:tcBorders>
              <w:bottom w:val="single" w:sz="8" w:space="0" w:color="2F2818"/>
              <w:right w:val="single" w:sz="8" w:space="0" w:color="1F1F28"/>
            </w:tcBorders>
          </w:tcPr>
          <w:p w:rsidR="00A86F6B" w:rsidRDefault="00A86F6B"/>
        </w:tc>
      </w:tr>
      <w:tr w:rsidR="00A86F6B" w:rsidTr="00430D1E">
        <w:trPr>
          <w:trHeight w:hRule="exact" w:val="345"/>
        </w:trPr>
        <w:tc>
          <w:tcPr>
            <w:tcW w:w="1176" w:type="dxa"/>
            <w:tcBorders>
              <w:top w:val="single" w:sz="8" w:space="0" w:color="2F2818"/>
              <w:left w:val="single" w:sz="8" w:space="0" w:color="1F1F28"/>
              <w:bottom w:val="single" w:sz="8" w:space="0" w:color="2F2818"/>
            </w:tcBorders>
            <w:shd w:val="clear" w:color="auto" w:fill="FFFF00"/>
          </w:tcPr>
          <w:p w:rsidR="00A86F6B" w:rsidRDefault="0098186F">
            <w:pPr>
              <w:pStyle w:val="TableParagraph"/>
              <w:spacing w:before="44"/>
              <w:ind w:left="366" w:right="362"/>
              <w:jc w:val="center"/>
              <w:rPr>
                <w:rFonts w:ascii="Arial"/>
                <w:b/>
                <w:sz w:val="21"/>
              </w:rPr>
            </w:pPr>
            <w:r>
              <w:rPr>
                <w:rFonts w:ascii="Arial"/>
                <w:b/>
                <w:color w:val="154D99"/>
                <w:sz w:val="21"/>
              </w:rPr>
              <w:t>Gas</w:t>
            </w:r>
          </w:p>
        </w:tc>
        <w:tc>
          <w:tcPr>
            <w:tcW w:w="2385" w:type="dxa"/>
            <w:tcBorders>
              <w:top w:val="single" w:sz="8" w:space="0" w:color="2F2818"/>
              <w:bottom w:val="single" w:sz="8" w:space="0" w:color="2F2818"/>
            </w:tcBorders>
            <w:shd w:val="clear" w:color="auto" w:fill="FFFF00"/>
          </w:tcPr>
          <w:p w:rsidR="00A86F6B" w:rsidRDefault="0098186F">
            <w:pPr>
              <w:pStyle w:val="TableParagraph"/>
              <w:spacing w:before="44"/>
              <w:ind w:left="350"/>
              <w:rPr>
                <w:rFonts w:ascii="Arial"/>
                <w:b/>
                <w:sz w:val="21"/>
              </w:rPr>
            </w:pPr>
            <w:r>
              <w:rPr>
                <w:rFonts w:ascii="Arial"/>
                <w:color w:val="154D99"/>
                <w:sz w:val="21"/>
              </w:rPr>
              <w:t xml:space="preserve">Total </w:t>
            </w:r>
            <w:r>
              <w:rPr>
                <w:rFonts w:ascii="Arial"/>
                <w:b/>
                <w:color w:val="154D99"/>
                <w:sz w:val="21"/>
              </w:rPr>
              <w:t>(Estimated)</w:t>
            </w:r>
          </w:p>
        </w:tc>
        <w:tc>
          <w:tcPr>
            <w:tcW w:w="2367" w:type="dxa"/>
            <w:tcBorders>
              <w:top w:val="single" w:sz="8" w:space="0" w:color="2F2818"/>
              <w:bottom w:val="single" w:sz="8" w:space="0" w:color="2F2818"/>
            </w:tcBorders>
            <w:shd w:val="clear" w:color="auto" w:fill="FFFF00"/>
          </w:tcPr>
          <w:p w:rsidR="00A86F6B" w:rsidRDefault="0098186F">
            <w:pPr>
              <w:pStyle w:val="TableParagraph"/>
              <w:spacing w:before="44"/>
              <w:ind w:left="108"/>
              <w:rPr>
                <w:rFonts w:ascii="Arial"/>
                <w:b/>
                <w:sz w:val="21"/>
              </w:rPr>
            </w:pPr>
            <w:r>
              <w:rPr>
                <w:rFonts w:ascii="Arial"/>
                <w:color w:val="154D99"/>
                <w:sz w:val="21"/>
              </w:rPr>
              <w:t xml:space="preserve">Total </w:t>
            </w:r>
            <w:r>
              <w:rPr>
                <w:rFonts w:ascii="Arial"/>
                <w:b/>
                <w:color w:val="154D99"/>
                <w:sz w:val="21"/>
              </w:rPr>
              <w:t>(Actual)</w:t>
            </w:r>
          </w:p>
        </w:tc>
        <w:tc>
          <w:tcPr>
            <w:tcW w:w="1067" w:type="dxa"/>
            <w:tcBorders>
              <w:top w:val="single" w:sz="8" w:space="0" w:color="2F2818"/>
              <w:bottom w:val="single" w:sz="8" w:space="0" w:color="2F2818"/>
              <w:right w:val="single" w:sz="8" w:space="0" w:color="1F1F28"/>
            </w:tcBorders>
            <w:shd w:val="clear" w:color="auto" w:fill="FFFF00"/>
          </w:tcPr>
          <w:p w:rsidR="00A86F6B" w:rsidRDefault="0098186F">
            <w:pPr>
              <w:pStyle w:val="TableParagraph"/>
              <w:spacing w:before="44"/>
              <w:ind w:right="111"/>
              <w:jc w:val="right"/>
              <w:rPr>
                <w:rFonts w:ascii="Arial"/>
                <w:b/>
                <w:sz w:val="21"/>
              </w:rPr>
            </w:pPr>
            <w:r>
              <w:rPr>
                <w:rFonts w:ascii="Arial"/>
                <w:b/>
                <w:color w:val="154D99"/>
                <w:w w:val="90"/>
                <w:sz w:val="21"/>
              </w:rPr>
              <w:t>Variance</w:t>
            </w:r>
          </w:p>
        </w:tc>
      </w:tr>
      <w:tr w:rsidR="00A86F6B" w:rsidTr="00430D1E">
        <w:trPr>
          <w:trHeight w:hRule="exact" w:val="316"/>
        </w:trPr>
        <w:tc>
          <w:tcPr>
            <w:tcW w:w="1176" w:type="dxa"/>
            <w:tcBorders>
              <w:top w:val="single" w:sz="8" w:space="0" w:color="2F2818"/>
              <w:left w:val="single" w:sz="8" w:space="0" w:color="1F1F28"/>
            </w:tcBorders>
          </w:tcPr>
          <w:p w:rsidR="00A86F6B" w:rsidRDefault="0098186F">
            <w:pPr>
              <w:pStyle w:val="TableParagraph"/>
              <w:spacing w:before="44"/>
              <w:ind w:left="97"/>
              <w:rPr>
                <w:rFonts w:ascii="Courier New"/>
                <w:b/>
              </w:rPr>
            </w:pPr>
            <w:r>
              <w:rPr>
                <w:rFonts w:ascii="Courier New"/>
                <w:b/>
                <w:color w:val="154D99"/>
                <w:w w:val="90"/>
              </w:rPr>
              <w:t>2007/08</w:t>
            </w:r>
          </w:p>
        </w:tc>
        <w:tc>
          <w:tcPr>
            <w:tcW w:w="2385" w:type="dxa"/>
            <w:tcBorders>
              <w:top w:val="single" w:sz="8" w:space="0" w:color="2F2818"/>
            </w:tcBorders>
          </w:tcPr>
          <w:p w:rsidR="00A86F6B" w:rsidRDefault="0098186F">
            <w:pPr>
              <w:pStyle w:val="TableParagraph"/>
              <w:tabs>
                <w:tab w:val="left" w:pos="2095"/>
              </w:tabs>
              <w:spacing w:before="22"/>
              <w:ind w:left="161"/>
              <w:rPr>
                <w:rFonts w:ascii="Arial"/>
                <w:sz w:val="21"/>
              </w:rPr>
            </w:pPr>
            <w:r>
              <w:rPr>
                <w:color w:val="154D99"/>
                <w:sz w:val="23"/>
              </w:rPr>
              <w:t>$</w:t>
            </w:r>
            <w:r>
              <w:rPr>
                <w:color w:val="154D99"/>
                <w:sz w:val="23"/>
              </w:rPr>
              <w:tab/>
            </w:r>
            <w:r>
              <w:rPr>
                <w:rFonts w:ascii="Arial"/>
                <w:color w:val="2367A7"/>
                <w:position w:val="1"/>
                <w:sz w:val="21"/>
              </w:rPr>
              <w:t>-</w:t>
            </w:r>
          </w:p>
        </w:tc>
        <w:tc>
          <w:tcPr>
            <w:tcW w:w="2367" w:type="dxa"/>
            <w:tcBorders>
              <w:top w:val="single" w:sz="8" w:space="0" w:color="2F2818"/>
            </w:tcBorders>
          </w:tcPr>
          <w:p w:rsidR="00A86F6B" w:rsidRDefault="0098186F">
            <w:pPr>
              <w:pStyle w:val="TableParagraph"/>
              <w:tabs>
                <w:tab w:val="left" w:pos="1654"/>
              </w:tabs>
              <w:spacing w:before="22"/>
              <w:ind w:left="158"/>
              <w:rPr>
                <w:sz w:val="20"/>
              </w:rPr>
            </w:pPr>
            <w:r>
              <w:rPr>
                <w:color w:val="154D99"/>
                <w:sz w:val="23"/>
              </w:rPr>
              <w:t>$</w:t>
            </w:r>
            <w:r>
              <w:rPr>
                <w:color w:val="154D99"/>
                <w:sz w:val="23"/>
              </w:rPr>
              <w:tab/>
            </w:r>
            <w:r>
              <w:rPr>
                <w:color w:val="154D99"/>
                <w:position w:val="1"/>
                <w:sz w:val="20"/>
              </w:rPr>
              <w:t>21,874</w:t>
            </w:r>
          </w:p>
        </w:tc>
        <w:tc>
          <w:tcPr>
            <w:tcW w:w="1067" w:type="dxa"/>
            <w:tcBorders>
              <w:top w:val="single" w:sz="8" w:space="0" w:color="2F2818"/>
              <w:right w:val="single" w:sz="8" w:space="0" w:color="1F1F28"/>
            </w:tcBorders>
          </w:tcPr>
          <w:p w:rsidR="00A86F6B" w:rsidRDefault="00A86F6B"/>
        </w:tc>
      </w:tr>
      <w:tr w:rsidR="00A86F6B" w:rsidTr="00430D1E">
        <w:trPr>
          <w:trHeight w:hRule="exact" w:val="287"/>
        </w:trPr>
        <w:tc>
          <w:tcPr>
            <w:tcW w:w="1176" w:type="dxa"/>
            <w:tcBorders>
              <w:left w:val="single" w:sz="8" w:space="0" w:color="1F1F28"/>
            </w:tcBorders>
          </w:tcPr>
          <w:p w:rsidR="00A86F6B" w:rsidRDefault="0098186F">
            <w:pPr>
              <w:pStyle w:val="TableParagraph"/>
              <w:ind w:left="102"/>
              <w:rPr>
                <w:rFonts w:ascii="Courier New"/>
                <w:b/>
              </w:rPr>
            </w:pPr>
            <w:r>
              <w:rPr>
                <w:rFonts w:ascii="Courier New"/>
                <w:b/>
                <w:color w:val="154D99"/>
                <w:w w:val="90"/>
              </w:rPr>
              <w:t>2008/09</w:t>
            </w:r>
          </w:p>
        </w:tc>
        <w:tc>
          <w:tcPr>
            <w:tcW w:w="2385" w:type="dxa"/>
          </w:tcPr>
          <w:p w:rsidR="00A86F6B" w:rsidRDefault="0098186F">
            <w:pPr>
              <w:pStyle w:val="TableParagraph"/>
              <w:tabs>
                <w:tab w:val="left" w:pos="1392"/>
              </w:tabs>
              <w:spacing w:before="3"/>
              <w:ind w:right="121"/>
              <w:jc w:val="right"/>
              <w:rPr>
                <w:sz w:val="20"/>
              </w:rPr>
            </w:pPr>
            <w:r>
              <w:rPr>
                <w:color w:val="154D99"/>
                <w:w w:val="105"/>
                <w:sz w:val="23"/>
              </w:rPr>
              <w:t>$</w:t>
            </w:r>
            <w:r>
              <w:rPr>
                <w:color w:val="154D99"/>
                <w:w w:val="105"/>
                <w:sz w:val="23"/>
              </w:rPr>
              <w:tab/>
            </w:r>
            <w:r>
              <w:rPr>
                <w:color w:val="154D99"/>
                <w:w w:val="105"/>
                <w:position w:val="1"/>
                <w:sz w:val="20"/>
              </w:rPr>
              <w:t>655,703</w:t>
            </w:r>
          </w:p>
        </w:tc>
        <w:tc>
          <w:tcPr>
            <w:tcW w:w="2367" w:type="dxa"/>
          </w:tcPr>
          <w:p w:rsidR="00A86F6B" w:rsidRDefault="0098186F">
            <w:pPr>
              <w:pStyle w:val="TableParagraph"/>
              <w:tabs>
                <w:tab w:val="left" w:pos="1559"/>
              </w:tabs>
              <w:spacing w:before="3"/>
              <w:ind w:left="158"/>
              <w:rPr>
                <w:sz w:val="20"/>
              </w:rPr>
            </w:pPr>
            <w:r>
              <w:rPr>
                <w:color w:val="154D99"/>
                <w:sz w:val="23"/>
              </w:rPr>
              <w:t>$</w:t>
            </w:r>
            <w:r>
              <w:rPr>
                <w:color w:val="154D99"/>
                <w:sz w:val="23"/>
              </w:rPr>
              <w:tab/>
            </w:r>
            <w:r>
              <w:rPr>
                <w:color w:val="154D99"/>
                <w:position w:val="1"/>
                <w:sz w:val="20"/>
              </w:rPr>
              <w:t>249,332</w:t>
            </w:r>
          </w:p>
        </w:tc>
        <w:tc>
          <w:tcPr>
            <w:tcW w:w="1067" w:type="dxa"/>
            <w:tcBorders>
              <w:right w:val="single" w:sz="8" w:space="0" w:color="1F1F28"/>
            </w:tcBorders>
          </w:tcPr>
          <w:p w:rsidR="00A86F6B" w:rsidRDefault="0098186F" w:rsidP="004A3A48">
            <w:pPr>
              <w:pStyle w:val="TableParagraph"/>
              <w:ind w:right="103"/>
              <w:jc w:val="right"/>
              <w:rPr>
                <w:rFonts w:ascii="Courier New"/>
                <w:b/>
              </w:rPr>
            </w:pPr>
            <w:r>
              <w:rPr>
                <w:rFonts w:ascii="Courier New"/>
                <w:b/>
                <w:color w:val="154D99"/>
                <w:w w:val="80"/>
              </w:rPr>
              <w:t>-62%</w:t>
            </w:r>
          </w:p>
        </w:tc>
      </w:tr>
      <w:tr w:rsidR="00A86F6B" w:rsidTr="00430D1E">
        <w:trPr>
          <w:trHeight w:hRule="exact" w:val="292"/>
        </w:trPr>
        <w:tc>
          <w:tcPr>
            <w:tcW w:w="1176" w:type="dxa"/>
            <w:tcBorders>
              <w:left w:val="single" w:sz="8" w:space="0" w:color="1F1F28"/>
            </w:tcBorders>
          </w:tcPr>
          <w:p w:rsidR="00A86F6B" w:rsidRDefault="0098186F">
            <w:pPr>
              <w:pStyle w:val="TableParagraph"/>
              <w:spacing w:before="30"/>
              <w:ind w:left="97"/>
              <w:rPr>
                <w:rFonts w:ascii="Courier New"/>
                <w:b/>
              </w:rPr>
            </w:pPr>
            <w:r>
              <w:rPr>
                <w:rFonts w:ascii="Courier New"/>
                <w:b/>
                <w:color w:val="154D99"/>
                <w:w w:val="90"/>
              </w:rPr>
              <w:t>2009/10</w:t>
            </w:r>
          </w:p>
        </w:tc>
        <w:tc>
          <w:tcPr>
            <w:tcW w:w="2385" w:type="dxa"/>
          </w:tcPr>
          <w:p w:rsidR="00A86F6B" w:rsidRDefault="0098186F">
            <w:pPr>
              <w:pStyle w:val="TableParagraph"/>
              <w:tabs>
                <w:tab w:val="left" w:pos="1393"/>
              </w:tabs>
              <w:spacing w:before="3"/>
              <w:ind w:right="125"/>
              <w:jc w:val="right"/>
              <w:rPr>
                <w:sz w:val="20"/>
              </w:rPr>
            </w:pPr>
            <w:r>
              <w:rPr>
                <w:color w:val="154D99"/>
                <w:w w:val="105"/>
                <w:sz w:val="23"/>
              </w:rPr>
              <w:t>$</w:t>
            </w:r>
            <w:r>
              <w:rPr>
                <w:color w:val="154D99"/>
                <w:w w:val="105"/>
                <w:sz w:val="23"/>
              </w:rPr>
              <w:tab/>
            </w:r>
            <w:r>
              <w:rPr>
                <w:color w:val="154D99"/>
                <w:w w:val="105"/>
                <w:position w:val="1"/>
                <w:sz w:val="20"/>
              </w:rPr>
              <w:t>728,706</w:t>
            </w:r>
          </w:p>
        </w:tc>
        <w:tc>
          <w:tcPr>
            <w:tcW w:w="2367" w:type="dxa"/>
          </w:tcPr>
          <w:p w:rsidR="00A86F6B" w:rsidRDefault="0098186F">
            <w:pPr>
              <w:pStyle w:val="TableParagraph"/>
              <w:tabs>
                <w:tab w:val="left" w:pos="1554"/>
              </w:tabs>
              <w:spacing w:before="8"/>
              <w:ind w:left="158"/>
              <w:rPr>
                <w:sz w:val="20"/>
              </w:rPr>
            </w:pPr>
            <w:r>
              <w:rPr>
                <w:color w:val="154D99"/>
                <w:sz w:val="23"/>
              </w:rPr>
              <w:t>$</w:t>
            </w:r>
            <w:r>
              <w:rPr>
                <w:color w:val="154D99"/>
                <w:sz w:val="23"/>
              </w:rPr>
              <w:tab/>
            </w:r>
            <w:r>
              <w:rPr>
                <w:color w:val="154D99"/>
                <w:position w:val="1"/>
                <w:sz w:val="20"/>
              </w:rPr>
              <w:t>537,313</w:t>
            </w:r>
          </w:p>
        </w:tc>
        <w:tc>
          <w:tcPr>
            <w:tcW w:w="1067" w:type="dxa"/>
            <w:tcBorders>
              <w:right w:val="single" w:sz="8" w:space="0" w:color="1F1F28"/>
            </w:tcBorders>
          </w:tcPr>
          <w:p w:rsidR="00A86F6B" w:rsidRDefault="0098186F" w:rsidP="004A3A48">
            <w:pPr>
              <w:pStyle w:val="TableParagraph"/>
              <w:spacing w:before="30"/>
              <w:ind w:right="109"/>
              <w:jc w:val="right"/>
              <w:rPr>
                <w:rFonts w:ascii="Courier New"/>
                <w:b/>
              </w:rPr>
            </w:pPr>
            <w:r>
              <w:rPr>
                <w:rFonts w:ascii="Courier New"/>
                <w:b/>
                <w:color w:val="3F62A1"/>
                <w:w w:val="85"/>
              </w:rPr>
              <w:t>-</w:t>
            </w:r>
            <w:r>
              <w:rPr>
                <w:rFonts w:ascii="Courier New"/>
                <w:b/>
                <w:color w:val="154D99"/>
                <w:w w:val="85"/>
              </w:rPr>
              <w:t>26%</w:t>
            </w:r>
          </w:p>
        </w:tc>
      </w:tr>
      <w:tr w:rsidR="00A86F6B" w:rsidTr="00430D1E">
        <w:trPr>
          <w:trHeight w:hRule="exact" w:val="287"/>
        </w:trPr>
        <w:tc>
          <w:tcPr>
            <w:tcW w:w="1176" w:type="dxa"/>
            <w:tcBorders>
              <w:left w:val="single" w:sz="8" w:space="0" w:color="1F1F28"/>
            </w:tcBorders>
          </w:tcPr>
          <w:p w:rsidR="00A86F6B" w:rsidRDefault="0098186F">
            <w:pPr>
              <w:pStyle w:val="TableParagraph"/>
              <w:ind w:left="102"/>
              <w:rPr>
                <w:rFonts w:ascii="Courier New"/>
                <w:b/>
              </w:rPr>
            </w:pPr>
            <w:r>
              <w:rPr>
                <w:rFonts w:ascii="Courier New"/>
                <w:b/>
                <w:color w:val="154D99"/>
                <w:w w:val="90"/>
              </w:rPr>
              <w:t>2010/11</w:t>
            </w:r>
          </w:p>
        </w:tc>
        <w:tc>
          <w:tcPr>
            <w:tcW w:w="2385" w:type="dxa"/>
          </w:tcPr>
          <w:p w:rsidR="00A86F6B" w:rsidRDefault="0098186F">
            <w:pPr>
              <w:pStyle w:val="TableParagraph"/>
              <w:tabs>
                <w:tab w:val="left" w:pos="1554"/>
              </w:tabs>
              <w:spacing w:before="3"/>
              <w:ind w:left="166"/>
              <w:rPr>
                <w:sz w:val="20"/>
              </w:rPr>
            </w:pPr>
            <w:r>
              <w:rPr>
                <w:color w:val="154D99"/>
                <w:sz w:val="23"/>
              </w:rPr>
              <w:t>$</w:t>
            </w:r>
            <w:r>
              <w:rPr>
                <w:color w:val="154D99"/>
                <w:sz w:val="23"/>
              </w:rPr>
              <w:tab/>
            </w:r>
            <w:r>
              <w:rPr>
                <w:color w:val="154D99"/>
                <w:position w:val="1"/>
                <w:sz w:val="20"/>
              </w:rPr>
              <w:t>971</w:t>
            </w:r>
            <w:r w:rsidR="004A3A48">
              <w:rPr>
                <w:color w:val="154D99"/>
                <w:spacing w:val="-33"/>
                <w:position w:val="1"/>
                <w:sz w:val="20"/>
              </w:rPr>
              <w:t>,</w:t>
            </w:r>
            <w:r>
              <w:rPr>
                <w:color w:val="154D99"/>
                <w:position w:val="1"/>
                <w:sz w:val="20"/>
              </w:rPr>
              <w:t>806</w:t>
            </w:r>
          </w:p>
        </w:tc>
        <w:tc>
          <w:tcPr>
            <w:tcW w:w="2367" w:type="dxa"/>
          </w:tcPr>
          <w:p w:rsidR="00A86F6B" w:rsidRDefault="0098186F">
            <w:pPr>
              <w:pStyle w:val="TableParagraph"/>
              <w:tabs>
                <w:tab w:val="left" w:pos="1555"/>
              </w:tabs>
              <w:spacing w:before="3"/>
              <w:ind w:left="158"/>
              <w:rPr>
                <w:sz w:val="20"/>
              </w:rPr>
            </w:pPr>
            <w:r>
              <w:rPr>
                <w:color w:val="154D99"/>
                <w:sz w:val="23"/>
              </w:rPr>
              <w:t>$</w:t>
            </w:r>
            <w:r>
              <w:rPr>
                <w:color w:val="154D99"/>
                <w:sz w:val="23"/>
              </w:rPr>
              <w:tab/>
            </w:r>
            <w:r>
              <w:rPr>
                <w:color w:val="154D99"/>
                <w:position w:val="1"/>
                <w:sz w:val="20"/>
              </w:rPr>
              <w:t>989,840</w:t>
            </w:r>
          </w:p>
        </w:tc>
        <w:tc>
          <w:tcPr>
            <w:tcW w:w="1067" w:type="dxa"/>
            <w:tcBorders>
              <w:right w:val="single" w:sz="8" w:space="0" w:color="1F1F28"/>
            </w:tcBorders>
          </w:tcPr>
          <w:p w:rsidR="00A86F6B" w:rsidRDefault="0098186F" w:rsidP="004A3A48">
            <w:pPr>
              <w:pStyle w:val="TableParagraph"/>
              <w:spacing w:before="20"/>
              <w:ind w:right="90"/>
              <w:jc w:val="right"/>
              <w:rPr>
                <w:rFonts w:ascii="Courier New"/>
                <w:b/>
              </w:rPr>
            </w:pPr>
            <w:r>
              <w:rPr>
                <w:rFonts w:ascii="Courier New"/>
                <w:b/>
                <w:color w:val="154D99"/>
              </w:rPr>
              <w:t>2%</w:t>
            </w:r>
          </w:p>
        </w:tc>
      </w:tr>
      <w:tr w:rsidR="00A86F6B" w:rsidTr="00430D1E">
        <w:trPr>
          <w:trHeight w:hRule="exact" w:val="287"/>
        </w:trPr>
        <w:tc>
          <w:tcPr>
            <w:tcW w:w="1176" w:type="dxa"/>
            <w:tcBorders>
              <w:left w:val="single" w:sz="8" w:space="0" w:color="1F1F28"/>
            </w:tcBorders>
          </w:tcPr>
          <w:p w:rsidR="00A86F6B" w:rsidRDefault="0098186F">
            <w:pPr>
              <w:pStyle w:val="TableParagraph"/>
              <w:ind w:left="102"/>
              <w:rPr>
                <w:rFonts w:ascii="Courier New"/>
                <w:b/>
              </w:rPr>
            </w:pPr>
            <w:r>
              <w:rPr>
                <w:rFonts w:ascii="Courier New"/>
                <w:b/>
                <w:color w:val="154D99"/>
                <w:w w:val="90"/>
              </w:rPr>
              <w:t>2011/12</w:t>
            </w:r>
          </w:p>
        </w:tc>
        <w:tc>
          <w:tcPr>
            <w:tcW w:w="2385" w:type="dxa"/>
          </w:tcPr>
          <w:p w:rsidR="00A86F6B" w:rsidRDefault="0098186F">
            <w:pPr>
              <w:pStyle w:val="TableParagraph"/>
              <w:tabs>
                <w:tab w:val="left" w:pos="1239"/>
              </w:tabs>
              <w:spacing w:before="3"/>
              <w:ind w:right="101"/>
              <w:jc w:val="right"/>
              <w:rPr>
                <w:sz w:val="20"/>
              </w:rPr>
            </w:pPr>
            <w:r>
              <w:rPr>
                <w:color w:val="154D99"/>
                <w:w w:val="105"/>
                <w:sz w:val="23"/>
              </w:rPr>
              <w:t>$</w:t>
            </w:r>
            <w:r>
              <w:rPr>
                <w:color w:val="154D99"/>
                <w:w w:val="105"/>
                <w:sz w:val="23"/>
              </w:rPr>
              <w:tab/>
            </w:r>
            <w:r>
              <w:rPr>
                <w:color w:val="154D99"/>
                <w:w w:val="105"/>
                <w:position w:val="1"/>
                <w:sz w:val="20"/>
              </w:rPr>
              <w:t>1,353,280</w:t>
            </w:r>
          </w:p>
        </w:tc>
        <w:tc>
          <w:tcPr>
            <w:tcW w:w="2367" w:type="dxa"/>
          </w:tcPr>
          <w:p w:rsidR="00A86F6B" w:rsidRDefault="0098186F">
            <w:pPr>
              <w:pStyle w:val="TableParagraph"/>
              <w:tabs>
                <w:tab w:val="left" w:pos="1550"/>
              </w:tabs>
              <w:spacing w:before="8"/>
              <w:ind w:left="158"/>
              <w:rPr>
                <w:sz w:val="20"/>
              </w:rPr>
            </w:pPr>
            <w:r>
              <w:rPr>
                <w:color w:val="154D99"/>
                <w:w w:val="105"/>
                <w:sz w:val="23"/>
              </w:rPr>
              <w:t>$</w:t>
            </w:r>
            <w:r>
              <w:rPr>
                <w:color w:val="154D99"/>
                <w:w w:val="105"/>
                <w:sz w:val="23"/>
              </w:rPr>
              <w:tab/>
            </w:r>
            <w:r>
              <w:rPr>
                <w:color w:val="154D99"/>
                <w:w w:val="105"/>
                <w:position w:val="2"/>
                <w:sz w:val="20"/>
              </w:rPr>
              <w:t>981,785</w:t>
            </w:r>
          </w:p>
        </w:tc>
        <w:tc>
          <w:tcPr>
            <w:tcW w:w="1067" w:type="dxa"/>
            <w:tcBorders>
              <w:right w:val="single" w:sz="8" w:space="0" w:color="1F1F28"/>
            </w:tcBorders>
          </w:tcPr>
          <w:p w:rsidR="00A86F6B" w:rsidRDefault="0098186F" w:rsidP="004A3A48">
            <w:pPr>
              <w:pStyle w:val="TableParagraph"/>
              <w:ind w:right="109"/>
              <w:jc w:val="right"/>
              <w:rPr>
                <w:rFonts w:ascii="Courier New"/>
                <w:b/>
              </w:rPr>
            </w:pPr>
            <w:r>
              <w:rPr>
                <w:rFonts w:ascii="Courier New"/>
                <w:b/>
                <w:color w:val="2367A7"/>
                <w:w w:val="85"/>
              </w:rPr>
              <w:t>-</w:t>
            </w:r>
            <w:r>
              <w:rPr>
                <w:rFonts w:ascii="Courier New"/>
                <w:b/>
                <w:color w:val="154D99"/>
                <w:w w:val="85"/>
              </w:rPr>
              <w:t>27%</w:t>
            </w:r>
          </w:p>
        </w:tc>
      </w:tr>
      <w:tr w:rsidR="00A86F6B" w:rsidTr="00430D1E">
        <w:trPr>
          <w:trHeight w:hRule="exact" w:val="290"/>
        </w:trPr>
        <w:tc>
          <w:tcPr>
            <w:tcW w:w="1176" w:type="dxa"/>
            <w:tcBorders>
              <w:left w:val="single" w:sz="8" w:space="0" w:color="1F1F28"/>
            </w:tcBorders>
          </w:tcPr>
          <w:p w:rsidR="00A86F6B" w:rsidRDefault="0098186F">
            <w:pPr>
              <w:pStyle w:val="TableParagraph"/>
              <w:ind w:left="102"/>
              <w:rPr>
                <w:rFonts w:ascii="Courier New"/>
                <w:b/>
              </w:rPr>
            </w:pPr>
            <w:r>
              <w:rPr>
                <w:rFonts w:ascii="Courier New"/>
                <w:b/>
                <w:color w:val="154D99"/>
                <w:w w:val="90"/>
              </w:rPr>
              <w:t>2012/13</w:t>
            </w:r>
          </w:p>
        </w:tc>
        <w:tc>
          <w:tcPr>
            <w:tcW w:w="2385" w:type="dxa"/>
          </w:tcPr>
          <w:p w:rsidR="00A86F6B" w:rsidRDefault="0098186F">
            <w:pPr>
              <w:pStyle w:val="TableParagraph"/>
              <w:tabs>
                <w:tab w:val="left" w:pos="1387"/>
              </w:tabs>
              <w:spacing w:before="3"/>
              <w:ind w:right="126"/>
              <w:jc w:val="right"/>
              <w:rPr>
                <w:sz w:val="20"/>
              </w:rPr>
            </w:pPr>
            <w:r>
              <w:rPr>
                <w:color w:val="2367A7"/>
                <w:w w:val="105"/>
                <w:sz w:val="23"/>
              </w:rPr>
              <w:t>$</w:t>
            </w:r>
            <w:r>
              <w:rPr>
                <w:color w:val="2367A7"/>
                <w:w w:val="105"/>
                <w:sz w:val="23"/>
              </w:rPr>
              <w:tab/>
            </w:r>
            <w:r>
              <w:rPr>
                <w:color w:val="154D99"/>
                <w:w w:val="105"/>
                <w:position w:val="1"/>
                <w:sz w:val="20"/>
              </w:rPr>
              <w:t>995,859</w:t>
            </w:r>
          </w:p>
        </w:tc>
        <w:tc>
          <w:tcPr>
            <w:tcW w:w="2367" w:type="dxa"/>
          </w:tcPr>
          <w:p w:rsidR="00A86F6B" w:rsidRDefault="0098186F">
            <w:pPr>
              <w:pStyle w:val="TableParagraph"/>
              <w:tabs>
                <w:tab w:val="left" w:pos="1551"/>
              </w:tabs>
              <w:spacing w:before="3"/>
              <w:ind w:left="158"/>
              <w:rPr>
                <w:sz w:val="20"/>
              </w:rPr>
            </w:pPr>
            <w:r>
              <w:rPr>
                <w:color w:val="154D99"/>
                <w:sz w:val="23"/>
              </w:rPr>
              <w:t>$</w:t>
            </w:r>
            <w:r>
              <w:rPr>
                <w:color w:val="154D99"/>
                <w:sz w:val="23"/>
              </w:rPr>
              <w:tab/>
            </w:r>
            <w:r>
              <w:rPr>
                <w:color w:val="154D99"/>
                <w:position w:val="1"/>
                <w:sz w:val="20"/>
              </w:rPr>
              <w:t>842,214</w:t>
            </w:r>
          </w:p>
        </w:tc>
        <w:tc>
          <w:tcPr>
            <w:tcW w:w="1067" w:type="dxa"/>
            <w:tcBorders>
              <w:right w:val="single" w:sz="8" w:space="0" w:color="1F1F28"/>
            </w:tcBorders>
          </w:tcPr>
          <w:p w:rsidR="00A86F6B" w:rsidRDefault="0098186F" w:rsidP="004A3A48">
            <w:pPr>
              <w:pStyle w:val="TableParagraph"/>
              <w:ind w:right="134"/>
              <w:jc w:val="right"/>
              <w:rPr>
                <w:rFonts w:ascii="Courier New"/>
                <w:b/>
              </w:rPr>
            </w:pPr>
            <w:r>
              <w:rPr>
                <w:rFonts w:ascii="Courier New"/>
                <w:b/>
                <w:color w:val="2367A7"/>
                <w:w w:val="75"/>
              </w:rPr>
              <w:t>-</w:t>
            </w:r>
            <w:r>
              <w:rPr>
                <w:rFonts w:ascii="Courier New"/>
                <w:b/>
                <w:color w:val="154D99"/>
                <w:w w:val="75"/>
              </w:rPr>
              <w:t>15%</w:t>
            </w:r>
          </w:p>
        </w:tc>
      </w:tr>
      <w:tr w:rsidR="00A86F6B" w:rsidTr="00430D1E">
        <w:trPr>
          <w:trHeight w:hRule="exact" w:val="290"/>
        </w:trPr>
        <w:tc>
          <w:tcPr>
            <w:tcW w:w="1176" w:type="dxa"/>
            <w:tcBorders>
              <w:left w:val="single" w:sz="8" w:space="0" w:color="1F1F28"/>
            </w:tcBorders>
          </w:tcPr>
          <w:p w:rsidR="00A86F6B" w:rsidRDefault="0098186F">
            <w:pPr>
              <w:pStyle w:val="TableParagraph"/>
              <w:spacing w:before="27"/>
              <w:ind w:left="102"/>
              <w:rPr>
                <w:rFonts w:ascii="Courier New"/>
                <w:b/>
              </w:rPr>
            </w:pPr>
            <w:r>
              <w:rPr>
                <w:rFonts w:ascii="Courier New"/>
                <w:b/>
                <w:color w:val="154D99"/>
                <w:w w:val="90"/>
              </w:rPr>
              <w:t>2013/14</w:t>
            </w:r>
          </w:p>
        </w:tc>
        <w:tc>
          <w:tcPr>
            <w:tcW w:w="2385" w:type="dxa"/>
          </w:tcPr>
          <w:p w:rsidR="00A86F6B" w:rsidRDefault="0098186F">
            <w:pPr>
              <w:pStyle w:val="TableParagraph"/>
              <w:tabs>
                <w:tab w:val="left" w:pos="1383"/>
              </w:tabs>
              <w:spacing w:before="5"/>
              <w:ind w:right="123"/>
              <w:jc w:val="right"/>
              <w:rPr>
                <w:sz w:val="20"/>
              </w:rPr>
            </w:pPr>
            <w:r>
              <w:rPr>
                <w:color w:val="154D99"/>
                <w:w w:val="105"/>
                <w:sz w:val="23"/>
              </w:rPr>
              <w:t>$</w:t>
            </w:r>
            <w:r>
              <w:rPr>
                <w:color w:val="154D99"/>
                <w:w w:val="105"/>
                <w:sz w:val="23"/>
              </w:rPr>
              <w:tab/>
            </w:r>
            <w:r>
              <w:rPr>
                <w:color w:val="154D99"/>
                <w:spacing w:val="-1"/>
                <w:w w:val="105"/>
                <w:position w:val="1"/>
                <w:sz w:val="20"/>
              </w:rPr>
              <w:t>849,024</w:t>
            </w:r>
          </w:p>
        </w:tc>
        <w:tc>
          <w:tcPr>
            <w:tcW w:w="2367" w:type="dxa"/>
          </w:tcPr>
          <w:p w:rsidR="00A86F6B" w:rsidRDefault="0098186F">
            <w:pPr>
              <w:pStyle w:val="TableParagraph"/>
              <w:tabs>
                <w:tab w:val="left" w:pos="1555"/>
              </w:tabs>
              <w:spacing w:before="5"/>
              <w:ind w:left="158"/>
              <w:rPr>
                <w:sz w:val="20"/>
              </w:rPr>
            </w:pPr>
            <w:r>
              <w:rPr>
                <w:color w:val="154D99"/>
                <w:sz w:val="23"/>
              </w:rPr>
              <w:t>$</w:t>
            </w:r>
            <w:r>
              <w:rPr>
                <w:color w:val="154D99"/>
                <w:sz w:val="23"/>
              </w:rPr>
              <w:tab/>
            </w:r>
            <w:r>
              <w:rPr>
                <w:color w:val="154D99"/>
                <w:position w:val="1"/>
                <w:sz w:val="20"/>
              </w:rPr>
              <w:t>689,395</w:t>
            </w:r>
          </w:p>
        </w:tc>
        <w:tc>
          <w:tcPr>
            <w:tcW w:w="1067" w:type="dxa"/>
            <w:tcBorders>
              <w:right w:val="single" w:sz="8" w:space="0" w:color="1F1F28"/>
            </w:tcBorders>
          </w:tcPr>
          <w:p w:rsidR="00A86F6B" w:rsidRDefault="004A3A48" w:rsidP="004A3A48">
            <w:pPr>
              <w:pStyle w:val="TableParagraph"/>
              <w:ind w:right="134"/>
              <w:jc w:val="right"/>
              <w:rPr>
                <w:rFonts w:ascii="Courier New"/>
                <w:b/>
              </w:rPr>
            </w:pPr>
            <w:r>
              <w:rPr>
                <w:rFonts w:ascii="Courier New"/>
                <w:b/>
                <w:color w:val="2367A7"/>
                <w:spacing w:val="-6"/>
                <w:w w:val="64"/>
              </w:rPr>
              <w:t>-</w:t>
            </w:r>
            <w:r w:rsidRPr="004A3A48">
              <w:rPr>
                <w:rFonts w:ascii="Courier New"/>
                <w:b/>
                <w:color w:val="154D99"/>
                <w:w w:val="75"/>
              </w:rPr>
              <w:t>19</w:t>
            </w:r>
            <w:r>
              <w:rPr>
                <w:rFonts w:ascii="Courier New"/>
                <w:b/>
                <w:color w:val="2367A7"/>
                <w:spacing w:val="-6"/>
                <w:w w:val="64"/>
              </w:rPr>
              <w:t>%</w:t>
            </w:r>
          </w:p>
        </w:tc>
      </w:tr>
      <w:tr w:rsidR="00A86F6B" w:rsidTr="00430D1E">
        <w:trPr>
          <w:trHeight w:hRule="exact" w:val="301"/>
        </w:trPr>
        <w:tc>
          <w:tcPr>
            <w:tcW w:w="1176" w:type="dxa"/>
            <w:tcBorders>
              <w:left w:val="single" w:sz="8" w:space="0" w:color="1F1F28"/>
            </w:tcBorders>
          </w:tcPr>
          <w:p w:rsidR="00A86F6B" w:rsidRDefault="0098186F">
            <w:pPr>
              <w:pStyle w:val="TableParagraph"/>
              <w:ind w:left="102"/>
              <w:rPr>
                <w:rFonts w:ascii="Courier New"/>
                <w:b/>
              </w:rPr>
            </w:pPr>
            <w:r>
              <w:rPr>
                <w:rFonts w:ascii="Courier New"/>
                <w:b/>
                <w:color w:val="154D99"/>
                <w:w w:val="90"/>
              </w:rPr>
              <w:t>2014/15</w:t>
            </w:r>
          </w:p>
        </w:tc>
        <w:tc>
          <w:tcPr>
            <w:tcW w:w="2385" w:type="dxa"/>
          </w:tcPr>
          <w:p w:rsidR="00A86F6B" w:rsidRDefault="0098186F">
            <w:pPr>
              <w:pStyle w:val="TableParagraph"/>
              <w:tabs>
                <w:tab w:val="left" w:pos="1388"/>
              </w:tabs>
              <w:spacing w:before="3"/>
              <w:ind w:right="125"/>
              <w:jc w:val="right"/>
              <w:rPr>
                <w:sz w:val="20"/>
              </w:rPr>
            </w:pPr>
            <w:r>
              <w:rPr>
                <w:color w:val="154D99"/>
                <w:w w:val="105"/>
                <w:sz w:val="23"/>
              </w:rPr>
              <w:t>$</w:t>
            </w:r>
            <w:r>
              <w:rPr>
                <w:color w:val="154D99"/>
                <w:w w:val="105"/>
                <w:sz w:val="23"/>
              </w:rPr>
              <w:tab/>
            </w:r>
            <w:r>
              <w:rPr>
                <w:color w:val="154D99"/>
                <w:w w:val="105"/>
                <w:position w:val="1"/>
                <w:sz w:val="20"/>
              </w:rPr>
              <w:t>835,868</w:t>
            </w:r>
          </w:p>
        </w:tc>
        <w:tc>
          <w:tcPr>
            <w:tcW w:w="2367" w:type="dxa"/>
          </w:tcPr>
          <w:p w:rsidR="00A86F6B" w:rsidRDefault="0098186F">
            <w:pPr>
              <w:pStyle w:val="TableParagraph"/>
              <w:tabs>
                <w:tab w:val="left" w:pos="1556"/>
              </w:tabs>
              <w:spacing w:before="3"/>
              <w:ind w:left="163"/>
              <w:rPr>
                <w:sz w:val="20"/>
              </w:rPr>
            </w:pPr>
            <w:r>
              <w:rPr>
                <w:color w:val="154D99"/>
                <w:w w:val="105"/>
                <w:sz w:val="23"/>
              </w:rPr>
              <w:t>$</w:t>
            </w:r>
            <w:r>
              <w:rPr>
                <w:color w:val="154D99"/>
                <w:w w:val="105"/>
                <w:sz w:val="23"/>
              </w:rPr>
              <w:tab/>
            </w:r>
            <w:r>
              <w:rPr>
                <w:color w:val="154D99"/>
                <w:spacing w:val="-3"/>
                <w:w w:val="105"/>
                <w:position w:val="1"/>
                <w:sz w:val="20"/>
              </w:rPr>
              <w:t>713</w:t>
            </w:r>
            <w:r>
              <w:rPr>
                <w:color w:val="3F62A1"/>
                <w:spacing w:val="-3"/>
                <w:w w:val="105"/>
                <w:position w:val="1"/>
                <w:sz w:val="20"/>
              </w:rPr>
              <w:t>,</w:t>
            </w:r>
            <w:r>
              <w:rPr>
                <w:color w:val="154D99"/>
                <w:spacing w:val="-3"/>
                <w:w w:val="105"/>
                <w:position w:val="1"/>
                <w:sz w:val="20"/>
              </w:rPr>
              <w:t>174</w:t>
            </w:r>
          </w:p>
        </w:tc>
        <w:tc>
          <w:tcPr>
            <w:tcW w:w="1067" w:type="dxa"/>
            <w:tcBorders>
              <w:right w:val="single" w:sz="8" w:space="0" w:color="1F1F28"/>
            </w:tcBorders>
          </w:tcPr>
          <w:p w:rsidR="00A86F6B" w:rsidRDefault="0098186F" w:rsidP="004A3A48">
            <w:pPr>
              <w:pStyle w:val="TableParagraph"/>
              <w:spacing w:before="20"/>
              <w:ind w:right="134"/>
              <w:jc w:val="right"/>
              <w:rPr>
                <w:rFonts w:ascii="Courier New"/>
                <w:b/>
              </w:rPr>
            </w:pPr>
            <w:r>
              <w:rPr>
                <w:rFonts w:ascii="Courier New"/>
                <w:b/>
                <w:color w:val="2367A7"/>
                <w:w w:val="75"/>
              </w:rPr>
              <w:t>-</w:t>
            </w:r>
            <w:r>
              <w:rPr>
                <w:rFonts w:ascii="Courier New"/>
                <w:b/>
                <w:color w:val="154D99"/>
                <w:w w:val="75"/>
              </w:rPr>
              <w:t>15%</w:t>
            </w:r>
          </w:p>
        </w:tc>
      </w:tr>
      <w:tr w:rsidR="00A86F6B" w:rsidTr="00430D1E">
        <w:trPr>
          <w:trHeight w:hRule="exact" w:val="279"/>
        </w:trPr>
        <w:tc>
          <w:tcPr>
            <w:tcW w:w="1176" w:type="dxa"/>
            <w:tcBorders>
              <w:left w:val="single" w:sz="8" w:space="0" w:color="1F1F28"/>
              <w:bottom w:val="single" w:sz="8" w:space="0" w:color="2B2B2F"/>
            </w:tcBorders>
          </w:tcPr>
          <w:p w:rsidR="00A86F6B" w:rsidRDefault="0098186F">
            <w:pPr>
              <w:pStyle w:val="TableParagraph"/>
              <w:spacing w:before="26"/>
              <w:ind w:left="102"/>
              <w:rPr>
                <w:rFonts w:ascii="Courier New"/>
                <w:b/>
              </w:rPr>
            </w:pPr>
            <w:r>
              <w:rPr>
                <w:rFonts w:ascii="Courier New"/>
                <w:b/>
                <w:color w:val="154D99"/>
                <w:w w:val="90"/>
              </w:rPr>
              <w:t>2015/16</w:t>
            </w:r>
          </w:p>
        </w:tc>
        <w:tc>
          <w:tcPr>
            <w:tcW w:w="2385" w:type="dxa"/>
            <w:tcBorders>
              <w:bottom w:val="single" w:sz="8" w:space="0" w:color="2B2B2F"/>
            </w:tcBorders>
          </w:tcPr>
          <w:p w:rsidR="00A86F6B" w:rsidRDefault="00A86F6B"/>
        </w:tc>
        <w:tc>
          <w:tcPr>
            <w:tcW w:w="2367" w:type="dxa"/>
            <w:tcBorders>
              <w:bottom w:val="single" w:sz="8" w:space="0" w:color="2B2B2F"/>
            </w:tcBorders>
          </w:tcPr>
          <w:p w:rsidR="00A86F6B" w:rsidRDefault="0098186F">
            <w:pPr>
              <w:pStyle w:val="TableParagraph"/>
              <w:spacing w:before="18"/>
              <w:ind w:right="136"/>
              <w:jc w:val="right"/>
              <w:rPr>
                <w:sz w:val="20"/>
              </w:rPr>
            </w:pPr>
            <w:r>
              <w:rPr>
                <w:color w:val="154D99"/>
                <w:w w:val="80"/>
                <w:sz w:val="20"/>
              </w:rPr>
              <w:t>0</w:t>
            </w:r>
          </w:p>
        </w:tc>
        <w:tc>
          <w:tcPr>
            <w:tcW w:w="1067" w:type="dxa"/>
            <w:tcBorders>
              <w:bottom w:val="single" w:sz="8" w:space="0" w:color="2B2B2F"/>
              <w:right w:val="single" w:sz="8" w:space="0" w:color="1F1F28"/>
            </w:tcBorders>
          </w:tcPr>
          <w:p w:rsidR="00A86F6B" w:rsidRDefault="00A86F6B"/>
        </w:tc>
      </w:tr>
    </w:tbl>
    <w:p w:rsidR="00A86F6B" w:rsidRDefault="00A86F6B">
      <w:pPr>
        <w:pStyle w:val="BodyText"/>
        <w:rPr>
          <w:sz w:val="22"/>
        </w:rPr>
      </w:pPr>
    </w:p>
    <w:p w:rsidR="00A86F6B" w:rsidRDefault="00A86F6B">
      <w:pPr>
        <w:pStyle w:val="BodyText"/>
        <w:rPr>
          <w:sz w:val="22"/>
        </w:rPr>
      </w:pPr>
    </w:p>
    <w:p w:rsidR="00A86F6B" w:rsidRDefault="00A86F6B">
      <w:pPr>
        <w:pStyle w:val="BodyText"/>
        <w:rPr>
          <w:sz w:val="22"/>
        </w:rPr>
      </w:pPr>
    </w:p>
    <w:p w:rsidR="00A86F6B" w:rsidRDefault="0098186F" w:rsidP="00430D1E">
      <w:pPr>
        <w:pStyle w:val="BodyText"/>
        <w:spacing w:before="152" w:line="295" w:lineRule="auto"/>
        <w:ind w:right="2261" w:hanging="1"/>
      </w:pPr>
      <w:proofErr w:type="spellStart"/>
      <w:r>
        <w:rPr>
          <w:color w:val="030305"/>
          <w:w w:val="105"/>
        </w:rPr>
        <w:t>ActewAGL</w:t>
      </w:r>
      <w:proofErr w:type="spellEnd"/>
      <w:r>
        <w:rPr>
          <w:color w:val="030305"/>
          <w:w w:val="105"/>
        </w:rPr>
        <w:t xml:space="preserve"> Distribution trusts that the information provided in this submission will provide the Directorate with levy issues to consider.</w:t>
      </w:r>
    </w:p>
    <w:p w:rsidR="00A86F6B" w:rsidRDefault="00A86F6B" w:rsidP="00430D1E">
      <w:pPr>
        <w:pStyle w:val="BodyText"/>
        <w:ind w:right="2261"/>
        <w:rPr>
          <w:sz w:val="25"/>
        </w:rPr>
      </w:pPr>
    </w:p>
    <w:p w:rsidR="00A86F6B" w:rsidRPr="004A3A48" w:rsidRDefault="0098186F" w:rsidP="00430D1E">
      <w:pPr>
        <w:pStyle w:val="BodyText"/>
        <w:spacing w:before="1" w:line="292" w:lineRule="auto"/>
        <w:ind w:right="2261" w:hanging="8"/>
        <w:rPr>
          <w:color w:val="030305"/>
          <w:w w:val="105"/>
        </w:rPr>
      </w:pPr>
      <w:r>
        <w:rPr>
          <w:color w:val="030305"/>
          <w:w w:val="105"/>
        </w:rPr>
        <w:t>If</w:t>
      </w:r>
      <w:r>
        <w:rPr>
          <w:color w:val="030305"/>
          <w:spacing w:val="-9"/>
          <w:w w:val="105"/>
        </w:rPr>
        <w:t xml:space="preserve"> </w:t>
      </w:r>
      <w:r>
        <w:rPr>
          <w:color w:val="030305"/>
          <w:w w:val="105"/>
        </w:rPr>
        <w:t>you</w:t>
      </w:r>
      <w:r>
        <w:rPr>
          <w:color w:val="030305"/>
          <w:spacing w:val="-17"/>
          <w:w w:val="105"/>
        </w:rPr>
        <w:t xml:space="preserve"> </w:t>
      </w:r>
      <w:r>
        <w:rPr>
          <w:color w:val="030305"/>
          <w:w w:val="105"/>
        </w:rPr>
        <w:t>have</w:t>
      </w:r>
      <w:r>
        <w:rPr>
          <w:color w:val="030305"/>
          <w:spacing w:val="-10"/>
          <w:w w:val="105"/>
        </w:rPr>
        <w:t xml:space="preserve"> </w:t>
      </w:r>
      <w:r>
        <w:rPr>
          <w:color w:val="030305"/>
          <w:w w:val="105"/>
        </w:rPr>
        <w:t>any</w:t>
      </w:r>
      <w:r>
        <w:rPr>
          <w:color w:val="030305"/>
          <w:spacing w:val="-18"/>
          <w:w w:val="105"/>
        </w:rPr>
        <w:t xml:space="preserve"> </w:t>
      </w:r>
      <w:r>
        <w:rPr>
          <w:color w:val="030305"/>
          <w:w w:val="105"/>
        </w:rPr>
        <w:t>enquiries</w:t>
      </w:r>
      <w:r>
        <w:rPr>
          <w:color w:val="030305"/>
          <w:spacing w:val="-16"/>
          <w:w w:val="105"/>
        </w:rPr>
        <w:t xml:space="preserve"> </w:t>
      </w:r>
      <w:r>
        <w:rPr>
          <w:color w:val="030305"/>
          <w:w w:val="105"/>
        </w:rPr>
        <w:t>in</w:t>
      </w:r>
      <w:r>
        <w:rPr>
          <w:color w:val="030305"/>
          <w:spacing w:val="-20"/>
          <w:w w:val="105"/>
        </w:rPr>
        <w:t xml:space="preserve"> </w:t>
      </w:r>
      <w:r>
        <w:rPr>
          <w:color w:val="030305"/>
          <w:w w:val="105"/>
        </w:rPr>
        <w:t>relation</w:t>
      </w:r>
      <w:r>
        <w:rPr>
          <w:color w:val="030305"/>
          <w:spacing w:val="-14"/>
          <w:w w:val="105"/>
        </w:rPr>
        <w:t xml:space="preserve"> </w:t>
      </w:r>
      <w:r>
        <w:rPr>
          <w:color w:val="030305"/>
          <w:w w:val="105"/>
        </w:rPr>
        <w:t>to</w:t>
      </w:r>
      <w:r>
        <w:rPr>
          <w:color w:val="030305"/>
          <w:spacing w:val="-10"/>
          <w:w w:val="105"/>
        </w:rPr>
        <w:t xml:space="preserve"> </w:t>
      </w:r>
      <w:r>
        <w:rPr>
          <w:color w:val="030305"/>
          <w:w w:val="105"/>
        </w:rPr>
        <w:t>this</w:t>
      </w:r>
      <w:r>
        <w:rPr>
          <w:color w:val="030305"/>
          <w:spacing w:val="-15"/>
          <w:w w:val="105"/>
        </w:rPr>
        <w:t xml:space="preserve"> </w:t>
      </w:r>
      <w:r>
        <w:rPr>
          <w:color w:val="18161A"/>
          <w:w w:val="105"/>
        </w:rPr>
        <w:t>submission,</w:t>
      </w:r>
      <w:r>
        <w:rPr>
          <w:color w:val="18161A"/>
          <w:spacing w:val="-9"/>
          <w:w w:val="105"/>
        </w:rPr>
        <w:t xml:space="preserve"> </w:t>
      </w:r>
      <w:r>
        <w:rPr>
          <w:color w:val="030305"/>
          <w:w w:val="105"/>
        </w:rPr>
        <w:t>please</w:t>
      </w:r>
      <w:r>
        <w:rPr>
          <w:color w:val="030305"/>
          <w:spacing w:val="-17"/>
          <w:w w:val="105"/>
        </w:rPr>
        <w:t xml:space="preserve"> </w:t>
      </w:r>
      <w:r>
        <w:rPr>
          <w:color w:val="030305"/>
          <w:w w:val="105"/>
        </w:rPr>
        <w:t>contact</w:t>
      </w:r>
      <w:r w:rsidRPr="004A3A48">
        <w:rPr>
          <w:color w:val="030305"/>
          <w:w w:val="105"/>
        </w:rPr>
        <w:t xml:space="preserve"> </w:t>
      </w:r>
      <w:r w:rsidR="004A3A48" w:rsidRPr="004A3A48">
        <w:rPr>
          <w:color w:val="030305"/>
          <w:w w:val="105"/>
        </w:rPr>
        <w:t>Robert Wa</w:t>
      </w:r>
      <w:r>
        <w:rPr>
          <w:color w:val="030305"/>
          <w:w w:val="105"/>
        </w:rPr>
        <w:t>lker, Senior Regulatory Officer</w:t>
      </w:r>
      <w:r w:rsidR="004A3A48" w:rsidRPr="004A3A48">
        <w:rPr>
          <w:color w:val="030305"/>
          <w:w w:val="105"/>
        </w:rPr>
        <w:t xml:space="preserve"> on [redacted]</w:t>
      </w:r>
    </w:p>
    <w:p w:rsidR="00A86F6B" w:rsidRDefault="00A86F6B" w:rsidP="00430D1E">
      <w:pPr>
        <w:pStyle w:val="BodyText"/>
        <w:ind w:right="2261"/>
        <w:rPr>
          <w:sz w:val="22"/>
        </w:rPr>
      </w:pPr>
    </w:p>
    <w:p w:rsidR="00A86F6B" w:rsidRPr="009E7334" w:rsidRDefault="0098186F" w:rsidP="009E7334">
      <w:pPr>
        <w:pStyle w:val="BodyText"/>
        <w:spacing w:before="1" w:line="292" w:lineRule="auto"/>
        <w:ind w:right="2261" w:hanging="8"/>
        <w:rPr>
          <w:color w:val="030305"/>
          <w:w w:val="105"/>
        </w:rPr>
      </w:pPr>
      <w:r w:rsidRPr="009E7334">
        <w:rPr>
          <w:color w:val="030305"/>
          <w:w w:val="105"/>
        </w:rPr>
        <w:t>Yours sincerely</w:t>
      </w:r>
    </w:p>
    <w:p w:rsidR="00A86F6B" w:rsidRPr="009E7334" w:rsidRDefault="00A86F6B" w:rsidP="009E7334">
      <w:pPr>
        <w:pStyle w:val="BodyText"/>
        <w:spacing w:before="1" w:line="292" w:lineRule="auto"/>
        <w:ind w:right="2261" w:hanging="8"/>
        <w:rPr>
          <w:color w:val="030305"/>
          <w:w w:val="105"/>
        </w:rPr>
      </w:pPr>
    </w:p>
    <w:p w:rsidR="00A86F6B" w:rsidRPr="009E7334" w:rsidRDefault="00A86F6B" w:rsidP="009E7334">
      <w:pPr>
        <w:pStyle w:val="BodyText"/>
        <w:spacing w:before="1" w:line="292" w:lineRule="auto"/>
        <w:ind w:right="2261" w:hanging="8"/>
        <w:rPr>
          <w:color w:val="030305"/>
          <w:w w:val="105"/>
        </w:rPr>
      </w:pPr>
    </w:p>
    <w:p w:rsidR="00A86F6B" w:rsidRPr="009E7334" w:rsidRDefault="00A86F6B" w:rsidP="009E7334">
      <w:pPr>
        <w:pStyle w:val="BodyText"/>
        <w:spacing w:before="1" w:line="292" w:lineRule="auto"/>
        <w:ind w:right="2261" w:hanging="8"/>
        <w:rPr>
          <w:color w:val="030305"/>
          <w:w w:val="105"/>
        </w:rPr>
      </w:pPr>
    </w:p>
    <w:p w:rsidR="00A86F6B" w:rsidRPr="009E7334" w:rsidRDefault="0098186F" w:rsidP="009E7334">
      <w:pPr>
        <w:pStyle w:val="BodyText"/>
        <w:spacing w:before="1" w:line="292" w:lineRule="auto"/>
        <w:ind w:right="2261" w:hanging="8"/>
        <w:rPr>
          <w:color w:val="030305"/>
          <w:w w:val="105"/>
        </w:rPr>
      </w:pPr>
      <w:r w:rsidRPr="009E7334">
        <w:rPr>
          <w:color w:val="030305"/>
          <w:w w:val="105"/>
        </w:rPr>
        <w:t>Dennis Stanley</w:t>
      </w:r>
    </w:p>
    <w:p w:rsidR="00A86F6B" w:rsidRPr="009E7334" w:rsidRDefault="00A86F6B" w:rsidP="009E7334">
      <w:pPr>
        <w:pStyle w:val="BodyText"/>
        <w:spacing w:before="1" w:line="292" w:lineRule="auto"/>
        <w:ind w:right="2261" w:hanging="8"/>
        <w:rPr>
          <w:color w:val="030305"/>
          <w:w w:val="105"/>
        </w:rPr>
      </w:pPr>
    </w:p>
    <w:p w:rsidR="004A3A48" w:rsidRPr="009E7334" w:rsidRDefault="0098186F" w:rsidP="009E7334">
      <w:pPr>
        <w:pStyle w:val="BodyText"/>
        <w:spacing w:before="1" w:line="292" w:lineRule="auto"/>
        <w:ind w:right="2261" w:hanging="8"/>
        <w:rPr>
          <w:color w:val="030305"/>
          <w:w w:val="105"/>
        </w:rPr>
      </w:pPr>
      <w:r w:rsidRPr="009E7334">
        <w:rPr>
          <w:color w:val="030305"/>
          <w:w w:val="105"/>
        </w:rPr>
        <w:t>Branch Ma</w:t>
      </w:r>
      <w:r w:rsidR="004A3A48" w:rsidRPr="009E7334">
        <w:rPr>
          <w:color w:val="030305"/>
          <w:w w:val="105"/>
        </w:rPr>
        <w:t xml:space="preserve">nager, Asset Strategy </w:t>
      </w:r>
    </w:p>
    <w:p w:rsidR="00A86F6B" w:rsidRPr="009E7334" w:rsidRDefault="004A3A48" w:rsidP="009E7334">
      <w:pPr>
        <w:pStyle w:val="BodyText"/>
        <w:spacing w:before="1" w:line="292" w:lineRule="auto"/>
        <w:ind w:right="2261" w:hanging="8"/>
        <w:rPr>
          <w:color w:val="030305"/>
          <w:w w:val="105"/>
        </w:rPr>
      </w:pPr>
      <w:proofErr w:type="spellStart"/>
      <w:r w:rsidRPr="009E7334">
        <w:rPr>
          <w:color w:val="030305"/>
          <w:w w:val="105"/>
        </w:rPr>
        <w:t>ActewAGL</w:t>
      </w:r>
      <w:proofErr w:type="spellEnd"/>
      <w:r w:rsidRPr="009E7334">
        <w:rPr>
          <w:color w:val="030305"/>
          <w:w w:val="105"/>
        </w:rPr>
        <w:t xml:space="preserve"> </w:t>
      </w:r>
      <w:r w:rsidR="0098186F" w:rsidRPr="009E7334">
        <w:rPr>
          <w:color w:val="030305"/>
          <w:w w:val="105"/>
        </w:rPr>
        <w:t>Distribution</w:t>
      </w:r>
    </w:p>
    <w:p w:rsidR="00A86F6B" w:rsidRDefault="00A86F6B">
      <w:pPr>
        <w:pStyle w:val="BodyText"/>
        <w:rPr>
          <w:sz w:val="20"/>
        </w:rPr>
      </w:pPr>
    </w:p>
    <w:p w:rsidR="00A86F6B" w:rsidRDefault="00A86F6B">
      <w:pPr>
        <w:pStyle w:val="BodyText"/>
        <w:rPr>
          <w:sz w:val="20"/>
        </w:rPr>
      </w:pPr>
    </w:p>
    <w:sectPr w:rsidR="00A86F6B" w:rsidSect="00430D1E">
      <w:pgSz w:w="11900" w:h="16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50F" w:rsidRDefault="00FC250F" w:rsidP="00FC250F">
      <w:r>
        <w:separator/>
      </w:r>
    </w:p>
  </w:endnote>
  <w:endnote w:type="continuationSeparator" w:id="0">
    <w:p w:rsidR="00FC250F" w:rsidRDefault="00FC250F" w:rsidP="00FC2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50F" w:rsidRDefault="00FC250F" w:rsidP="00EF40C6">
    <w:pPr>
      <w:spacing w:before="167"/>
      <w:ind w:left="284"/>
      <w:rPr>
        <w:sz w:val="16"/>
      </w:rPr>
    </w:pPr>
    <w:proofErr w:type="spellStart"/>
    <w:r>
      <w:rPr>
        <w:color w:val="0A080C"/>
        <w:sz w:val="16"/>
      </w:rPr>
      <w:t>ActewAGL</w:t>
    </w:r>
    <w:proofErr w:type="spellEnd"/>
    <w:r>
      <w:rPr>
        <w:color w:val="0A080C"/>
        <w:sz w:val="16"/>
      </w:rPr>
      <w:t xml:space="preserve"> House 40 </w:t>
    </w:r>
    <w:proofErr w:type="spellStart"/>
    <w:r>
      <w:rPr>
        <w:color w:val="0A080C"/>
        <w:sz w:val="16"/>
      </w:rPr>
      <w:t>Bunda</w:t>
    </w:r>
    <w:proofErr w:type="spellEnd"/>
    <w:r>
      <w:rPr>
        <w:color w:val="0A080C"/>
        <w:sz w:val="16"/>
      </w:rPr>
      <w:t xml:space="preserve"> Street Canberra ACT </w:t>
    </w:r>
    <w:r>
      <w:rPr>
        <w:color w:val="1F1F23"/>
        <w:sz w:val="16"/>
      </w:rPr>
      <w:t xml:space="preserve">2600 </w:t>
    </w:r>
    <w:r>
      <w:rPr>
        <w:color w:val="0A080C"/>
        <w:sz w:val="16"/>
      </w:rPr>
      <w:t>I GPO Bo</w:t>
    </w:r>
    <w:r>
      <w:rPr>
        <w:color w:val="312F34"/>
        <w:sz w:val="16"/>
      </w:rPr>
      <w:t xml:space="preserve">x </w:t>
    </w:r>
    <w:r>
      <w:rPr>
        <w:color w:val="1F1F23"/>
        <w:sz w:val="16"/>
      </w:rPr>
      <w:t xml:space="preserve">366 </w:t>
    </w:r>
    <w:r>
      <w:rPr>
        <w:color w:val="0A080C"/>
        <w:sz w:val="16"/>
      </w:rPr>
      <w:t xml:space="preserve">Canberra ACT </w:t>
    </w:r>
    <w:r>
      <w:rPr>
        <w:color w:val="1F1F23"/>
        <w:sz w:val="16"/>
      </w:rPr>
      <w:t>2601</w:t>
    </w:r>
  </w:p>
  <w:p w:rsidR="00FC250F" w:rsidRDefault="00FC250F" w:rsidP="00131AD9">
    <w:pPr>
      <w:tabs>
        <w:tab w:val="left" w:pos="1058"/>
        <w:tab w:val="left" w:pos="3969"/>
      </w:tabs>
      <w:spacing w:before="18"/>
      <w:ind w:left="284"/>
      <w:rPr>
        <w:sz w:val="16"/>
      </w:rPr>
    </w:pPr>
    <w:proofErr w:type="gramStart"/>
    <w:r>
      <w:rPr>
        <w:rFonts w:ascii="Times New Roman"/>
        <w:b/>
        <w:color w:val="0A080C"/>
        <w:sz w:val="18"/>
      </w:rPr>
      <w:t>t</w:t>
    </w:r>
    <w:proofErr w:type="gramEnd"/>
    <w:r>
      <w:rPr>
        <w:rFonts w:ascii="Times New Roman"/>
        <w:b/>
        <w:color w:val="0A080C"/>
        <w:sz w:val="18"/>
      </w:rPr>
      <w:t xml:space="preserve"> </w:t>
    </w:r>
    <w:r>
      <w:rPr>
        <w:color w:val="0A080C"/>
        <w:sz w:val="16"/>
      </w:rPr>
      <w:t>13</w:t>
    </w:r>
    <w:r>
      <w:rPr>
        <w:color w:val="0A080C"/>
        <w:spacing w:val="-8"/>
        <w:sz w:val="16"/>
      </w:rPr>
      <w:t xml:space="preserve"> </w:t>
    </w:r>
    <w:r>
      <w:rPr>
        <w:color w:val="0A080C"/>
        <w:sz w:val="16"/>
      </w:rPr>
      <w:t>14</w:t>
    </w:r>
    <w:r>
      <w:rPr>
        <w:color w:val="0A080C"/>
        <w:spacing w:val="1"/>
        <w:sz w:val="16"/>
      </w:rPr>
      <w:t xml:space="preserve"> </w:t>
    </w:r>
    <w:r>
      <w:rPr>
        <w:color w:val="0A080C"/>
        <w:sz w:val="16"/>
      </w:rPr>
      <w:t>93</w:t>
    </w:r>
    <w:r>
      <w:rPr>
        <w:color w:val="0A080C"/>
        <w:sz w:val="16"/>
      </w:rPr>
      <w:tab/>
      <w:t xml:space="preserve">I   </w:t>
    </w:r>
    <w:proofErr w:type="spellStart"/>
    <w:r>
      <w:rPr>
        <w:color w:val="0A080C"/>
        <w:sz w:val="16"/>
      </w:rPr>
      <w:t>actewag</w:t>
    </w:r>
    <w:proofErr w:type="spellEnd"/>
    <w:r>
      <w:rPr>
        <w:color w:val="0A080C"/>
        <w:spacing w:val="-20"/>
        <w:sz w:val="16"/>
      </w:rPr>
      <w:t xml:space="preserve"> </w:t>
    </w:r>
    <w:r>
      <w:rPr>
        <w:color w:val="0A080C"/>
        <w:spacing w:val="-5"/>
        <w:sz w:val="16"/>
      </w:rPr>
      <w:t>l.com</w:t>
    </w:r>
    <w:r>
      <w:rPr>
        <w:color w:val="424244"/>
        <w:spacing w:val="-5"/>
        <w:sz w:val="16"/>
      </w:rPr>
      <w:t>.</w:t>
    </w:r>
    <w:r>
      <w:rPr>
        <w:color w:val="0A080C"/>
        <w:spacing w:val="-5"/>
        <w:sz w:val="16"/>
      </w:rPr>
      <w:t>au</w:t>
    </w:r>
    <w:r w:rsidR="00131AD9">
      <w:rPr>
        <w:color w:val="0A080C"/>
        <w:spacing w:val="-5"/>
        <w:sz w:val="16"/>
      </w:rPr>
      <w:tab/>
    </w:r>
  </w:p>
  <w:p w:rsidR="00FC250F" w:rsidRDefault="00FC250F" w:rsidP="00EF40C6">
    <w:pPr>
      <w:spacing w:before="178"/>
      <w:ind w:left="284"/>
      <w:rPr>
        <w:sz w:val="10"/>
      </w:rPr>
    </w:pPr>
    <w:proofErr w:type="spellStart"/>
    <w:r>
      <w:rPr>
        <w:color w:val="424244"/>
        <w:w w:val="110"/>
        <w:sz w:val="10"/>
      </w:rPr>
      <w:t>Ac</w:t>
    </w:r>
    <w:r>
      <w:rPr>
        <w:color w:val="1F1F23"/>
        <w:w w:val="110"/>
        <w:sz w:val="10"/>
      </w:rPr>
      <w:t>t</w:t>
    </w:r>
    <w:r>
      <w:rPr>
        <w:color w:val="424244"/>
        <w:w w:val="110"/>
        <w:sz w:val="10"/>
      </w:rPr>
      <w:t>ewAGL</w:t>
    </w:r>
    <w:proofErr w:type="spellEnd"/>
    <w:r>
      <w:rPr>
        <w:color w:val="424244"/>
        <w:spacing w:val="7"/>
        <w:w w:val="110"/>
        <w:sz w:val="10"/>
      </w:rPr>
      <w:t xml:space="preserve"> </w:t>
    </w:r>
    <w:r>
      <w:rPr>
        <w:color w:val="312F34"/>
        <w:w w:val="110"/>
        <w:sz w:val="10"/>
      </w:rPr>
      <w:t>Distribution</w:t>
    </w:r>
    <w:r>
      <w:rPr>
        <w:color w:val="312F34"/>
        <w:spacing w:val="-5"/>
        <w:w w:val="110"/>
        <w:sz w:val="10"/>
      </w:rPr>
      <w:t xml:space="preserve"> </w:t>
    </w:r>
    <w:r>
      <w:rPr>
        <w:color w:val="424244"/>
        <w:w w:val="110"/>
        <w:sz w:val="10"/>
      </w:rPr>
      <w:t>ABN</w:t>
    </w:r>
    <w:r>
      <w:rPr>
        <w:color w:val="424244"/>
        <w:spacing w:val="-9"/>
        <w:w w:val="110"/>
        <w:sz w:val="10"/>
      </w:rPr>
      <w:t xml:space="preserve"> </w:t>
    </w:r>
    <w:r>
      <w:rPr>
        <w:color w:val="424244"/>
        <w:w w:val="110"/>
        <w:sz w:val="10"/>
      </w:rPr>
      <w:t>76</w:t>
    </w:r>
    <w:r>
      <w:rPr>
        <w:color w:val="424244"/>
        <w:spacing w:val="-9"/>
        <w:w w:val="110"/>
        <w:sz w:val="10"/>
      </w:rPr>
      <w:t xml:space="preserve"> </w:t>
    </w:r>
    <w:r>
      <w:rPr>
        <w:color w:val="424244"/>
        <w:w w:val="110"/>
        <w:sz w:val="10"/>
      </w:rPr>
      <w:t>670</w:t>
    </w:r>
    <w:r>
      <w:rPr>
        <w:color w:val="424244"/>
        <w:spacing w:val="-6"/>
        <w:w w:val="110"/>
        <w:sz w:val="10"/>
      </w:rPr>
      <w:t xml:space="preserve"> </w:t>
    </w:r>
    <w:r>
      <w:rPr>
        <w:color w:val="424244"/>
        <w:w w:val="110"/>
        <w:sz w:val="10"/>
      </w:rPr>
      <w:t>568</w:t>
    </w:r>
    <w:r>
      <w:rPr>
        <w:color w:val="424244"/>
        <w:spacing w:val="-13"/>
        <w:w w:val="110"/>
        <w:sz w:val="10"/>
      </w:rPr>
      <w:t xml:space="preserve"> </w:t>
    </w:r>
    <w:r>
      <w:rPr>
        <w:color w:val="424244"/>
        <w:w w:val="110"/>
        <w:sz w:val="10"/>
      </w:rPr>
      <w:t>688</w:t>
    </w:r>
    <w:r>
      <w:rPr>
        <w:color w:val="424244"/>
        <w:spacing w:val="-5"/>
        <w:w w:val="110"/>
        <w:sz w:val="10"/>
      </w:rPr>
      <w:t xml:space="preserve"> </w:t>
    </w:r>
    <w:r>
      <w:rPr>
        <w:color w:val="424244"/>
        <w:w w:val="110"/>
        <w:sz w:val="10"/>
      </w:rPr>
      <w:t>a</w:t>
    </w:r>
    <w:r>
      <w:rPr>
        <w:color w:val="424244"/>
        <w:spacing w:val="-6"/>
        <w:w w:val="110"/>
        <w:sz w:val="10"/>
      </w:rPr>
      <w:t xml:space="preserve"> </w:t>
    </w:r>
    <w:r>
      <w:rPr>
        <w:color w:val="312F34"/>
        <w:w w:val="110"/>
        <w:sz w:val="10"/>
      </w:rPr>
      <w:t>partnership</w:t>
    </w:r>
    <w:r>
      <w:rPr>
        <w:color w:val="312F34"/>
        <w:spacing w:val="-5"/>
        <w:w w:val="110"/>
        <w:sz w:val="10"/>
      </w:rPr>
      <w:t xml:space="preserve"> </w:t>
    </w:r>
    <w:r>
      <w:rPr>
        <w:color w:val="312F34"/>
        <w:w w:val="110"/>
        <w:sz w:val="10"/>
      </w:rPr>
      <w:t>of</w:t>
    </w:r>
    <w:r>
      <w:rPr>
        <w:color w:val="312F34"/>
        <w:spacing w:val="-8"/>
        <w:w w:val="110"/>
        <w:sz w:val="10"/>
      </w:rPr>
      <w:t xml:space="preserve"> </w:t>
    </w:r>
    <w:r>
      <w:rPr>
        <w:color w:val="312F34"/>
        <w:w w:val="110"/>
        <w:sz w:val="10"/>
      </w:rPr>
      <w:t>Icon</w:t>
    </w:r>
    <w:r>
      <w:rPr>
        <w:color w:val="312F34"/>
        <w:spacing w:val="-9"/>
        <w:w w:val="110"/>
        <w:sz w:val="10"/>
      </w:rPr>
      <w:t xml:space="preserve"> </w:t>
    </w:r>
    <w:r w:rsidR="00131AD9">
      <w:rPr>
        <w:color w:val="312F34"/>
        <w:w w:val="110"/>
        <w:sz w:val="10"/>
      </w:rPr>
      <w:t>Distribution</w:t>
    </w:r>
    <w:r>
      <w:rPr>
        <w:color w:val="312F34"/>
        <w:spacing w:val="-6"/>
        <w:w w:val="110"/>
        <w:sz w:val="10"/>
      </w:rPr>
      <w:t xml:space="preserve"> </w:t>
    </w:r>
    <w:r>
      <w:rPr>
        <w:color w:val="1F1F23"/>
        <w:w w:val="110"/>
        <w:sz w:val="10"/>
      </w:rPr>
      <w:t>In</w:t>
    </w:r>
    <w:r>
      <w:rPr>
        <w:color w:val="424244"/>
        <w:w w:val="110"/>
        <w:sz w:val="10"/>
      </w:rPr>
      <w:t>vestme</w:t>
    </w:r>
    <w:r>
      <w:rPr>
        <w:color w:val="1F1F23"/>
        <w:w w:val="110"/>
        <w:sz w:val="10"/>
      </w:rPr>
      <w:t>nt</w:t>
    </w:r>
    <w:r>
      <w:rPr>
        <w:color w:val="424244"/>
        <w:w w:val="110"/>
        <w:sz w:val="10"/>
      </w:rPr>
      <w:t>s</w:t>
    </w:r>
    <w:r>
      <w:rPr>
        <w:color w:val="424244"/>
        <w:spacing w:val="-9"/>
        <w:w w:val="110"/>
        <w:sz w:val="10"/>
      </w:rPr>
      <w:t xml:space="preserve"> </w:t>
    </w:r>
    <w:r>
      <w:rPr>
        <w:color w:val="312F34"/>
        <w:w w:val="110"/>
        <w:sz w:val="10"/>
      </w:rPr>
      <w:t>Limited</w:t>
    </w:r>
    <w:r>
      <w:rPr>
        <w:color w:val="312F34"/>
        <w:spacing w:val="-6"/>
        <w:w w:val="110"/>
        <w:sz w:val="10"/>
      </w:rPr>
      <w:t xml:space="preserve"> </w:t>
    </w:r>
    <w:r>
      <w:rPr>
        <w:color w:val="424244"/>
        <w:spacing w:val="3"/>
        <w:w w:val="110"/>
        <w:sz w:val="10"/>
      </w:rPr>
      <w:t>AB</w:t>
    </w:r>
    <w:r>
      <w:rPr>
        <w:color w:val="1F1F23"/>
        <w:spacing w:val="3"/>
        <w:w w:val="110"/>
        <w:sz w:val="10"/>
      </w:rPr>
      <w:t>N</w:t>
    </w:r>
    <w:r>
      <w:rPr>
        <w:color w:val="1F1F23"/>
        <w:w w:val="110"/>
        <w:sz w:val="10"/>
      </w:rPr>
      <w:t xml:space="preserve"> </w:t>
    </w:r>
    <w:r>
      <w:rPr>
        <w:color w:val="312F34"/>
        <w:w w:val="110"/>
        <w:sz w:val="10"/>
      </w:rPr>
      <w:t>83</w:t>
    </w:r>
    <w:r>
      <w:rPr>
        <w:color w:val="312F34"/>
        <w:spacing w:val="1"/>
        <w:w w:val="110"/>
        <w:sz w:val="10"/>
      </w:rPr>
      <w:t xml:space="preserve"> </w:t>
    </w:r>
    <w:r>
      <w:rPr>
        <w:color w:val="312F34"/>
        <w:w w:val="110"/>
        <w:sz w:val="10"/>
      </w:rPr>
      <w:t>073</w:t>
    </w:r>
    <w:r>
      <w:rPr>
        <w:color w:val="312F34"/>
        <w:spacing w:val="7"/>
        <w:w w:val="110"/>
        <w:sz w:val="10"/>
      </w:rPr>
      <w:t xml:space="preserve"> </w:t>
    </w:r>
    <w:r>
      <w:rPr>
        <w:color w:val="312F34"/>
        <w:w w:val="110"/>
        <w:sz w:val="10"/>
      </w:rPr>
      <w:t>025</w:t>
    </w:r>
    <w:r>
      <w:rPr>
        <w:color w:val="312F34"/>
        <w:spacing w:val="-11"/>
        <w:w w:val="110"/>
        <w:sz w:val="10"/>
      </w:rPr>
      <w:t xml:space="preserve"> </w:t>
    </w:r>
    <w:r>
      <w:rPr>
        <w:color w:val="424244"/>
        <w:w w:val="110"/>
        <w:sz w:val="10"/>
      </w:rPr>
      <w:t>224</w:t>
    </w:r>
    <w:r>
      <w:rPr>
        <w:color w:val="424244"/>
        <w:spacing w:val="-5"/>
        <w:w w:val="110"/>
        <w:sz w:val="10"/>
      </w:rPr>
      <w:t xml:space="preserve"> </w:t>
    </w:r>
    <w:r>
      <w:rPr>
        <w:color w:val="312F34"/>
        <w:w w:val="110"/>
        <w:sz w:val="10"/>
      </w:rPr>
      <w:t>and</w:t>
    </w:r>
    <w:r>
      <w:rPr>
        <w:color w:val="312F34"/>
        <w:spacing w:val="-10"/>
        <w:w w:val="110"/>
        <w:sz w:val="10"/>
      </w:rPr>
      <w:t xml:space="preserve"> </w:t>
    </w:r>
    <w:proofErr w:type="spellStart"/>
    <w:r>
      <w:rPr>
        <w:color w:val="312F34"/>
        <w:w w:val="110"/>
        <w:sz w:val="10"/>
      </w:rPr>
      <w:t>Jemena</w:t>
    </w:r>
    <w:proofErr w:type="spellEnd"/>
    <w:r>
      <w:rPr>
        <w:color w:val="312F34"/>
        <w:spacing w:val="-5"/>
        <w:w w:val="110"/>
        <w:sz w:val="10"/>
      </w:rPr>
      <w:t xml:space="preserve"> </w:t>
    </w:r>
    <w:r>
      <w:rPr>
        <w:color w:val="312F34"/>
        <w:w w:val="110"/>
        <w:sz w:val="10"/>
      </w:rPr>
      <w:t>Networks</w:t>
    </w:r>
    <w:r>
      <w:rPr>
        <w:color w:val="312F34"/>
        <w:spacing w:val="-6"/>
        <w:w w:val="110"/>
        <w:sz w:val="10"/>
      </w:rPr>
      <w:t xml:space="preserve"> </w:t>
    </w:r>
    <w:r>
      <w:rPr>
        <w:color w:val="424244"/>
        <w:w w:val="110"/>
        <w:sz w:val="10"/>
      </w:rPr>
      <w:t>(ACT)</w:t>
    </w:r>
    <w:r>
      <w:rPr>
        <w:color w:val="424244"/>
        <w:spacing w:val="-6"/>
        <w:w w:val="110"/>
        <w:sz w:val="10"/>
      </w:rPr>
      <w:t xml:space="preserve"> </w:t>
    </w:r>
    <w:r>
      <w:rPr>
        <w:color w:val="312F34"/>
        <w:w w:val="110"/>
        <w:sz w:val="10"/>
      </w:rPr>
      <w:t>Ply</w:t>
    </w:r>
    <w:r>
      <w:rPr>
        <w:color w:val="312F34"/>
        <w:spacing w:val="-9"/>
        <w:w w:val="110"/>
        <w:sz w:val="10"/>
      </w:rPr>
      <w:t xml:space="preserve"> </w:t>
    </w:r>
    <w:r>
      <w:rPr>
        <w:color w:val="312F34"/>
        <w:w w:val="110"/>
        <w:sz w:val="10"/>
      </w:rPr>
      <w:t>Ltd</w:t>
    </w:r>
    <w:r>
      <w:rPr>
        <w:color w:val="312F34"/>
        <w:spacing w:val="1"/>
        <w:w w:val="110"/>
        <w:sz w:val="10"/>
      </w:rPr>
      <w:t xml:space="preserve"> </w:t>
    </w:r>
    <w:r>
      <w:rPr>
        <w:color w:val="424244"/>
        <w:w w:val="110"/>
        <w:sz w:val="10"/>
      </w:rPr>
      <w:t>AB</w:t>
    </w:r>
    <w:r>
      <w:rPr>
        <w:color w:val="1F1F23"/>
        <w:w w:val="110"/>
        <w:sz w:val="10"/>
      </w:rPr>
      <w:t>N</w:t>
    </w:r>
    <w:r>
      <w:rPr>
        <w:color w:val="1F1F23"/>
        <w:spacing w:val="-8"/>
        <w:w w:val="110"/>
        <w:sz w:val="10"/>
      </w:rPr>
      <w:t xml:space="preserve"> </w:t>
    </w:r>
    <w:r>
      <w:rPr>
        <w:color w:val="424244"/>
        <w:w w:val="110"/>
        <w:sz w:val="10"/>
      </w:rPr>
      <w:t>24</w:t>
    </w:r>
    <w:r>
      <w:rPr>
        <w:color w:val="424244"/>
        <w:spacing w:val="-6"/>
        <w:w w:val="110"/>
        <w:sz w:val="10"/>
      </w:rPr>
      <w:t xml:space="preserve"> </w:t>
    </w:r>
    <w:r>
      <w:rPr>
        <w:color w:val="312F34"/>
        <w:w w:val="110"/>
        <w:sz w:val="10"/>
      </w:rPr>
      <w:t>008</w:t>
    </w:r>
    <w:r>
      <w:rPr>
        <w:color w:val="312F34"/>
        <w:spacing w:val="-9"/>
        <w:w w:val="110"/>
        <w:sz w:val="10"/>
      </w:rPr>
      <w:t xml:space="preserve"> </w:t>
    </w:r>
    <w:r>
      <w:rPr>
        <w:color w:val="424244"/>
        <w:w w:val="110"/>
        <w:sz w:val="10"/>
      </w:rPr>
      <w:t>552</w:t>
    </w:r>
    <w:r>
      <w:rPr>
        <w:color w:val="424244"/>
        <w:spacing w:val="-13"/>
        <w:w w:val="110"/>
        <w:sz w:val="10"/>
      </w:rPr>
      <w:t xml:space="preserve"> </w:t>
    </w:r>
    <w:r>
      <w:rPr>
        <w:color w:val="424244"/>
        <w:w w:val="110"/>
        <w:sz w:val="10"/>
      </w:rPr>
      <w:t>663</w:t>
    </w:r>
    <w:r>
      <w:rPr>
        <w:color w:val="8E8E90"/>
        <w:w w:val="110"/>
        <w:sz w:val="1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50F" w:rsidRDefault="00FC250F" w:rsidP="00FC250F">
      <w:r>
        <w:separator/>
      </w:r>
    </w:p>
  </w:footnote>
  <w:footnote w:type="continuationSeparator" w:id="0">
    <w:p w:rsidR="00FC250F" w:rsidRDefault="00FC250F" w:rsidP="00FC2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204A"/>
    <w:multiLevelType w:val="hybridMultilevel"/>
    <w:tmpl w:val="EAD0C7E0"/>
    <w:lvl w:ilvl="0" w:tplc="8CD67B9A">
      <w:start w:val="1"/>
      <w:numFmt w:val="decimal"/>
      <w:lvlText w:val="%1."/>
      <w:lvlJc w:val="left"/>
      <w:pPr>
        <w:ind w:left="570" w:hanging="382"/>
        <w:jc w:val="right"/>
      </w:pPr>
      <w:rPr>
        <w:rFonts w:hint="default"/>
        <w:i/>
        <w:w w:val="105"/>
      </w:rPr>
    </w:lvl>
    <w:lvl w:ilvl="1" w:tplc="27148E28">
      <w:numFmt w:val="bullet"/>
      <w:lvlText w:val="•"/>
      <w:lvlJc w:val="left"/>
      <w:pPr>
        <w:ind w:left="1388" w:hanging="382"/>
      </w:pPr>
      <w:rPr>
        <w:rFonts w:hint="default"/>
      </w:rPr>
    </w:lvl>
    <w:lvl w:ilvl="2" w:tplc="2BF0DEBA">
      <w:numFmt w:val="bullet"/>
      <w:lvlText w:val="•"/>
      <w:lvlJc w:val="left"/>
      <w:pPr>
        <w:ind w:left="2196" w:hanging="382"/>
      </w:pPr>
      <w:rPr>
        <w:rFonts w:hint="default"/>
      </w:rPr>
    </w:lvl>
    <w:lvl w:ilvl="3" w:tplc="02BE7F60">
      <w:numFmt w:val="bullet"/>
      <w:lvlText w:val="•"/>
      <w:lvlJc w:val="left"/>
      <w:pPr>
        <w:ind w:left="3004" w:hanging="382"/>
      </w:pPr>
      <w:rPr>
        <w:rFonts w:hint="default"/>
      </w:rPr>
    </w:lvl>
    <w:lvl w:ilvl="4" w:tplc="2DC2D4DE">
      <w:numFmt w:val="bullet"/>
      <w:lvlText w:val="•"/>
      <w:lvlJc w:val="left"/>
      <w:pPr>
        <w:ind w:left="3812" w:hanging="382"/>
      </w:pPr>
      <w:rPr>
        <w:rFonts w:hint="default"/>
      </w:rPr>
    </w:lvl>
    <w:lvl w:ilvl="5" w:tplc="CA2813DA">
      <w:numFmt w:val="bullet"/>
      <w:lvlText w:val="•"/>
      <w:lvlJc w:val="left"/>
      <w:pPr>
        <w:ind w:left="4620" w:hanging="382"/>
      </w:pPr>
      <w:rPr>
        <w:rFonts w:hint="default"/>
      </w:rPr>
    </w:lvl>
    <w:lvl w:ilvl="6" w:tplc="EDD21EE8">
      <w:numFmt w:val="bullet"/>
      <w:lvlText w:val="•"/>
      <w:lvlJc w:val="left"/>
      <w:pPr>
        <w:ind w:left="5428" w:hanging="382"/>
      </w:pPr>
      <w:rPr>
        <w:rFonts w:hint="default"/>
      </w:rPr>
    </w:lvl>
    <w:lvl w:ilvl="7" w:tplc="02085370">
      <w:numFmt w:val="bullet"/>
      <w:lvlText w:val="•"/>
      <w:lvlJc w:val="left"/>
      <w:pPr>
        <w:ind w:left="6236" w:hanging="382"/>
      </w:pPr>
      <w:rPr>
        <w:rFonts w:hint="default"/>
      </w:rPr>
    </w:lvl>
    <w:lvl w:ilvl="8" w:tplc="7EE489C6">
      <w:numFmt w:val="bullet"/>
      <w:lvlText w:val="•"/>
      <w:lvlJc w:val="left"/>
      <w:pPr>
        <w:ind w:left="7044" w:hanging="382"/>
      </w:pPr>
      <w:rPr>
        <w:rFonts w:hint="default"/>
      </w:rPr>
    </w:lvl>
  </w:abstractNum>
  <w:abstractNum w:abstractNumId="1">
    <w:nsid w:val="5EA94372"/>
    <w:multiLevelType w:val="hybridMultilevel"/>
    <w:tmpl w:val="3B6AE2A0"/>
    <w:lvl w:ilvl="0" w:tplc="A0601EF6">
      <w:numFmt w:val="bullet"/>
      <w:lvlText w:val="•"/>
      <w:lvlJc w:val="left"/>
      <w:pPr>
        <w:ind w:left="564" w:hanging="351"/>
      </w:pPr>
      <w:rPr>
        <w:rFonts w:ascii="Arial" w:eastAsia="Arial" w:hAnsi="Arial" w:cs="Arial" w:hint="default"/>
        <w:color w:val="0A080C"/>
        <w:w w:val="111"/>
        <w:sz w:val="21"/>
        <w:szCs w:val="21"/>
      </w:rPr>
    </w:lvl>
    <w:lvl w:ilvl="1" w:tplc="3E0A82E2">
      <w:numFmt w:val="bullet"/>
      <w:lvlText w:val="•"/>
      <w:lvlJc w:val="left"/>
      <w:pPr>
        <w:ind w:left="1388" w:hanging="351"/>
      </w:pPr>
      <w:rPr>
        <w:rFonts w:hint="default"/>
      </w:rPr>
    </w:lvl>
    <w:lvl w:ilvl="2" w:tplc="7A6CEF3C">
      <w:numFmt w:val="bullet"/>
      <w:lvlText w:val="•"/>
      <w:lvlJc w:val="left"/>
      <w:pPr>
        <w:ind w:left="2216" w:hanging="351"/>
      </w:pPr>
      <w:rPr>
        <w:rFonts w:hint="default"/>
      </w:rPr>
    </w:lvl>
    <w:lvl w:ilvl="3" w:tplc="81669E2E">
      <w:numFmt w:val="bullet"/>
      <w:lvlText w:val="•"/>
      <w:lvlJc w:val="left"/>
      <w:pPr>
        <w:ind w:left="3044" w:hanging="351"/>
      </w:pPr>
      <w:rPr>
        <w:rFonts w:hint="default"/>
      </w:rPr>
    </w:lvl>
    <w:lvl w:ilvl="4" w:tplc="B26A17CE">
      <w:numFmt w:val="bullet"/>
      <w:lvlText w:val="•"/>
      <w:lvlJc w:val="left"/>
      <w:pPr>
        <w:ind w:left="3872" w:hanging="351"/>
      </w:pPr>
      <w:rPr>
        <w:rFonts w:hint="default"/>
      </w:rPr>
    </w:lvl>
    <w:lvl w:ilvl="5" w:tplc="BAE22876">
      <w:numFmt w:val="bullet"/>
      <w:lvlText w:val="•"/>
      <w:lvlJc w:val="left"/>
      <w:pPr>
        <w:ind w:left="4700" w:hanging="351"/>
      </w:pPr>
      <w:rPr>
        <w:rFonts w:hint="default"/>
      </w:rPr>
    </w:lvl>
    <w:lvl w:ilvl="6" w:tplc="99CE237A">
      <w:numFmt w:val="bullet"/>
      <w:lvlText w:val="•"/>
      <w:lvlJc w:val="left"/>
      <w:pPr>
        <w:ind w:left="5528" w:hanging="351"/>
      </w:pPr>
      <w:rPr>
        <w:rFonts w:hint="default"/>
      </w:rPr>
    </w:lvl>
    <w:lvl w:ilvl="7" w:tplc="5D0E4AFC">
      <w:numFmt w:val="bullet"/>
      <w:lvlText w:val="•"/>
      <w:lvlJc w:val="left"/>
      <w:pPr>
        <w:ind w:left="6356" w:hanging="351"/>
      </w:pPr>
      <w:rPr>
        <w:rFonts w:hint="default"/>
      </w:rPr>
    </w:lvl>
    <w:lvl w:ilvl="8" w:tplc="F8185DD4">
      <w:numFmt w:val="bullet"/>
      <w:lvlText w:val="•"/>
      <w:lvlJc w:val="left"/>
      <w:pPr>
        <w:ind w:left="7184" w:hanging="351"/>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
  <w:rsids>
    <w:rsidRoot w:val="00A86F6B"/>
    <w:rsid w:val="001116F4"/>
    <w:rsid w:val="00131AD9"/>
    <w:rsid w:val="0018227B"/>
    <w:rsid w:val="00430D1E"/>
    <w:rsid w:val="004A3A48"/>
    <w:rsid w:val="0098186F"/>
    <w:rsid w:val="009E7334"/>
    <w:rsid w:val="00A86F6B"/>
    <w:rsid w:val="00C54B01"/>
    <w:rsid w:val="00EF40C6"/>
    <w:rsid w:val="00FC250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6F6B"/>
    <w:rPr>
      <w:rFonts w:ascii="Arial" w:eastAsia="Arial" w:hAnsi="Arial" w:cs="Arial"/>
    </w:rPr>
  </w:style>
  <w:style w:type="paragraph" w:styleId="Heading1">
    <w:name w:val="heading 1"/>
    <w:basedOn w:val="Normal"/>
    <w:uiPriority w:val="1"/>
    <w:qFormat/>
    <w:rsid w:val="00A86F6B"/>
    <w:pPr>
      <w:spacing w:before="5"/>
      <w:ind w:left="118"/>
      <w:outlineLvl w:val="0"/>
    </w:pPr>
    <w:rPr>
      <w:b/>
      <w:bCs/>
      <w:sz w:val="25"/>
      <w:szCs w:val="25"/>
    </w:rPr>
  </w:style>
  <w:style w:type="paragraph" w:styleId="Heading2">
    <w:name w:val="heading 2"/>
    <w:basedOn w:val="Normal"/>
    <w:uiPriority w:val="1"/>
    <w:qFormat/>
    <w:rsid w:val="00A86F6B"/>
    <w:pPr>
      <w:ind w:left="570" w:hanging="452"/>
      <w:outlineLvl w:val="1"/>
    </w:pPr>
    <w:rPr>
      <w:rFonts w:ascii="Times New Roman" w:eastAsia="Times New Roman" w:hAnsi="Times New Roman" w:cs="Times New Roman"/>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6F6B"/>
    <w:rPr>
      <w:sz w:val="21"/>
      <w:szCs w:val="21"/>
    </w:rPr>
  </w:style>
  <w:style w:type="paragraph" w:styleId="ListParagraph">
    <w:name w:val="List Paragraph"/>
    <w:basedOn w:val="Normal"/>
    <w:uiPriority w:val="1"/>
    <w:qFormat/>
    <w:rsid w:val="00A86F6B"/>
    <w:pPr>
      <w:ind w:left="570" w:hanging="452"/>
    </w:pPr>
    <w:rPr>
      <w:rFonts w:ascii="Times New Roman" w:eastAsia="Times New Roman" w:hAnsi="Times New Roman" w:cs="Times New Roman"/>
    </w:rPr>
  </w:style>
  <w:style w:type="paragraph" w:customStyle="1" w:styleId="TableParagraph">
    <w:name w:val="Table Paragraph"/>
    <w:basedOn w:val="Normal"/>
    <w:uiPriority w:val="1"/>
    <w:qFormat/>
    <w:rsid w:val="00A86F6B"/>
    <w:pPr>
      <w:spacing w:before="2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116F4"/>
    <w:rPr>
      <w:rFonts w:ascii="Tahoma" w:hAnsi="Tahoma" w:cs="Tahoma"/>
      <w:sz w:val="16"/>
      <w:szCs w:val="16"/>
    </w:rPr>
  </w:style>
  <w:style w:type="character" w:customStyle="1" w:styleId="BalloonTextChar">
    <w:name w:val="Balloon Text Char"/>
    <w:basedOn w:val="DefaultParagraphFont"/>
    <w:link w:val="BalloonText"/>
    <w:uiPriority w:val="99"/>
    <w:semiHidden/>
    <w:rsid w:val="001116F4"/>
    <w:rPr>
      <w:rFonts w:ascii="Tahoma" w:eastAsia="Arial" w:hAnsi="Tahoma" w:cs="Tahoma"/>
      <w:sz w:val="16"/>
      <w:szCs w:val="16"/>
    </w:rPr>
  </w:style>
  <w:style w:type="table" w:styleId="LightShading-Accent1">
    <w:name w:val="Light Shading Accent 1"/>
    <w:basedOn w:val="TableNormal"/>
    <w:uiPriority w:val="60"/>
    <w:rsid w:val="001116F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FC250F"/>
    <w:pPr>
      <w:tabs>
        <w:tab w:val="center" w:pos="4513"/>
        <w:tab w:val="right" w:pos="9026"/>
      </w:tabs>
    </w:pPr>
  </w:style>
  <w:style w:type="character" w:customStyle="1" w:styleId="HeaderChar">
    <w:name w:val="Header Char"/>
    <w:basedOn w:val="DefaultParagraphFont"/>
    <w:link w:val="Header"/>
    <w:uiPriority w:val="99"/>
    <w:semiHidden/>
    <w:rsid w:val="00FC250F"/>
    <w:rPr>
      <w:rFonts w:ascii="Arial" w:eastAsia="Arial" w:hAnsi="Arial" w:cs="Arial"/>
    </w:rPr>
  </w:style>
  <w:style w:type="paragraph" w:styleId="Footer">
    <w:name w:val="footer"/>
    <w:basedOn w:val="Normal"/>
    <w:link w:val="FooterChar"/>
    <w:uiPriority w:val="99"/>
    <w:unhideWhenUsed/>
    <w:rsid w:val="00FC250F"/>
    <w:pPr>
      <w:tabs>
        <w:tab w:val="center" w:pos="4513"/>
        <w:tab w:val="right" w:pos="9026"/>
      </w:tabs>
    </w:pPr>
  </w:style>
  <w:style w:type="character" w:customStyle="1" w:styleId="FooterChar">
    <w:name w:val="Footer Char"/>
    <w:basedOn w:val="DefaultParagraphFont"/>
    <w:link w:val="Footer"/>
    <w:uiPriority w:val="99"/>
    <w:rsid w:val="00FC250F"/>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791</Words>
  <Characters>4511</Characters>
  <Application>Microsoft Office Word</Application>
  <DocSecurity>0</DocSecurity>
  <Lines>37</Lines>
  <Paragraphs>10</Paragraphs>
  <ScaleCrop>false</ScaleCrop>
  <Company>ACT Government</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ActewAGL Distribution Submission</dc:title>
  <dc:creator>CMTEDD</dc:creator>
  <cp:lastModifiedBy>Conrad Asmus</cp:lastModifiedBy>
  <cp:revision>10</cp:revision>
  <dcterms:created xsi:type="dcterms:W3CDTF">2017-03-22T15:08:00Z</dcterms:created>
  <dcterms:modified xsi:type="dcterms:W3CDTF">2017-03-22T22:33:00Z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TOSHIBA e-STUDIO4540C</vt:lpwstr>
  </property>
  <property fmtid="{D5CDD505-2E9C-101B-9397-08002B2CF9AE}" pid="4" name="LastSaved">
    <vt:filetime>2016-02-10T00:00:00Z</vt:filetime>
  </property>
</Properties>
</file>