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E4" w:rsidRDefault="001651E4">
      <w:pPr>
        <w:pBdr>
          <w:top w:val="nil"/>
          <w:left w:val="nil"/>
          <w:bottom w:val="nil"/>
          <w:right w:val="nil"/>
          <w:between w:val="nil"/>
          <w:bar w:val="nil"/>
        </w:pBdr>
        <w:rPr>
          <w:bdr w:val="nil"/>
        </w:rPr>
      </w:pPr>
    </w:p>
    <w:p w:rsidR="0058349F" w:rsidRDefault="0058349F" w:rsidP="0058349F">
      <w:pPr>
        <w:pStyle w:val="TOCHeading"/>
        <w:pBdr>
          <w:top w:val="nil"/>
          <w:left w:val="nil"/>
          <w:bottom w:val="nil"/>
          <w:right w:val="nil"/>
          <w:between w:val="nil"/>
          <w:bar w:val="nil"/>
        </w:pBdr>
        <w:jc w:val="center"/>
        <w:outlineLvl w:val="0"/>
        <w:rPr>
          <w:bdr w:val="nil"/>
        </w:rPr>
      </w:pPr>
      <w:bookmarkStart w:id="0" w:name="_Toc514926312"/>
      <w:r>
        <w:rPr>
          <w:bdr w:val="nil"/>
        </w:rPr>
        <w:t>BUDGET STATEMENTS</w:t>
      </w:r>
      <w:bookmarkEnd w:id="0"/>
    </w:p>
    <w:p w:rsidR="0058349F" w:rsidRDefault="0058349F" w:rsidP="0058349F">
      <w:pPr>
        <w:pStyle w:val="TOCHeading"/>
        <w:pBdr>
          <w:top w:val="nil"/>
          <w:left w:val="nil"/>
          <w:bottom w:val="nil"/>
          <w:right w:val="nil"/>
          <w:between w:val="nil"/>
          <w:bar w:val="nil"/>
        </w:pBdr>
        <w:jc w:val="center"/>
        <w:rPr>
          <w:bdr w:val="nil"/>
          <w:lang w:val="en-AU"/>
        </w:rPr>
      </w:pPr>
      <w:r>
        <w:rPr>
          <w:bdr w:val="nil"/>
        </w:rPr>
        <w:t>2018-19</w:t>
      </w:r>
    </w:p>
    <w:p w:rsidR="0058349F" w:rsidRDefault="0058349F" w:rsidP="0058349F">
      <w:pPr>
        <w:pStyle w:val="TOCHeading"/>
        <w:pBdr>
          <w:top w:val="nil"/>
          <w:left w:val="nil"/>
          <w:bottom w:val="nil"/>
          <w:right w:val="nil"/>
          <w:between w:val="nil"/>
          <w:bar w:val="nil"/>
        </w:pBdr>
        <w:jc w:val="center"/>
        <w:rPr>
          <w:bdr w:val="nil"/>
        </w:rPr>
      </w:pPr>
      <w:proofErr w:type="gramStart"/>
      <w:r>
        <w:rPr>
          <w:bdr w:val="nil"/>
        </w:rPr>
        <w:t>for</w:t>
      </w:r>
      <w:proofErr w:type="gramEnd"/>
    </w:p>
    <w:p w:rsidR="0058349F" w:rsidRDefault="0058349F" w:rsidP="0058349F">
      <w:pPr>
        <w:pStyle w:val="TOCHeading"/>
        <w:pBdr>
          <w:top w:val="nil"/>
          <w:left w:val="nil"/>
          <w:bottom w:val="nil"/>
          <w:right w:val="nil"/>
          <w:between w:val="nil"/>
          <w:bar w:val="nil"/>
        </w:pBdr>
        <w:jc w:val="center"/>
        <w:rPr>
          <w:bdr w:val="nil"/>
        </w:rPr>
      </w:pPr>
      <w:r>
        <w:rPr>
          <w:bdr w:val="nil"/>
        </w:rPr>
        <w:t xml:space="preserve">Community Services Directorate </w:t>
      </w:r>
    </w:p>
    <w:p w:rsidR="0058349F" w:rsidRDefault="0058349F">
      <w:pPr>
        <w:pBdr>
          <w:top w:val="nil"/>
          <w:left w:val="nil"/>
          <w:bottom w:val="nil"/>
          <w:right w:val="nil"/>
          <w:between w:val="nil"/>
          <w:bar w:val="nil"/>
        </w:pBdr>
        <w:spacing w:before="0" w:after="0"/>
        <w:rPr>
          <w:rFonts w:eastAsia="TimesNewRomanPS-ItalicMT"/>
          <w:bdr w:val="nil"/>
        </w:rPr>
      </w:pPr>
    </w:p>
    <w:p w:rsidR="001418A1" w:rsidRDefault="0058349F" w:rsidP="001418A1">
      <w:pPr>
        <w:pStyle w:val="TOCHeading"/>
        <w:rPr>
          <w:rFonts w:eastAsia="TimesNewRomanPS-ItalicMT"/>
          <w:bdr w:val="nil"/>
        </w:rPr>
      </w:pPr>
      <w:r>
        <w:rPr>
          <w:rFonts w:eastAsia="TimesNewRomanPS-ItalicMT"/>
          <w:bdr w:val="nil"/>
        </w:rPr>
        <w:br w:type="page"/>
      </w:r>
    </w:p>
    <w:sdt>
      <w:sdtPr>
        <w:rPr>
          <w:b w:val="0"/>
          <w:bCs w:val="0"/>
          <w:sz w:val="24"/>
          <w:szCs w:val="20"/>
          <w:lang w:val="en-AU"/>
        </w:rPr>
        <w:id w:val="-730466424"/>
        <w:docPartObj>
          <w:docPartGallery w:val="Table of Contents"/>
          <w:docPartUnique/>
        </w:docPartObj>
      </w:sdtPr>
      <w:sdtEndPr>
        <w:rPr>
          <w:noProof/>
        </w:rPr>
      </w:sdtEndPr>
      <w:sdtContent>
        <w:p w:rsidR="007C47F2" w:rsidRDefault="007C47F2">
          <w:pPr>
            <w:pStyle w:val="TOCHeading"/>
          </w:pPr>
          <w:r>
            <w:t>Contents</w:t>
          </w:r>
        </w:p>
        <w:p w:rsidR="007C47F2" w:rsidRDefault="007C47F2">
          <w:pPr>
            <w:pStyle w:val="TOC1"/>
            <w:tabs>
              <w:tab w:val="right" w:leader="dot" w:pos="9016"/>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514926313" w:history="1">
            <w:r w:rsidRPr="005E0C13">
              <w:rPr>
                <w:rStyle w:val="Hyperlink"/>
                <w:noProof/>
              </w:rPr>
              <w:t>COMMUNITY SERVICES DIRECTORATE</w:t>
            </w:r>
            <w:r>
              <w:rPr>
                <w:noProof/>
                <w:webHidden/>
              </w:rPr>
              <w:tab/>
            </w:r>
            <w:r>
              <w:rPr>
                <w:noProof/>
                <w:webHidden/>
              </w:rPr>
              <w:fldChar w:fldCharType="begin"/>
            </w:r>
            <w:r>
              <w:rPr>
                <w:noProof/>
                <w:webHidden/>
              </w:rPr>
              <w:instrText xml:space="preserve"> PAGEREF _Toc514926313 \h </w:instrText>
            </w:r>
            <w:r>
              <w:rPr>
                <w:noProof/>
                <w:webHidden/>
              </w:rPr>
            </w:r>
            <w:r>
              <w:rPr>
                <w:noProof/>
                <w:webHidden/>
              </w:rPr>
              <w:fldChar w:fldCharType="separate"/>
            </w:r>
            <w:r w:rsidR="00763F99">
              <w:rPr>
                <w:noProof/>
                <w:webHidden/>
              </w:rPr>
              <w:t>1</w:t>
            </w:r>
            <w:r>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14" w:history="1">
            <w:r w:rsidR="007C47F2" w:rsidRPr="005E0C13">
              <w:rPr>
                <w:rStyle w:val="Hyperlink"/>
                <w:noProof/>
              </w:rPr>
              <w:t>Purpose</w:t>
            </w:r>
            <w:r w:rsidR="007C47F2">
              <w:rPr>
                <w:noProof/>
                <w:webHidden/>
              </w:rPr>
              <w:tab/>
            </w:r>
            <w:r w:rsidR="007C47F2">
              <w:rPr>
                <w:noProof/>
                <w:webHidden/>
              </w:rPr>
              <w:fldChar w:fldCharType="begin"/>
            </w:r>
            <w:r w:rsidR="007C47F2">
              <w:rPr>
                <w:noProof/>
                <w:webHidden/>
              </w:rPr>
              <w:instrText xml:space="preserve"> PAGEREF _Toc514926314 \h </w:instrText>
            </w:r>
            <w:r w:rsidR="007C47F2">
              <w:rPr>
                <w:noProof/>
                <w:webHidden/>
              </w:rPr>
            </w:r>
            <w:r w:rsidR="007C47F2">
              <w:rPr>
                <w:noProof/>
                <w:webHidden/>
              </w:rPr>
              <w:fldChar w:fldCharType="separate"/>
            </w:r>
            <w:r w:rsidR="00763F99">
              <w:rPr>
                <w:noProof/>
                <w:webHidden/>
              </w:rPr>
              <w:t>1</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15" w:history="1">
            <w:r w:rsidR="007C47F2" w:rsidRPr="005E0C13">
              <w:rPr>
                <w:rStyle w:val="Hyperlink"/>
                <w:noProof/>
              </w:rPr>
              <w:t>2018-19 Priorities</w:t>
            </w:r>
            <w:r w:rsidR="007C47F2">
              <w:rPr>
                <w:noProof/>
                <w:webHidden/>
              </w:rPr>
              <w:tab/>
            </w:r>
            <w:r w:rsidR="007C47F2">
              <w:rPr>
                <w:noProof/>
                <w:webHidden/>
              </w:rPr>
              <w:fldChar w:fldCharType="begin"/>
            </w:r>
            <w:r w:rsidR="007C47F2">
              <w:rPr>
                <w:noProof/>
                <w:webHidden/>
              </w:rPr>
              <w:instrText xml:space="preserve"> PAGEREF _Toc514926315 \h </w:instrText>
            </w:r>
            <w:r w:rsidR="007C47F2">
              <w:rPr>
                <w:noProof/>
                <w:webHidden/>
              </w:rPr>
            </w:r>
            <w:r w:rsidR="007C47F2">
              <w:rPr>
                <w:noProof/>
                <w:webHidden/>
              </w:rPr>
              <w:fldChar w:fldCharType="separate"/>
            </w:r>
            <w:r w:rsidR="00763F99">
              <w:rPr>
                <w:noProof/>
                <w:webHidden/>
              </w:rPr>
              <w:t>1</w:t>
            </w:r>
            <w:r w:rsidR="007C47F2">
              <w:rPr>
                <w:noProof/>
                <w:webHidden/>
              </w:rPr>
              <w:fldChar w:fldCharType="end"/>
            </w:r>
          </w:hyperlink>
        </w:p>
        <w:p w:rsidR="007C47F2" w:rsidRDefault="005731B5">
          <w:pPr>
            <w:pStyle w:val="TOC3"/>
            <w:tabs>
              <w:tab w:val="right" w:leader="dot" w:pos="9016"/>
            </w:tabs>
            <w:rPr>
              <w:noProof/>
            </w:rPr>
          </w:pPr>
          <w:hyperlink w:anchor="_Toc514926316" w:history="1">
            <w:r w:rsidR="007C47F2" w:rsidRPr="005E0C13">
              <w:rPr>
                <w:rStyle w:val="Hyperlink"/>
                <w:noProof/>
              </w:rPr>
              <w:t>Supporting People with Disability</w:t>
            </w:r>
            <w:r w:rsidR="007C47F2">
              <w:rPr>
                <w:noProof/>
                <w:webHidden/>
              </w:rPr>
              <w:tab/>
            </w:r>
            <w:r w:rsidR="007C47F2">
              <w:rPr>
                <w:noProof/>
                <w:webHidden/>
              </w:rPr>
              <w:fldChar w:fldCharType="begin"/>
            </w:r>
            <w:r w:rsidR="007C47F2">
              <w:rPr>
                <w:noProof/>
                <w:webHidden/>
              </w:rPr>
              <w:instrText xml:space="preserve"> PAGEREF _Toc514926316 \h </w:instrText>
            </w:r>
            <w:r w:rsidR="007C47F2">
              <w:rPr>
                <w:noProof/>
                <w:webHidden/>
              </w:rPr>
            </w:r>
            <w:r w:rsidR="007C47F2">
              <w:rPr>
                <w:noProof/>
                <w:webHidden/>
              </w:rPr>
              <w:fldChar w:fldCharType="separate"/>
            </w:r>
            <w:r w:rsidR="00763F99">
              <w:rPr>
                <w:noProof/>
                <w:webHidden/>
              </w:rPr>
              <w:t>1</w:t>
            </w:r>
            <w:r w:rsidR="007C47F2">
              <w:rPr>
                <w:noProof/>
                <w:webHidden/>
              </w:rPr>
              <w:fldChar w:fldCharType="end"/>
            </w:r>
          </w:hyperlink>
        </w:p>
        <w:p w:rsidR="007C47F2" w:rsidRDefault="005731B5">
          <w:pPr>
            <w:pStyle w:val="TOC3"/>
            <w:tabs>
              <w:tab w:val="right" w:leader="dot" w:pos="9016"/>
            </w:tabs>
            <w:rPr>
              <w:noProof/>
            </w:rPr>
          </w:pPr>
          <w:hyperlink w:anchor="_Toc514926317" w:history="1">
            <w:r w:rsidR="007C47F2" w:rsidRPr="005E0C13">
              <w:rPr>
                <w:rStyle w:val="Hyperlink"/>
                <w:noProof/>
              </w:rPr>
              <w:t>Social Inclusion / Connected Communities</w:t>
            </w:r>
            <w:r w:rsidR="007C47F2">
              <w:rPr>
                <w:noProof/>
                <w:webHidden/>
              </w:rPr>
              <w:tab/>
            </w:r>
            <w:r w:rsidR="007C47F2">
              <w:rPr>
                <w:noProof/>
                <w:webHidden/>
              </w:rPr>
              <w:fldChar w:fldCharType="begin"/>
            </w:r>
            <w:r w:rsidR="007C47F2">
              <w:rPr>
                <w:noProof/>
                <w:webHidden/>
              </w:rPr>
              <w:instrText xml:space="preserve"> PAGEREF _Toc514926317 \h </w:instrText>
            </w:r>
            <w:r w:rsidR="007C47F2">
              <w:rPr>
                <w:noProof/>
                <w:webHidden/>
              </w:rPr>
            </w:r>
            <w:r w:rsidR="007C47F2">
              <w:rPr>
                <w:noProof/>
                <w:webHidden/>
              </w:rPr>
              <w:fldChar w:fldCharType="separate"/>
            </w:r>
            <w:r w:rsidR="00763F99">
              <w:rPr>
                <w:noProof/>
                <w:webHidden/>
              </w:rPr>
              <w:t>2</w:t>
            </w:r>
            <w:r w:rsidR="007C47F2">
              <w:rPr>
                <w:noProof/>
                <w:webHidden/>
              </w:rPr>
              <w:fldChar w:fldCharType="end"/>
            </w:r>
          </w:hyperlink>
        </w:p>
        <w:p w:rsidR="007C47F2" w:rsidRDefault="005731B5">
          <w:pPr>
            <w:pStyle w:val="TOC3"/>
            <w:tabs>
              <w:tab w:val="right" w:leader="dot" w:pos="9016"/>
            </w:tabs>
            <w:rPr>
              <w:noProof/>
            </w:rPr>
          </w:pPr>
          <w:hyperlink w:anchor="_Toc514926318" w:history="1">
            <w:r w:rsidR="007C47F2" w:rsidRPr="005E0C13">
              <w:rPr>
                <w:rStyle w:val="Hyperlink"/>
                <w:noProof/>
              </w:rPr>
              <w:t>Children, Young People and Family Services</w:t>
            </w:r>
            <w:r w:rsidR="007C47F2">
              <w:rPr>
                <w:noProof/>
                <w:webHidden/>
              </w:rPr>
              <w:tab/>
            </w:r>
            <w:r w:rsidR="007C47F2">
              <w:rPr>
                <w:noProof/>
                <w:webHidden/>
              </w:rPr>
              <w:fldChar w:fldCharType="begin"/>
            </w:r>
            <w:r w:rsidR="007C47F2">
              <w:rPr>
                <w:noProof/>
                <w:webHidden/>
              </w:rPr>
              <w:instrText xml:space="preserve"> PAGEREF _Toc514926318 \h </w:instrText>
            </w:r>
            <w:r w:rsidR="007C47F2">
              <w:rPr>
                <w:noProof/>
                <w:webHidden/>
              </w:rPr>
            </w:r>
            <w:r w:rsidR="007C47F2">
              <w:rPr>
                <w:noProof/>
                <w:webHidden/>
              </w:rPr>
              <w:fldChar w:fldCharType="separate"/>
            </w:r>
            <w:r w:rsidR="00763F99">
              <w:rPr>
                <w:noProof/>
                <w:webHidden/>
              </w:rPr>
              <w:t>3</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19" w:history="1">
            <w:r w:rsidR="007C47F2" w:rsidRPr="005E0C13">
              <w:rPr>
                <w:rStyle w:val="Hyperlink"/>
                <w:noProof/>
              </w:rPr>
              <w:t>Estimated Employment Level</w:t>
            </w:r>
            <w:r w:rsidR="007C47F2">
              <w:rPr>
                <w:noProof/>
                <w:webHidden/>
              </w:rPr>
              <w:tab/>
            </w:r>
            <w:r w:rsidR="007C47F2">
              <w:rPr>
                <w:noProof/>
                <w:webHidden/>
              </w:rPr>
              <w:fldChar w:fldCharType="begin"/>
            </w:r>
            <w:r w:rsidR="007C47F2">
              <w:rPr>
                <w:noProof/>
                <w:webHidden/>
              </w:rPr>
              <w:instrText xml:space="preserve"> PAGEREF _Toc514926319 \h </w:instrText>
            </w:r>
            <w:r w:rsidR="007C47F2">
              <w:rPr>
                <w:noProof/>
                <w:webHidden/>
              </w:rPr>
            </w:r>
            <w:r w:rsidR="007C47F2">
              <w:rPr>
                <w:noProof/>
                <w:webHidden/>
              </w:rPr>
              <w:fldChar w:fldCharType="separate"/>
            </w:r>
            <w:r w:rsidR="00763F99">
              <w:rPr>
                <w:noProof/>
                <w:webHidden/>
              </w:rPr>
              <w:t>4</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20" w:history="1">
            <w:r w:rsidR="007C47F2" w:rsidRPr="005E0C13">
              <w:rPr>
                <w:rStyle w:val="Hyperlink"/>
                <w:noProof/>
              </w:rPr>
              <w:t>Strategic Objectives and Indicators</w:t>
            </w:r>
            <w:r w:rsidR="007C47F2">
              <w:rPr>
                <w:noProof/>
                <w:webHidden/>
              </w:rPr>
              <w:tab/>
            </w:r>
            <w:r w:rsidR="007C47F2">
              <w:rPr>
                <w:noProof/>
                <w:webHidden/>
              </w:rPr>
              <w:fldChar w:fldCharType="begin"/>
            </w:r>
            <w:r w:rsidR="007C47F2">
              <w:rPr>
                <w:noProof/>
                <w:webHidden/>
              </w:rPr>
              <w:instrText xml:space="preserve"> PAGEREF _Toc514926320 \h </w:instrText>
            </w:r>
            <w:r w:rsidR="007C47F2">
              <w:rPr>
                <w:noProof/>
                <w:webHidden/>
              </w:rPr>
            </w:r>
            <w:r w:rsidR="007C47F2">
              <w:rPr>
                <w:noProof/>
                <w:webHidden/>
              </w:rPr>
              <w:fldChar w:fldCharType="separate"/>
            </w:r>
            <w:r w:rsidR="00763F99">
              <w:rPr>
                <w:noProof/>
                <w:webHidden/>
              </w:rPr>
              <w:t>5</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31" w:history="1">
            <w:r w:rsidR="007C47F2" w:rsidRPr="005E0C13">
              <w:rPr>
                <w:rStyle w:val="Hyperlink"/>
                <w:noProof/>
              </w:rPr>
              <w:t>Output Classes</w:t>
            </w:r>
            <w:r w:rsidR="007C47F2">
              <w:rPr>
                <w:noProof/>
                <w:webHidden/>
              </w:rPr>
              <w:tab/>
            </w:r>
            <w:r w:rsidR="007C47F2">
              <w:rPr>
                <w:noProof/>
                <w:webHidden/>
              </w:rPr>
              <w:fldChar w:fldCharType="begin"/>
            </w:r>
            <w:r w:rsidR="007C47F2">
              <w:rPr>
                <w:noProof/>
                <w:webHidden/>
              </w:rPr>
              <w:instrText xml:space="preserve"> PAGEREF _Toc514926331 \h </w:instrText>
            </w:r>
            <w:r w:rsidR="007C47F2">
              <w:rPr>
                <w:noProof/>
                <w:webHidden/>
              </w:rPr>
            </w:r>
            <w:r w:rsidR="007C47F2">
              <w:rPr>
                <w:noProof/>
                <w:webHidden/>
              </w:rPr>
              <w:fldChar w:fldCharType="separate"/>
            </w:r>
            <w:r w:rsidR="00763F99">
              <w:rPr>
                <w:noProof/>
                <w:webHidden/>
              </w:rPr>
              <w:t>10</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35" w:history="1">
            <w:r w:rsidR="007C47F2" w:rsidRPr="005E0C13">
              <w:rPr>
                <w:rStyle w:val="Hyperlink"/>
                <w:noProof/>
              </w:rPr>
              <w:t>Accountability Indicators</w:t>
            </w:r>
            <w:r w:rsidR="007C47F2">
              <w:rPr>
                <w:noProof/>
                <w:webHidden/>
              </w:rPr>
              <w:tab/>
            </w:r>
            <w:r w:rsidR="007C47F2">
              <w:rPr>
                <w:noProof/>
                <w:webHidden/>
              </w:rPr>
              <w:fldChar w:fldCharType="begin"/>
            </w:r>
            <w:r w:rsidR="007C47F2">
              <w:rPr>
                <w:noProof/>
                <w:webHidden/>
              </w:rPr>
              <w:instrText xml:space="preserve"> PAGEREF _Toc514926335 \h </w:instrText>
            </w:r>
            <w:r w:rsidR="007C47F2">
              <w:rPr>
                <w:noProof/>
                <w:webHidden/>
              </w:rPr>
            </w:r>
            <w:r w:rsidR="007C47F2">
              <w:rPr>
                <w:noProof/>
                <w:webHidden/>
              </w:rPr>
              <w:fldChar w:fldCharType="separate"/>
            </w:r>
            <w:r w:rsidR="00763F99">
              <w:rPr>
                <w:noProof/>
                <w:webHidden/>
              </w:rPr>
              <w:t>16</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39" w:history="1">
            <w:r w:rsidR="007C47F2" w:rsidRPr="005E0C13">
              <w:rPr>
                <w:rStyle w:val="Hyperlink"/>
                <w:noProof/>
                <w:bdr w:val="nil"/>
              </w:rPr>
              <w:t>Changes to Appropriation</w:t>
            </w:r>
            <w:r w:rsidR="007C47F2">
              <w:rPr>
                <w:noProof/>
                <w:webHidden/>
              </w:rPr>
              <w:tab/>
            </w:r>
            <w:r w:rsidR="007C47F2">
              <w:rPr>
                <w:noProof/>
                <w:webHidden/>
              </w:rPr>
              <w:fldChar w:fldCharType="begin"/>
            </w:r>
            <w:r w:rsidR="007C47F2">
              <w:rPr>
                <w:noProof/>
                <w:webHidden/>
              </w:rPr>
              <w:instrText xml:space="preserve"> PAGEREF _Toc514926339 \h </w:instrText>
            </w:r>
            <w:r w:rsidR="007C47F2">
              <w:rPr>
                <w:noProof/>
                <w:webHidden/>
              </w:rPr>
            </w:r>
            <w:r w:rsidR="007C47F2">
              <w:rPr>
                <w:noProof/>
                <w:webHidden/>
              </w:rPr>
              <w:fldChar w:fldCharType="separate"/>
            </w:r>
            <w:r w:rsidR="00763F99">
              <w:rPr>
                <w:noProof/>
                <w:webHidden/>
              </w:rPr>
              <w:t>21</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40" w:history="1">
            <w:r w:rsidR="007C47F2" w:rsidRPr="005E0C13">
              <w:rPr>
                <w:rStyle w:val="Hyperlink"/>
                <w:noProof/>
                <w:bdr w:val="nil"/>
              </w:rPr>
              <w:t>Financial Statements – Controlled (GGS)</w:t>
            </w:r>
            <w:r w:rsidR="007C47F2">
              <w:rPr>
                <w:noProof/>
                <w:webHidden/>
              </w:rPr>
              <w:tab/>
            </w:r>
            <w:r w:rsidR="007C47F2">
              <w:rPr>
                <w:noProof/>
                <w:webHidden/>
              </w:rPr>
              <w:fldChar w:fldCharType="begin"/>
            </w:r>
            <w:r w:rsidR="007C47F2">
              <w:rPr>
                <w:noProof/>
                <w:webHidden/>
              </w:rPr>
              <w:instrText xml:space="preserve"> PAGEREF _Toc514926340 \h </w:instrText>
            </w:r>
            <w:r w:rsidR="007C47F2">
              <w:rPr>
                <w:noProof/>
                <w:webHidden/>
              </w:rPr>
            </w:r>
            <w:r w:rsidR="007C47F2">
              <w:rPr>
                <w:noProof/>
                <w:webHidden/>
              </w:rPr>
              <w:fldChar w:fldCharType="separate"/>
            </w:r>
            <w:r w:rsidR="00763F99">
              <w:rPr>
                <w:noProof/>
                <w:webHidden/>
              </w:rPr>
              <w:t>24</w:t>
            </w:r>
            <w:r w:rsidR="007C47F2">
              <w:rPr>
                <w:noProof/>
                <w:webHidden/>
              </w:rPr>
              <w:fldChar w:fldCharType="end"/>
            </w:r>
          </w:hyperlink>
        </w:p>
        <w:p w:rsidR="007C47F2" w:rsidRDefault="005731B5">
          <w:pPr>
            <w:pStyle w:val="TOC1"/>
            <w:tabs>
              <w:tab w:val="right" w:leader="dot" w:pos="9016"/>
            </w:tabs>
            <w:rPr>
              <w:rFonts w:asciiTheme="minorHAnsi" w:eastAsiaTheme="minorEastAsia" w:hAnsiTheme="minorHAnsi" w:cstheme="minorBidi"/>
              <w:noProof/>
              <w:sz w:val="22"/>
              <w:szCs w:val="22"/>
              <w:lang w:eastAsia="en-AU"/>
            </w:rPr>
          </w:pPr>
          <w:hyperlink w:anchor="_Toc514926345" w:history="1">
            <w:r w:rsidR="007C47F2" w:rsidRPr="005E0C13">
              <w:rPr>
                <w:rStyle w:val="Hyperlink"/>
                <w:noProof/>
                <w:bdr w:val="nil"/>
              </w:rPr>
              <w:t>HOUSING ACT</w:t>
            </w:r>
            <w:r w:rsidR="007C47F2">
              <w:rPr>
                <w:noProof/>
                <w:webHidden/>
              </w:rPr>
              <w:tab/>
            </w:r>
            <w:r w:rsidR="007C47F2">
              <w:rPr>
                <w:noProof/>
                <w:webHidden/>
              </w:rPr>
              <w:fldChar w:fldCharType="begin"/>
            </w:r>
            <w:r w:rsidR="007C47F2">
              <w:rPr>
                <w:noProof/>
                <w:webHidden/>
              </w:rPr>
              <w:instrText xml:space="preserve"> PAGEREF _Toc514926345 \h </w:instrText>
            </w:r>
            <w:r w:rsidR="007C47F2">
              <w:rPr>
                <w:noProof/>
                <w:webHidden/>
              </w:rPr>
            </w:r>
            <w:r w:rsidR="007C47F2">
              <w:rPr>
                <w:noProof/>
                <w:webHidden/>
              </w:rPr>
              <w:fldChar w:fldCharType="separate"/>
            </w:r>
            <w:r w:rsidR="00763F99">
              <w:rPr>
                <w:noProof/>
                <w:webHidden/>
              </w:rPr>
              <w:t>34</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46" w:history="1">
            <w:r w:rsidR="007C47F2" w:rsidRPr="005E0C13">
              <w:rPr>
                <w:rStyle w:val="Hyperlink"/>
                <w:noProof/>
                <w:bdr w:val="nil"/>
              </w:rPr>
              <w:t>Purpose</w:t>
            </w:r>
            <w:r w:rsidR="007C47F2">
              <w:rPr>
                <w:noProof/>
                <w:webHidden/>
              </w:rPr>
              <w:tab/>
            </w:r>
            <w:r w:rsidR="007C47F2">
              <w:rPr>
                <w:noProof/>
                <w:webHidden/>
              </w:rPr>
              <w:fldChar w:fldCharType="begin"/>
            </w:r>
            <w:r w:rsidR="007C47F2">
              <w:rPr>
                <w:noProof/>
                <w:webHidden/>
              </w:rPr>
              <w:instrText xml:space="preserve"> PAGEREF _Toc514926346 \h </w:instrText>
            </w:r>
            <w:r w:rsidR="007C47F2">
              <w:rPr>
                <w:noProof/>
                <w:webHidden/>
              </w:rPr>
            </w:r>
            <w:r w:rsidR="007C47F2">
              <w:rPr>
                <w:noProof/>
                <w:webHidden/>
              </w:rPr>
              <w:fldChar w:fldCharType="separate"/>
            </w:r>
            <w:r w:rsidR="00763F99">
              <w:rPr>
                <w:noProof/>
                <w:webHidden/>
              </w:rPr>
              <w:t>34</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47" w:history="1">
            <w:r w:rsidR="007C47F2" w:rsidRPr="005E0C13">
              <w:rPr>
                <w:rStyle w:val="Hyperlink"/>
                <w:noProof/>
              </w:rPr>
              <w:t>2018-19 Priorities</w:t>
            </w:r>
            <w:r w:rsidR="007C47F2">
              <w:rPr>
                <w:noProof/>
                <w:webHidden/>
              </w:rPr>
              <w:tab/>
            </w:r>
            <w:r w:rsidR="007C47F2">
              <w:rPr>
                <w:noProof/>
                <w:webHidden/>
              </w:rPr>
              <w:fldChar w:fldCharType="begin"/>
            </w:r>
            <w:r w:rsidR="007C47F2">
              <w:rPr>
                <w:noProof/>
                <w:webHidden/>
              </w:rPr>
              <w:instrText xml:space="preserve"> PAGEREF _Toc514926347 \h </w:instrText>
            </w:r>
            <w:r w:rsidR="007C47F2">
              <w:rPr>
                <w:noProof/>
                <w:webHidden/>
              </w:rPr>
            </w:r>
            <w:r w:rsidR="007C47F2">
              <w:rPr>
                <w:noProof/>
                <w:webHidden/>
              </w:rPr>
              <w:fldChar w:fldCharType="separate"/>
            </w:r>
            <w:r w:rsidR="00763F99">
              <w:rPr>
                <w:noProof/>
                <w:webHidden/>
              </w:rPr>
              <w:t>34</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48" w:history="1">
            <w:r w:rsidR="007C47F2" w:rsidRPr="005E0C13">
              <w:rPr>
                <w:rStyle w:val="Hyperlink"/>
                <w:noProof/>
              </w:rPr>
              <w:t>Estimated Employment Level</w:t>
            </w:r>
            <w:r w:rsidR="007C47F2">
              <w:rPr>
                <w:noProof/>
                <w:webHidden/>
              </w:rPr>
              <w:tab/>
            </w:r>
            <w:r w:rsidR="007C47F2">
              <w:rPr>
                <w:noProof/>
                <w:webHidden/>
              </w:rPr>
              <w:fldChar w:fldCharType="begin"/>
            </w:r>
            <w:r w:rsidR="007C47F2">
              <w:rPr>
                <w:noProof/>
                <w:webHidden/>
              </w:rPr>
              <w:instrText xml:space="preserve"> PAGEREF _Toc514926348 \h </w:instrText>
            </w:r>
            <w:r w:rsidR="007C47F2">
              <w:rPr>
                <w:noProof/>
                <w:webHidden/>
              </w:rPr>
            </w:r>
            <w:r w:rsidR="007C47F2">
              <w:rPr>
                <w:noProof/>
                <w:webHidden/>
              </w:rPr>
              <w:fldChar w:fldCharType="separate"/>
            </w:r>
            <w:r w:rsidR="00763F99">
              <w:rPr>
                <w:noProof/>
                <w:webHidden/>
              </w:rPr>
              <w:t>35</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49" w:history="1">
            <w:r w:rsidR="007C47F2" w:rsidRPr="005E0C13">
              <w:rPr>
                <w:rStyle w:val="Hyperlink"/>
                <w:noProof/>
              </w:rPr>
              <w:t>Strategic Objectives and Indicators</w:t>
            </w:r>
            <w:r w:rsidR="007C47F2">
              <w:rPr>
                <w:noProof/>
                <w:webHidden/>
              </w:rPr>
              <w:tab/>
            </w:r>
            <w:r w:rsidR="007C47F2">
              <w:rPr>
                <w:noProof/>
                <w:webHidden/>
              </w:rPr>
              <w:fldChar w:fldCharType="begin"/>
            </w:r>
            <w:r w:rsidR="007C47F2">
              <w:rPr>
                <w:noProof/>
                <w:webHidden/>
              </w:rPr>
              <w:instrText xml:space="preserve"> PAGEREF _Toc514926349 \h </w:instrText>
            </w:r>
            <w:r w:rsidR="007C47F2">
              <w:rPr>
                <w:noProof/>
                <w:webHidden/>
              </w:rPr>
            </w:r>
            <w:r w:rsidR="007C47F2">
              <w:rPr>
                <w:noProof/>
                <w:webHidden/>
              </w:rPr>
              <w:fldChar w:fldCharType="separate"/>
            </w:r>
            <w:r w:rsidR="00763F99">
              <w:rPr>
                <w:noProof/>
                <w:webHidden/>
              </w:rPr>
              <w:t>36</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56" w:history="1">
            <w:r w:rsidR="007C47F2" w:rsidRPr="005E0C13">
              <w:rPr>
                <w:rStyle w:val="Hyperlink"/>
                <w:noProof/>
              </w:rPr>
              <w:t>Output Classes</w:t>
            </w:r>
            <w:r w:rsidR="007C47F2">
              <w:rPr>
                <w:noProof/>
                <w:webHidden/>
              </w:rPr>
              <w:tab/>
            </w:r>
            <w:r w:rsidR="007C47F2">
              <w:rPr>
                <w:noProof/>
                <w:webHidden/>
              </w:rPr>
              <w:fldChar w:fldCharType="begin"/>
            </w:r>
            <w:r w:rsidR="007C47F2">
              <w:rPr>
                <w:noProof/>
                <w:webHidden/>
              </w:rPr>
              <w:instrText xml:space="preserve"> PAGEREF _Toc514926356 \h </w:instrText>
            </w:r>
            <w:r w:rsidR="007C47F2">
              <w:rPr>
                <w:noProof/>
                <w:webHidden/>
              </w:rPr>
            </w:r>
            <w:r w:rsidR="007C47F2">
              <w:rPr>
                <w:noProof/>
                <w:webHidden/>
              </w:rPr>
              <w:fldChar w:fldCharType="separate"/>
            </w:r>
            <w:r w:rsidR="00763F99">
              <w:rPr>
                <w:noProof/>
                <w:webHidden/>
              </w:rPr>
              <w:t>38</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58" w:history="1">
            <w:r w:rsidR="007C47F2" w:rsidRPr="005E0C13">
              <w:rPr>
                <w:rStyle w:val="Hyperlink"/>
                <w:noProof/>
              </w:rPr>
              <w:t>Accountability Indicators</w:t>
            </w:r>
            <w:r w:rsidR="007C47F2">
              <w:rPr>
                <w:noProof/>
                <w:webHidden/>
              </w:rPr>
              <w:tab/>
            </w:r>
            <w:r w:rsidR="007C47F2">
              <w:rPr>
                <w:noProof/>
                <w:webHidden/>
              </w:rPr>
              <w:fldChar w:fldCharType="begin"/>
            </w:r>
            <w:r w:rsidR="007C47F2">
              <w:rPr>
                <w:noProof/>
                <w:webHidden/>
              </w:rPr>
              <w:instrText xml:space="preserve"> PAGEREF _Toc514926358 \h </w:instrText>
            </w:r>
            <w:r w:rsidR="007C47F2">
              <w:rPr>
                <w:noProof/>
                <w:webHidden/>
              </w:rPr>
            </w:r>
            <w:r w:rsidR="007C47F2">
              <w:rPr>
                <w:noProof/>
                <w:webHidden/>
              </w:rPr>
              <w:fldChar w:fldCharType="separate"/>
            </w:r>
            <w:r w:rsidR="00763F99">
              <w:rPr>
                <w:noProof/>
                <w:webHidden/>
              </w:rPr>
              <w:t>39</w:t>
            </w:r>
            <w:r w:rsidR="007C47F2">
              <w:rPr>
                <w:noProof/>
                <w:webHidden/>
              </w:rPr>
              <w:fldChar w:fldCharType="end"/>
            </w:r>
          </w:hyperlink>
        </w:p>
        <w:p w:rsidR="007C47F2" w:rsidRDefault="005731B5">
          <w:pPr>
            <w:pStyle w:val="TOC2"/>
            <w:tabs>
              <w:tab w:val="right" w:leader="dot" w:pos="9016"/>
            </w:tabs>
            <w:rPr>
              <w:rFonts w:asciiTheme="minorHAnsi" w:eastAsiaTheme="minorEastAsia" w:hAnsiTheme="minorHAnsi" w:cstheme="minorBidi"/>
              <w:noProof/>
              <w:sz w:val="22"/>
              <w:szCs w:val="22"/>
              <w:lang w:eastAsia="en-AU"/>
            </w:rPr>
          </w:pPr>
          <w:hyperlink w:anchor="_Toc514926361" w:history="1">
            <w:r w:rsidR="007C47F2" w:rsidRPr="005E0C13">
              <w:rPr>
                <w:rStyle w:val="Hyperlink"/>
                <w:noProof/>
                <w:bdr w:val="nil"/>
              </w:rPr>
              <w:t>Financial Statements – Controlled (PTE)</w:t>
            </w:r>
            <w:r w:rsidR="007C47F2">
              <w:rPr>
                <w:noProof/>
                <w:webHidden/>
              </w:rPr>
              <w:tab/>
            </w:r>
            <w:r w:rsidR="007C47F2">
              <w:rPr>
                <w:noProof/>
                <w:webHidden/>
              </w:rPr>
              <w:fldChar w:fldCharType="begin"/>
            </w:r>
            <w:r w:rsidR="007C47F2">
              <w:rPr>
                <w:noProof/>
                <w:webHidden/>
              </w:rPr>
              <w:instrText xml:space="preserve"> PAGEREF _Toc514926361 \h </w:instrText>
            </w:r>
            <w:r w:rsidR="007C47F2">
              <w:rPr>
                <w:noProof/>
                <w:webHidden/>
              </w:rPr>
            </w:r>
            <w:r w:rsidR="007C47F2">
              <w:rPr>
                <w:noProof/>
                <w:webHidden/>
              </w:rPr>
              <w:fldChar w:fldCharType="separate"/>
            </w:r>
            <w:r w:rsidR="00763F99">
              <w:rPr>
                <w:noProof/>
                <w:webHidden/>
              </w:rPr>
              <w:t>42</w:t>
            </w:r>
            <w:r w:rsidR="007C47F2">
              <w:rPr>
                <w:noProof/>
                <w:webHidden/>
              </w:rPr>
              <w:fldChar w:fldCharType="end"/>
            </w:r>
          </w:hyperlink>
        </w:p>
        <w:p w:rsidR="007C47F2" w:rsidRDefault="007C47F2">
          <w:r>
            <w:rPr>
              <w:b/>
              <w:bCs/>
              <w:noProof/>
            </w:rPr>
            <w:fldChar w:fldCharType="end"/>
          </w:r>
        </w:p>
      </w:sdtContent>
    </w:sdt>
    <w:p w:rsidR="001418A1" w:rsidRDefault="001418A1">
      <w:pPr>
        <w:spacing w:before="0" w:after="0"/>
        <w:rPr>
          <w:i/>
          <w:bdr w:val="nil"/>
        </w:rPr>
      </w:pPr>
    </w:p>
    <w:p w:rsidR="007C47F2" w:rsidRDefault="007C47F2">
      <w:pPr>
        <w:spacing w:before="0" w:after="0"/>
        <w:rPr>
          <w:i/>
          <w:bdr w:val="nil"/>
        </w:rPr>
      </w:pPr>
      <w:r>
        <w:rPr>
          <w:i/>
          <w:bdr w:val="nil"/>
        </w:rPr>
        <w:br w:type="page"/>
      </w:r>
    </w:p>
    <w:p w:rsidR="0058349F" w:rsidRPr="0004555B" w:rsidRDefault="0058349F" w:rsidP="0058349F">
      <w:pPr>
        <w:pBdr>
          <w:top w:val="nil"/>
          <w:left w:val="nil"/>
          <w:bottom w:val="nil"/>
          <w:right w:val="nil"/>
          <w:between w:val="nil"/>
          <w:bar w:val="nil"/>
        </w:pBdr>
        <w:jc w:val="center"/>
        <w:rPr>
          <w:rFonts w:eastAsia="TimesNewRomanPS-ItalicMT"/>
          <w:bdr w:val="nil"/>
        </w:rPr>
        <w:sectPr w:rsidR="0058349F" w:rsidRPr="0004555B" w:rsidSect="0058349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51" w:right="1440" w:bottom="1729" w:left="1440" w:header="720" w:footer="720" w:gutter="0"/>
          <w:pgBorders>
            <w:top w:val="nil"/>
            <w:left w:val="nil"/>
            <w:bottom w:val="nil"/>
            <w:right w:val="nil"/>
          </w:pgBorders>
          <w:cols w:space="720"/>
        </w:sectPr>
      </w:pPr>
      <w:r>
        <w:rPr>
          <w:i/>
          <w:bdr w:val="nil"/>
        </w:rPr>
        <w:t>This page deliberately left blank</w:t>
      </w:r>
    </w:p>
    <w:p w:rsidR="0058349F" w:rsidRPr="00AB5AA0" w:rsidRDefault="0058349F" w:rsidP="0058349F">
      <w:pPr>
        <w:pStyle w:val="Heading10"/>
        <w:pageBreakBefore/>
      </w:pPr>
      <w:bookmarkStart w:id="1" w:name="_Toc514926313"/>
      <w:r w:rsidRPr="00AB5AA0">
        <w:t>COMMUNITY SERVICES DIRECTORATE</w:t>
      </w:r>
      <w:bookmarkEnd w:id="1"/>
    </w:p>
    <w:p w:rsidR="0058349F" w:rsidRDefault="0058349F" w:rsidP="0058349F">
      <w:pPr>
        <w:pStyle w:val="Heading2"/>
      </w:pPr>
      <w:bookmarkStart w:id="2" w:name="_Toc452467795"/>
      <w:bookmarkStart w:id="3" w:name="_Toc451895557"/>
      <w:bookmarkStart w:id="4" w:name="_Toc514925175"/>
      <w:bookmarkStart w:id="5" w:name="_Toc514926314"/>
      <w:r>
        <w:t>Purpose</w:t>
      </w:r>
      <w:bookmarkEnd w:id="2"/>
      <w:bookmarkEnd w:id="3"/>
      <w:bookmarkEnd w:id="4"/>
      <w:bookmarkEnd w:id="5"/>
    </w:p>
    <w:p w:rsidR="0058349F" w:rsidRDefault="0058349F" w:rsidP="0058349F">
      <w:pPr>
        <w:pStyle w:val="Intro"/>
        <w:spacing w:line="240" w:lineRule="auto"/>
        <w:rPr>
          <w:color w:val="auto"/>
          <w:sz w:val="24"/>
          <w:szCs w:val="24"/>
        </w:rPr>
      </w:pPr>
      <w:r>
        <w:rPr>
          <w:color w:val="auto"/>
          <w:sz w:val="24"/>
          <w:szCs w:val="24"/>
        </w:rPr>
        <w:t xml:space="preserve">The </w:t>
      </w:r>
      <w:r w:rsidR="00BB6BE6">
        <w:rPr>
          <w:color w:val="auto"/>
          <w:sz w:val="24"/>
          <w:szCs w:val="24"/>
        </w:rPr>
        <w:t>Community Services Directorate</w:t>
      </w:r>
      <w:r w:rsidR="00FD4E98">
        <w:rPr>
          <w:color w:val="auto"/>
          <w:sz w:val="24"/>
          <w:szCs w:val="24"/>
        </w:rPr>
        <w:t>’s</w:t>
      </w:r>
      <w:r w:rsidR="00BB6BE6">
        <w:rPr>
          <w:color w:val="auto"/>
          <w:sz w:val="24"/>
          <w:szCs w:val="24"/>
        </w:rPr>
        <w:t xml:space="preserve"> (the </w:t>
      </w:r>
      <w:r>
        <w:rPr>
          <w:color w:val="auto"/>
          <w:sz w:val="24"/>
          <w:szCs w:val="24"/>
        </w:rPr>
        <w:t>Directorate</w:t>
      </w:r>
      <w:r w:rsidR="00BB6BE6">
        <w:rPr>
          <w:color w:val="auto"/>
          <w:sz w:val="24"/>
          <w:szCs w:val="24"/>
        </w:rPr>
        <w:t>)</w:t>
      </w:r>
      <w:r>
        <w:rPr>
          <w:color w:val="auto"/>
          <w:sz w:val="24"/>
          <w:szCs w:val="24"/>
        </w:rPr>
        <w:t xml:space="preserve"> primary purpose is to empower people to meet their full potential within an in</w:t>
      </w:r>
      <w:r w:rsidR="00C65772">
        <w:rPr>
          <w:color w:val="auto"/>
          <w:sz w:val="24"/>
          <w:szCs w:val="24"/>
        </w:rPr>
        <w:t>clusive and equitable community</w:t>
      </w:r>
      <w:r>
        <w:rPr>
          <w:color w:val="auto"/>
          <w:sz w:val="24"/>
          <w:szCs w:val="24"/>
        </w:rPr>
        <w:t xml:space="preserve"> by:</w:t>
      </w:r>
    </w:p>
    <w:p w:rsidR="0058349F" w:rsidRDefault="0058349F" w:rsidP="0058349F">
      <w:pPr>
        <w:pStyle w:val="Intro"/>
        <w:numPr>
          <w:ilvl w:val="0"/>
          <w:numId w:val="2"/>
        </w:numPr>
        <w:spacing w:line="240" w:lineRule="auto"/>
        <w:rPr>
          <w:color w:val="auto"/>
          <w:sz w:val="24"/>
          <w:szCs w:val="24"/>
        </w:rPr>
      </w:pPr>
      <w:r>
        <w:rPr>
          <w:b/>
          <w:bCs/>
          <w:color w:val="auto"/>
          <w:sz w:val="24"/>
          <w:szCs w:val="24"/>
        </w:rPr>
        <w:t>Intervening early to support people</w:t>
      </w:r>
      <w:r>
        <w:rPr>
          <w:color w:val="auto"/>
          <w:sz w:val="24"/>
          <w:szCs w:val="24"/>
        </w:rPr>
        <w:t xml:space="preserve"> to be safe, to ensure basic needs are met to enable active community participation</w:t>
      </w:r>
      <w:r w:rsidR="00FD4E98">
        <w:rPr>
          <w:color w:val="auto"/>
          <w:sz w:val="24"/>
          <w:szCs w:val="24"/>
        </w:rPr>
        <w:t>,</w:t>
      </w:r>
      <w:r>
        <w:rPr>
          <w:color w:val="auto"/>
          <w:sz w:val="24"/>
          <w:szCs w:val="24"/>
        </w:rPr>
        <w:t xml:space="preserve"> and to support positive life outcomes.</w:t>
      </w:r>
    </w:p>
    <w:p w:rsidR="0058349F" w:rsidRDefault="0058349F" w:rsidP="0058349F">
      <w:pPr>
        <w:pStyle w:val="Intro"/>
        <w:numPr>
          <w:ilvl w:val="0"/>
          <w:numId w:val="2"/>
        </w:numPr>
        <w:spacing w:line="240" w:lineRule="auto"/>
        <w:rPr>
          <w:b/>
          <w:bCs/>
          <w:color w:val="auto"/>
          <w:sz w:val="24"/>
          <w:szCs w:val="24"/>
        </w:rPr>
      </w:pPr>
      <w:r>
        <w:rPr>
          <w:b/>
          <w:bCs/>
          <w:color w:val="auto"/>
          <w:sz w:val="24"/>
          <w:szCs w:val="24"/>
        </w:rPr>
        <w:t xml:space="preserve">Delivering services </w:t>
      </w:r>
      <w:r>
        <w:rPr>
          <w:color w:val="auto"/>
          <w:sz w:val="24"/>
          <w:szCs w:val="24"/>
        </w:rPr>
        <w:t xml:space="preserve">that are human centred, holistic, tailored and integrated with a focus on ensuring the right supports are provided to those most in need, proactively identifying risks, and enabling people to work towards self-sufficiency as much as possible. </w:t>
      </w:r>
    </w:p>
    <w:p w:rsidR="0058349F" w:rsidRDefault="0058349F" w:rsidP="0058349F">
      <w:pPr>
        <w:pStyle w:val="Intro"/>
        <w:numPr>
          <w:ilvl w:val="0"/>
          <w:numId w:val="2"/>
        </w:numPr>
        <w:spacing w:line="240" w:lineRule="auto"/>
        <w:rPr>
          <w:color w:val="auto"/>
          <w:sz w:val="24"/>
          <w:szCs w:val="24"/>
        </w:rPr>
      </w:pPr>
      <w:r>
        <w:rPr>
          <w:b/>
          <w:bCs/>
          <w:color w:val="auto"/>
          <w:sz w:val="24"/>
          <w:szCs w:val="24"/>
        </w:rPr>
        <w:t>Building strong communities</w:t>
      </w:r>
      <w:r>
        <w:rPr>
          <w:color w:val="auto"/>
          <w:sz w:val="24"/>
          <w:szCs w:val="24"/>
        </w:rPr>
        <w:t xml:space="preserve"> with a focus on using evidence to inform services and programs, community development approaches that connect people to local communities, and maximising inclusion through targeted community-based programs. This includes alignment of government priorities and legislation to address community identified needs.</w:t>
      </w:r>
    </w:p>
    <w:p w:rsidR="0058349F" w:rsidRDefault="0058349F" w:rsidP="0058349F">
      <w:pPr>
        <w:pStyle w:val="Intro"/>
        <w:numPr>
          <w:ilvl w:val="0"/>
          <w:numId w:val="2"/>
        </w:numPr>
        <w:spacing w:line="240" w:lineRule="auto"/>
        <w:rPr>
          <w:color w:val="auto"/>
          <w:sz w:val="24"/>
          <w:szCs w:val="24"/>
        </w:rPr>
      </w:pPr>
      <w:r>
        <w:rPr>
          <w:b/>
          <w:bCs/>
          <w:color w:val="auto"/>
          <w:sz w:val="24"/>
          <w:szCs w:val="24"/>
        </w:rPr>
        <w:t xml:space="preserve">Enabling inclusive participation </w:t>
      </w:r>
      <w:r>
        <w:rPr>
          <w:color w:val="auto"/>
          <w:sz w:val="24"/>
          <w:szCs w:val="24"/>
        </w:rPr>
        <w:t xml:space="preserve">by supporting </w:t>
      </w:r>
      <w:proofErr w:type="spellStart"/>
      <w:r>
        <w:rPr>
          <w:color w:val="auto"/>
          <w:sz w:val="24"/>
          <w:szCs w:val="24"/>
        </w:rPr>
        <w:t>Canberrans</w:t>
      </w:r>
      <w:proofErr w:type="spellEnd"/>
      <w:r>
        <w:rPr>
          <w:color w:val="auto"/>
          <w:sz w:val="24"/>
          <w:szCs w:val="24"/>
        </w:rPr>
        <w:t xml:space="preserve"> to participate in decision making, to form community connections, and to live fulfilling lives, fostering cohesion, equity and inclusion for all.</w:t>
      </w:r>
    </w:p>
    <w:p w:rsidR="0058349F" w:rsidRPr="0058349F" w:rsidRDefault="0058349F" w:rsidP="0058349F">
      <w:pPr>
        <w:pStyle w:val="Intro"/>
        <w:numPr>
          <w:ilvl w:val="0"/>
          <w:numId w:val="2"/>
        </w:numPr>
        <w:spacing w:line="240" w:lineRule="auto"/>
        <w:rPr>
          <w:color w:val="auto"/>
          <w:sz w:val="24"/>
          <w:szCs w:val="24"/>
        </w:rPr>
      </w:pPr>
      <w:r>
        <w:rPr>
          <w:b/>
          <w:bCs/>
          <w:color w:val="auto"/>
          <w:sz w:val="24"/>
          <w:szCs w:val="24"/>
        </w:rPr>
        <w:t>Driving collaboration and partnerships</w:t>
      </w:r>
      <w:r>
        <w:rPr>
          <w:color w:val="auto"/>
          <w:sz w:val="24"/>
          <w:szCs w:val="24"/>
        </w:rPr>
        <w:t xml:space="preserve"> within and external to the </w:t>
      </w:r>
      <w:r w:rsidR="000A0A61">
        <w:rPr>
          <w:color w:val="auto"/>
          <w:sz w:val="24"/>
          <w:szCs w:val="24"/>
        </w:rPr>
        <w:t>D</w:t>
      </w:r>
      <w:r>
        <w:rPr>
          <w:color w:val="auto"/>
          <w:sz w:val="24"/>
          <w:szCs w:val="24"/>
        </w:rPr>
        <w:t>irectorate, working collaboratively with other government agencies, and building effective relationships with non-government community partners. Thi</w:t>
      </w:r>
      <w:r w:rsidR="00C65772">
        <w:rPr>
          <w:color w:val="auto"/>
          <w:sz w:val="24"/>
          <w:szCs w:val="24"/>
        </w:rPr>
        <w:t>s includes embedding the cultural</w:t>
      </w:r>
      <w:r>
        <w:rPr>
          <w:color w:val="auto"/>
          <w:sz w:val="24"/>
          <w:szCs w:val="24"/>
        </w:rPr>
        <w:t xml:space="preserve"> change needed to intervene early and improve life trajectories as part of an integrated and holistic services system.</w:t>
      </w:r>
    </w:p>
    <w:p w:rsidR="0058349F" w:rsidRDefault="0058349F" w:rsidP="0058349F">
      <w:pPr>
        <w:pStyle w:val="Heading20"/>
        <w:spacing w:before="120"/>
      </w:pPr>
      <w:bookmarkStart w:id="6" w:name="_Toc452467796"/>
      <w:bookmarkStart w:id="7" w:name="_Toc451895558"/>
      <w:bookmarkStart w:id="8" w:name="_Toc514926315"/>
      <w:r>
        <w:t>2018-19 Priorities</w:t>
      </w:r>
      <w:bookmarkEnd w:id="6"/>
      <w:bookmarkEnd w:id="7"/>
      <w:bookmarkEnd w:id="8"/>
    </w:p>
    <w:p w:rsidR="0058349F" w:rsidRDefault="0058349F" w:rsidP="0058349F">
      <w:pPr>
        <w:pStyle w:val="BSbullet1"/>
        <w:numPr>
          <w:ilvl w:val="0"/>
          <w:numId w:val="0"/>
        </w:numPr>
        <w:tabs>
          <w:tab w:val="left" w:pos="720"/>
        </w:tabs>
        <w:ind w:left="357" w:hanging="357"/>
      </w:pPr>
      <w:r>
        <w:t>Strategic and operational priorities for 2018-19 include:</w:t>
      </w:r>
    </w:p>
    <w:p w:rsidR="0058349F" w:rsidRPr="00C83975" w:rsidRDefault="0058349F" w:rsidP="0058349F">
      <w:pPr>
        <w:pStyle w:val="Heading3"/>
        <w:rPr>
          <w:sz w:val="28"/>
        </w:rPr>
      </w:pPr>
      <w:bookmarkStart w:id="9" w:name="_Toc514926316"/>
      <w:r w:rsidRPr="00C83975">
        <w:t>Supporting People with Disability</w:t>
      </w:r>
      <w:bookmarkEnd w:id="9"/>
    </w:p>
    <w:p w:rsidR="0058349F" w:rsidRDefault="0058349F" w:rsidP="0058349F">
      <w:pPr>
        <w:pStyle w:val="BSbullet1"/>
        <w:numPr>
          <w:ilvl w:val="0"/>
          <w:numId w:val="2"/>
        </w:numPr>
        <w:jc w:val="both"/>
      </w:pPr>
      <w:r>
        <w:t xml:space="preserve">The Office for Disability is responsible for ongoing policy development and supporting the ACT Government and community to transition to a National Disability Insurance Scheme (NDIS) which provides choice and control for people with disability. </w:t>
      </w:r>
    </w:p>
    <w:p w:rsidR="0058349F" w:rsidRDefault="0058349F" w:rsidP="0058349F">
      <w:pPr>
        <w:pStyle w:val="BSbullet1"/>
        <w:numPr>
          <w:ilvl w:val="0"/>
          <w:numId w:val="2"/>
        </w:numPr>
        <w:shd w:val="clear" w:color="auto" w:fill="FFFFFF"/>
        <w:jc w:val="both"/>
      </w:pPr>
      <w:r>
        <w:t xml:space="preserve">Establish and evaluate an Integrated Response Team to provide emergency funding and help ensure those people with disability who have complex needs receive a coordinated service response from both the NDIS and the mainstream service system. </w:t>
      </w:r>
    </w:p>
    <w:p w:rsidR="0058349F" w:rsidRDefault="0058349F" w:rsidP="0058349F">
      <w:pPr>
        <w:pStyle w:val="BSbullet1"/>
        <w:numPr>
          <w:ilvl w:val="0"/>
          <w:numId w:val="2"/>
        </w:numPr>
        <w:shd w:val="clear" w:color="auto" w:fill="FFFFFF"/>
        <w:jc w:val="both"/>
      </w:pPr>
      <w:r>
        <w:t>Develop a Disability Justice Strategy to work towards people with a disability being treated equally before the law</w:t>
      </w:r>
      <w:r w:rsidR="005F348E">
        <w:t>.</w:t>
      </w:r>
    </w:p>
    <w:p w:rsidR="0058349F" w:rsidRDefault="0058349F" w:rsidP="0058349F">
      <w:pPr>
        <w:pStyle w:val="BSbullet1"/>
        <w:numPr>
          <w:ilvl w:val="0"/>
          <w:numId w:val="2"/>
        </w:numPr>
        <w:shd w:val="clear" w:color="auto" w:fill="FFFFFF"/>
        <w:jc w:val="both"/>
      </w:pPr>
      <w:r>
        <w:t>Establish the position of the ACT Senior Practitioner to provide oversight of the use of restrictive practices and to work towards reducing and eliminating the use of restrictive practices in the disability services sector</w:t>
      </w:r>
      <w:r w:rsidR="00FD4E98">
        <w:t>,</w:t>
      </w:r>
      <w:r>
        <w:t xml:space="preserve"> including under the NDIS.</w:t>
      </w:r>
    </w:p>
    <w:p w:rsidR="0058349F" w:rsidRDefault="0058349F" w:rsidP="0058349F">
      <w:pPr>
        <w:pStyle w:val="BSbullet1"/>
        <w:numPr>
          <w:ilvl w:val="0"/>
          <w:numId w:val="2"/>
        </w:numPr>
        <w:jc w:val="both"/>
      </w:pPr>
      <w:r>
        <w:t>Progress the objectives of the National Disability Strategy 2010-2020 across the ACT Government, with the Disability Refe</w:t>
      </w:r>
      <w:r w:rsidR="00C65772">
        <w:t>rence Group and wider Canberra c</w:t>
      </w:r>
      <w:r>
        <w:t xml:space="preserve">ommunity. </w:t>
      </w:r>
    </w:p>
    <w:p w:rsidR="0058349F" w:rsidRDefault="0058349F" w:rsidP="0058349F">
      <w:pPr>
        <w:pStyle w:val="BSbullet1"/>
        <w:numPr>
          <w:ilvl w:val="0"/>
          <w:numId w:val="2"/>
        </w:numPr>
        <w:jc w:val="both"/>
      </w:pPr>
      <w:r>
        <w:t>Continue to strengthen the Child Development Service</w:t>
      </w:r>
      <w:r w:rsidR="00371379">
        <w:t>s</w:t>
      </w:r>
      <w:r>
        <w:t>, established in January 2016 to provide assessment, referral, information and linkages for children 0-6 years with developmental delay.</w:t>
      </w:r>
    </w:p>
    <w:p w:rsidR="0058349F" w:rsidRDefault="0058349F" w:rsidP="0058349F">
      <w:pPr>
        <w:pStyle w:val="BSbullet1"/>
        <w:numPr>
          <w:ilvl w:val="0"/>
          <w:numId w:val="2"/>
        </w:numPr>
        <w:jc w:val="both"/>
        <w:rPr>
          <w:lang w:eastAsia="en-AU"/>
        </w:rPr>
      </w:pPr>
      <w:r>
        <w:t>Support the integration of the Early Childhood Early Intervention provider, NDIS EACH, into the ACT and facilitate its service provision to families through co-location with the Child Development Service</w:t>
      </w:r>
      <w:r w:rsidR="00371379">
        <w:t>s</w:t>
      </w:r>
      <w:r>
        <w:t xml:space="preserve">, and Child and Family Centres. </w:t>
      </w:r>
    </w:p>
    <w:p w:rsidR="0058349F" w:rsidRDefault="0058349F" w:rsidP="0058349F">
      <w:pPr>
        <w:pStyle w:val="Heading3"/>
      </w:pPr>
      <w:bookmarkStart w:id="10" w:name="_Toc514926317"/>
      <w:r>
        <w:t>Social Inclusion / Connected Communities</w:t>
      </w:r>
      <w:bookmarkEnd w:id="10"/>
    </w:p>
    <w:p w:rsidR="0058349F" w:rsidRDefault="0058349F" w:rsidP="0058349F">
      <w:pPr>
        <w:pStyle w:val="BSbullet1"/>
        <w:numPr>
          <w:ilvl w:val="0"/>
          <w:numId w:val="2"/>
        </w:numPr>
        <w:shd w:val="clear" w:color="auto" w:fill="FFFFFF"/>
        <w:jc w:val="both"/>
      </w:pPr>
      <w:r>
        <w:t>Establish and support a taskforce to deliver the first Action Plan under the ACT Carers Strategy, in recognition of the valuable contribution carers make to the community.</w:t>
      </w:r>
    </w:p>
    <w:p w:rsidR="0058349F" w:rsidRDefault="0058349F" w:rsidP="0058349F">
      <w:pPr>
        <w:pStyle w:val="BSbullet1"/>
        <w:numPr>
          <w:ilvl w:val="0"/>
          <w:numId w:val="2"/>
        </w:numPr>
        <w:shd w:val="clear" w:color="auto" w:fill="FFFFFF"/>
        <w:jc w:val="both"/>
      </w:pPr>
      <w:r>
        <w:t>Expand English language programs for refugees and asylum seekers and help them enter the workforce through the provision of a job brokering service.</w:t>
      </w:r>
    </w:p>
    <w:p w:rsidR="0058349F" w:rsidRDefault="0058349F" w:rsidP="0058349F">
      <w:pPr>
        <w:pStyle w:val="BSbullet1"/>
        <w:numPr>
          <w:ilvl w:val="0"/>
          <w:numId w:val="2"/>
        </w:numPr>
        <w:rPr>
          <w:color w:val="000000" w:themeColor="text1"/>
        </w:rPr>
      </w:pPr>
      <w:r>
        <w:rPr>
          <w:color w:val="000000" w:themeColor="text1"/>
        </w:rPr>
        <w:t xml:space="preserve">Continue supporting ACT migrants </w:t>
      </w:r>
      <w:r w:rsidR="000A0A61">
        <w:rPr>
          <w:color w:val="000000" w:themeColor="text1"/>
        </w:rPr>
        <w:t>that obtain</w:t>
      </w:r>
      <w:r>
        <w:rPr>
          <w:color w:val="000000" w:themeColor="text1"/>
        </w:rPr>
        <w:t xml:space="preserve"> Australian Citizenship or Permanent Residency to gain office skills, training, work experience and personal confidence to enter the workforce and gain meaningful paid employment through the Work Experience Support Program.</w:t>
      </w:r>
    </w:p>
    <w:p w:rsidR="0058349F" w:rsidRDefault="0058349F" w:rsidP="0058349F">
      <w:pPr>
        <w:pStyle w:val="BSbullet1"/>
        <w:numPr>
          <w:ilvl w:val="0"/>
          <w:numId w:val="2"/>
        </w:numPr>
        <w:jc w:val="both"/>
        <w:rPr>
          <w:color w:val="000000" w:themeColor="text1"/>
        </w:rPr>
      </w:pPr>
      <w:r>
        <w:rPr>
          <w:color w:val="000000" w:themeColor="text1"/>
        </w:rPr>
        <w:t xml:space="preserve">Support the Multicultural community through delivery of grant programs and awards to recognise achievements and celebrate </w:t>
      </w:r>
      <w:r w:rsidR="00BD0202">
        <w:rPr>
          <w:color w:val="000000" w:themeColor="text1"/>
        </w:rPr>
        <w:t xml:space="preserve">a </w:t>
      </w:r>
      <w:r>
        <w:rPr>
          <w:color w:val="000000" w:themeColor="text1"/>
        </w:rPr>
        <w:t>range of events including the National Multicultural Festival and Refugee Week.</w:t>
      </w:r>
    </w:p>
    <w:p w:rsidR="0058349F" w:rsidRDefault="0058349F" w:rsidP="0058349F">
      <w:pPr>
        <w:pStyle w:val="BSbullet1"/>
        <w:numPr>
          <w:ilvl w:val="0"/>
          <w:numId w:val="2"/>
        </w:numPr>
        <w:rPr>
          <w:color w:val="000000" w:themeColor="text1"/>
        </w:rPr>
      </w:pPr>
      <w:r>
        <w:rPr>
          <w:color w:val="000000" w:themeColor="text1"/>
        </w:rPr>
        <w:t>Conduct a review of the current services and delivery of the ACT Services Access Card to ensure the needs of ACT asylum seekers</w:t>
      </w:r>
      <w:r w:rsidR="00C65772">
        <w:rPr>
          <w:color w:val="000000" w:themeColor="text1"/>
        </w:rPr>
        <w:t xml:space="preserve"> are being met</w:t>
      </w:r>
      <w:r>
        <w:rPr>
          <w:color w:val="000000" w:themeColor="text1"/>
        </w:rPr>
        <w:t>.</w:t>
      </w:r>
    </w:p>
    <w:p w:rsidR="0058349F" w:rsidRDefault="0058349F" w:rsidP="0058349F">
      <w:pPr>
        <w:pStyle w:val="BSbullet1"/>
        <w:numPr>
          <w:ilvl w:val="0"/>
          <w:numId w:val="2"/>
        </w:numPr>
        <w:rPr>
          <w:color w:val="000000" w:themeColor="text1"/>
        </w:rPr>
      </w:pPr>
      <w:r>
        <w:rPr>
          <w:color w:val="000000" w:themeColor="text1"/>
        </w:rPr>
        <w:t>Convene a Multicultural Summit to enable Canberra’s culturally diverse communities to take a leading role in participation and consultation on issues affecting them.</w:t>
      </w:r>
    </w:p>
    <w:p w:rsidR="0058349F" w:rsidRDefault="0058349F" w:rsidP="0058349F">
      <w:pPr>
        <w:pStyle w:val="BSbullet1"/>
        <w:numPr>
          <w:ilvl w:val="0"/>
          <w:numId w:val="2"/>
        </w:numPr>
        <w:rPr>
          <w:color w:val="000000" w:themeColor="text1"/>
        </w:rPr>
      </w:pPr>
      <w:r>
        <w:rPr>
          <w:color w:val="000000" w:themeColor="text1"/>
        </w:rPr>
        <w:t>Continue to support the Multicultural Advisory Council to raise awareness of the aspirations, needs an</w:t>
      </w:r>
      <w:r w:rsidR="00A064E3">
        <w:rPr>
          <w:color w:val="000000" w:themeColor="text1"/>
        </w:rPr>
        <w:t>d concerns of those communities</w:t>
      </w:r>
      <w:r>
        <w:rPr>
          <w:color w:val="000000" w:themeColor="text1"/>
        </w:rPr>
        <w:t xml:space="preserve"> within government and the community.</w:t>
      </w:r>
    </w:p>
    <w:p w:rsidR="0058349F" w:rsidRDefault="0058349F" w:rsidP="0058349F">
      <w:pPr>
        <w:pStyle w:val="BSbullet1"/>
        <w:numPr>
          <w:ilvl w:val="0"/>
          <w:numId w:val="2"/>
        </w:numPr>
        <w:rPr>
          <w:color w:val="000000" w:themeColor="text1"/>
        </w:rPr>
      </w:pPr>
      <w:r>
        <w:rPr>
          <w:color w:val="000000" w:themeColor="text1"/>
        </w:rPr>
        <w:t>Provide strategic advice and policy development for government through the development of a</w:t>
      </w:r>
      <w:r w:rsidR="00BD0202">
        <w:rPr>
          <w:color w:val="000000" w:themeColor="text1"/>
        </w:rPr>
        <w:t xml:space="preserve"> </w:t>
      </w:r>
      <w:r>
        <w:rPr>
          <w:color w:val="000000" w:themeColor="text1"/>
        </w:rPr>
        <w:t>new Aboriginal and Torres Strait Islander Agreement and through high level support to the ACT Aboriginal and Torres Strait Islander Elected Body.</w:t>
      </w:r>
    </w:p>
    <w:p w:rsidR="00C65772" w:rsidRDefault="00C65772" w:rsidP="0058349F">
      <w:pPr>
        <w:pStyle w:val="BSbullet1"/>
        <w:numPr>
          <w:ilvl w:val="0"/>
          <w:numId w:val="2"/>
        </w:numPr>
        <w:rPr>
          <w:color w:val="000000" w:themeColor="text1"/>
        </w:rPr>
      </w:pPr>
      <w:r>
        <w:rPr>
          <w:color w:val="000000" w:themeColor="text1"/>
        </w:rPr>
        <w:t>Continue to support the United Ngunnawal Elders Council.</w:t>
      </w:r>
    </w:p>
    <w:p w:rsidR="0058349F" w:rsidRDefault="0058349F" w:rsidP="0058349F">
      <w:pPr>
        <w:pStyle w:val="BSbullet1"/>
        <w:numPr>
          <w:ilvl w:val="0"/>
          <w:numId w:val="2"/>
        </w:numPr>
        <w:jc w:val="both"/>
      </w:pPr>
      <w:r>
        <w:t>Support the Aboriginal and Torres Strait Islander community through the delivery of cultural, leadership and scholarship grant programs.</w:t>
      </w:r>
    </w:p>
    <w:p w:rsidR="0058349F" w:rsidRDefault="00C65772" w:rsidP="0058349F">
      <w:pPr>
        <w:pStyle w:val="BSbullet1"/>
        <w:numPr>
          <w:ilvl w:val="0"/>
          <w:numId w:val="2"/>
        </w:numPr>
        <w:jc w:val="both"/>
      </w:pPr>
      <w:r>
        <w:t>Foster the delivery of services by Aboriginal and Torres Strait Islander community controlled organisations by p</w:t>
      </w:r>
      <w:r w:rsidR="0058349F">
        <w:t>rovid</w:t>
      </w:r>
      <w:r>
        <w:t xml:space="preserve">ing </w:t>
      </w:r>
      <w:r w:rsidR="0058349F">
        <w:t>grants for new and emerging organisations.</w:t>
      </w:r>
    </w:p>
    <w:p w:rsidR="0058349F" w:rsidRDefault="0058349F" w:rsidP="0058349F">
      <w:pPr>
        <w:pStyle w:val="BSbullet1"/>
        <w:numPr>
          <w:ilvl w:val="0"/>
          <w:numId w:val="2"/>
        </w:numPr>
        <w:shd w:val="clear" w:color="auto" w:fill="FFFFFF"/>
        <w:jc w:val="both"/>
      </w:pPr>
      <w:r>
        <w:t>Support the community sector through workforce development to improve the capability and capacity of the sector to meet the needs of our community.</w:t>
      </w:r>
    </w:p>
    <w:p w:rsidR="0058349F" w:rsidRDefault="0058349F" w:rsidP="0058349F">
      <w:pPr>
        <w:pStyle w:val="BSbullet1"/>
        <w:numPr>
          <w:ilvl w:val="0"/>
          <w:numId w:val="2"/>
        </w:numPr>
      </w:pPr>
      <w:r>
        <w:t xml:space="preserve">Continue to promote equity and wellbeing, physical and mental health of women and girls through implementation of the </w:t>
      </w:r>
      <w:r>
        <w:rPr>
          <w:i/>
        </w:rPr>
        <w:t>ACT Women’s Plan</w:t>
      </w:r>
      <w:r w:rsidR="000A0A61">
        <w:rPr>
          <w:i/>
        </w:rPr>
        <w:t xml:space="preserve"> 2016-26 First Action Plan 2017</w:t>
      </w:r>
      <w:r w:rsidR="000A0A61">
        <w:rPr>
          <w:i/>
        </w:rPr>
        <w:noBreakHyphen/>
      </w:r>
      <w:r>
        <w:rPr>
          <w:i/>
        </w:rPr>
        <w:t>19.</w:t>
      </w:r>
    </w:p>
    <w:p w:rsidR="0058349F" w:rsidRDefault="0058349F" w:rsidP="0058349F">
      <w:pPr>
        <w:pStyle w:val="BSbullet1"/>
        <w:numPr>
          <w:ilvl w:val="0"/>
          <w:numId w:val="2"/>
        </w:numPr>
      </w:pPr>
      <w:r>
        <w:t>Promote greater representation of women and people from diverse backgrounds on boards and committees through the online Diversity Register and a range of training and leadership programs.</w:t>
      </w:r>
    </w:p>
    <w:p w:rsidR="0058349F" w:rsidRDefault="00986312" w:rsidP="0058349F">
      <w:pPr>
        <w:pStyle w:val="BSbullet1"/>
        <w:numPr>
          <w:ilvl w:val="0"/>
          <w:numId w:val="2"/>
        </w:numPr>
        <w:shd w:val="clear" w:color="auto" w:fill="FFFFFF"/>
        <w:jc w:val="both"/>
      </w:pPr>
      <w:r w:rsidRPr="00EE4DE4">
        <w:t xml:space="preserve">Create </w:t>
      </w:r>
      <w:r w:rsidR="0058349F" w:rsidRPr="00EE4DE4">
        <w:t xml:space="preserve">a Veterans </w:t>
      </w:r>
      <w:r w:rsidRPr="00EE4DE4">
        <w:t>g</w:t>
      </w:r>
      <w:r w:rsidR="0058349F" w:rsidRPr="00EE4DE4">
        <w:t xml:space="preserve">rants </w:t>
      </w:r>
      <w:r w:rsidR="00C65772">
        <w:t>program</w:t>
      </w:r>
      <w:r w:rsidR="0058349F" w:rsidRPr="00EE4DE4">
        <w:t xml:space="preserve"> to</w:t>
      </w:r>
      <w:r w:rsidR="0058349F">
        <w:t xml:space="preserve"> support organisations providing services and further support to </w:t>
      </w:r>
      <w:r w:rsidR="00EE4DE4">
        <w:t>V</w:t>
      </w:r>
      <w:r w:rsidR="0058349F">
        <w:t>eterans and their families in the ACT.</w:t>
      </w:r>
    </w:p>
    <w:p w:rsidR="0058349F" w:rsidRDefault="0058349F" w:rsidP="0058349F">
      <w:pPr>
        <w:pStyle w:val="BSbullet1"/>
        <w:numPr>
          <w:ilvl w:val="0"/>
          <w:numId w:val="2"/>
        </w:numPr>
        <w:jc w:val="both"/>
      </w:pPr>
      <w:r>
        <w:t xml:space="preserve">Continue </w:t>
      </w:r>
      <w:r w:rsidR="000A0A61">
        <w:t xml:space="preserve">the </w:t>
      </w:r>
      <w:r>
        <w:t xml:space="preserve">work to support implementation of the ACT Reportable Conduct scheme and the Working with Vulnerable </w:t>
      </w:r>
      <w:r w:rsidR="005F348E">
        <w:t>P</w:t>
      </w:r>
      <w:r w:rsidR="000A0A61">
        <w:t>eople scheme</w:t>
      </w:r>
      <w:r>
        <w:t>.</w:t>
      </w:r>
    </w:p>
    <w:p w:rsidR="0058349F" w:rsidRDefault="0058349F" w:rsidP="0058349F">
      <w:pPr>
        <w:pStyle w:val="BSbullet1"/>
        <w:numPr>
          <w:ilvl w:val="0"/>
          <w:numId w:val="2"/>
        </w:numPr>
        <w:jc w:val="both"/>
      </w:pPr>
      <w:r>
        <w:t>Develop the policy settings and operational plan for Early Intervention Service Delivery in the ACT to strengthen the human services system and provide early intervention supports to improve outcomes for the Canberra community.</w:t>
      </w:r>
    </w:p>
    <w:p w:rsidR="0058349F" w:rsidRDefault="0058349F" w:rsidP="0058349F">
      <w:pPr>
        <w:pStyle w:val="BSbullet1"/>
        <w:numPr>
          <w:ilvl w:val="0"/>
          <w:numId w:val="2"/>
        </w:numPr>
        <w:shd w:val="clear" w:color="auto" w:fill="FFFFFF"/>
        <w:jc w:val="both"/>
      </w:pPr>
      <w:r>
        <w:t>Support the development of evidence informed policy and practice to improve human service delivery through quality improvement projects.</w:t>
      </w:r>
    </w:p>
    <w:p w:rsidR="0058349F" w:rsidRDefault="0058349F" w:rsidP="0058349F">
      <w:pPr>
        <w:pStyle w:val="Heading3"/>
      </w:pPr>
      <w:bookmarkStart w:id="11" w:name="_Toc514926318"/>
      <w:r>
        <w:t>Children, Young People and Family Services</w:t>
      </w:r>
      <w:bookmarkEnd w:id="11"/>
    </w:p>
    <w:p w:rsidR="0058349F" w:rsidRDefault="0058349F" w:rsidP="0058349F">
      <w:pPr>
        <w:pStyle w:val="BSbullet1"/>
        <w:numPr>
          <w:ilvl w:val="0"/>
          <w:numId w:val="2"/>
        </w:numPr>
      </w:pPr>
      <w:r>
        <w:t>Continue implementation of ‘</w:t>
      </w:r>
      <w:r>
        <w:rPr>
          <w:i/>
        </w:rPr>
        <w:t>A Step Up For Our Kids</w:t>
      </w:r>
      <w:r>
        <w:t xml:space="preserve">’ (Out of Home Care Strategy), including a </w:t>
      </w:r>
      <w:r w:rsidR="00EE4DE4" w:rsidRPr="00EE4DE4">
        <w:t>mid-s</w:t>
      </w:r>
      <w:r w:rsidRPr="00EE4DE4">
        <w:t>trategy evaluation</w:t>
      </w:r>
      <w:r>
        <w:t xml:space="preserve"> to support improved service responses for children, young people and families involved, or at risk of involvement, in statutory services.  </w:t>
      </w:r>
    </w:p>
    <w:p w:rsidR="0058349F" w:rsidRDefault="0058349F" w:rsidP="0058349F">
      <w:pPr>
        <w:pStyle w:val="BSbullet1"/>
        <w:numPr>
          <w:ilvl w:val="0"/>
          <w:numId w:val="2"/>
        </w:numPr>
      </w:pPr>
      <w:r>
        <w:t xml:space="preserve">Support the migration of information and implement a new client management system, replacing the existing legacy systems within Child and Youth Protection Services and </w:t>
      </w:r>
      <w:proofErr w:type="spellStart"/>
      <w:r>
        <w:t>Bimberi</w:t>
      </w:r>
      <w:proofErr w:type="spellEnd"/>
      <w:r>
        <w:t xml:space="preserve"> Youth Justice Centre.</w:t>
      </w:r>
    </w:p>
    <w:p w:rsidR="0058349F" w:rsidRDefault="0058349F" w:rsidP="0058349F">
      <w:pPr>
        <w:pStyle w:val="BSbullet1"/>
        <w:numPr>
          <w:ilvl w:val="0"/>
          <w:numId w:val="2"/>
        </w:numPr>
      </w:pPr>
      <w:r>
        <w:t xml:space="preserve">Set the priorities for action over the next five years of the </w:t>
      </w:r>
      <w:r>
        <w:rPr>
          <w:i/>
        </w:rPr>
        <w:t>Blueprint for Youth Justice in the ACT 2012-22</w:t>
      </w:r>
      <w:r>
        <w:t xml:space="preserve"> as guided by the Blueprint Taskforce. </w:t>
      </w:r>
    </w:p>
    <w:p w:rsidR="0058349F" w:rsidRDefault="0058349F" w:rsidP="0058349F">
      <w:pPr>
        <w:pStyle w:val="BSbullet1"/>
        <w:numPr>
          <w:ilvl w:val="0"/>
          <w:numId w:val="2"/>
        </w:numPr>
      </w:pPr>
      <w:r>
        <w:t>Establish a fr</w:t>
      </w:r>
      <w:r w:rsidR="00C65772">
        <w:t>amework for the ACT Inspector</w:t>
      </w:r>
      <w:r>
        <w:t xml:space="preserve"> of Correctional Services to over</w:t>
      </w:r>
      <w:r w:rsidR="005F348E">
        <w:t>see</w:t>
      </w:r>
      <w:r>
        <w:t xml:space="preserve"> the </w:t>
      </w:r>
      <w:proofErr w:type="spellStart"/>
      <w:r>
        <w:t>Bimberi</w:t>
      </w:r>
      <w:proofErr w:type="spellEnd"/>
      <w:r>
        <w:t xml:space="preserve"> Youth Justice Centre.</w:t>
      </w:r>
    </w:p>
    <w:p w:rsidR="0058349F" w:rsidRDefault="0058349F" w:rsidP="0058349F">
      <w:pPr>
        <w:pStyle w:val="BSbullet1"/>
        <w:numPr>
          <w:ilvl w:val="0"/>
          <w:numId w:val="2"/>
        </w:numPr>
      </w:pPr>
      <w:r>
        <w:t>Implement a collaboration framework to strengthen relationships with stakeholders to improve community based responses for the protection of children and young people.</w:t>
      </w:r>
    </w:p>
    <w:p w:rsidR="0058349F" w:rsidRDefault="00C65772" w:rsidP="0058349F">
      <w:pPr>
        <w:pStyle w:val="BSbullet1"/>
        <w:numPr>
          <w:ilvl w:val="0"/>
          <w:numId w:val="2"/>
        </w:numPr>
      </w:pPr>
      <w:r>
        <w:t xml:space="preserve">Continue to deliver </w:t>
      </w:r>
      <w:r w:rsidR="0058349F">
        <w:t xml:space="preserve">Family Group Conferencing for Aboriginal and Torres Strait Islander children </w:t>
      </w:r>
      <w:r>
        <w:t xml:space="preserve">and families </w:t>
      </w:r>
      <w:r w:rsidR="0058349F">
        <w:t>at risk of ongoing involvement with Child and Youth Protection Services.</w:t>
      </w:r>
    </w:p>
    <w:p w:rsidR="0058349F" w:rsidRDefault="0058349F" w:rsidP="0058349F">
      <w:pPr>
        <w:pStyle w:val="BSbullet1"/>
        <w:numPr>
          <w:ilvl w:val="0"/>
          <w:numId w:val="2"/>
        </w:numPr>
      </w:pPr>
      <w:r>
        <w:t>Increase permanency and stability for young people on long term orders in out of home care through increased Enduring Parental Responsibility and Adoption applications.</w:t>
      </w:r>
    </w:p>
    <w:p w:rsidR="0058349F" w:rsidRDefault="0058349F" w:rsidP="0058349F">
      <w:pPr>
        <w:pStyle w:val="BSbullet1"/>
        <w:numPr>
          <w:ilvl w:val="0"/>
          <w:numId w:val="2"/>
        </w:numPr>
      </w:pPr>
      <w:r>
        <w:t>Implement and coordinate the Commonwealth funded Australian Early Development Census.</w:t>
      </w:r>
    </w:p>
    <w:p w:rsidR="0058349F" w:rsidRDefault="0058349F" w:rsidP="0058349F">
      <w:pPr>
        <w:pStyle w:val="BSbullet1"/>
        <w:numPr>
          <w:ilvl w:val="0"/>
          <w:numId w:val="2"/>
        </w:numPr>
      </w:pPr>
      <w:r>
        <w:t xml:space="preserve">Review therapeutic protection for children and young people, as provided for in the </w:t>
      </w:r>
      <w:r w:rsidRPr="000A0A61">
        <w:rPr>
          <w:i/>
        </w:rPr>
        <w:t>Children and Young People Act 2008</w:t>
      </w:r>
      <w:r>
        <w:t>.</w:t>
      </w:r>
    </w:p>
    <w:p w:rsidR="0058349F" w:rsidRDefault="0058349F" w:rsidP="0058349F">
      <w:pPr>
        <w:pStyle w:val="BSbullet1"/>
        <w:numPr>
          <w:ilvl w:val="0"/>
          <w:numId w:val="2"/>
        </w:numPr>
      </w:pPr>
      <w:r>
        <w:t xml:space="preserve">Continue the </w:t>
      </w:r>
      <w:r w:rsidR="005F348E">
        <w:t>‘</w:t>
      </w:r>
      <w:r>
        <w:rPr>
          <w:i/>
        </w:rPr>
        <w:t xml:space="preserve">Our </w:t>
      </w:r>
      <w:proofErr w:type="spellStart"/>
      <w:r>
        <w:rPr>
          <w:i/>
        </w:rPr>
        <w:t>Booris</w:t>
      </w:r>
      <w:proofErr w:type="spellEnd"/>
      <w:r>
        <w:rPr>
          <w:i/>
        </w:rPr>
        <w:t xml:space="preserve"> Our Way</w:t>
      </w:r>
      <w:r w:rsidR="005F348E">
        <w:rPr>
          <w:i/>
        </w:rPr>
        <w:t>’</w:t>
      </w:r>
      <w:r>
        <w:t xml:space="preserve"> review to understand the reasons for children and young people entering care and develop strategies to reduce the number of Aboriginal and Torres Strait Islander children and young people entering care. </w:t>
      </w:r>
    </w:p>
    <w:p w:rsidR="0058349F" w:rsidRPr="00C83975" w:rsidRDefault="0058349F" w:rsidP="0058349F">
      <w:pPr>
        <w:pStyle w:val="BSbullet1"/>
        <w:numPr>
          <w:ilvl w:val="0"/>
          <w:numId w:val="2"/>
        </w:numPr>
      </w:pPr>
      <w:r w:rsidRPr="00C83975">
        <w:t>Embed the Family Safety Hub to drive a system wide response to family violence, seeking a shared understanding and alternative pathways to safety that meet diverse needs so that people get the right response when they seek help.</w:t>
      </w:r>
    </w:p>
    <w:p w:rsidR="0058349F" w:rsidRDefault="0058349F" w:rsidP="0058349F">
      <w:pPr>
        <w:pStyle w:val="Heading21"/>
      </w:pPr>
      <w:bookmarkStart w:id="12" w:name="_Toc452467797"/>
      <w:bookmarkStart w:id="13" w:name="_Toc451895559"/>
      <w:bookmarkStart w:id="14" w:name="_Toc514926319"/>
      <w:r>
        <w:t>Estimated Employment Level</w:t>
      </w:r>
      <w:bookmarkEnd w:id="12"/>
      <w:bookmarkEnd w:id="13"/>
      <w:bookmarkEnd w:id="14"/>
    </w:p>
    <w:p w:rsidR="0058349F" w:rsidRDefault="0058349F" w:rsidP="0058349F">
      <w:pPr>
        <w:pStyle w:val="Caption"/>
      </w:pPr>
      <w:r>
        <w:t xml:space="preserve">Table </w:t>
      </w:r>
      <w:r w:rsidR="005731B5">
        <w:fldChar w:fldCharType="begin"/>
      </w:r>
      <w:r w:rsidR="005731B5">
        <w:instrText xml:space="preserve"> SEQ Table \* ARABIC </w:instrText>
      </w:r>
      <w:r w:rsidR="005731B5">
        <w:fldChar w:fldCharType="separate"/>
      </w:r>
      <w:r w:rsidR="00763F99">
        <w:rPr>
          <w:noProof/>
        </w:rPr>
        <w:t>1</w:t>
      </w:r>
      <w:r w:rsidR="005731B5">
        <w:rPr>
          <w:noProof/>
        </w:rPr>
        <w:fldChar w:fldCharType="end"/>
      </w:r>
      <w:r>
        <w:t>: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1651E4" w:rsidTr="0058349F">
        <w:trPr>
          <w:trHeight w:val="392"/>
          <w:tblHeader/>
        </w:trPr>
        <w:tc>
          <w:tcPr>
            <w:tcW w:w="2699" w:type="dxa"/>
            <w:tcBorders>
              <w:top w:val="single" w:sz="12" w:space="0" w:color="000000"/>
              <w:left w:val="nil"/>
              <w:bottom w:val="nil"/>
              <w:right w:val="nil"/>
            </w:tcBorders>
            <w:vAlign w:val="bottom"/>
          </w:tcPr>
          <w:p w:rsidR="0058349F" w:rsidRDefault="0058349F" w:rsidP="0058349F">
            <w:pPr>
              <w:pStyle w:val="BStabletext"/>
            </w:pPr>
          </w:p>
        </w:tc>
        <w:tc>
          <w:tcPr>
            <w:tcW w:w="1600" w:type="dxa"/>
            <w:tcBorders>
              <w:top w:val="single" w:sz="12" w:space="0" w:color="000000"/>
              <w:left w:val="nil"/>
              <w:bottom w:val="nil"/>
              <w:right w:val="nil"/>
            </w:tcBorders>
            <w:hideMark/>
          </w:tcPr>
          <w:p w:rsidR="0058349F" w:rsidRDefault="0058349F">
            <w:pPr>
              <w:pStyle w:val="BStableheading1"/>
              <w:framePr w:wrap="around"/>
            </w:pPr>
            <w:r>
              <w:t>2016-17</w:t>
            </w:r>
          </w:p>
          <w:p w:rsidR="0058349F" w:rsidRDefault="0058349F">
            <w:pPr>
              <w:pStyle w:val="BStableheading1"/>
              <w:framePr w:wrap="around"/>
            </w:pPr>
            <w:r>
              <w:t>Actual</w:t>
            </w:r>
          </w:p>
          <w:p w:rsidR="0058349F" w:rsidRDefault="0058349F">
            <w:pPr>
              <w:pStyle w:val="BStableheading1"/>
              <w:framePr w:wrap="around"/>
            </w:pPr>
            <w:r>
              <w:t>Outcome</w:t>
            </w:r>
          </w:p>
        </w:tc>
        <w:tc>
          <w:tcPr>
            <w:tcW w:w="1600" w:type="dxa"/>
            <w:tcBorders>
              <w:top w:val="single" w:sz="12" w:space="0" w:color="000000"/>
              <w:left w:val="nil"/>
              <w:bottom w:val="nil"/>
              <w:right w:val="nil"/>
            </w:tcBorders>
            <w:hideMark/>
          </w:tcPr>
          <w:p w:rsidR="0058349F" w:rsidRDefault="0058349F" w:rsidP="0058349F">
            <w:pPr>
              <w:pStyle w:val="BStableheading1"/>
              <w:framePr w:wrap="auto" w:vAnchor="margin" w:yAlign="inline"/>
            </w:pPr>
            <w:r>
              <w:t>2017-18</w:t>
            </w:r>
          </w:p>
          <w:p w:rsidR="0058349F" w:rsidRDefault="0058349F">
            <w:pPr>
              <w:pStyle w:val="BStableheading1"/>
              <w:framePr w:wrap="around"/>
            </w:pPr>
            <w:r>
              <w:t>Budget</w:t>
            </w:r>
          </w:p>
        </w:tc>
        <w:tc>
          <w:tcPr>
            <w:tcW w:w="1600" w:type="dxa"/>
            <w:tcBorders>
              <w:top w:val="single" w:sz="12" w:space="0" w:color="000000"/>
              <w:left w:val="nil"/>
              <w:bottom w:val="nil"/>
              <w:right w:val="nil"/>
            </w:tcBorders>
            <w:hideMark/>
          </w:tcPr>
          <w:p w:rsidR="0058349F" w:rsidRDefault="0058349F">
            <w:pPr>
              <w:pStyle w:val="BStableheading1"/>
              <w:framePr w:wrap="around"/>
            </w:pPr>
            <w:r>
              <w:t>2017-18</w:t>
            </w:r>
          </w:p>
          <w:p w:rsidR="0058349F" w:rsidRDefault="0058349F">
            <w:pPr>
              <w:pStyle w:val="BStableheading1"/>
              <w:framePr w:wrap="around"/>
            </w:pPr>
            <w:r>
              <w:t>Estimated Outcome</w:t>
            </w:r>
          </w:p>
        </w:tc>
        <w:tc>
          <w:tcPr>
            <w:tcW w:w="1601" w:type="dxa"/>
            <w:tcBorders>
              <w:top w:val="single" w:sz="12" w:space="0" w:color="000000"/>
              <w:left w:val="nil"/>
              <w:bottom w:val="nil"/>
              <w:right w:val="nil"/>
            </w:tcBorders>
            <w:noWrap/>
            <w:hideMark/>
          </w:tcPr>
          <w:p w:rsidR="0058349F" w:rsidRDefault="0058349F">
            <w:pPr>
              <w:pStyle w:val="BStableheading1"/>
              <w:framePr w:wrap="around"/>
            </w:pPr>
            <w:r>
              <w:t>2018-19</w:t>
            </w:r>
          </w:p>
          <w:p w:rsidR="0058349F" w:rsidRDefault="0058349F">
            <w:pPr>
              <w:pStyle w:val="BStableheading1"/>
              <w:framePr w:wrap="around"/>
            </w:pPr>
            <w:r>
              <w:t>Budget</w:t>
            </w:r>
          </w:p>
        </w:tc>
      </w:tr>
      <w:tr w:rsidR="001651E4" w:rsidTr="0058349F">
        <w:trPr>
          <w:trHeight w:val="319"/>
          <w:tblHeader/>
        </w:trPr>
        <w:tc>
          <w:tcPr>
            <w:tcW w:w="2699" w:type="dxa"/>
            <w:tcBorders>
              <w:top w:val="single" w:sz="6" w:space="0" w:color="000000"/>
              <w:left w:val="nil"/>
              <w:bottom w:val="single" w:sz="12" w:space="0" w:color="000000"/>
              <w:right w:val="nil"/>
            </w:tcBorders>
            <w:vAlign w:val="bottom"/>
            <w:hideMark/>
          </w:tcPr>
          <w:p w:rsidR="0058349F" w:rsidRDefault="0058349F" w:rsidP="0058349F">
            <w:pPr>
              <w:pStyle w:val="BStabletext"/>
              <w:rPr>
                <w:rStyle w:val="Strong"/>
                <w:bCs/>
              </w:rPr>
            </w:pPr>
            <w:r>
              <w:rPr>
                <w:rStyle w:val="Strong"/>
                <w:bCs/>
              </w:rPr>
              <w:t>Staffing (FTE)</w:t>
            </w:r>
          </w:p>
        </w:tc>
        <w:tc>
          <w:tcPr>
            <w:tcW w:w="1600" w:type="dxa"/>
            <w:tcBorders>
              <w:top w:val="single" w:sz="6" w:space="0" w:color="000000"/>
              <w:left w:val="nil"/>
              <w:bottom w:val="single" w:sz="12" w:space="0" w:color="000000"/>
              <w:right w:val="nil"/>
            </w:tcBorders>
            <w:vAlign w:val="bottom"/>
            <w:hideMark/>
          </w:tcPr>
          <w:p w:rsidR="0058349F" w:rsidRDefault="0058349F" w:rsidP="0058349F">
            <w:pPr>
              <w:pStyle w:val="BStablefigures"/>
            </w:pPr>
            <w:r>
              <w:t>587.4</w:t>
            </w:r>
          </w:p>
        </w:tc>
        <w:tc>
          <w:tcPr>
            <w:tcW w:w="1600" w:type="dxa"/>
            <w:tcBorders>
              <w:top w:val="single" w:sz="6" w:space="0" w:color="000000"/>
              <w:left w:val="nil"/>
              <w:bottom w:val="single" w:sz="12" w:space="0" w:color="000000"/>
              <w:right w:val="nil"/>
            </w:tcBorders>
            <w:vAlign w:val="bottom"/>
            <w:hideMark/>
          </w:tcPr>
          <w:p w:rsidR="0058349F" w:rsidRDefault="001D230E" w:rsidP="0058349F">
            <w:pPr>
              <w:pStyle w:val="BStablefigures"/>
            </w:pPr>
            <w:r>
              <w:t>593.7</w:t>
            </w:r>
          </w:p>
        </w:tc>
        <w:tc>
          <w:tcPr>
            <w:tcW w:w="1600" w:type="dxa"/>
            <w:tcBorders>
              <w:top w:val="single" w:sz="6" w:space="0" w:color="000000"/>
              <w:left w:val="nil"/>
              <w:bottom w:val="single" w:sz="12" w:space="0" w:color="000000"/>
              <w:right w:val="nil"/>
            </w:tcBorders>
            <w:vAlign w:val="bottom"/>
            <w:hideMark/>
          </w:tcPr>
          <w:p w:rsidR="0058349F" w:rsidRDefault="0058349F" w:rsidP="001D230E">
            <w:pPr>
              <w:pStyle w:val="BStablefigures"/>
            </w:pPr>
            <w:r>
              <w:t>6</w:t>
            </w:r>
            <w:r w:rsidR="001D230E">
              <w:t>16.4</w:t>
            </w:r>
            <w:r>
              <w:t xml:space="preserve"> </w:t>
            </w:r>
            <w:r>
              <w:rPr>
                <w:vertAlign w:val="superscript"/>
              </w:rPr>
              <w:t>1</w:t>
            </w:r>
          </w:p>
        </w:tc>
        <w:tc>
          <w:tcPr>
            <w:tcW w:w="1601" w:type="dxa"/>
            <w:tcBorders>
              <w:top w:val="single" w:sz="6" w:space="0" w:color="000000"/>
              <w:left w:val="nil"/>
              <w:bottom w:val="single" w:sz="12" w:space="0" w:color="000000"/>
              <w:right w:val="nil"/>
            </w:tcBorders>
            <w:noWrap/>
            <w:vAlign w:val="bottom"/>
            <w:hideMark/>
          </w:tcPr>
          <w:p w:rsidR="0058349F" w:rsidRDefault="0058349F" w:rsidP="0058349F">
            <w:pPr>
              <w:pStyle w:val="BStablefigures"/>
            </w:pPr>
            <w:r>
              <w:t xml:space="preserve">627.9 </w:t>
            </w:r>
            <w:r>
              <w:rPr>
                <w:vertAlign w:val="superscript"/>
              </w:rPr>
              <w:t>2</w:t>
            </w:r>
            <w:r>
              <w:t xml:space="preserve"> </w:t>
            </w:r>
          </w:p>
        </w:tc>
      </w:tr>
    </w:tbl>
    <w:p w:rsidR="0058349F" w:rsidRDefault="0058349F" w:rsidP="0058349F">
      <w:pPr>
        <w:pStyle w:val="BSnote"/>
      </w:pPr>
      <w:r>
        <w:t>Notes:</w:t>
      </w:r>
    </w:p>
    <w:p w:rsidR="0058349F" w:rsidRDefault="0058349F" w:rsidP="0058349F">
      <w:pPr>
        <w:pStyle w:val="BSnote"/>
        <w:numPr>
          <w:ilvl w:val="0"/>
          <w:numId w:val="4"/>
        </w:numPr>
        <w:rPr>
          <w:b w:val="0"/>
        </w:rPr>
      </w:pPr>
      <w:r>
        <w:rPr>
          <w:b w:val="0"/>
        </w:rPr>
        <w:t>The increase in 2017-18 estimated outcome from the original budget is due to the increase in employment levels as a result of the 2</w:t>
      </w:r>
      <w:r w:rsidRPr="00095116">
        <w:rPr>
          <w:b w:val="0"/>
          <w:vertAlign w:val="superscript"/>
        </w:rPr>
        <w:t>nd</w:t>
      </w:r>
      <w:r>
        <w:rPr>
          <w:b w:val="0"/>
        </w:rPr>
        <w:t xml:space="preserve"> Appropriation</w:t>
      </w:r>
      <w:r w:rsidR="00EB52D4">
        <w:rPr>
          <w:b w:val="0"/>
        </w:rPr>
        <w:t xml:space="preserve"> and the transfe</w:t>
      </w:r>
      <w:r w:rsidR="001D230E">
        <w:rPr>
          <w:b w:val="0"/>
        </w:rPr>
        <w:t>r of the</w:t>
      </w:r>
      <w:r w:rsidR="001D230E" w:rsidRPr="001D230E">
        <w:rPr>
          <w:b w:val="0"/>
        </w:rPr>
        <w:t xml:space="preserve"> Coordinator-General for Family Safety</w:t>
      </w:r>
      <w:r w:rsidR="00EB52D4">
        <w:rPr>
          <w:b w:val="0"/>
        </w:rPr>
        <w:t xml:space="preserve"> employee</w:t>
      </w:r>
      <w:r w:rsidR="001D230E">
        <w:rPr>
          <w:b w:val="0"/>
        </w:rPr>
        <w:t>s</w:t>
      </w:r>
      <w:r w:rsidR="001D230E" w:rsidRPr="001D230E">
        <w:rPr>
          <w:b w:val="0"/>
        </w:rPr>
        <w:t xml:space="preserve"> from Justice and Community Safety Directorate to the Directorate</w:t>
      </w:r>
      <w:r>
        <w:rPr>
          <w:b w:val="0"/>
        </w:rPr>
        <w:t>.</w:t>
      </w:r>
    </w:p>
    <w:p w:rsidR="0058349F" w:rsidRDefault="0058349F" w:rsidP="0058349F">
      <w:pPr>
        <w:pStyle w:val="BSnote"/>
        <w:numPr>
          <w:ilvl w:val="0"/>
          <w:numId w:val="4"/>
        </w:numPr>
        <w:rPr>
          <w:b w:val="0"/>
        </w:rPr>
      </w:pPr>
      <w:r>
        <w:rPr>
          <w:b w:val="0"/>
        </w:rPr>
        <w:t>The increase in 2018-19 budget compared wi</w:t>
      </w:r>
      <w:r w:rsidR="00C84286">
        <w:rPr>
          <w:b w:val="0"/>
        </w:rPr>
        <w:t xml:space="preserve">th 2017-18 estimated outcome </w:t>
      </w:r>
      <w:r w:rsidR="005F348E">
        <w:rPr>
          <w:b w:val="0"/>
        </w:rPr>
        <w:t xml:space="preserve">represents </w:t>
      </w:r>
      <w:r w:rsidR="00C84286">
        <w:rPr>
          <w:b w:val="0"/>
        </w:rPr>
        <w:t>the</w:t>
      </w:r>
      <w:r>
        <w:rPr>
          <w:b w:val="0"/>
        </w:rPr>
        <w:t xml:space="preserve"> additional staff numbers relating to new initiatives less the reduction in staff numbers due to the ceasing initiatives from prior years.</w:t>
      </w:r>
    </w:p>
    <w:p w:rsidR="0058349F" w:rsidRDefault="0058349F" w:rsidP="0058349F">
      <w:pPr>
        <w:pStyle w:val="BSnoteslist"/>
        <w:numPr>
          <w:ilvl w:val="0"/>
          <w:numId w:val="0"/>
        </w:numPr>
        <w:ind w:left="360" w:hanging="360"/>
      </w:pPr>
    </w:p>
    <w:p w:rsidR="0058349F" w:rsidRDefault="0058349F" w:rsidP="0058349F">
      <w:pPr>
        <w:pStyle w:val="BSnoteslist"/>
        <w:numPr>
          <w:ilvl w:val="0"/>
          <w:numId w:val="0"/>
        </w:numPr>
        <w:ind w:left="360" w:hanging="360"/>
      </w:pPr>
      <w:r>
        <w:t xml:space="preserve"> </w:t>
      </w:r>
    </w:p>
    <w:p w:rsidR="0058349F" w:rsidRDefault="0058349F" w:rsidP="0058349F">
      <w:pPr>
        <w:pStyle w:val="Heading22"/>
        <w:pageBreakBefore/>
      </w:pPr>
      <w:bookmarkStart w:id="15" w:name="_Toc452467798"/>
      <w:bookmarkStart w:id="16" w:name="_Toc514926320"/>
      <w:r>
        <w:t>Strategic Objectives and Indicators</w:t>
      </w:r>
      <w:bookmarkEnd w:id="15"/>
      <w:bookmarkEnd w:id="16"/>
      <w:r>
        <w:t xml:space="preserve"> </w:t>
      </w:r>
    </w:p>
    <w:p w:rsidR="0058349F" w:rsidRDefault="0058349F" w:rsidP="0058349F">
      <w:pPr>
        <w:pStyle w:val="Heading30"/>
      </w:pPr>
      <w:bookmarkStart w:id="17" w:name="_Toc514926321"/>
      <w:r>
        <w:t>Strategic Objective 1</w:t>
      </w:r>
      <w:bookmarkEnd w:id="17"/>
      <w:r>
        <w:t xml:space="preserve"> </w:t>
      </w:r>
    </w:p>
    <w:p w:rsidR="0058349F" w:rsidRDefault="0058349F" w:rsidP="0058349F">
      <w:pPr>
        <w:pStyle w:val="Heading4"/>
        <w:rPr>
          <w:i w:val="0"/>
        </w:rPr>
      </w:pPr>
      <w:r>
        <w:t>Strengthen the capacity of people with disabilities, their families and carers to maximise control over their lives</w:t>
      </w:r>
    </w:p>
    <w:p w:rsidR="00C84286" w:rsidRPr="001B5622" w:rsidRDefault="00C84286" w:rsidP="00C84286">
      <w:pPr>
        <w:pStyle w:val="Normal2"/>
        <w:rPr>
          <w:szCs w:val="24"/>
        </w:rPr>
      </w:pPr>
      <w:r w:rsidRPr="001B5622">
        <w:rPr>
          <w:szCs w:val="24"/>
        </w:rPr>
        <w:t xml:space="preserve">The National Disability Insurance Scheme (NDIS) trial for eligible participants in the ACT began on 1 July 2014 over a three year period. </w:t>
      </w:r>
      <w:r>
        <w:rPr>
          <w:szCs w:val="24"/>
        </w:rPr>
        <w:t>The transition to full scheme commenced in 2017</w:t>
      </w:r>
      <w:r>
        <w:rPr>
          <w:szCs w:val="24"/>
        </w:rPr>
        <w:noBreakHyphen/>
        <w:t>18 and will continue in</w:t>
      </w:r>
      <w:r w:rsidRPr="001B5622">
        <w:rPr>
          <w:szCs w:val="24"/>
        </w:rPr>
        <w:t xml:space="preserve"> 2018-19.</w:t>
      </w:r>
    </w:p>
    <w:p w:rsidR="00C84286" w:rsidRPr="001B5622" w:rsidRDefault="00C84286" w:rsidP="00C84286">
      <w:pPr>
        <w:pStyle w:val="Normal2"/>
        <w:rPr>
          <w:szCs w:val="24"/>
        </w:rPr>
      </w:pPr>
      <w:r w:rsidRPr="001B5622">
        <w:rPr>
          <w:szCs w:val="24"/>
        </w:rPr>
        <w:t>Territory funding for specialist disability services will be provided to the Commonwealth as part of the commitment between the Commonwealth and the ACT.</w:t>
      </w:r>
      <w:r>
        <w:rPr>
          <w:szCs w:val="24"/>
        </w:rPr>
        <w:t xml:space="preserve"> </w:t>
      </w:r>
      <w:r w:rsidRPr="001B5622">
        <w:rPr>
          <w:szCs w:val="24"/>
        </w:rPr>
        <w:t xml:space="preserve">The </w:t>
      </w:r>
      <w:r>
        <w:rPr>
          <w:szCs w:val="24"/>
        </w:rPr>
        <w:t xml:space="preserve">ACT Government remains committed </w:t>
      </w:r>
      <w:r w:rsidRPr="001B5622">
        <w:rPr>
          <w:szCs w:val="24"/>
        </w:rPr>
        <w:t xml:space="preserve">to </w:t>
      </w:r>
      <w:r>
        <w:rPr>
          <w:szCs w:val="24"/>
        </w:rPr>
        <w:t xml:space="preserve">supporting </w:t>
      </w:r>
      <w:r w:rsidRPr="001B5622">
        <w:rPr>
          <w:szCs w:val="24"/>
        </w:rPr>
        <w:t>people with disability in the ACT during the final transition into the NDIS</w:t>
      </w:r>
      <w:r>
        <w:rPr>
          <w:szCs w:val="24"/>
        </w:rPr>
        <w:t xml:space="preserve"> and will continue to co-fund the NDIS at full scheme</w:t>
      </w:r>
      <w:r w:rsidRPr="001B5622">
        <w:rPr>
          <w:szCs w:val="24"/>
        </w:rPr>
        <w:t xml:space="preserve">. </w:t>
      </w:r>
    </w:p>
    <w:p w:rsidR="0058349F" w:rsidRDefault="0058349F" w:rsidP="0058349F">
      <w:pPr>
        <w:pStyle w:val="Heading4"/>
        <w:rPr>
          <w:i w:val="0"/>
        </w:rPr>
      </w:pPr>
      <w:r>
        <w:t>Strategic Indicator 1: Number of participants in the NDIS</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1651E4" w:rsidTr="0058349F">
        <w:trPr>
          <w:cantSplit/>
          <w:trHeight w:val="170"/>
          <w:jc w:val="center"/>
        </w:trPr>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2017-18</w:t>
            </w:r>
          </w:p>
        </w:tc>
        <w:tc>
          <w:tcPr>
            <w:tcW w:w="1821" w:type="dxa"/>
            <w:tcBorders>
              <w:top w:val="single" w:sz="4" w:space="0" w:color="auto"/>
              <w:left w:val="nil"/>
              <w:bottom w:val="nil"/>
              <w:right w:val="nil"/>
            </w:tcBorders>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2018-19</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2019-20</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2020-21</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2021-22</w:t>
            </w:r>
          </w:p>
        </w:tc>
      </w:tr>
      <w:tr w:rsidR="001651E4" w:rsidTr="0058349F">
        <w:trPr>
          <w:cantSplit/>
          <w:trHeight w:val="170"/>
          <w:jc w:val="center"/>
        </w:trPr>
        <w:tc>
          <w:tcPr>
            <w:tcW w:w="1821" w:type="dxa"/>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hAnsi="Calibri" w:cs="Calibri"/>
                <w:sz w:val="20"/>
              </w:rPr>
              <w:t>Target</w:t>
            </w:r>
          </w:p>
        </w:tc>
        <w:tc>
          <w:tcPr>
            <w:tcW w:w="1821" w:type="dxa"/>
            <w:vAlign w:val="center"/>
            <w:hideMark/>
          </w:tcPr>
          <w:p w:rsidR="0058349F" w:rsidRDefault="0058349F">
            <w:pPr>
              <w:pStyle w:val="TableTextHeading1"/>
              <w:rPr>
                <w:rFonts w:ascii="Calibri" w:eastAsia="Arial Unicode MS" w:hAnsi="Calibri" w:cs="Calibri"/>
                <w:sz w:val="20"/>
              </w:rPr>
            </w:pPr>
            <w:r>
              <w:rPr>
                <w:rFonts w:ascii="Calibri" w:hAnsi="Calibri" w:cs="Calibri"/>
                <w:sz w:val="20"/>
              </w:rPr>
              <w:t>Target</w:t>
            </w:r>
          </w:p>
        </w:tc>
        <w:tc>
          <w:tcPr>
            <w:tcW w:w="1821" w:type="dxa"/>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hAnsi="Calibri" w:cs="Calibri"/>
                <w:sz w:val="20"/>
              </w:rPr>
              <w:t>Estimate</w:t>
            </w:r>
          </w:p>
        </w:tc>
        <w:tc>
          <w:tcPr>
            <w:tcW w:w="1821" w:type="dxa"/>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hAnsi="Calibri" w:cs="Calibri"/>
                <w:sz w:val="20"/>
              </w:rPr>
              <w:t>Estimate</w:t>
            </w:r>
          </w:p>
        </w:tc>
        <w:tc>
          <w:tcPr>
            <w:tcW w:w="1821" w:type="dxa"/>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hAnsi="Calibri" w:cs="Calibri"/>
                <w:sz w:val="20"/>
              </w:rPr>
              <w:t>Estimate</w:t>
            </w:r>
          </w:p>
        </w:tc>
      </w:tr>
      <w:tr w:rsidR="001651E4" w:rsidTr="0058349F">
        <w:trPr>
          <w:cantSplit/>
          <w:trHeight w:val="284"/>
          <w:jc w:val="center"/>
        </w:trPr>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eastAsia="Arial Unicode MS" w:cs="Calibri"/>
              </w:rPr>
            </w:pPr>
            <w:r>
              <w:rPr>
                <w:rFonts w:eastAsia="Arial Unicode MS" w:cs="Calibri"/>
              </w:rPr>
              <w:t>5,126</w:t>
            </w:r>
          </w:p>
        </w:tc>
        <w:tc>
          <w:tcPr>
            <w:tcW w:w="1821" w:type="dxa"/>
            <w:tcBorders>
              <w:top w:val="single" w:sz="4" w:space="0" w:color="auto"/>
              <w:left w:val="nil"/>
              <w:bottom w:val="single" w:sz="4" w:space="0" w:color="auto"/>
              <w:right w:val="nil"/>
            </w:tcBorders>
            <w:vAlign w:val="center"/>
            <w:hideMark/>
          </w:tcPr>
          <w:p w:rsidR="0058349F" w:rsidRDefault="0058349F">
            <w:pPr>
              <w:pStyle w:val="AITableText0"/>
              <w:spacing w:before="0" w:after="0"/>
              <w:rPr>
                <w:rFonts w:eastAsia="Arial Unicode MS" w:cs="Calibri"/>
              </w:rPr>
            </w:pPr>
            <w:r>
              <w:rPr>
                <w:rFonts w:eastAsia="Arial Unicode MS" w:cs="Calibri"/>
              </w:rPr>
              <w:t>5,177</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eastAsia="Arial Unicode MS" w:cs="Calibri"/>
                <w:vertAlign w:val="superscript"/>
              </w:rPr>
            </w:pPr>
            <w:r>
              <w:rPr>
                <w:rFonts w:eastAsia="Arial Unicode MS" w:cs="Calibri"/>
              </w:rPr>
              <w:t xml:space="preserve">N/A </w:t>
            </w:r>
            <w:r>
              <w:rPr>
                <w:rFonts w:eastAsia="Arial Unicode MS" w:cs="Calibri"/>
                <w:vertAlign w:val="superscript"/>
              </w:rPr>
              <w:t>1</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eastAsia="Arial Unicode MS" w:cs="Calibri"/>
              </w:rPr>
            </w:pPr>
            <w:r>
              <w:rPr>
                <w:rFonts w:eastAsia="Arial Unicode MS" w:cs="Calibri"/>
              </w:rPr>
              <w:t xml:space="preserve">N/A </w:t>
            </w:r>
            <w:r>
              <w:rPr>
                <w:rFonts w:eastAsia="Arial Unicode MS" w:cs="Calibri"/>
                <w:vertAlign w:val="superscript"/>
              </w:rPr>
              <w:t>1</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eastAsia="Arial Unicode MS" w:cs="Calibri"/>
              </w:rPr>
            </w:pPr>
            <w:r>
              <w:rPr>
                <w:rFonts w:eastAsia="Arial Unicode MS" w:cs="Calibri"/>
              </w:rPr>
              <w:t xml:space="preserve">N/A </w:t>
            </w:r>
            <w:r>
              <w:rPr>
                <w:rFonts w:eastAsia="Arial Unicode MS" w:cs="Calibri"/>
                <w:vertAlign w:val="superscript"/>
              </w:rPr>
              <w:t>1</w:t>
            </w:r>
          </w:p>
        </w:tc>
      </w:tr>
    </w:tbl>
    <w:p w:rsidR="0058349F" w:rsidRDefault="0058349F" w:rsidP="0058349F">
      <w:pPr>
        <w:pStyle w:val="BSnote0"/>
      </w:pPr>
      <w:r>
        <w:t>Note:</w:t>
      </w:r>
    </w:p>
    <w:p w:rsidR="0058349F" w:rsidRDefault="00212724" w:rsidP="008D2D13">
      <w:pPr>
        <w:pStyle w:val="BSnoteslist0"/>
      </w:pPr>
      <w:r>
        <w:t xml:space="preserve">The estimated </w:t>
      </w:r>
      <w:r w:rsidR="0058349F">
        <w:t>2019-20, 2020-21 and 2021-22 participant figures are subject to Full Scheme Agreement negotiations with the Commonwealth.</w:t>
      </w:r>
    </w:p>
    <w:p w:rsidR="0058349F" w:rsidRDefault="0058349F" w:rsidP="0058349F">
      <w:pPr>
        <w:pStyle w:val="Heading30"/>
        <w:rPr>
          <w:szCs w:val="28"/>
        </w:rPr>
      </w:pPr>
      <w:bookmarkStart w:id="18" w:name="_Toc514926322"/>
      <w:r>
        <w:rPr>
          <w:szCs w:val="28"/>
        </w:rPr>
        <w:t>Strategic Objective 2</w:t>
      </w:r>
      <w:bookmarkEnd w:id="18"/>
    </w:p>
    <w:p w:rsidR="0058349F" w:rsidRDefault="0058349F" w:rsidP="0058349F">
      <w:pPr>
        <w:pStyle w:val="Heading4"/>
        <w:rPr>
          <w:i w:val="0"/>
        </w:rPr>
      </w:pPr>
      <w:r>
        <w:t>Improve outcomes for children and families through the provision of coordinated locally based services</w:t>
      </w:r>
    </w:p>
    <w:p w:rsidR="0058349F" w:rsidRDefault="0058349F" w:rsidP="0058349F">
      <w:pPr>
        <w:pStyle w:val="Normal20"/>
        <w:rPr>
          <w:szCs w:val="24"/>
        </w:rPr>
      </w:pPr>
      <w:r>
        <w:rPr>
          <w:szCs w:val="24"/>
        </w:rPr>
        <w:t xml:space="preserve">The Directorate aims to improve outcomes for children and families through the Child and Family Centres Program. The Child and Family Centres Program has been developed on an evidence based, best practice model offering a one-stop shop for services and programs for children and families. Services and programs are delivered in partnership with other ACT Government agencies and community based organisations. </w:t>
      </w:r>
    </w:p>
    <w:p w:rsidR="0058349F" w:rsidRDefault="0058349F" w:rsidP="0058349F">
      <w:pPr>
        <w:pStyle w:val="Normal20"/>
        <w:rPr>
          <w:szCs w:val="24"/>
        </w:rPr>
      </w:pPr>
      <w:r>
        <w:rPr>
          <w:szCs w:val="24"/>
        </w:rPr>
        <w:t>This indicator shows the number of occasions of service delivered at Child and Family Centres in partnership with early intervention and prevention services.</w:t>
      </w:r>
    </w:p>
    <w:p w:rsidR="0058349F" w:rsidRDefault="0058349F" w:rsidP="0058349F">
      <w:pPr>
        <w:pStyle w:val="Heading4"/>
        <w:rPr>
          <w:i w:val="0"/>
        </w:rPr>
      </w:pPr>
      <w:r>
        <w:t xml:space="preserve">Strategic Indicator 2: </w:t>
      </w:r>
      <w:r>
        <w:rPr>
          <w:kern w:val="28"/>
        </w:rPr>
        <w:t>Number of occasions of service to Child and Family Centre clients</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1651E4" w:rsidTr="0058349F">
        <w:trPr>
          <w:cantSplit/>
          <w:trHeight w:val="170"/>
          <w:jc w:val="center"/>
        </w:trPr>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2017-18</w:t>
            </w:r>
          </w:p>
        </w:tc>
        <w:tc>
          <w:tcPr>
            <w:tcW w:w="1821" w:type="dxa"/>
            <w:tcBorders>
              <w:top w:val="single" w:sz="4" w:space="0" w:color="auto"/>
              <w:left w:val="nil"/>
              <w:bottom w:val="nil"/>
              <w:right w:val="nil"/>
            </w:tcBorders>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2018-19</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2019-20</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2020-21</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2021-22</w:t>
            </w:r>
          </w:p>
        </w:tc>
      </w:tr>
      <w:tr w:rsidR="001651E4" w:rsidTr="0058349F">
        <w:trPr>
          <w:cantSplit/>
          <w:trHeight w:val="170"/>
          <w:jc w:val="center"/>
        </w:trPr>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hAnsi="Calibri" w:cs="Calibri"/>
                <w:sz w:val="20"/>
              </w:rPr>
              <w:t>Target</w:t>
            </w:r>
          </w:p>
        </w:tc>
        <w:tc>
          <w:tcPr>
            <w:tcW w:w="1821" w:type="dxa"/>
            <w:vAlign w:val="bottom"/>
            <w:hideMark/>
          </w:tcPr>
          <w:p w:rsidR="0058349F" w:rsidRDefault="0058349F">
            <w:pPr>
              <w:pStyle w:val="TableTextHeading1"/>
              <w:rPr>
                <w:rFonts w:ascii="Calibri" w:eastAsia="Arial Unicode MS" w:hAnsi="Calibri" w:cs="Calibri"/>
                <w:sz w:val="20"/>
              </w:rPr>
            </w:pPr>
            <w:r>
              <w:rPr>
                <w:rFonts w:ascii="Calibri" w:hAnsi="Calibri" w:cs="Calibri"/>
                <w:sz w:val="20"/>
              </w:rPr>
              <w:t>Target</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hAnsi="Calibri" w:cs="Calibri"/>
                <w:sz w:val="20"/>
              </w:rPr>
              <w:t>Estimate</w:t>
            </w:r>
          </w:p>
        </w:tc>
      </w:tr>
      <w:tr w:rsidR="001651E4" w:rsidTr="0058349F">
        <w:trPr>
          <w:cantSplit/>
          <w:trHeight w:val="284"/>
          <w:jc w:val="center"/>
        </w:trPr>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cs="Calibri"/>
              </w:rPr>
            </w:pPr>
            <w:r>
              <w:rPr>
                <w:rFonts w:cs="Calibri"/>
              </w:rPr>
              <w:t>8,000</w:t>
            </w:r>
          </w:p>
        </w:tc>
        <w:tc>
          <w:tcPr>
            <w:tcW w:w="1821" w:type="dxa"/>
            <w:tcBorders>
              <w:top w:val="single" w:sz="4" w:space="0" w:color="auto"/>
              <w:left w:val="nil"/>
              <w:bottom w:val="single" w:sz="4" w:space="0" w:color="auto"/>
              <w:right w:val="nil"/>
            </w:tcBorders>
            <w:vAlign w:val="center"/>
            <w:hideMark/>
          </w:tcPr>
          <w:p w:rsidR="0058349F" w:rsidRDefault="0058349F">
            <w:pPr>
              <w:pStyle w:val="AITableText0"/>
              <w:spacing w:before="0" w:after="0"/>
              <w:rPr>
                <w:rFonts w:cs="Calibri"/>
              </w:rPr>
            </w:pPr>
            <w:r>
              <w:rPr>
                <w:rFonts w:cs="Calibri"/>
              </w:rPr>
              <w:t>8,000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cs="Calibri"/>
              </w:rPr>
            </w:pPr>
            <w:r>
              <w:rPr>
                <w:rFonts w:cs="Calibri"/>
              </w:rPr>
              <w:t>8,000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cs="Calibri"/>
              </w:rPr>
            </w:pPr>
            <w:r>
              <w:rPr>
                <w:rFonts w:cs="Calibri"/>
              </w:rPr>
              <w:t>8,000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Default="0058349F">
            <w:pPr>
              <w:pStyle w:val="AITableText0"/>
              <w:spacing w:before="0" w:after="0"/>
              <w:rPr>
                <w:rFonts w:cs="Calibri"/>
              </w:rPr>
            </w:pPr>
            <w:r>
              <w:rPr>
                <w:rFonts w:cs="Calibri"/>
              </w:rPr>
              <w:t>8,000</w:t>
            </w:r>
          </w:p>
        </w:tc>
      </w:tr>
    </w:tbl>
    <w:p w:rsidR="0058349F" w:rsidRDefault="0058349F" w:rsidP="0058349F">
      <w:pPr>
        <w:pStyle w:val="Heading30"/>
        <w:rPr>
          <w:szCs w:val="28"/>
        </w:rPr>
      </w:pPr>
      <w:bookmarkStart w:id="19" w:name="_Toc514926323"/>
      <w:r>
        <w:rPr>
          <w:szCs w:val="28"/>
        </w:rPr>
        <w:t>Strategic Objective 3</w:t>
      </w:r>
      <w:bookmarkEnd w:id="19"/>
      <w:r>
        <w:rPr>
          <w:szCs w:val="28"/>
        </w:rPr>
        <w:t xml:space="preserve"> </w:t>
      </w:r>
    </w:p>
    <w:p w:rsidR="0058349F" w:rsidRDefault="0058349F" w:rsidP="0058349F">
      <w:pPr>
        <w:pStyle w:val="Heading4"/>
        <w:rPr>
          <w:i w:val="0"/>
        </w:rPr>
      </w:pPr>
      <w:r>
        <w:t>Improve the outcomes for people in the community by providing a range of support and services</w:t>
      </w:r>
    </w:p>
    <w:p w:rsidR="0058349F" w:rsidRDefault="0058349F" w:rsidP="0058349F">
      <w:pPr>
        <w:pStyle w:val="Normal20"/>
        <w:rPr>
          <w:szCs w:val="24"/>
        </w:rPr>
      </w:pPr>
      <w:r>
        <w:rPr>
          <w:szCs w:val="24"/>
        </w:rPr>
        <w:t>The Directorate provides funding to community organisations to deliver community development activities, counselling, referral services and emergency relief. The community organisations work in partnership with the ACT Government to build stronger communities, enhance resilience, strengthen capacity and facilitate participation of individuals and the broader community.</w:t>
      </w:r>
    </w:p>
    <w:p w:rsidR="0058349F" w:rsidRDefault="0058349F" w:rsidP="0058349F">
      <w:pPr>
        <w:pStyle w:val="Heading4"/>
        <w:rPr>
          <w:i w:val="0"/>
        </w:rPr>
      </w:pPr>
      <w:r>
        <w:t>Strategic Indicator 3: Value of community services support programs</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1651E4" w:rsidTr="0058349F">
        <w:trPr>
          <w:cantSplit/>
          <w:trHeight w:val="219"/>
          <w:jc w:val="center"/>
        </w:trPr>
        <w:tc>
          <w:tcPr>
            <w:tcW w:w="1821" w:type="dxa"/>
            <w:tcBorders>
              <w:top w:val="single" w:sz="4" w:space="0" w:color="auto"/>
              <w:left w:val="nil"/>
              <w:bottom w:val="nil"/>
              <w:right w:val="nil"/>
            </w:tcBorders>
            <w:vAlign w:val="center"/>
            <w:hideMark/>
          </w:tcPr>
          <w:p w:rsidR="0058349F" w:rsidRDefault="0058349F">
            <w:pPr>
              <w:pStyle w:val="BStablefiguresbold"/>
              <w:rPr>
                <w:rFonts w:eastAsia="Arial Unicode MS"/>
              </w:rPr>
            </w:pPr>
            <w:r>
              <w:rPr>
                <w:rFonts w:eastAsia="Arial Unicode MS"/>
              </w:rPr>
              <w:t>2017-18</w:t>
            </w:r>
          </w:p>
        </w:tc>
        <w:tc>
          <w:tcPr>
            <w:tcW w:w="1821" w:type="dxa"/>
            <w:tcBorders>
              <w:top w:val="single" w:sz="4" w:space="0" w:color="auto"/>
              <w:left w:val="nil"/>
              <w:bottom w:val="nil"/>
              <w:right w:val="nil"/>
            </w:tcBorders>
            <w:vAlign w:val="center"/>
            <w:hideMark/>
          </w:tcPr>
          <w:p w:rsidR="0058349F" w:rsidRDefault="0058349F">
            <w:pPr>
              <w:pStyle w:val="BStablefiguresbold"/>
              <w:rPr>
                <w:rFonts w:eastAsia="Arial Unicode MS"/>
              </w:rPr>
            </w:pPr>
            <w:r>
              <w:rPr>
                <w:rFonts w:eastAsia="Arial Unicode MS"/>
              </w:rPr>
              <w:t>2018-19</w:t>
            </w:r>
          </w:p>
        </w:tc>
        <w:tc>
          <w:tcPr>
            <w:tcW w:w="1821" w:type="dxa"/>
            <w:tcBorders>
              <w:top w:val="single" w:sz="4" w:space="0" w:color="auto"/>
              <w:left w:val="nil"/>
              <w:bottom w:val="nil"/>
              <w:right w:val="nil"/>
            </w:tcBorders>
            <w:vAlign w:val="center"/>
            <w:hideMark/>
          </w:tcPr>
          <w:p w:rsidR="0058349F" w:rsidRDefault="0058349F">
            <w:pPr>
              <w:pStyle w:val="BStablefiguresbold"/>
              <w:rPr>
                <w:rFonts w:eastAsia="Arial Unicode MS"/>
              </w:rPr>
            </w:pPr>
            <w:r>
              <w:rPr>
                <w:rFonts w:eastAsia="Arial Unicode MS"/>
              </w:rPr>
              <w:t>2019-20</w:t>
            </w:r>
          </w:p>
        </w:tc>
        <w:tc>
          <w:tcPr>
            <w:tcW w:w="1821" w:type="dxa"/>
            <w:tcBorders>
              <w:top w:val="single" w:sz="4" w:space="0" w:color="auto"/>
              <w:left w:val="nil"/>
              <w:bottom w:val="nil"/>
              <w:right w:val="nil"/>
            </w:tcBorders>
            <w:vAlign w:val="center"/>
            <w:hideMark/>
          </w:tcPr>
          <w:p w:rsidR="0058349F" w:rsidRDefault="0058349F">
            <w:pPr>
              <w:pStyle w:val="BStablefiguresbold"/>
              <w:rPr>
                <w:rFonts w:eastAsia="Arial Unicode MS"/>
              </w:rPr>
            </w:pPr>
            <w:r>
              <w:rPr>
                <w:rFonts w:eastAsia="Arial Unicode MS"/>
              </w:rPr>
              <w:t>2020-21</w:t>
            </w:r>
          </w:p>
        </w:tc>
        <w:tc>
          <w:tcPr>
            <w:tcW w:w="1821" w:type="dxa"/>
            <w:tcBorders>
              <w:top w:val="single" w:sz="4" w:space="0" w:color="auto"/>
              <w:left w:val="nil"/>
              <w:bottom w:val="nil"/>
              <w:right w:val="nil"/>
            </w:tcBorders>
            <w:noWrap/>
            <w:tcMar>
              <w:top w:w="20" w:type="dxa"/>
              <w:left w:w="20" w:type="dxa"/>
              <w:bottom w:w="0" w:type="dxa"/>
              <w:right w:w="20" w:type="dxa"/>
            </w:tcMar>
            <w:vAlign w:val="center"/>
            <w:hideMark/>
          </w:tcPr>
          <w:p w:rsidR="0058349F" w:rsidRDefault="0058349F">
            <w:pPr>
              <w:pStyle w:val="BStablefiguresbold"/>
              <w:rPr>
                <w:rFonts w:eastAsia="Arial Unicode MS"/>
              </w:rPr>
            </w:pPr>
            <w:r>
              <w:rPr>
                <w:rFonts w:eastAsia="Arial Unicode MS"/>
              </w:rPr>
              <w:t>2021-22</w:t>
            </w:r>
          </w:p>
        </w:tc>
      </w:tr>
      <w:tr w:rsidR="001651E4" w:rsidTr="0058349F">
        <w:trPr>
          <w:cantSplit/>
          <w:trHeight w:val="321"/>
          <w:jc w:val="center"/>
        </w:trPr>
        <w:tc>
          <w:tcPr>
            <w:tcW w:w="1821" w:type="dxa"/>
            <w:vAlign w:val="center"/>
            <w:hideMark/>
          </w:tcPr>
          <w:p w:rsidR="0058349F" w:rsidRDefault="0058349F">
            <w:pPr>
              <w:pStyle w:val="BStablefiguresbold"/>
              <w:rPr>
                <w:rFonts w:eastAsia="Arial Unicode MS"/>
              </w:rPr>
            </w:pPr>
            <w:r>
              <w:rPr>
                <w:rFonts w:cs="Calibri"/>
              </w:rPr>
              <w:t>Target</w:t>
            </w:r>
          </w:p>
        </w:tc>
        <w:tc>
          <w:tcPr>
            <w:tcW w:w="1821" w:type="dxa"/>
            <w:vAlign w:val="center"/>
            <w:hideMark/>
          </w:tcPr>
          <w:p w:rsidR="0058349F" w:rsidRDefault="0058349F">
            <w:pPr>
              <w:pStyle w:val="BStablefiguresbold"/>
              <w:rPr>
                <w:rFonts w:eastAsia="Arial Unicode MS"/>
              </w:rPr>
            </w:pPr>
            <w:r>
              <w:rPr>
                <w:rFonts w:cs="Calibri"/>
              </w:rPr>
              <w:t>Target</w:t>
            </w:r>
          </w:p>
        </w:tc>
        <w:tc>
          <w:tcPr>
            <w:tcW w:w="1821" w:type="dxa"/>
            <w:vAlign w:val="center"/>
            <w:hideMark/>
          </w:tcPr>
          <w:p w:rsidR="0058349F" w:rsidRDefault="0058349F">
            <w:pPr>
              <w:pStyle w:val="BStablefiguresbold"/>
              <w:rPr>
                <w:rFonts w:eastAsia="Arial Unicode MS"/>
              </w:rPr>
            </w:pPr>
            <w:r>
              <w:rPr>
                <w:rFonts w:eastAsia="Arial Unicode MS"/>
              </w:rPr>
              <w:t>Estimate</w:t>
            </w:r>
          </w:p>
        </w:tc>
        <w:tc>
          <w:tcPr>
            <w:tcW w:w="1821" w:type="dxa"/>
            <w:vAlign w:val="center"/>
            <w:hideMark/>
          </w:tcPr>
          <w:p w:rsidR="0058349F" w:rsidRDefault="0058349F">
            <w:pPr>
              <w:pStyle w:val="BStablefiguresbold"/>
              <w:rPr>
                <w:rFonts w:eastAsia="Arial Unicode MS"/>
              </w:rPr>
            </w:pPr>
            <w:r>
              <w:rPr>
                <w:rFonts w:eastAsia="Arial Unicode MS"/>
              </w:rPr>
              <w:t>Estimate</w:t>
            </w:r>
          </w:p>
        </w:tc>
        <w:tc>
          <w:tcPr>
            <w:tcW w:w="1821" w:type="dxa"/>
            <w:noWrap/>
            <w:tcMar>
              <w:top w:w="20" w:type="dxa"/>
              <w:left w:w="20" w:type="dxa"/>
              <w:bottom w:w="0" w:type="dxa"/>
              <w:right w:w="20" w:type="dxa"/>
            </w:tcMar>
            <w:vAlign w:val="center"/>
            <w:hideMark/>
          </w:tcPr>
          <w:p w:rsidR="0058349F" w:rsidRDefault="0058349F">
            <w:pPr>
              <w:pStyle w:val="BStablefiguresbold"/>
              <w:rPr>
                <w:rFonts w:eastAsia="Arial Unicode MS"/>
              </w:rPr>
            </w:pPr>
            <w:r>
              <w:rPr>
                <w:rFonts w:eastAsia="Arial Unicode MS"/>
              </w:rPr>
              <w:t>Estimate</w:t>
            </w:r>
          </w:p>
        </w:tc>
      </w:tr>
      <w:tr w:rsidR="001651E4" w:rsidTr="0058349F">
        <w:trPr>
          <w:cantSplit/>
          <w:trHeight w:val="170"/>
          <w:jc w:val="center"/>
        </w:trPr>
        <w:tc>
          <w:tcPr>
            <w:tcW w:w="1821" w:type="dxa"/>
            <w:tcBorders>
              <w:top w:val="nil"/>
              <w:left w:val="nil"/>
              <w:bottom w:val="single" w:sz="4" w:space="0" w:color="auto"/>
              <w:right w:val="nil"/>
            </w:tcBorders>
            <w:vAlign w:val="center"/>
            <w:hideMark/>
          </w:tcPr>
          <w:p w:rsidR="0058349F" w:rsidRDefault="0058349F">
            <w:pPr>
              <w:pStyle w:val="BStablefiguresbold"/>
              <w:rPr>
                <w:rFonts w:eastAsia="Arial Unicode MS"/>
              </w:rPr>
            </w:pPr>
            <w:r>
              <w:rPr>
                <w:rFonts w:eastAsia="Arial Unicode MS"/>
              </w:rPr>
              <w:t>$'000</w:t>
            </w:r>
          </w:p>
        </w:tc>
        <w:tc>
          <w:tcPr>
            <w:tcW w:w="1821" w:type="dxa"/>
            <w:tcBorders>
              <w:top w:val="nil"/>
              <w:left w:val="nil"/>
              <w:bottom w:val="single" w:sz="4" w:space="0" w:color="auto"/>
              <w:right w:val="nil"/>
            </w:tcBorders>
            <w:vAlign w:val="center"/>
            <w:hideMark/>
          </w:tcPr>
          <w:p w:rsidR="0058349F" w:rsidRDefault="0058349F">
            <w:pPr>
              <w:pStyle w:val="BStablefiguresbold"/>
              <w:rPr>
                <w:rFonts w:eastAsia="Arial Unicode MS"/>
              </w:rPr>
            </w:pPr>
            <w:r>
              <w:rPr>
                <w:rFonts w:eastAsia="Arial Unicode MS"/>
              </w:rPr>
              <w:t>$'000</w:t>
            </w:r>
          </w:p>
        </w:tc>
        <w:tc>
          <w:tcPr>
            <w:tcW w:w="1821" w:type="dxa"/>
            <w:tcBorders>
              <w:top w:val="nil"/>
              <w:left w:val="nil"/>
              <w:bottom w:val="single" w:sz="4" w:space="0" w:color="auto"/>
              <w:right w:val="nil"/>
            </w:tcBorders>
            <w:vAlign w:val="center"/>
            <w:hideMark/>
          </w:tcPr>
          <w:p w:rsidR="0058349F" w:rsidRDefault="0058349F">
            <w:pPr>
              <w:pStyle w:val="BStablefiguresbold"/>
              <w:rPr>
                <w:rFonts w:eastAsia="Arial Unicode MS"/>
              </w:rPr>
            </w:pPr>
            <w:r>
              <w:rPr>
                <w:rFonts w:eastAsia="Arial Unicode MS"/>
              </w:rPr>
              <w:t>$'000</w:t>
            </w:r>
          </w:p>
        </w:tc>
        <w:tc>
          <w:tcPr>
            <w:tcW w:w="1821" w:type="dxa"/>
            <w:tcBorders>
              <w:top w:val="nil"/>
              <w:left w:val="nil"/>
              <w:bottom w:val="single" w:sz="4" w:space="0" w:color="auto"/>
              <w:right w:val="nil"/>
            </w:tcBorders>
            <w:vAlign w:val="center"/>
            <w:hideMark/>
          </w:tcPr>
          <w:p w:rsidR="0058349F" w:rsidRDefault="0058349F">
            <w:pPr>
              <w:pStyle w:val="BStablefiguresbold"/>
              <w:rPr>
                <w:rFonts w:eastAsia="Arial Unicode MS"/>
              </w:rPr>
            </w:pPr>
            <w:r>
              <w:rPr>
                <w:rFonts w:eastAsia="Arial Unicode MS"/>
              </w:rPr>
              <w:t>$'000</w:t>
            </w:r>
          </w:p>
        </w:tc>
        <w:tc>
          <w:tcPr>
            <w:tcW w:w="1821" w:type="dxa"/>
            <w:tcBorders>
              <w:top w:val="nil"/>
              <w:left w:val="nil"/>
              <w:bottom w:val="single" w:sz="4" w:space="0" w:color="auto"/>
              <w:right w:val="nil"/>
            </w:tcBorders>
            <w:noWrap/>
            <w:tcMar>
              <w:top w:w="20" w:type="dxa"/>
              <w:left w:w="20" w:type="dxa"/>
              <w:bottom w:w="0" w:type="dxa"/>
              <w:right w:w="20" w:type="dxa"/>
            </w:tcMar>
            <w:vAlign w:val="center"/>
            <w:hideMark/>
          </w:tcPr>
          <w:p w:rsidR="0058349F" w:rsidRDefault="0058349F">
            <w:pPr>
              <w:pStyle w:val="BStablefiguresbold"/>
              <w:rPr>
                <w:rFonts w:eastAsia="Arial Unicode MS"/>
              </w:rPr>
            </w:pPr>
            <w:r>
              <w:rPr>
                <w:rFonts w:eastAsia="Arial Unicode MS"/>
              </w:rPr>
              <w:t>$'000</w:t>
            </w:r>
          </w:p>
        </w:tc>
      </w:tr>
      <w:tr w:rsidR="001651E4" w:rsidTr="0058349F">
        <w:trPr>
          <w:cantSplit/>
          <w:trHeight w:val="284"/>
          <w:jc w:val="center"/>
        </w:trPr>
        <w:tc>
          <w:tcPr>
            <w:tcW w:w="1821" w:type="dxa"/>
            <w:tcBorders>
              <w:top w:val="nil"/>
              <w:left w:val="nil"/>
              <w:bottom w:val="single" w:sz="4" w:space="0" w:color="auto"/>
              <w:right w:val="nil"/>
            </w:tcBorders>
            <w:vAlign w:val="center"/>
            <w:hideMark/>
          </w:tcPr>
          <w:p w:rsidR="0058349F" w:rsidRPr="008D2D13" w:rsidRDefault="0058349F" w:rsidP="00174BAC">
            <w:pPr>
              <w:pStyle w:val="BStablefigures00"/>
            </w:pPr>
            <w:r w:rsidRPr="008D2D13">
              <w:t>12,784</w:t>
            </w:r>
          </w:p>
        </w:tc>
        <w:tc>
          <w:tcPr>
            <w:tcW w:w="1821" w:type="dxa"/>
            <w:tcBorders>
              <w:top w:val="nil"/>
              <w:left w:val="nil"/>
              <w:bottom w:val="single" w:sz="4" w:space="0" w:color="auto"/>
              <w:right w:val="nil"/>
            </w:tcBorders>
            <w:vAlign w:val="center"/>
            <w:hideMark/>
          </w:tcPr>
          <w:p w:rsidR="0058349F" w:rsidRPr="008D2D13" w:rsidRDefault="0058349F" w:rsidP="00174BAC">
            <w:pPr>
              <w:pStyle w:val="BStablefigures00"/>
            </w:pPr>
            <w:r w:rsidRPr="008D2D13">
              <w:t xml:space="preserve">11,659 </w:t>
            </w:r>
            <w:r w:rsidRPr="008D2D13">
              <w:rPr>
                <w:vertAlign w:val="superscript"/>
              </w:rPr>
              <w:t>1</w:t>
            </w:r>
          </w:p>
        </w:tc>
        <w:tc>
          <w:tcPr>
            <w:tcW w:w="1821" w:type="dxa"/>
            <w:tcBorders>
              <w:top w:val="nil"/>
              <w:left w:val="nil"/>
              <w:bottom w:val="single" w:sz="4" w:space="0" w:color="auto"/>
              <w:right w:val="nil"/>
            </w:tcBorders>
            <w:vAlign w:val="center"/>
            <w:hideMark/>
          </w:tcPr>
          <w:p w:rsidR="0058349F" w:rsidRPr="008D2D13" w:rsidRDefault="0058349F" w:rsidP="00174BAC">
            <w:pPr>
              <w:pStyle w:val="BStablefigures00"/>
            </w:pPr>
            <w:r w:rsidRPr="008D2D13">
              <w:t>12,261</w:t>
            </w:r>
          </w:p>
        </w:tc>
        <w:tc>
          <w:tcPr>
            <w:tcW w:w="1821" w:type="dxa"/>
            <w:tcBorders>
              <w:top w:val="nil"/>
              <w:left w:val="nil"/>
              <w:bottom w:val="single" w:sz="4" w:space="0" w:color="auto"/>
              <w:right w:val="nil"/>
            </w:tcBorders>
            <w:vAlign w:val="center"/>
            <w:hideMark/>
          </w:tcPr>
          <w:p w:rsidR="0058349F" w:rsidRPr="008D2D13" w:rsidRDefault="0058349F" w:rsidP="00174BAC">
            <w:pPr>
              <w:pStyle w:val="BStablefigures00"/>
            </w:pPr>
            <w:r w:rsidRPr="008D2D13">
              <w:t>12,839</w:t>
            </w:r>
          </w:p>
        </w:tc>
        <w:tc>
          <w:tcPr>
            <w:tcW w:w="1821" w:type="dxa"/>
            <w:tcBorders>
              <w:top w:val="single" w:sz="4" w:space="0" w:color="auto"/>
              <w:left w:val="nil"/>
              <w:bottom w:val="single" w:sz="4" w:space="0" w:color="auto"/>
              <w:right w:val="nil"/>
            </w:tcBorders>
            <w:noWrap/>
            <w:tcMar>
              <w:top w:w="20" w:type="dxa"/>
              <w:left w:w="20" w:type="dxa"/>
              <w:bottom w:w="0" w:type="dxa"/>
              <w:right w:w="20" w:type="dxa"/>
            </w:tcMar>
            <w:vAlign w:val="center"/>
            <w:hideMark/>
          </w:tcPr>
          <w:p w:rsidR="0058349F" w:rsidRPr="008D2D13" w:rsidRDefault="0058349F" w:rsidP="00174BAC">
            <w:pPr>
              <w:pStyle w:val="BStablefigures00"/>
            </w:pPr>
            <w:r w:rsidRPr="008D2D13">
              <w:t>12,202</w:t>
            </w:r>
            <w:r w:rsidRPr="008D2D13">
              <w:rPr>
                <w:vertAlign w:val="superscript"/>
              </w:rPr>
              <w:t xml:space="preserve"> 2</w:t>
            </w:r>
          </w:p>
        </w:tc>
      </w:tr>
    </w:tbl>
    <w:p w:rsidR="0058349F" w:rsidRDefault="0058349F" w:rsidP="0058349F">
      <w:pPr>
        <w:pStyle w:val="BSnote0"/>
      </w:pPr>
      <w:r>
        <w:t>Notes:</w:t>
      </w:r>
    </w:p>
    <w:p w:rsidR="0058349F" w:rsidRDefault="0058349F" w:rsidP="0058349F">
      <w:pPr>
        <w:pStyle w:val="BSnoteslist0"/>
        <w:numPr>
          <w:ilvl w:val="0"/>
          <w:numId w:val="8"/>
        </w:numPr>
      </w:pPr>
      <w:r>
        <w:t>The reduction in the 2018-19 target</w:t>
      </w:r>
      <w:r w:rsidR="00212724">
        <w:t xml:space="preserve"> from the 2017-18 target </w:t>
      </w:r>
      <w:r>
        <w:t>is due to removing the Safer Families related funding which is separately reported in Budget Paper 3.</w:t>
      </w:r>
    </w:p>
    <w:p w:rsidR="0058349F" w:rsidRDefault="0058349F" w:rsidP="0058349F">
      <w:pPr>
        <w:pStyle w:val="BSnoteslist0"/>
      </w:pPr>
      <w:r>
        <w:t xml:space="preserve">The reduction in the 2021-22 estimate from the 2020-21 estimate is due to the cessation of the Social and Community Sector (SACS) National Partnership Agreement on the Equal Remuneration Order (ERO). </w:t>
      </w:r>
    </w:p>
    <w:p w:rsidR="0058349F" w:rsidRDefault="0058349F" w:rsidP="0058349F">
      <w:pPr>
        <w:pStyle w:val="Heading30"/>
        <w:rPr>
          <w:szCs w:val="28"/>
        </w:rPr>
      </w:pPr>
      <w:bookmarkStart w:id="20" w:name="_Toc514926324"/>
      <w:r>
        <w:rPr>
          <w:szCs w:val="28"/>
        </w:rPr>
        <w:t>Strategic Objective 4</w:t>
      </w:r>
      <w:bookmarkEnd w:id="20"/>
      <w:r>
        <w:rPr>
          <w:szCs w:val="28"/>
        </w:rPr>
        <w:t xml:space="preserve"> </w:t>
      </w:r>
    </w:p>
    <w:p w:rsidR="0058349F" w:rsidRDefault="0058349F" w:rsidP="0058349F">
      <w:pPr>
        <w:pStyle w:val="Heading4"/>
        <w:rPr>
          <w:i w:val="0"/>
        </w:rPr>
      </w:pPr>
      <w:r>
        <w:t xml:space="preserve">Promote and increase participation in community life by </w:t>
      </w:r>
      <w:proofErr w:type="spellStart"/>
      <w:r>
        <w:t>Canberrans</w:t>
      </w:r>
      <w:proofErr w:type="spellEnd"/>
      <w:r>
        <w:t>, including those from culturally and linguistically diverse backgrounds</w:t>
      </w:r>
    </w:p>
    <w:p w:rsidR="0058349F" w:rsidRDefault="0058349F" w:rsidP="0058349F">
      <w:pPr>
        <w:pStyle w:val="Normal20"/>
        <w:rPr>
          <w:szCs w:val="24"/>
        </w:rPr>
      </w:pPr>
      <w:r>
        <w:rPr>
          <w:szCs w:val="24"/>
        </w:rPr>
        <w:t xml:space="preserve">The Directorate promotes community participation by people from culturally and linguistically diverse backgrounds, including through the implementation of the </w:t>
      </w:r>
      <w:r>
        <w:rPr>
          <w:i/>
          <w:szCs w:val="24"/>
        </w:rPr>
        <w:t>ACT Multicultural Framework</w:t>
      </w:r>
      <w:r>
        <w:rPr>
          <w:szCs w:val="24"/>
        </w:rPr>
        <w:t xml:space="preserve">. </w:t>
      </w:r>
    </w:p>
    <w:p w:rsidR="0058349F" w:rsidRDefault="0058349F" w:rsidP="0058349F">
      <w:pPr>
        <w:pStyle w:val="Normal20"/>
        <w:rPr>
          <w:szCs w:val="24"/>
        </w:rPr>
      </w:pPr>
      <w:r>
        <w:rPr>
          <w:szCs w:val="24"/>
        </w:rPr>
        <w:t xml:space="preserve">The proportion of </w:t>
      </w:r>
      <w:proofErr w:type="spellStart"/>
      <w:r>
        <w:rPr>
          <w:szCs w:val="24"/>
        </w:rPr>
        <w:t>Canberrans</w:t>
      </w:r>
      <w:proofErr w:type="spellEnd"/>
      <w:r>
        <w:rPr>
          <w:szCs w:val="24"/>
        </w:rPr>
        <w:t xml:space="preserve"> who agree that Canberra as a community accepts people from different cultures is an indication of how well the Directorate is contributing to this objective. This is measured annually through the Canberra and Region Social and Market Survey (CRSMS).</w:t>
      </w:r>
    </w:p>
    <w:p w:rsidR="0058349F" w:rsidRDefault="0058349F" w:rsidP="0058349F">
      <w:pPr>
        <w:pStyle w:val="Heading4"/>
        <w:rPr>
          <w:i w:val="0"/>
        </w:rPr>
      </w:pPr>
      <w:r>
        <w:t xml:space="preserve">Strategic Indicator 4: The proportion of </w:t>
      </w:r>
      <w:proofErr w:type="spellStart"/>
      <w:r>
        <w:t>Canberrans</w:t>
      </w:r>
      <w:proofErr w:type="spellEnd"/>
      <w:r>
        <w:t xml:space="preserve"> who agree that Canberra as a community accepts people from different cultures</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1651E4" w:rsidTr="0058349F">
        <w:trPr>
          <w:cantSplit/>
          <w:trHeight w:val="219"/>
          <w:jc w:val="center"/>
        </w:trPr>
        <w:tc>
          <w:tcPr>
            <w:tcW w:w="1821" w:type="dxa"/>
            <w:tcBorders>
              <w:top w:val="single" w:sz="4" w:space="0" w:color="auto"/>
              <w:left w:val="nil"/>
              <w:bottom w:val="nil"/>
              <w:right w:val="nil"/>
            </w:tcBorders>
            <w:vAlign w:val="center"/>
            <w:hideMark/>
          </w:tcPr>
          <w:p w:rsidR="0058349F" w:rsidRDefault="0058349F">
            <w:pPr>
              <w:pStyle w:val="BStabletextbold"/>
              <w:jc w:val="right"/>
              <w:rPr>
                <w:rFonts w:eastAsia="Arial Unicode MS"/>
              </w:rPr>
            </w:pPr>
            <w:r>
              <w:rPr>
                <w:rFonts w:eastAsia="Arial Unicode MS"/>
              </w:rPr>
              <w:t>2017-18</w:t>
            </w:r>
          </w:p>
        </w:tc>
        <w:tc>
          <w:tcPr>
            <w:tcW w:w="1821" w:type="dxa"/>
            <w:tcBorders>
              <w:top w:val="single" w:sz="4" w:space="0" w:color="auto"/>
              <w:left w:val="nil"/>
              <w:bottom w:val="nil"/>
              <w:right w:val="nil"/>
            </w:tcBorders>
            <w:vAlign w:val="center"/>
            <w:hideMark/>
          </w:tcPr>
          <w:p w:rsidR="0058349F" w:rsidRDefault="0058349F">
            <w:pPr>
              <w:pStyle w:val="BStabletextbold"/>
              <w:jc w:val="right"/>
              <w:rPr>
                <w:rFonts w:eastAsia="Arial Unicode MS"/>
              </w:rPr>
            </w:pPr>
            <w:r>
              <w:rPr>
                <w:rFonts w:eastAsia="Arial Unicode MS"/>
              </w:rPr>
              <w:t>2018-19</w:t>
            </w:r>
          </w:p>
        </w:tc>
        <w:tc>
          <w:tcPr>
            <w:tcW w:w="1821" w:type="dxa"/>
            <w:tcBorders>
              <w:top w:val="single" w:sz="4" w:space="0" w:color="auto"/>
              <w:left w:val="nil"/>
              <w:bottom w:val="nil"/>
              <w:right w:val="nil"/>
            </w:tcBorders>
            <w:vAlign w:val="center"/>
            <w:hideMark/>
          </w:tcPr>
          <w:p w:rsidR="0058349F" w:rsidRDefault="0058349F">
            <w:pPr>
              <w:pStyle w:val="BStabletextbold"/>
              <w:jc w:val="right"/>
              <w:rPr>
                <w:rFonts w:eastAsia="Arial Unicode MS"/>
              </w:rPr>
            </w:pPr>
            <w:r>
              <w:rPr>
                <w:rFonts w:eastAsia="Arial Unicode MS"/>
              </w:rPr>
              <w:t>2019-20</w:t>
            </w:r>
          </w:p>
        </w:tc>
        <w:tc>
          <w:tcPr>
            <w:tcW w:w="1821" w:type="dxa"/>
            <w:tcBorders>
              <w:top w:val="single" w:sz="4" w:space="0" w:color="auto"/>
              <w:left w:val="nil"/>
              <w:bottom w:val="nil"/>
              <w:right w:val="nil"/>
            </w:tcBorders>
            <w:vAlign w:val="center"/>
            <w:hideMark/>
          </w:tcPr>
          <w:p w:rsidR="0058349F" w:rsidRDefault="0058349F">
            <w:pPr>
              <w:pStyle w:val="BStabletextbold"/>
              <w:jc w:val="right"/>
              <w:rPr>
                <w:rFonts w:eastAsia="Arial Unicode MS"/>
              </w:rPr>
            </w:pPr>
            <w:r>
              <w:rPr>
                <w:rFonts w:eastAsia="Arial Unicode MS"/>
              </w:rPr>
              <w:t>2020-21</w:t>
            </w:r>
          </w:p>
        </w:tc>
        <w:tc>
          <w:tcPr>
            <w:tcW w:w="1821" w:type="dxa"/>
            <w:tcBorders>
              <w:top w:val="single" w:sz="4" w:space="0" w:color="auto"/>
              <w:left w:val="nil"/>
              <w:bottom w:val="nil"/>
              <w:right w:val="nil"/>
            </w:tcBorders>
            <w:noWrap/>
            <w:tcMar>
              <w:top w:w="20" w:type="dxa"/>
              <w:left w:w="20" w:type="dxa"/>
              <w:bottom w:w="0" w:type="dxa"/>
              <w:right w:w="20" w:type="dxa"/>
            </w:tcMar>
            <w:vAlign w:val="center"/>
            <w:hideMark/>
          </w:tcPr>
          <w:p w:rsidR="0058349F" w:rsidRDefault="0058349F">
            <w:pPr>
              <w:pStyle w:val="BStabletextbold"/>
              <w:jc w:val="right"/>
              <w:rPr>
                <w:rFonts w:eastAsia="Arial Unicode MS"/>
              </w:rPr>
            </w:pPr>
            <w:r>
              <w:rPr>
                <w:rFonts w:eastAsia="Arial Unicode MS"/>
              </w:rPr>
              <w:t>2021-22</w:t>
            </w:r>
          </w:p>
        </w:tc>
      </w:tr>
      <w:tr w:rsidR="001651E4" w:rsidTr="0058349F">
        <w:trPr>
          <w:cantSplit/>
          <w:trHeight w:val="321"/>
          <w:jc w:val="center"/>
        </w:trPr>
        <w:tc>
          <w:tcPr>
            <w:tcW w:w="1821" w:type="dxa"/>
            <w:tcBorders>
              <w:top w:val="nil"/>
              <w:left w:val="nil"/>
              <w:bottom w:val="single" w:sz="4" w:space="0" w:color="auto"/>
              <w:right w:val="nil"/>
            </w:tcBorders>
            <w:vAlign w:val="center"/>
            <w:hideMark/>
          </w:tcPr>
          <w:p w:rsidR="0058349F" w:rsidRDefault="0058349F">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58349F" w:rsidRDefault="0058349F">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58349F" w:rsidRDefault="0058349F">
            <w:pPr>
              <w:pStyle w:val="BStabletextbold"/>
              <w:jc w:val="right"/>
              <w:rPr>
                <w:rFonts w:eastAsia="Arial Unicode MS"/>
              </w:rPr>
            </w:pPr>
            <w:r>
              <w:rPr>
                <w:rFonts w:eastAsia="Arial Unicode MS"/>
              </w:rPr>
              <w:t>Estimate</w:t>
            </w:r>
          </w:p>
        </w:tc>
        <w:tc>
          <w:tcPr>
            <w:tcW w:w="1821" w:type="dxa"/>
            <w:tcBorders>
              <w:top w:val="nil"/>
              <w:left w:val="nil"/>
              <w:bottom w:val="single" w:sz="4" w:space="0" w:color="auto"/>
              <w:right w:val="nil"/>
            </w:tcBorders>
            <w:vAlign w:val="center"/>
            <w:hideMark/>
          </w:tcPr>
          <w:p w:rsidR="0058349F" w:rsidRDefault="0058349F">
            <w:pPr>
              <w:pStyle w:val="BStabletextbold"/>
              <w:jc w:val="right"/>
              <w:rPr>
                <w:rFonts w:eastAsia="Arial Unicode MS"/>
              </w:rPr>
            </w:pPr>
            <w:r>
              <w:rPr>
                <w:rFonts w:eastAsia="Arial Unicode MS"/>
              </w:rPr>
              <w:t>Estimate</w:t>
            </w:r>
          </w:p>
        </w:tc>
        <w:tc>
          <w:tcPr>
            <w:tcW w:w="1821" w:type="dxa"/>
            <w:noWrap/>
            <w:tcMar>
              <w:top w:w="20" w:type="dxa"/>
              <w:left w:w="20" w:type="dxa"/>
              <w:bottom w:w="0" w:type="dxa"/>
              <w:right w:w="20" w:type="dxa"/>
            </w:tcMar>
            <w:vAlign w:val="center"/>
            <w:hideMark/>
          </w:tcPr>
          <w:p w:rsidR="0058349F" w:rsidRDefault="0058349F">
            <w:pPr>
              <w:pStyle w:val="BStabletextbold"/>
              <w:jc w:val="right"/>
              <w:rPr>
                <w:rFonts w:eastAsia="Arial Unicode MS"/>
              </w:rPr>
            </w:pPr>
            <w:r>
              <w:rPr>
                <w:rFonts w:eastAsia="Arial Unicode MS"/>
              </w:rPr>
              <w:t>Estimate</w:t>
            </w:r>
          </w:p>
        </w:tc>
      </w:tr>
      <w:tr w:rsidR="001651E4" w:rsidTr="0058349F">
        <w:trPr>
          <w:cantSplit/>
          <w:trHeight w:val="284"/>
          <w:jc w:val="center"/>
        </w:trPr>
        <w:tc>
          <w:tcPr>
            <w:tcW w:w="1821" w:type="dxa"/>
            <w:tcBorders>
              <w:top w:val="single" w:sz="4" w:space="0" w:color="auto"/>
              <w:left w:val="nil"/>
              <w:bottom w:val="single" w:sz="4" w:space="0" w:color="auto"/>
              <w:right w:val="nil"/>
            </w:tcBorders>
            <w:vAlign w:val="center"/>
            <w:hideMark/>
          </w:tcPr>
          <w:p w:rsidR="0058349F" w:rsidRPr="008D2D13" w:rsidRDefault="0058349F" w:rsidP="00174BAC">
            <w:pPr>
              <w:pStyle w:val="BStablefigures00"/>
            </w:pPr>
            <w:r w:rsidRPr="008D2D13">
              <w:t>90%</w:t>
            </w:r>
          </w:p>
        </w:tc>
        <w:tc>
          <w:tcPr>
            <w:tcW w:w="1821" w:type="dxa"/>
            <w:tcBorders>
              <w:top w:val="single" w:sz="4" w:space="0" w:color="auto"/>
              <w:left w:val="nil"/>
              <w:bottom w:val="single" w:sz="4" w:space="0" w:color="auto"/>
              <w:right w:val="nil"/>
            </w:tcBorders>
            <w:vAlign w:val="center"/>
            <w:hideMark/>
          </w:tcPr>
          <w:p w:rsidR="0058349F" w:rsidRPr="008D2D13" w:rsidRDefault="0058349F" w:rsidP="00174BAC">
            <w:pPr>
              <w:pStyle w:val="BStablefigures00"/>
              <w:rPr>
                <w:highlight w:val="yellow"/>
              </w:rPr>
            </w:pPr>
            <w:r w:rsidRPr="008D2D13">
              <w:t>90%</w:t>
            </w:r>
          </w:p>
        </w:tc>
        <w:tc>
          <w:tcPr>
            <w:tcW w:w="1821" w:type="dxa"/>
            <w:tcBorders>
              <w:top w:val="single" w:sz="4" w:space="0" w:color="auto"/>
              <w:left w:val="nil"/>
              <w:bottom w:val="single" w:sz="4" w:space="0" w:color="auto"/>
              <w:right w:val="nil"/>
            </w:tcBorders>
            <w:vAlign w:val="center"/>
            <w:hideMark/>
          </w:tcPr>
          <w:p w:rsidR="0058349F" w:rsidRPr="008D2D13" w:rsidRDefault="0058349F" w:rsidP="00174BAC">
            <w:pPr>
              <w:pStyle w:val="BStablefigures00"/>
              <w:rPr>
                <w:highlight w:val="yellow"/>
              </w:rPr>
            </w:pPr>
            <w:r w:rsidRPr="008D2D13">
              <w:t>90%</w:t>
            </w:r>
          </w:p>
        </w:tc>
        <w:tc>
          <w:tcPr>
            <w:tcW w:w="1821" w:type="dxa"/>
            <w:tcBorders>
              <w:top w:val="single" w:sz="4" w:space="0" w:color="auto"/>
              <w:left w:val="nil"/>
              <w:bottom w:val="single" w:sz="4" w:space="0" w:color="auto"/>
              <w:right w:val="nil"/>
            </w:tcBorders>
            <w:vAlign w:val="center"/>
            <w:hideMark/>
          </w:tcPr>
          <w:p w:rsidR="0058349F" w:rsidRPr="008D2D13" w:rsidRDefault="0058349F" w:rsidP="00174BAC">
            <w:pPr>
              <w:pStyle w:val="BStablefigures00"/>
              <w:rPr>
                <w:highlight w:val="yellow"/>
              </w:rPr>
            </w:pPr>
            <w:r w:rsidRPr="008D2D13">
              <w:t>90%</w:t>
            </w:r>
          </w:p>
        </w:tc>
        <w:tc>
          <w:tcPr>
            <w:tcW w:w="1821" w:type="dxa"/>
            <w:tcBorders>
              <w:top w:val="single" w:sz="4" w:space="0" w:color="auto"/>
              <w:left w:val="nil"/>
              <w:bottom w:val="single" w:sz="4" w:space="0" w:color="auto"/>
              <w:right w:val="nil"/>
            </w:tcBorders>
            <w:noWrap/>
            <w:tcMar>
              <w:top w:w="20" w:type="dxa"/>
              <w:left w:w="20" w:type="dxa"/>
              <w:bottom w:w="0" w:type="dxa"/>
              <w:right w:w="20" w:type="dxa"/>
            </w:tcMar>
            <w:vAlign w:val="center"/>
            <w:hideMark/>
          </w:tcPr>
          <w:p w:rsidR="0058349F" w:rsidRPr="008D2D13" w:rsidRDefault="0058349F" w:rsidP="00174BAC">
            <w:pPr>
              <w:pStyle w:val="BStablefigures00"/>
              <w:rPr>
                <w:highlight w:val="yellow"/>
              </w:rPr>
            </w:pPr>
            <w:r w:rsidRPr="008D2D13">
              <w:t>90%</w:t>
            </w:r>
          </w:p>
        </w:tc>
      </w:tr>
    </w:tbl>
    <w:p w:rsidR="0058349F" w:rsidRDefault="0058349F" w:rsidP="0058349F">
      <w:pPr>
        <w:pStyle w:val="Heading30"/>
        <w:rPr>
          <w:szCs w:val="28"/>
        </w:rPr>
      </w:pPr>
    </w:p>
    <w:p w:rsidR="0058349F" w:rsidRDefault="0058349F" w:rsidP="0058349F">
      <w:pPr>
        <w:pStyle w:val="Heading30"/>
        <w:rPr>
          <w:szCs w:val="28"/>
        </w:rPr>
      </w:pPr>
      <w:bookmarkStart w:id="21" w:name="_Toc514926325"/>
      <w:r>
        <w:rPr>
          <w:szCs w:val="28"/>
        </w:rPr>
        <w:t>Strategic Objective 5</w:t>
      </w:r>
      <w:bookmarkEnd w:id="21"/>
      <w:r>
        <w:rPr>
          <w:szCs w:val="28"/>
        </w:rPr>
        <w:t xml:space="preserve"> </w:t>
      </w:r>
    </w:p>
    <w:p w:rsidR="0058349F" w:rsidRDefault="0058349F" w:rsidP="0058349F">
      <w:pPr>
        <w:pStyle w:val="Heading4"/>
        <w:rPr>
          <w:i w:val="0"/>
        </w:rPr>
      </w:pPr>
      <w:r>
        <w:t>Promote an anti-violence culture in the ACT to ensure that women feel safe</w:t>
      </w:r>
    </w:p>
    <w:p w:rsidR="0058349F" w:rsidRDefault="0058349F" w:rsidP="0058349F">
      <w:pPr>
        <w:pStyle w:val="Normal20"/>
        <w:rPr>
          <w:szCs w:val="24"/>
        </w:rPr>
      </w:pPr>
      <w:r>
        <w:rPr>
          <w:szCs w:val="24"/>
        </w:rPr>
        <w:t>The Directorate works to enhance the status of women and girls in the ACT and to create a community where they are saf</w:t>
      </w:r>
      <w:r w:rsidR="00641AC8">
        <w:rPr>
          <w:szCs w:val="24"/>
        </w:rPr>
        <w:t>e, healthy, equally represented</w:t>
      </w:r>
      <w:r>
        <w:rPr>
          <w:szCs w:val="24"/>
        </w:rPr>
        <w:t xml:space="preserve"> and valued for their contribution to society. This is achieved through the implementation of the </w:t>
      </w:r>
      <w:r>
        <w:rPr>
          <w:i/>
          <w:szCs w:val="24"/>
        </w:rPr>
        <w:t>ACT Women’s Plan</w:t>
      </w:r>
      <w:r>
        <w:rPr>
          <w:szCs w:val="24"/>
        </w:rPr>
        <w:t xml:space="preserve"> and work under the </w:t>
      </w:r>
      <w:r>
        <w:rPr>
          <w:i/>
          <w:szCs w:val="24"/>
        </w:rPr>
        <w:t>National Plan to reduce Violence against W</w:t>
      </w:r>
      <w:r w:rsidR="005F348E">
        <w:rPr>
          <w:i/>
          <w:szCs w:val="24"/>
        </w:rPr>
        <w:t>omen and their Children 2010-20</w:t>
      </w:r>
      <w:r>
        <w:rPr>
          <w:i/>
          <w:szCs w:val="24"/>
        </w:rPr>
        <w:t>22</w:t>
      </w:r>
      <w:r>
        <w:rPr>
          <w:szCs w:val="24"/>
        </w:rPr>
        <w:t>. This is also achieved through targeted women’s programs such as grant and leadership programs for women and girls, International Women’s Day and Violence Prevention Awards, and the application of women’s safety assessments to ACT funded events and environment design in urban planning.</w:t>
      </w:r>
    </w:p>
    <w:p w:rsidR="0058349F" w:rsidRDefault="0058349F" w:rsidP="0058349F">
      <w:pPr>
        <w:pStyle w:val="Normal20"/>
        <w:rPr>
          <w:szCs w:val="24"/>
        </w:rPr>
      </w:pPr>
      <w:r>
        <w:rPr>
          <w:szCs w:val="24"/>
        </w:rPr>
        <w:t>The data is obtained from the ‘Community Satisfaction with Policing’ national survey, measuring women’s perception of safety in public places during the day and at night.</w:t>
      </w:r>
    </w:p>
    <w:p w:rsidR="0058349F" w:rsidRDefault="0058349F" w:rsidP="0058349F">
      <w:pPr>
        <w:pStyle w:val="Heading4"/>
        <w:rPr>
          <w:i w:val="0"/>
        </w:rPr>
      </w:pPr>
      <w:r>
        <w:t>Strategic Indicator 5: The proportion of ACT women who feel safe by themselves in public places during the day and at night</w:t>
      </w:r>
    </w:p>
    <w:tbl>
      <w:tblPr>
        <w:tblW w:w="0" w:type="dxa"/>
        <w:jc w:val="right"/>
        <w:tblLayout w:type="fixed"/>
        <w:tblCellMar>
          <w:left w:w="0" w:type="dxa"/>
          <w:right w:w="0" w:type="dxa"/>
        </w:tblCellMar>
        <w:tblLook w:val="04A0" w:firstRow="1" w:lastRow="0" w:firstColumn="1" w:lastColumn="0" w:noHBand="0" w:noVBand="1"/>
      </w:tblPr>
      <w:tblGrid>
        <w:gridCol w:w="1492"/>
        <w:gridCol w:w="1493"/>
        <w:gridCol w:w="1493"/>
        <w:gridCol w:w="1791"/>
        <w:gridCol w:w="1492"/>
        <w:gridCol w:w="1344"/>
      </w:tblGrid>
      <w:tr w:rsidR="001651E4" w:rsidTr="00056583">
        <w:trPr>
          <w:trHeight w:val="45"/>
          <w:jc w:val="right"/>
        </w:trPr>
        <w:tc>
          <w:tcPr>
            <w:tcW w:w="1492" w:type="dxa"/>
            <w:tcBorders>
              <w:top w:val="single" w:sz="8" w:space="0" w:color="auto"/>
              <w:left w:val="nil"/>
              <w:bottom w:val="nil"/>
              <w:right w:val="nil"/>
            </w:tcBorders>
          </w:tcPr>
          <w:p w:rsidR="0058349F" w:rsidRDefault="0058349F">
            <w:pPr>
              <w:pStyle w:val="TableTextHeading1"/>
              <w:rPr>
                <w:rFonts w:ascii="Calibri" w:eastAsia="Arial Unicode MS" w:hAnsi="Calibri" w:cs="Calibri"/>
                <w:sz w:val="20"/>
              </w:rPr>
            </w:pPr>
          </w:p>
        </w:tc>
        <w:tc>
          <w:tcPr>
            <w:tcW w:w="1493" w:type="dxa"/>
            <w:tcBorders>
              <w:top w:val="single" w:sz="8" w:space="0" w:color="auto"/>
              <w:left w:val="nil"/>
              <w:bottom w:val="nil"/>
              <w:right w:val="nil"/>
            </w:tcBorders>
            <w:tcMar>
              <w:top w:w="0" w:type="dxa"/>
              <w:left w:w="0" w:type="dxa"/>
              <w:bottom w:w="0" w:type="dxa"/>
              <w:right w:w="113"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2017-18</w:t>
            </w:r>
          </w:p>
        </w:tc>
        <w:tc>
          <w:tcPr>
            <w:tcW w:w="1493" w:type="dxa"/>
            <w:tcBorders>
              <w:top w:val="single" w:sz="8"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2018-19</w:t>
            </w:r>
          </w:p>
        </w:tc>
        <w:tc>
          <w:tcPr>
            <w:tcW w:w="1791" w:type="dxa"/>
            <w:tcBorders>
              <w:top w:val="single" w:sz="8"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2019-20</w:t>
            </w:r>
          </w:p>
        </w:tc>
        <w:tc>
          <w:tcPr>
            <w:tcW w:w="1492" w:type="dxa"/>
            <w:tcBorders>
              <w:top w:val="single" w:sz="8"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2020-21</w:t>
            </w:r>
          </w:p>
        </w:tc>
        <w:tc>
          <w:tcPr>
            <w:tcW w:w="1344" w:type="dxa"/>
            <w:tcBorders>
              <w:top w:val="single" w:sz="8"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2021-22</w:t>
            </w:r>
          </w:p>
        </w:tc>
      </w:tr>
      <w:tr w:rsidR="001651E4" w:rsidTr="00056583">
        <w:trPr>
          <w:trHeight w:val="65"/>
          <w:jc w:val="right"/>
        </w:trPr>
        <w:tc>
          <w:tcPr>
            <w:tcW w:w="1492" w:type="dxa"/>
          </w:tcPr>
          <w:p w:rsidR="0058349F" w:rsidRDefault="0058349F">
            <w:pPr>
              <w:pStyle w:val="TableTextHeading1"/>
              <w:rPr>
                <w:rFonts w:ascii="Calibri" w:eastAsia="Arial Unicode MS" w:hAnsi="Calibri" w:cs="Calibri"/>
                <w:sz w:val="20"/>
              </w:rPr>
            </w:pPr>
          </w:p>
        </w:tc>
        <w:tc>
          <w:tcPr>
            <w:tcW w:w="1493" w:type="dxa"/>
            <w:tcMar>
              <w:top w:w="0" w:type="dxa"/>
              <w:left w:w="0" w:type="dxa"/>
              <w:bottom w:w="0" w:type="dxa"/>
              <w:right w:w="113"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493"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79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492"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344"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r>
      <w:tr w:rsidR="001651E4" w:rsidTr="00056583">
        <w:trPr>
          <w:trHeight w:val="65"/>
          <w:jc w:val="right"/>
        </w:trPr>
        <w:tc>
          <w:tcPr>
            <w:tcW w:w="1492" w:type="dxa"/>
            <w:tcBorders>
              <w:top w:val="nil"/>
              <w:left w:val="nil"/>
              <w:bottom w:val="single" w:sz="8" w:space="0" w:color="auto"/>
              <w:right w:val="nil"/>
            </w:tcBorders>
          </w:tcPr>
          <w:p w:rsidR="0058349F" w:rsidRDefault="0058349F">
            <w:pPr>
              <w:pStyle w:val="TableTextHeading1"/>
              <w:rPr>
                <w:rFonts w:ascii="Calibri" w:eastAsia="Arial Unicode MS" w:hAnsi="Calibri" w:cs="Calibri"/>
                <w:sz w:val="20"/>
              </w:rPr>
            </w:pPr>
          </w:p>
        </w:tc>
        <w:tc>
          <w:tcPr>
            <w:tcW w:w="1493" w:type="dxa"/>
            <w:tcBorders>
              <w:top w:val="nil"/>
              <w:left w:val="nil"/>
              <w:bottom w:val="single" w:sz="8" w:space="0" w:color="auto"/>
              <w:right w:val="nil"/>
            </w:tcBorders>
            <w:tcMar>
              <w:top w:w="0" w:type="dxa"/>
              <w:left w:w="0" w:type="dxa"/>
              <w:bottom w:w="0" w:type="dxa"/>
              <w:right w:w="113"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493" w:type="dxa"/>
            <w:tcBorders>
              <w:top w:val="nil"/>
              <w:left w:val="nil"/>
              <w:bottom w:val="single" w:sz="8"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791" w:type="dxa"/>
            <w:tcBorders>
              <w:top w:val="nil"/>
              <w:left w:val="nil"/>
              <w:bottom w:val="single" w:sz="8"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492" w:type="dxa"/>
            <w:tcBorders>
              <w:top w:val="nil"/>
              <w:left w:val="nil"/>
              <w:bottom w:val="single" w:sz="8"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344" w:type="dxa"/>
            <w:tcBorders>
              <w:top w:val="nil"/>
              <w:left w:val="nil"/>
              <w:bottom w:val="single" w:sz="8"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r>
      <w:tr w:rsidR="001651E4" w:rsidTr="00056583">
        <w:trPr>
          <w:trHeight w:val="351"/>
          <w:jc w:val="right"/>
        </w:trPr>
        <w:tc>
          <w:tcPr>
            <w:tcW w:w="1492" w:type="dxa"/>
            <w:tcBorders>
              <w:top w:val="single" w:sz="8" w:space="0" w:color="auto"/>
              <w:left w:val="nil"/>
              <w:bottom w:val="nil"/>
              <w:right w:val="nil"/>
            </w:tcBorders>
            <w:vAlign w:val="center"/>
            <w:hideMark/>
          </w:tcPr>
          <w:p w:rsidR="0058349F" w:rsidRPr="008D2D13" w:rsidRDefault="0058349F" w:rsidP="00174BAC">
            <w:pPr>
              <w:pStyle w:val="BStabletext00"/>
            </w:pPr>
            <w:r w:rsidRPr="008D2D13">
              <w:t xml:space="preserve">Day </w:t>
            </w:r>
          </w:p>
        </w:tc>
        <w:tc>
          <w:tcPr>
            <w:tcW w:w="1493" w:type="dxa"/>
            <w:tcBorders>
              <w:top w:val="single" w:sz="8" w:space="0" w:color="auto"/>
              <w:left w:val="nil"/>
              <w:bottom w:val="nil"/>
              <w:right w:val="nil"/>
            </w:tcBorders>
            <w:tcMar>
              <w:top w:w="0" w:type="dxa"/>
              <w:left w:w="0" w:type="dxa"/>
              <w:bottom w:w="0" w:type="dxa"/>
              <w:right w:w="113" w:type="dxa"/>
            </w:tcMar>
            <w:vAlign w:val="center"/>
            <w:hideMark/>
          </w:tcPr>
          <w:p w:rsidR="0058349F" w:rsidRPr="008D2D13" w:rsidRDefault="0058349F" w:rsidP="00174BAC">
            <w:pPr>
              <w:pStyle w:val="BStablefigures00"/>
            </w:pPr>
            <w:r w:rsidRPr="008D2D13">
              <w:t>93</w:t>
            </w:r>
          </w:p>
        </w:tc>
        <w:tc>
          <w:tcPr>
            <w:tcW w:w="1493" w:type="dxa"/>
            <w:tcBorders>
              <w:top w:val="single" w:sz="8" w:space="0" w:color="auto"/>
              <w:left w:val="nil"/>
              <w:bottom w:val="nil"/>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93</w:t>
            </w:r>
          </w:p>
        </w:tc>
        <w:tc>
          <w:tcPr>
            <w:tcW w:w="1791" w:type="dxa"/>
            <w:tcBorders>
              <w:top w:val="single" w:sz="8" w:space="0" w:color="auto"/>
              <w:left w:val="nil"/>
              <w:bottom w:val="nil"/>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93</w:t>
            </w:r>
          </w:p>
        </w:tc>
        <w:tc>
          <w:tcPr>
            <w:tcW w:w="1492" w:type="dxa"/>
            <w:tcBorders>
              <w:top w:val="single" w:sz="8" w:space="0" w:color="auto"/>
              <w:left w:val="nil"/>
              <w:bottom w:val="nil"/>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93</w:t>
            </w:r>
          </w:p>
        </w:tc>
        <w:tc>
          <w:tcPr>
            <w:tcW w:w="1344" w:type="dxa"/>
            <w:tcBorders>
              <w:top w:val="single" w:sz="8" w:space="0" w:color="auto"/>
              <w:left w:val="nil"/>
              <w:bottom w:val="nil"/>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93</w:t>
            </w:r>
          </w:p>
        </w:tc>
      </w:tr>
      <w:tr w:rsidR="001651E4" w:rsidTr="00056583">
        <w:trPr>
          <w:trHeight w:val="65"/>
          <w:jc w:val="right"/>
        </w:trPr>
        <w:tc>
          <w:tcPr>
            <w:tcW w:w="1492" w:type="dxa"/>
            <w:tcBorders>
              <w:top w:val="nil"/>
              <w:left w:val="nil"/>
              <w:bottom w:val="single" w:sz="8" w:space="0" w:color="auto"/>
              <w:right w:val="nil"/>
            </w:tcBorders>
            <w:vAlign w:val="center"/>
            <w:hideMark/>
          </w:tcPr>
          <w:p w:rsidR="0058349F" w:rsidRPr="008D2D13" w:rsidRDefault="0058349F" w:rsidP="00174BAC">
            <w:pPr>
              <w:pStyle w:val="BStabletext00"/>
            </w:pPr>
            <w:r w:rsidRPr="008D2D13">
              <w:t>Night</w:t>
            </w:r>
          </w:p>
        </w:tc>
        <w:tc>
          <w:tcPr>
            <w:tcW w:w="1493" w:type="dxa"/>
            <w:tcBorders>
              <w:top w:val="nil"/>
              <w:left w:val="nil"/>
              <w:bottom w:val="single" w:sz="8" w:space="0" w:color="auto"/>
              <w:right w:val="nil"/>
            </w:tcBorders>
            <w:tcMar>
              <w:top w:w="0" w:type="dxa"/>
              <w:left w:w="0" w:type="dxa"/>
              <w:bottom w:w="0" w:type="dxa"/>
              <w:right w:w="113" w:type="dxa"/>
            </w:tcMar>
            <w:vAlign w:val="center"/>
            <w:hideMark/>
          </w:tcPr>
          <w:p w:rsidR="0058349F" w:rsidRPr="008D2D13" w:rsidRDefault="0058349F" w:rsidP="00174BAC">
            <w:pPr>
              <w:pStyle w:val="BStablefigures00"/>
            </w:pPr>
            <w:r w:rsidRPr="008D2D13">
              <w:t>38</w:t>
            </w:r>
          </w:p>
        </w:tc>
        <w:tc>
          <w:tcPr>
            <w:tcW w:w="1493" w:type="dxa"/>
            <w:tcBorders>
              <w:top w:val="nil"/>
              <w:left w:val="nil"/>
              <w:bottom w:val="single" w:sz="8"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38</w:t>
            </w:r>
          </w:p>
        </w:tc>
        <w:tc>
          <w:tcPr>
            <w:tcW w:w="1791" w:type="dxa"/>
            <w:tcBorders>
              <w:top w:val="nil"/>
              <w:left w:val="nil"/>
              <w:bottom w:val="single" w:sz="8"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38</w:t>
            </w:r>
          </w:p>
        </w:tc>
        <w:tc>
          <w:tcPr>
            <w:tcW w:w="1492" w:type="dxa"/>
            <w:tcBorders>
              <w:top w:val="nil"/>
              <w:left w:val="nil"/>
              <w:bottom w:val="single" w:sz="8"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38</w:t>
            </w:r>
          </w:p>
        </w:tc>
        <w:tc>
          <w:tcPr>
            <w:tcW w:w="1344" w:type="dxa"/>
            <w:tcBorders>
              <w:top w:val="nil"/>
              <w:left w:val="nil"/>
              <w:bottom w:val="single" w:sz="8"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pPr>
            <w:r w:rsidRPr="008D2D13">
              <w:t>38</w:t>
            </w:r>
          </w:p>
        </w:tc>
      </w:tr>
    </w:tbl>
    <w:p w:rsidR="0058349F" w:rsidRDefault="0058349F" w:rsidP="0058349F">
      <w:pPr>
        <w:pStyle w:val="Heading30"/>
        <w:rPr>
          <w:szCs w:val="28"/>
        </w:rPr>
      </w:pPr>
      <w:bookmarkStart w:id="22" w:name="_Toc514926326"/>
      <w:r>
        <w:rPr>
          <w:szCs w:val="28"/>
        </w:rPr>
        <w:t>Strategic Objective 6</w:t>
      </w:r>
      <w:bookmarkEnd w:id="22"/>
      <w:r>
        <w:rPr>
          <w:szCs w:val="28"/>
        </w:rPr>
        <w:t xml:space="preserve"> </w:t>
      </w:r>
    </w:p>
    <w:p w:rsidR="0058349F" w:rsidRDefault="0058349F" w:rsidP="0058349F">
      <w:pPr>
        <w:pStyle w:val="Heading4"/>
        <w:rPr>
          <w:i w:val="0"/>
        </w:rPr>
      </w:pPr>
      <w:r>
        <w:t>Promote an age-friendly city to ensure that those aged 60 years and over are included in, and supported to participate in the community life of the ACT</w:t>
      </w:r>
    </w:p>
    <w:p w:rsidR="0058349F" w:rsidRDefault="0058349F" w:rsidP="0058349F">
      <w:pPr>
        <w:pStyle w:val="Normal20"/>
        <w:rPr>
          <w:szCs w:val="24"/>
        </w:rPr>
      </w:pPr>
      <w:r>
        <w:rPr>
          <w:szCs w:val="24"/>
        </w:rPr>
        <w:t xml:space="preserve">The Directorate promotes an age-friendly city through the implementation of the whole-of-government </w:t>
      </w:r>
      <w:r>
        <w:rPr>
          <w:i/>
          <w:szCs w:val="24"/>
        </w:rPr>
        <w:t>ACT Active Ageing Framework</w:t>
      </w:r>
      <w:r>
        <w:rPr>
          <w:szCs w:val="24"/>
        </w:rPr>
        <w:t xml:space="preserve"> and positive ageing programs such as the Seniors Grants Program, the Seniors Card Program, Seniors Week and Elder Abuse Prevention Program. </w:t>
      </w:r>
    </w:p>
    <w:p w:rsidR="0058349F" w:rsidRDefault="005F348E" w:rsidP="0058349F">
      <w:pPr>
        <w:pStyle w:val="Normal20"/>
        <w:rPr>
          <w:szCs w:val="24"/>
        </w:rPr>
      </w:pPr>
      <w:r>
        <w:rPr>
          <w:szCs w:val="24"/>
        </w:rPr>
        <w:t xml:space="preserve">The Canberra Omnibus Survey </w:t>
      </w:r>
      <w:r w:rsidR="0058349F">
        <w:rPr>
          <w:szCs w:val="24"/>
        </w:rPr>
        <w:t xml:space="preserve">annually measures the proportion of </w:t>
      </w:r>
      <w:proofErr w:type="spellStart"/>
      <w:r w:rsidR="0058349F">
        <w:rPr>
          <w:szCs w:val="24"/>
        </w:rPr>
        <w:t>Canberrans</w:t>
      </w:r>
      <w:proofErr w:type="spellEnd"/>
      <w:r w:rsidR="0058349F">
        <w:rPr>
          <w:szCs w:val="24"/>
        </w:rPr>
        <w:t xml:space="preserve"> who agree that Canberra is an age-friendly city for seniors.</w:t>
      </w:r>
    </w:p>
    <w:p w:rsidR="0058349F" w:rsidRDefault="0058349F" w:rsidP="0058349F">
      <w:pPr>
        <w:pStyle w:val="Heading4"/>
        <w:rPr>
          <w:i w:val="0"/>
        </w:rPr>
      </w:pPr>
      <w:r>
        <w:t xml:space="preserve">Strategic Indicator 6:  The proportion of </w:t>
      </w:r>
      <w:proofErr w:type="spellStart"/>
      <w:r>
        <w:t>Canberrans</w:t>
      </w:r>
      <w:proofErr w:type="spellEnd"/>
      <w:r>
        <w:t xml:space="preserve"> who agree that Canberra is an age-friendly city for seniors</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1651E4" w:rsidTr="0058349F">
        <w:trPr>
          <w:trHeight w:val="55"/>
          <w:jc w:val="center"/>
        </w:trPr>
        <w:tc>
          <w:tcPr>
            <w:tcW w:w="1821" w:type="dxa"/>
            <w:tcBorders>
              <w:top w:val="single" w:sz="4" w:space="0" w:color="auto"/>
              <w:left w:val="nil"/>
              <w:bottom w:val="nil"/>
              <w:right w:val="nil"/>
            </w:tcBorders>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2017-18</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2018-19</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2019-20</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2020–21</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2021-22</w:t>
            </w:r>
          </w:p>
        </w:tc>
      </w:tr>
      <w:tr w:rsidR="001651E4" w:rsidTr="0058349F">
        <w:trPr>
          <w:trHeight w:val="65"/>
          <w:jc w:val="center"/>
        </w:trPr>
        <w:tc>
          <w:tcPr>
            <w:tcW w:w="1821" w:type="dxa"/>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r>
      <w:tr w:rsidR="001651E4" w:rsidTr="0058349F">
        <w:trPr>
          <w:trHeight w:val="65"/>
          <w:jc w:val="center"/>
        </w:trPr>
        <w:tc>
          <w:tcPr>
            <w:tcW w:w="1821" w:type="dxa"/>
            <w:tcBorders>
              <w:top w:val="nil"/>
              <w:left w:val="nil"/>
              <w:bottom w:val="single" w:sz="4" w:space="0" w:color="auto"/>
              <w:right w:val="nil"/>
            </w:tcBorders>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r>
      <w:tr w:rsidR="001651E4" w:rsidTr="0058349F">
        <w:trPr>
          <w:trHeight w:val="55"/>
          <w:jc w:val="center"/>
        </w:trPr>
        <w:tc>
          <w:tcPr>
            <w:tcW w:w="1821" w:type="dxa"/>
            <w:tcBorders>
              <w:top w:val="single" w:sz="4" w:space="0" w:color="auto"/>
              <w:left w:val="nil"/>
              <w:bottom w:val="single" w:sz="4" w:space="0" w:color="auto"/>
              <w:right w:val="nil"/>
            </w:tcBorders>
            <w:vAlign w:val="center"/>
            <w:hideMark/>
          </w:tcPr>
          <w:p w:rsidR="0058349F" w:rsidRPr="008D2D13" w:rsidRDefault="0058349F" w:rsidP="00174BAC">
            <w:pPr>
              <w:pStyle w:val="BStablefigures00"/>
            </w:pPr>
            <w:r w:rsidRPr="008D2D13">
              <w:t>80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rPr>
                <w:strike/>
                <w:color w:val="FF0000"/>
              </w:rPr>
            </w:pPr>
            <w:r w:rsidRPr="008D2D13">
              <w:t>80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rPr>
                <w:strike/>
                <w:color w:val="FF0000"/>
              </w:rPr>
            </w:pPr>
            <w:r w:rsidRPr="008D2D13">
              <w:t>80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rPr>
                <w:strike/>
                <w:color w:val="FF0000"/>
              </w:rPr>
            </w:pPr>
            <w:r w:rsidRPr="008D2D13">
              <w:t>80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8D2D13" w:rsidRDefault="0058349F" w:rsidP="00174BAC">
            <w:pPr>
              <w:pStyle w:val="BStablefigures00"/>
              <w:rPr>
                <w:strike/>
                <w:color w:val="FF0000"/>
              </w:rPr>
            </w:pPr>
            <w:r w:rsidRPr="008D2D13">
              <w:t>80</w:t>
            </w:r>
          </w:p>
        </w:tc>
      </w:tr>
    </w:tbl>
    <w:p w:rsidR="0058349F" w:rsidRDefault="0058349F" w:rsidP="0058349F">
      <w:pPr>
        <w:pStyle w:val="Heading30"/>
        <w:rPr>
          <w:szCs w:val="28"/>
        </w:rPr>
      </w:pPr>
    </w:p>
    <w:p w:rsidR="0058349F" w:rsidRDefault="0058349F" w:rsidP="0058349F">
      <w:pPr>
        <w:pStyle w:val="Normal3"/>
        <w:spacing w:before="0" w:after="0"/>
        <w:rPr>
          <w:b/>
          <w:bCs/>
          <w:sz w:val="28"/>
          <w:szCs w:val="28"/>
        </w:rPr>
      </w:pPr>
      <w:r>
        <w:rPr>
          <w:szCs w:val="28"/>
        </w:rPr>
        <w:br w:type="page"/>
      </w:r>
    </w:p>
    <w:p w:rsidR="0058349F" w:rsidRDefault="0058349F" w:rsidP="0058349F">
      <w:pPr>
        <w:pStyle w:val="Heading30"/>
        <w:rPr>
          <w:szCs w:val="28"/>
        </w:rPr>
      </w:pPr>
      <w:bookmarkStart w:id="23" w:name="_Toc514926327"/>
      <w:r>
        <w:rPr>
          <w:szCs w:val="28"/>
        </w:rPr>
        <w:t>Strategic Objective 7</w:t>
      </w:r>
      <w:bookmarkEnd w:id="23"/>
      <w:r>
        <w:rPr>
          <w:szCs w:val="28"/>
        </w:rPr>
        <w:t xml:space="preserve"> </w:t>
      </w:r>
    </w:p>
    <w:p w:rsidR="0058349F" w:rsidRDefault="0058349F" w:rsidP="0058349F">
      <w:pPr>
        <w:pStyle w:val="Heading4"/>
        <w:rPr>
          <w:i w:val="0"/>
        </w:rPr>
      </w:pPr>
      <w:r>
        <w:t>Provision of services and interventions that reduce the risk of re</w:t>
      </w:r>
      <w:r>
        <w:noBreakHyphen/>
        <w:t>substantiated reports of abuse</w:t>
      </w:r>
    </w:p>
    <w:p w:rsidR="0058349F" w:rsidRDefault="0058349F" w:rsidP="0058349F">
      <w:pPr>
        <w:pStyle w:val="Normal20"/>
        <w:rPr>
          <w:szCs w:val="24"/>
        </w:rPr>
      </w:pPr>
      <w:r>
        <w:rPr>
          <w:szCs w:val="24"/>
        </w:rPr>
        <w:t>The Directorate provides child protection services for children and young people. A reduced re-substantiation rate is an indication that assessment, evaluation of risk and action have been taken to minimise experiences of abuse and neglect to reoccur. Repeated occurrences of maltreatment, as indicated by re-substantiation, are an indicator of cumulative harm. This is a national indicator for child protection services.</w:t>
      </w:r>
    </w:p>
    <w:p w:rsidR="0058349F" w:rsidRDefault="0058349F" w:rsidP="0058349F">
      <w:pPr>
        <w:pStyle w:val="Heading4"/>
        <w:rPr>
          <w:i w:val="0"/>
        </w:rPr>
      </w:pPr>
      <w:r>
        <w:t xml:space="preserve">Strategic Indicator 7:  </w:t>
      </w:r>
      <w:r>
        <w:rPr>
          <w:rFonts w:cs="Arial"/>
          <w:kern w:val="28"/>
        </w:rPr>
        <w:t>Re</w:t>
      </w:r>
      <w:r>
        <w:rPr>
          <w:rFonts w:cs="Arial"/>
          <w:kern w:val="28"/>
        </w:rPr>
        <w:noBreakHyphen/>
        <w:t xml:space="preserve">substantiation rates </w:t>
      </w:r>
      <w:r>
        <w:rPr>
          <w:rFonts w:cs="Arial"/>
          <w:kern w:val="28"/>
          <w:vertAlign w:val="superscript"/>
        </w:rPr>
        <w:t>1</w:t>
      </w:r>
    </w:p>
    <w:tbl>
      <w:tblPr>
        <w:tblW w:w="0" w:type="dxa"/>
        <w:tblLayout w:type="fixed"/>
        <w:tblCellMar>
          <w:left w:w="0" w:type="dxa"/>
          <w:right w:w="0" w:type="dxa"/>
        </w:tblCellMar>
        <w:tblLook w:val="04A0" w:firstRow="1" w:lastRow="0" w:firstColumn="1" w:lastColumn="0" w:noHBand="0" w:noVBand="1"/>
      </w:tblPr>
      <w:tblGrid>
        <w:gridCol w:w="3970"/>
        <w:gridCol w:w="851"/>
        <w:gridCol w:w="993"/>
        <w:gridCol w:w="1135"/>
        <w:gridCol w:w="1135"/>
        <w:gridCol w:w="1021"/>
      </w:tblGrid>
      <w:tr w:rsidR="001651E4" w:rsidTr="008D2D13">
        <w:trPr>
          <w:cantSplit/>
          <w:trHeight w:val="397"/>
        </w:trPr>
        <w:tc>
          <w:tcPr>
            <w:tcW w:w="3970" w:type="dxa"/>
            <w:tcBorders>
              <w:top w:val="single" w:sz="4" w:space="0" w:color="auto"/>
              <w:left w:val="nil"/>
              <w:bottom w:val="nil"/>
              <w:right w:val="nil"/>
            </w:tcBorders>
            <w:noWrap/>
            <w:tcMar>
              <w:top w:w="15" w:type="dxa"/>
              <w:left w:w="15" w:type="dxa"/>
              <w:bottom w:w="0" w:type="dxa"/>
              <w:right w:w="15" w:type="dxa"/>
            </w:tcMar>
          </w:tcPr>
          <w:p w:rsidR="0058349F" w:rsidRDefault="0058349F">
            <w:pPr>
              <w:pStyle w:val="TableTextHeading1"/>
              <w:jc w:val="center"/>
              <w:rPr>
                <w:rFonts w:ascii="Calibri" w:eastAsia="Arial Unicode MS" w:hAnsi="Calibri" w:cs="Calibri"/>
                <w:sz w:val="20"/>
              </w:rPr>
            </w:pPr>
          </w:p>
        </w:tc>
        <w:tc>
          <w:tcPr>
            <w:tcW w:w="851" w:type="dxa"/>
            <w:tcBorders>
              <w:top w:val="single" w:sz="4" w:space="0" w:color="auto"/>
              <w:left w:val="nil"/>
              <w:bottom w:val="nil"/>
              <w:right w:val="nil"/>
            </w:tcBorders>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2017-18</w:t>
            </w:r>
          </w:p>
        </w:tc>
        <w:tc>
          <w:tcPr>
            <w:tcW w:w="993"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2018-19</w:t>
            </w:r>
          </w:p>
        </w:tc>
        <w:tc>
          <w:tcPr>
            <w:tcW w:w="1135"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2019-20</w:t>
            </w:r>
          </w:p>
        </w:tc>
        <w:tc>
          <w:tcPr>
            <w:tcW w:w="1135"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2020-21</w:t>
            </w:r>
          </w:p>
        </w:tc>
        <w:tc>
          <w:tcPr>
            <w:tcW w:w="10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2021-22</w:t>
            </w:r>
          </w:p>
        </w:tc>
      </w:tr>
      <w:tr w:rsidR="001651E4" w:rsidTr="008D2D13">
        <w:trPr>
          <w:cantSplit/>
          <w:trHeight w:val="427"/>
        </w:trPr>
        <w:tc>
          <w:tcPr>
            <w:tcW w:w="3970" w:type="dxa"/>
            <w:tcBorders>
              <w:top w:val="nil"/>
              <w:left w:val="nil"/>
              <w:bottom w:val="single" w:sz="4" w:space="0" w:color="auto"/>
              <w:right w:val="nil"/>
            </w:tcBorders>
            <w:noWrap/>
            <w:tcMar>
              <w:top w:w="15" w:type="dxa"/>
              <w:left w:w="15" w:type="dxa"/>
              <w:bottom w:w="0" w:type="dxa"/>
              <w:right w:w="15" w:type="dxa"/>
            </w:tcMar>
          </w:tcPr>
          <w:p w:rsidR="0058349F" w:rsidRDefault="0058349F">
            <w:pPr>
              <w:pStyle w:val="TableTextHeading1"/>
              <w:jc w:val="center"/>
              <w:rPr>
                <w:rFonts w:ascii="Calibri" w:eastAsia="Arial Unicode MS" w:hAnsi="Calibri" w:cs="Calibri"/>
                <w:sz w:val="20"/>
              </w:rPr>
            </w:pPr>
          </w:p>
        </w:tc>
        <w:tc>
          <w:tcPr>
            <w:tcW w:w="851" w:type="dxa"/>
            <w:tcBorders>
              <w:top w:val="nil"/>
              <w:left w:val="nil"/>
              <w:bottom w:val="single" w:sz="4" w:space="0" w:color="auto"/>
              <w:right w:val="nil"/>
            </w:tcBorders>
            <w:hideMark/>
          </w:tcPr>
          <w:p w:rsidR="0058349F" w:rsidRDefault="0058349F">
            <w:pPr>
              <w:pStyle w:val="BStablefiguresbold"/>
              <w:rPr>
                <w:rFonts w:eastAsia="Arial Unicode MS"/>
              </w:rPr>
            </w:pPr>
            <w:r>
              <w:rPr>
                <w:rFonts w:eastAsia="Arial Unicode MS"/>
              </w:rPr>
              <w:t>Target</w:t>
            </w:r>
          </w:p>
          <w:p w:rsidR="0058349F" w:rsidRDefault="0058349F">
            <w:pPr>
              <w:pStyle w:val="BStablefiguresbold"/>
              <w:rPr>
                <w:rFonts w:eastAsia="Arial Unicode MS"/>
              </w:rPr>
            </w:pPr>
            <w:r>
              <w:rPr>
                <w:rFonts w:eastAsia="Arial Unicode MS"/>
              </w:rPr>
              <w:t>%</w:t>
            </w:r>
          </w:p>
        </w:tc>
        <w:tc>
          <w:tcPr>
            <w:tcW w:w="993" w:type="dxa"/>
            <w:tcBorders>
              <w:top w:val="nil"/>
              <w:left w:val="nil"/>
              <w:bottom w:val="single" w:sz="4" w:space="0" w:color="auto"/>
              <w:right w:val="nil"/>
            </w:tcBorders>
            <w:noWrap/>
            <w:tcMar>
              <w:top w:w="15" w:type="dxa"/>
              <w:left w:w="15" w:type="dxa"/>
              <w:bottom w:w="0" w:type="dxa"/>
              <w:right w:w="15" w:type="dxa"/>
            </w:tcMar>
            <w:hideMark/>
          </w:tcPr>
          <w:p w:rsidR="0058349F" w:rsidRDefault="0058349F">
            <w:pPr>
              <w:pStyle w:val="BStablefiguresbold"/>
              <w:rPr>
                <w:rFonts w:eastAsia="Arial Unicode MS"/>
              </w:rPr>
            </w:pPr>
            <w:r>
              <w:rPr>
                <w:rFonts w:eastAsia="Arial Unicode MS"/>
              </w:rPr>
              <w:t>Target</w:t>
            </w:r>
          </w:p>
          <w:p w:rsidR="0058349F" w:rsidRDefault="0058349F">
            <w:pPr>
              <w:pStyle w:val="BStablefiguresbold"/>
              <w:rPr>
                <w:rFonts w:eastAsia="Arial Unicode MS"/>
              </w:rPr>
            </w:pPr>
            <w:r>
              <w:rPr>
                <w:rFonts w:eastAsia="Arial Unicode MS"/>
              </w:rPr>
              <w:t>%</w:t>
            </w:r>
          </w:p>
        </w:tc>
        <w:tc>
          <w:tcPr>
            <w:tcW w:w="1135" w:type="dxa"/>
            <w:tcBorders>
              <w:top w:val="nil"/>
              <w:left w:val="nil"/>
              <w:bottom w:val="single" w:sz="4" w:space="0" w:color="auto"/>
              <w:right w:val="nil"/>
            </w:tcBorders>
            <w:noWrap/>
            <w:tcMar>
              <w:top w:w="15" w:type="dxa"/>
              <w:left w:w="15" w:type="dxa"/>
              <w:bottom w:w="0" w:type="dxa"/>
              <w:right w:w="15" w:type="dxa"/>
            </w:tcMar>
            <w:hideMark/>
          </w:tcPr>
          <w:p w:rsidR="0058349F" w:rsidRDefault="0058349F">
            <w:pPr>
              <w:pStyle w:val="BStablefiguresbold"/>
              <w:rPr>
                <w:rFonts w:eastAsia="Arial Unicode MS"/>
              </w:rPr>
            </w:pPr>
            <w:r>
              <w:rPr>
                <w:rFonts w:eastAsia="Arial Unicode MS"/>
              </w:rPr>
              <w:t>Estimate</w:t>
            </w:r>
          </w:p>
          <w:p w:rsidR="0058349F" w:rsidRDefault="0058349F">
            <w:pPr>
              <w:pStyle w:val="BStablefiguresbold"/>
              <w:rPr>
                <w:rFonts w:eastAsia="Arial Unicode MS"/>
              </w:rPr>
            </w:pPr>
            <w:r>
              <w:rPr>
                <w:rFonts w:eastAsia="Arial Unicode MS"/>
              </w:rPr>
              <w:t>%</w:t>
            </w:r>
          </w:p>
        </w:tc>
        <w:tc>
          <w:tcPr>
            <w:tcW w:w="1135" w:type="dxa"/>
            <w:tcBorders>
              <w:top w:val="nil"/>
              <w:left w:val="nil"/>
              <w:bottom w:val="single" w:sz="4" w:space="0" w:color="auto"/>
              <w:right w:val="nil"/>
            </w:tcBorders>
            <w:noWrap/>
            <w:tcMar>
              <w:top w:w="15" w:type="dxa"/>
              <w:left w:w="15" w:type="dxa"/>
              <w:bottom w:w="0" w:type="dxa"/>
              <w:right w:w="15" w:type="dxa"/>
            </w:tcMar>
            <w:hideMark/>
          </w:tcPr>
          <w:p w:rsidR="0058349F" w:rsidRDefault="0058349F">
            <w:pPr>
              <w:pStyle w:val="BStablefiguresbold"/>
              <w:rPr>
                <w:rFonts w:eastAsia="Arial Unicode MS"/>
              </w:rPr>
            </w:pPr>
            <w:r>
              <w:rPr>
                <w:rFonts w:eastAsia="Arial Unicode MS"/>
              </w:rPr>
              <w:t>Estimate</w:t>
            </w:r>
          </w:p>
          <w:p w:rsidR="0058349F" w:rsidRDefault="0058349F">
            <w:pPr>
              <w:pStyle w:val="BStablefiguresbold"/>
              <w:rPr>
                <w:rFonts w:eastAsia="Arial Unicode MS"/>
              </w:rPr>
            </w:pPr>
            <w:r>
              <w:rPr>
                <w:rFonts w:eastAsia="Arial Unicode MS"/>
              </w:rPr>
              <w:t>%</w:t>
            </w:r>
          </w:p>
        </w:tc>
        <w:tc>
          <w:tcPr>
            <w:tcW w:w="1021" w:type="dxa"/>
            <w:tcBorders>
              <w:top w:val="nil"/>
              <w:left w:val="nil"/>
              <w:bottom w:val="single" w:sz="4" w:space="0" w:color="auto"/>
              <w:right w:val="nil"/>
            </w:tcBorders>
            <w:noWrap/>
            <w:tcMar>
              <w:top w:w="15" w:type="dxa"/>
              <w:left w:w="15" w:type="dxa"/>
              <w:bottom w:w="0" w:type="dxa"/>
              <w:right w:w="15" w:type="dxa"/>
            </w:tcMar>
            <w:hideMark/>
          </w:tcPr>
          <w:p w:rsidR="0058349F" w:rsidRDefault="0058349F">
            <w:pPr>
              <w:pStyle w:val="BStablefiguresbold"/>
              <w:rPr>
                <w:rFonts w:eastAsia="Arial Unicode MS"/>
              </w:rPr>
            </w:pPr>
            <w:r>
              <w:rPr>
                <w:rFonts w:eastAsia="Arial Unicode MS"/>
              </w:rPr>
              <w:t>Estimate</w:t>
            </w:r>
          </w:p>
          <w:p w:rsidR="0058349F" w:rsidRDefault="0058349F">
            <w:pPr>
              <w:pStyle w:val="BStablefiguresbold"/>
              <w:rPr>
                <w:rFonts w:eastAsia="Arial Unicode MS"/>
              </w:rPr>
            </w:pPr>
            <w:r>
              <w:rPr>
                <w:rFonts w:eastAsia="Arial Unicode MS"/>
              </w:rPr>
              <w:t>%</w:t>
            </w:r>
          </w:p>
        </w:tc>
      </w:tr>
      <w:tr w:rsidR="001651E4" w:rsidTr="008D2D13">
        <w:trPr>
          <w:cantSplit/>
          <w:trHeight w:val="57"/>
        </w:trPr>
        <w:tc>
          <w:tcPr>
            <w:tcW w:w="3970" w:type="dxa"/>
            <w:tcBorders>
              <w:top w:val="single" w:sz="4" w:space="0" w:color="auto"/>
              <w:left w:val="nil"/>
              <w:bottom w:val="nil"/>
              <w:right w:val="nil"/>
            </w:tcBorders>
            <w:tcMar>
              <w:top w:w="15" w:type="dxa"/>
              <w:left w:w="180" w:type="dxa"/>
              <w:bottom w:w="0" w:type="dxa"/>
              <w:right w:w="15" w:type="dxa"/>
            </w:tcMar>
            <w:hideMark/>
          </w:tcPr>
          <w:p w:rsidR="0058349F" w:rsidRPr="008D2D13" w:rsidRDefault="0058349F" w:rsidP="00174BAC">
            <w:pPr>
              <w:pStyle w:val="BStabletext00"/>
            </w:pPr>
            <w:r w:rsidRPr="008D2D13">
              <w:t>Re</w:t>
            </w:r>
            <w:r w:rsidRPr="008D2D13">
              <w:noBreakHyphen/>
              <w:t>substantiation Rate — Within 3 Months</w:t>
            </w:r>
          </w:p>
        </w:tc>
        <w:tc>
          <w:tcPr>
            <w:tcW w:w="851" w:type="dxa"/>
            <w:tcBorders>
              <w:top w:val="single" w:sz="4" w:space="0" w:color="auto"/>
              <w:left w:val="nil"/>
              <w:bottom w:val="nil"/>
              <w:right w:val="nil"/>
            </w:tcBorders>
            <w:hideMark/>
          </w:tcPr>
          <w:p w:rsidR="0058349F" w:rsidRPr="008D2D13" w:rsidRDefault="0058349F" w:rsidP="00174BAC">
            <w:pPr>
              <w:pStyle w:val="BStablefigures00"/>
            </w:pPr>
            <w:r w:rsidRPr="008D2D13">
              <w:t>14</w:t>
            </w:r>
          </w:p>
        </w:tc>
        <w:tc>
          <w:tcPr>
            <w:tcW w:w="993" w:type="dxa"/>
            <w:tcBorders>
              <w:top w:val="single" w:sz="4" w:space="0" w:color="auto"/>
              <w:left w:val="nil"/>
              <w:bottom w:val="nil"/>
              <w:right w:val="nil"/>
            </w:tcBorders>
            <w:noWrap/>
            <w:tcMar>
              <w:top w:w="15" w:type="dxa"/>
              <w:left w:w="15" w:type="dxa"/>
              <w:bottom w:w="0" w:type="dxa"/>
              <w:right w:w="15" w:type="dxa"/>
            </w:tcMar>
            <w:hideMark/>
          </w:tcPr>
          <w:p w:rsidR="0058349F" w:rsidRPr="008D2D13" w:rsidRDefault="0058349F" w:rsidP="00174BAC">
            <w:pPr>
              <w:pStyle w:val="BStablefigures00"/>
            </w:pPr>
            <w:r w:rsidRPr="008D2D13">
              <w:t>12</w:t>
            </w:r>
          </w:p>
        </w:tc>
        <w:tc>
          <w:tcPr>
            <w:tcW w:w="1135" w:type="dxa"/>
            <w:tcBorders>
              <w:top w:val="single" w:sz="4" w:space="0" w:color="auto"/>
              <w:left w:val="nil"/>
              <w:bottom w:val="nil"/>
              <w:right w:val="nil"/>
            </w:tcBorders>
            <w:noWrap/>
            <w:tcMar>
              <w:top w:w="15" w:type="dxa"/>
              <w:left w:w="15" w:type="dxa"/>
              <w:bottom w:w="0" w:type="dxa"/>
              <w:right w:w="15" w:type="dxa"/>
            </w:tcMar>
            <w:hideMark/>
          </w:tcPr>
          <w:p w:rsidR="0058349F" w:rsidRPr="008D2D13" w:rsidRDefault="0058349F" w:rsidP="00174BAC">
            <w:pPr>
              <w:pStyle w:val="BStablefigures00"/>
            </w:pPr>
            <w:r w:rsidRPr="008D2D13">
              <w:t>12</w:t>
            </w:r>
          </w:p>
        </w:tc>
        <w:tc>
          <w:tcPr>
            <w:tcW w:w="1135" w:type="dxa"/>
            <w:tcBorders>
              <w:top w:val="single" w:sz="4" w:space="0" w:color="auto"/>
              <w:left w:val="nil"/>
              <w:bottom w:val="nil"/>
              <w:right w:val="nil"/>
            </w:tcBorders>
            <w:noWrap/>
            <w:tcMar>
              <w:top w:w="15" w:type="dxa"/>
              <w:left w:w="15" w:type="dxa"/>
              <w:bottom w:w="0" w:type="dxa"/>
              <w:right w:w="15" w:type="dxa"/>
            </w:tcMar>
            <w:hideMark/>
          </w:tcPr>
          <w:p w:rsidR="0058349F" w:rsidRPr="008D2D13" w:rsidRDefault="0058349F" w:rsidP="00174BAC">
            <w:pPr>
              <w:pStyle w:val="BStablefigures00"/>
            </w:pPr>
            <w:r w:rsidRPr="008D2D13">
              <w:t>12</w:t>
            </w:r>
          </w:p>
        </w:tc>
        <w:tc>
          <w:tcPr>
            <w:tcW w:w="1021" w:type="dxa"/>
            <w:tcBorders>
              <w:top w:val="single" w:sz="4" w:space="0" w:color="auto"/>
              <w:left w:val="nil"/>
              <w:bottom w:val="nil"/>
              <w:right w:val="nil"/>
            </w:tcBorders>
            <w:noWrap/>
            <w:tcMar>
              <w:top w:w="15" w:type="dxa"/>
              <w:left w:w="15" w:type="dxa"/>
              <w:bottom w:w="0" w:type="dxa"/>
              <w:right w:w="15" w:type="dxa"/>
            </w:tcMar>
            <w:hideMark/>
          </w:tcPr>
          <w:p w:rsidR="0058349F" w:rsidRPr="008D2D13" w:rsidRDefault="0058349F" w:rsidP="00174BAC">
            <w:pPr>
              <w:pStyle w:val="BStablefigures00"/>
            </w:pPr>
            <w:r w:rsidRPr="008D2D13">
              <w:t>12</w:t>
            </w:r>
          </w:p>
        </w:tc>
      </w:tr>
      <w:tr w:rsidR="001651E4" w:rsidTr="008D2D13">
        <w:trPr>
          <w:cantSplit/>
          <w:trHeight w:val="57"/>
        </w:trPr>
        <w:tc>
          <w:tcPr>
            <w:tcW w:w="3970" w:type="dxa"/>
            <w:tcBorders>
              <w:top w:val="nil"/>
              <w:left w:val="nil"/>
              <w:bottom w:val="single" w:sz="4" w:space="0" w:color="auto"/>
              <w:right w:val="nil"/>
            </w:tcBorders>
            <w:tcMar>
              <w:top w:w="15" w:type="dxa"/>
              <w:left w:w="180" w:type="dxa"/>
              <w:bottom w:w="0" w:type="dxa"/>
              <w:right w:w="15" w:type="dxa"/>
            </w:tcMar>
            <w:hideMark/>
          </w:tcPr>
          <w:p w:rsidR="0058349F" w:rsidRPr="008D2D13" w:rsidRDefault="0058349F" w:rsidP="00174BAC">
            <w:pPr>
              <w:pStyle w:val="BStabletext00"/>
            </w:pPr>
            <w:r w:rsidRPr="008D2D13">
              <w:t>Re</w:t>
            </w:r>
            <w:r w:rsidRPr="008D2D13">
              <w:noBreakHyphen/>
              <w:t>substantiation Rate — Within 12 Months</w:t>
            </w:r>
          </w:p>
        </w:tc>
        <w:tc>
          <w:tcPr>
            <w:tcW w:w="851" w:type="dxa"/>
            <w:tcBorders>
              <w:top w:val="nil"/>
              <w:left w:val="nil"/>
              <w:bottom w:val="single" w:sz="4" w:space="0" w:color="auto"/>
              <w:right w:val="nil"/>
            </w:tcBorders>
            <w:hideMark/>
          </w:tcPr>
          <w:p w:rsidR="0058349F" w:rsidRPr="008D2D13" w:rsidRDefault="0058349F" w:rsidP="00174BAC">
            <w:pPr>
              <w:pStyle w:val="BStablefigures00"/>
            </w:pPr>
            <w:r w:rsidRPr="008D2D13">
              <w:t>26</w:t>
            </w:r>
          </w:p>
        </w:tc>
        <w:tc>
          <w:tcPr>
            <w:tcW w:w="993" w:type="dxa"/>
            <w:tcBorders>
              <w:top w:val="nil"/>
              <w:left w:val="nil"/>
              <w:bottom w:val="single" w:sz="4" w:space="0" w:color="auto"/>
              <w:right w:val="nil"/>
            </w:tcBorders>
            <w:noWrap/>
            <w:tcMar>
              <w:top w:w="15" w:type="dxa"/>
              <w:left w:w="15" w:type="dxa"/>
              <w:bottom w:w="0" w:type="dxa"/>
              <w:right w:w="15" w:type="dxa"/>
            </w:tcMar>
            <w:hideMark/>
          </w:tcPr>
          <w:p w:rsidR="0058349F" w:rsidRPr="008D2D13" w:rsidRDefault="0058349F" w:rsidP="00174BAC">
            <w:pPr>
              <w:pStyle w:val="BStablefigures00"/>
            </w:pPr>
            <w:r w:rsidRPr="008D2D13">
              <w:t>22</w:t>
            </w:r>
          </w:p>
        </w:tc>
        <w:tc>
          <w:tcPr>
            <w:tcW w:w="1135" w:type="dxa"/>
            <w:tcBorders>
              <w:top w:val="nil"/>
              <w:left w:val="nil"/>
              <w:bottom w:val="single" w:sz="4" w:space="0" w:color="auto"/>
              <w:right w:val="nil"/>
            </w:tcBorders>
            <w:noWrap/>
            <w:tcMar>
              <w:top w:w="15" w:type="dxa"/>
              <w:left w:w="15" w:type="dxa"/>
              <w:bottom w:w="0" w:type="dxa"/>
              <w:right w:w="15" w:type="dxa"/>
            </w:tcMar>
            <w:hideMark/>
          </w:tcPr>
          <w:p w:rsidR="0058349F" w:rsidRPr="008D2D13" w:rsidRDefault="0058349F" w:rsidP="00174BAC">
            <w:pPr>
              <w:pStyle w:val="BStablefigures00"/>
            </w:pPr>
            <w:r w:rsidRPr="008D2D13">
              <w:t>22</w:t>
            </w:r>
          </w:p>
        </w:tc>
        <w:tc>
          <w:tcPr>
            <w:tcW w:w="1135" w:type="dxa"/>
            <w:tcBorders>
              <w:top w:val="nil"/>
              <w:left w:val="nil"/>
              <w:bottom w:val="single" w:sz="4" w:space="0" w:color="auto"/>
              <w:right w:val="nil"/>
            </w:tcBorders>
            <w:noWrap/>
            <w:tcMar>
              <w:top w:w="15" w:type="dxa"/>
              <w:left w:w="15" w:type="dxa"/>
              <w:bottom w:w="0" w:type="dxa"/>
              <w:right w:w="15" w:type="dxa"/>
            </w:tcMar>
            <w:hideMark/>
          </w:tcPr>
          <w:p w:rsidR="0058349F" w:rsidRPr="008D2D13" w:rsidRDefault="0058349F" w:rsidP="00174BAC">
            <w:pPr>
              <w:pStyle w:val="BStablefigures00"/>
            </w:pPr>
            <w:r w:rsidRPr="008D2D13">
              <w:t>22</w:t>
            </w:r>
          </w:p>
        </w:tc>
        <w:tc>
          <w:tcPr>
            <w:tcW w:w="1021" w:type="dxa"/>
            <w:tcBorders>
              <w:top w:val="nil"/>
              <w:left w:val="nil"/>
              <w:bottom w:val="single" w:sz="4" w:space="0" w:color="auto"/>
              <w:right w:val="nil"/>
            </w:tcBorders>
            <w:noWrap/>
            <w:tcMar>
              <w:top w:w="15" w:type="dxa"/>
              <w:left w:w="15" w:type="dxa"/>
              <w:bottom w:w="0" w:type="dxa"/>
              <w:right w:w="15" w:type="dxa"/>
            </w:tcMar>
            <w:hideMark/>
          </w:tcPr>
          <w:p w:rsidR="0058349F" w:rsidRPr="008D2D13" w:rsidRDefault="0058349F" w:rsidP="00174BAC">
            <w:pPr>
              <w:pStyle w:val="BStablefigures00"/>
            </w:pPr>
            <w:r w:rsidRPr="008D2D13">
              <w:t>22</w:t>
            </w:r>
          </w:p>
        </w:tc>
      </w:tr>
    </w:tbl>
    <w:p w:rsidR="0058349F" w:rsidRDefault="0058349F" w:rsidP="0058349F">
      <w:pPr>
        <w:pStyle w:val="BSnote0"/>
      </w:pPr>
      <w:r>
        <w:t>Note:</w:t>
      </w:r>
      <w:r>
        <w:tab/>
      </w:r>
    </w:p>
    <w:p w:rsidR="0058349F" w:rsidRPr="006116B5" w:rsidRDefault="0058349F" w:rsidP="0058349F">
      <w:pPr>
        <w:pStyle w:val="BSnoteslist0"/>
        <w:numPr>
          <w:ilvl w:val="0"/>
          <w:numId w:val="9"/>
        </w:numPr>
        <w:rPr>
          <w:color w:val="FF0000"/>
        </w:rPr>
      </w:pPr>
      <w:r>
        <w:t>The target is reduced in 2018-19. This reflec</w:t>
      </w:r>
      <w:r w:rsidR="005F348E">
        <w:t>ts</w:t>
      </w:r>
      <w:r>
        <w:t xml:space="preserve"> the early impact of preservation and restoration services under </w:t>
      </w:r>
      <w:r w:rsidR="005F348E">
        <w:t>‘</w:t>
      </w:r>
      <w:r>
        <w:t>A Step Up for Our Kids</w:t>
      </w:r>
      <w:r w:rsidR="005F348E">
        <w:t>’</w:t>
      </w:r>
      <w:r>
        <w:t xml:space="preserve"> and Child and Youth Protection Services case management. </w:t>
      </w:r>
    </w:p>
    <w:p w:rsidR="0058349F" w:rsidRDefault="0058349F" w:rsidP="0058349F">
      <w:pPr>
        <w:pStyle w:val="Heading30"/>
        <w:rPr>
          <w:szCs w:val="28"/>
        </w:rPr>
      </w:pPr>
      <w:bookmarkStart w:id="24" w:name="_Toc514926328"/>
      <w:r>
        <w:rPr>
          <w:szCs w:val="28"/>
        </w:rPr>
        <w:t>Strategic Objective 8</w:t>
      </w:r>
      <w:bookmarkEnd w:id="24"/>
      <w:r>
        <w:rPr>
          <w:szCs w:val="28"/>
        </w:rPr>
        <w:t xml:space="preserve"> </w:t>
      </w:r>
    </w:p>
    <w:p w:rsidR="0058349F" w:rsidRDefault="0058349F" w:rsidP="0058349F">
      <w:pPr>
        <w:pStyle w:val="Heading4"/>
        <w:rPr>
          <w:i w:val="0"/>
        </w:rPr>
      </w:pPr>
      <w:r>
        <w:t>Provision of services that improve outcomes for young people involved with the justice system</w:t>
      </w:r>
    </w:p>
    <w:p w:rsidR="0058349F" w:rsidRDefault="0058349F" w:rsidP="0058349F">
      <w:pPr>
        <w:pStyle w:val="Normal20"/>
        <w:rPr>
          <w:szCs w:val="24"/>
        </w:rPr>
      </w:pPr>
      <w:r>
        <w:rPr>
          <w:szCs w:val="24"/>
        </w:rPr>
        <w:t xml:space="preserve">The Directorate aims to improve outcomes by providing support services to young people at risk and through the support and supervision of young offenders.  </w:t>
      </w:r>
    </w:p>
    <w:p w:rsidR="0058349F" w:rsidRDefault="0058349F" w:rsidP="0058349F">
      <w:pPr>
        <w:pStyle w:val="Normal20"/>
        <w:rPr>
          <w:szCs w:val="24"/>
        </w:rPr>
      </w:pPr>
      <w:r>
        <w:rPr>
          <w:szCs w:val="24"/>
        </w:rPr>
        <w:t>Recidivism rates measure the return of young people to the youth justice system, after receiving a final Court Order. They are an indicator of outcomes for young people, in particular whether interventions have been successful in assisting young people to exit the youth justice system.</w:t>
      </w:r>
    </w:p>
    <w:p w:rsidR="0058349F" w:rsidRDefault="0058349F" w:rsidP="0058349F">
      <w:pPr>
        <w:pStyle w:val="Heading4"/>
        <w:rPr>
          <w:i w:val="0"/>
        </w:rPr>
      </w:pPr>
      <w:r>
        <w:t>Strategic Indicator 8: Recidivism of young people</w:t>
      </w:r>
    </w:p>
    <w:tbl>
      <w:tblPr>
        <w:tblW w:w="9128" w:type="dxa"/>
        <w:jc w:val="center"/>
        <w:tblLayout w:type="fixed"/>
        <w:tblCellMar>
          <w:left w:w="0" w:type="dxa"/>
          <w:right w:w="0" w:type="dxa"/>
        </w:tblCellMar>
        <w:tblLook w:val="04A0" w:firstRow="1" w:lastRow="0" w:firstColumn="1" w:lastColumn="0" w:noHBand="0" w:noVBand="1"/>
      </w:tblPr>
      <w:tblGrid>
        <w:gridCol w:w="4123"/>
        <w:gridCol w:w="1001"/>
        <w:gridCol w:w="1001"/>
        <w:gridCol w:w="1001"/>
        <w:gridCol w:w="1001"/>
        <w:gridCol w:w="1001"/>
      </w:tblGrid>
      <w:tr w:rsidR="007C5E7C" w:rsidTr="007C5E7C">
        <w:trPr>
          <w:trHeight w:val="170"/>
          <w:jc w:val="center"/>
        </w:trPr>
        <w:tc>
          <w:tcPr>
            <w:tcW w:w="4123" w:type="dxa"/>
            <w:tcBorders>
              <w:top w:val="single" w:sz="4" w:space="0" w:color="auto"/>
            </w:tcBorders>
            <w:tcMar>
              <w:top w:w="0" w:type="dxa"/>
              <w:left w:w="108" w:type="dxa"/>
              <w:bottom w:w="0" w:type="dxa"/>
              <w:right w:w="108" w:type="dxa"/>
            </w:tcMar>
            <w:vAlign w:val="bottom"/>
          </w:tcPr>
          <w:p w:rsidR="007C5E7C" w:rsidRDefault="007C5E7C" w:rsidP="007C5E7C">
            <w:pPr>
              <w:pStyle w:val="TableTextHeading1"/>
              <w:rPr>
                <w:rFonts w:ascii="Calibri" w:eastAsia="Arial Unicode MS" w:hAnsi="Calibri" w:cs="Calibri"/>
                <w:sz w:val="20"/>
              </w:rPr>
            </w:pPr>
            <w:r>
              <w:rPr>
                <w:rFonts w:ascii="Calibri" w:eastAsia="Arial Unicode MS" w:hAnsi="Calibri" w:cs="Calibri"/>
                <w:sz w:val="20"/>
              </w:rPr>
              <w:t> </w:t>
            </w:r>
          </w:p>
        </w:tc>
        <w:tc>
          <w:tcPr>
            <w:tcW w:w="1001" w:type="dxa"/>
            <w:tcBorders>
              <w:top w:val="single" w:sz="4" w:space="0" w:color="auto"/>
            </w:tcBorders>
            <w:tcMar>
              <w:top w:w="0" w:type="dxa"/>
              <w:left w:w="108" w:type="dxa"/>
              <w:bottom w:w="0" w:type="dxa"/>
              <w:right w:w="108" w:type="dxa"/>
            </w:tcMar>
            <w:vAlign w:val="center"/>
          </w:tcPr>
          <w:p w:rsidR="007C5E7C" w:rsidRDefault="007C5E7C" w:rsidP="007C5E7C">
            <w:pPr>
              <w:pStyle w:val="BStablefiguresbold"/>
              <w:rPr>
                <w:rFonts w:eastAsia="Arial Unicode MS"/>
              </w:rPr>
            </w:pPr>
            <w:r>
              <w:rPr>
                <w:rFonts w:eastAsia="Arial Unicode MS"/>
              </w:rPr>
              <w:t>2017-18</w:t>
            </w:r>
          </w:p>
        </w:tc>
        <w:tc>
          <w:tcPr>
            <w:tcW w:w="1001" w:type="dxa"/>
            <w:tcBorders>
              <w:top w:val="single" w:sz="4" w:space="0" w:color="auto"/>
            </w:tcBorders>
            <w:tcMar>
              <w:top w:w="0" w:type="dxa"/>
              <w:left w:w="108" w:type="dxa"/>
              <w:bottom w:w="0" w:type="dxa"/>
              <w:right w:w="108" w:type="dxa"/>
            </w:tcMar>
            <w:vAlign w:val="center"/>
          </w:tcPr>
          <w:p w:rsidR="007C5E7C" w:rsidRDefault="007C5E7C" w:rsidP="007C5E7C">
            <w:pPr>
              <w:pStyle w:val="BStablefiguresbold"/>
              <w:rPr>
                <w:rFonts w:eastAsia="Arial Unicode MS"/>
              </w:rPr>
            </w:pPr>
            <w:r>
              <w:rPr>
                <w:rFonts w:eastAsia="Arial Unicode MS"/>
              </w:rPr>
              <w:t>2018-19</w:t>
            </w:r>
          </w:p>
        </w:tc>
        <w:tc>
          <w:tcPr>
            <w:tcW w:w="1001" w:type="dxa"/>
            <w:tcBorders>
              <w:top w:val="single" w:sz="4" w:space="0" w:color="auto"/>
            </w:tcBorders>
            <w:tcMar>
              <w:top w:w="0" w:type="dxa"/>
              <w:left w:w="108" w:type="dxa"/>
              <w:bottom w:w="0" w:type="dxa"/>
              <w:right w:w="108" w:type="dxa"/>
            </w:tcMar>
            <w:vAlign w:val="center"/>
          </w:tcPr>
          <w:p w:rsidR="007C5E7C" w:rsidRDefault="007C5E7C" w:rsidP="007C5E7C">
            <w:pPr>
              <w:pStyle w:val="BStablefiguresbold"/>
              <w:rPr>
                <w:rFonts w:eastAsia="Arial Unicode MS"/>
              </w:rPr>
            </w:pPr>
            <w:r>
              <w:rPr>
                <w:rFonts w:eastAsia="Arial Unicode MS"/>
              </w:rPr>
              <w:t>2019-20</w:t>
            </w:r>
          </w:p>
        </w:tc>
        <w:tc>
          <w:tcPr>
            <w:tcW w:w="1001" w:type="dxa"/>
            <w:tcBorders>
              <w:top w:val="single" w:sz="4" w:space="0" w:color="auto"/>
            </w:tcBorders>
            <w:tcMar>
              <w:top w:w="0" w:type="dxa"/>
              <w:left w:w="108" w:type="dxa"/>
              <w:bottom w:w="0" w:type="dxa"/>
              <w:right w:w="108" w:type="dxa"/>
            </w:tcMar>
            <w:vAlign w:val="center"/>
          </w:tcPr>
          <w:p w:rsidR="007C5E7C" w:rsidRDefault="007C5E7C" w:rsidP="007C5E7C">
            <w:pPr>
              <w:pStyle w:val="BStablefiguresbold"/>
              <w:rPr>
                <w:rFonts w:eastAsia="Arial Unicode MS"/>
              </w:rPr>
            </w:pPr>
            <w:r>
              <w:rPr>
                <w:rFonts w:eastAsia="Arial Unicode MS"/>
              </w:rPr>
              <w:t>2020-21</w:t>
            </w:r>
          </w:p>
        </w:tc>
        <w:tc>
          <w:tcPr>
            <w:tcW w:w="1001" w:type="dxa"/>
            <w:tcBorders>
              <w:top w:val="single" w:sz="4" w:space="0" w:color="auto"/>
            </w:tcBorders>
            <w:tcMar>
              <w:top w:w="0" w:type="dxa"/>
              <w:left w:w="108" w:type="dxa"/>
              <w:bottom w:w="0" w:type="dxa"/>
              <w:right w:w="108" w:type="dxa"/>
            </w:tcMar>
            <w:vAlign w:val="center"/>
          </w:tcPr>
          <w:p w:rsidR="007C5E7C" w:rsidRDefault="007C5E7C" w:rsidP="007C5E7C">
            <w:pPr>
              <w:pStyle w:val="BStablefiguresbold"/>
              <w:rPr>
                <w:rFonts w:eastAsia="Arial Unicode MS"/>
              </w:rPr>
            </w:pPr>
            <w:r>
              <w:rPr>
                <w:rFonts w:eastAsia="Arial Unicode MS"/>
              </w:rPr>
              <w:t>2021-22</w:t>
            </w:r>
          </w:p>
        </w:tc>
      </w:tr>
      <w:tr w:rsidR="007C5E7C" w:rsidTr="007C5E7C">
        <w:trPr>
          <w:trHeight w:val="170"/>
          <w:jc w:val="center"/>
        </w:trPr>
        <w:tc>
          <w:tcPr>
            <w:tcW w:w="4123" w:type="dxa"/>
            <w:tcMar>
              <w:top w:w="0" w:type="dxa"/>
              <w:left w:w="108" w:type="dxa"/>
              <w:bottom w:w="0" w:type="dxa"/>
              <w:right w:w="108" w:type="dxa"/>
            </w:tcMar>
            <w:vAlign w:val="bottom"/>
          </w:tcPr>
          <w:p w:rsidR="007C5E7C" w:rsidRDefault="007C5E7C" w:rsidP="007C5E7C">
            <w:pPr>
              <w:pStyle w:val="TableTextHeading1"/>
              <w:rPr>
                <w:rFonts w:ascii="Calibri" w:eastAsia="Arial Unicode MS" w:hAnsi="Calibri" w:cs="Calibri"/>
                <w:sz w:val="20"/>
              </w:rPr>
            </w:pPr>
          </w:p>
        </w:tc>
        <w:tc>
          <w:tcPr>
            <w:tcW w:w="1001" w:type="dxa"/>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Target</w:t>
            </w:r>
          </w:p>
        </w:tc>
        <w:tc>
          <w:tcPr>
            <w:tcW w:w="1001" w:type="dxa"/>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Target</w:t>
            </w:r>
          </w:p>
        </w:tc>
        <w:tc>
          <w:tcPr>
            <w:tcW w:w="1001" w:type="dxa"/>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Estimate</w:t>
            </w:r>
          </w:p>
        </w:tc>
        <w:tc>
          <w:tcPr>
            <w:tcW w:w="1001" w:type="dxa"/>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Estimate</w:t>
            </w:r>
          </w:p>
        </w:tc>
        <w:tc>
          <w:tcPr>
            <w:tcW w:w="1001" w:type="dxa"/>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 xml:space="preserve">Estimate </w:t>
            </w:r>
          </w:p>
        </w:tc>
      </w:tr>
      <w:tr w:rsidR="007C5E7C" w:rsidTr="007A5B2B">
        <w:trPr>
          <w:trHeight w:val="170"/>
          <w:jc w:val="center"/>
        </w:trPr>
        <w:tc>
          <w:tcPr>
            <w:tcW w:w="4123" w:type="dxa"/>
            <w:tcBorders>
              <w:bottom w:val="single" w:sz="4" w:space="0" w:color="auto"/>
            </w:tcBorders>
            <w:tcMar>
              <w:top w:w="0" w:type="dxa"/>
              <w:left w:w="108" w:type="dxa"/>
              <w:bottom w:w="0" w:type="dxa"/>
              <w:right w:w="108" w:type="dxa"/>
            </w:tcMar>
            <w:vAlign w:val="bottom"/>
          </w:tcPr>
          <w:p w:rsidR="007C5E7C" w:rsidRDefault="007C5E7C" w:rsidP="007C5E7C">
            <w:pPr>
              <w:pStyle w:val="TableTextHeading1"/>
              <w:rPr>
                <w:rFonts w:ascii="Calibri" w:eastAsia="Arial Unicode MS" w:hAnsi="Calibri" w:cs="Calibri"/>
                <w:sz w:val="20"/>
              </w:rPr>
            </w:pPr>
          </w:p>
        </w:tc>
        <w:tc>
          <w:tcPr>
            <w:tcW w:w="1001" w:type="dxa"/>
            <w:tcBorders>
              <w:bottom w:val="single" w:sz="4" w:space="0" w:color="auto"/>
            </w:tcBorders>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w:t>
            </w:r>
          </w:p>
        </w:tc>
        <w:tc>
          <w:tcPr>
            <w:tcW w:w="1001" w:type="dxa"/>
            <w:tcBorders>
              <w:bottom w:val="single" w:sz="4" w:space="0" w:color="auto"/>
            </w:tcBorders>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w:t>
            </w:r>
          </w:p>
        </w:tc>
        <w:tc>
          <w:tcPr>
            <w:tcW w:w="1001" w:type="dxa"/>
            <w:tcBorders>
              <w:bottom w:val="single" w:sz="4" w:space="0" w:color="auto"/>
            </w:tcBorders>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w:t>
            </w:r>
          </w:p>
        </w:tc>
        <w:tc>
          <w:tcPr>
            <w:tcW w:w="1001" w:type="dxa"/>
            <w:tcBorders>
              <w:bottom w:val="single" w:sz="4" w:space="0" w:color="auto"/>
            </w:tcBorders>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w:t>
            </w:r>
          </w:p>
        </w:tc>
        <w:tc>
          <w:tcPr>
            <w:tcW w:w="1001" w:type="dxa"/>
            <w:tcBorders>
              <w:bottom w:val="single" w:sz="4" w:space="0" w:color="auto"/>
            </w:tcBorders>
            <w:tcMar>
              <w:top w:w="0" w:type="dxa"/>
              <w:left w:w="108" w:type="dxa"/>
              <w:bottom w:w="0" w:type="dxa"/>
              <w:right w:w="108" w:type="dxa"/>
            </w:tcMar>
          </w:tcPr>
          <w:p w:rsidR="007C5E7C" w:rsidRDefault="007C5E7C" w:rsidP="007C5E7C">
            <w:pPr>
              <w:pStyle w:val="BStablefiguresbold"/>
              <w:rPr>
                <w:rFonts w:eastAsia="Arial Unicode MS"/>
              </w:rPr>
            </w:pPr>
            <w:r>
              <w:rPr>
                <w:rFonts w:eastAsia="Arial Unicode MS"/>
              </w:rPr>
              <w:t>%</w:t>
            </w:r>
          </w:p>
        </w:tc>
      </w:tr>
      <w:tr w:rsidR="001651E4" w:rsidTr="007A5B2B">
        <w:trPr>
          <w:trHeight w:val="170"/>
          <w:jc w:val="center"/>
        </w:trPr>
        <w:tc>
          <w:tcPr>
            <w:tcW w:w="4123" w:type="dxa"/>
            <w:tcBorders>
              <w:top w:val="single" w:sz="4" w:space="0" w:color="auto"/>
            </w:tcBorders>
            <w:tcMar>
              <w:top w:w="0" w:type="dxa"/>
              <w:left w:w="108" w:type="dxa"/>
              <w:bottom w:w="0" w:type="dxa"/>
              <w:right w:w="108" w:type="dxa"/>
            </w:tcMar>
            <w:hideMark/>
          </w:tcPr>
          <w:p w:rsidR="0058349F" w:rsidRPr="005F348E" w:rsidRDefault="0058349F" w:rsidP="00174BAC">
            <w:pPr>
              <w:pStyle w:val="BStabletext00"/>
            </w:pPr>
            <w:r w:rsidRPr="005F348E">
              <w:t>Recidivism of Sentenced Young People in Custody</w:t>
            </w:r>
          </w:p>
        </w:tc>
        <w:tc>
          <w:tcPr>
            <w:tcW w:w="1001" w:type="dxa"/>
            <w:tcBorders>
              <w:top w:val="single" w:sz="4" w:space="0" w:color="auto"/>
            </w:tcBorders>
            <w:tcMar>
              <w:top w:w="0" w:type="dxa"/>
              <w:left w:w="108" w:type="dxa"/>
              <w:bottom w:w="0" w:type="dxa"/>
              <w:right w:w="108" w:type="dxa"/>
            </w:tcMar>
            <w:hideMark/>
          </w:tcPr>
          <w:p w:rsidR="0058349F" w:rsidRPr="005F348E" w:rsidRDefault="0058349F" w:rsidP="00174BAC">
            <w:pPr>
              <w:pStyle w:val="BStablefigures00"/>
            </w:pPr>
            <w:r w:rsidRPr="005F348E">
              <w:t>43</w:t>
            </w:r>
          </w:p>
        </w:tc>
        <w:tc>
          <w:tcPr>
            <w:tcW w:w="1001" w:type="dxa"/>
            <w:tcBorders>
              <w:top w:val="single" w:sz="4" w:space="0" w:color="auto"/>
            </w:tcBorders>
            <w:tcMar>
              <w:top w:w="0" w:type="dxa"/>
              <w:left w:w="108" w:type="dxa"/>
              <w:bottom w:w="0" w:type="dxa"/>
              <w:right w:w="108" w:type="dxa"/>
            </w:tcMar>
            <w:hideMark/>
          </w:tcPr>
          <w:p w:rsidR="0058349F" w:rsidRPr="005F348E" w:rsidRDefault="0058349F" w:rsidP="00174BAC">
            <w:pPr>
              <w:pStyle w:val="BStablefigures00"/>
            </w:pPr>
            <w:r w:rsidRPr="005F348E">
              <w:t>43</w:t>
            </w:r>
          </w:p>
        </w:tc>
        <w:tc>
          <w:tcPr>
            <w:tcW w:w="1001" w:type="dxa"/>
            <w:tcBorders>
              <w:top w:val="single" w:sz="4" w:space="0" w:color="auto"/>
            </w:tcBorders>
            <w:tcMar>
              <w:top w:w="0" w:type="dxa"/>
              <w:left w:w="108" w:type="dxa"/>
              <w:bottom w:w="0" w:type="dxa"/>
              <w:right w:w="108" w:type="dxa"/>
            </w:tcMar>
            <w:hideMark/>
          </w:tcPr>
          <w:p w:rsidR="0058349F" w:rsidRPr="005F348E" w:rsidRDefault="0058349F" w:rsidP="00174BAC">
            <w:pPr>
              <w:pStyle w:val="BStablefigures00"/>
            </w:pPr>
            <w:r w:rsidRPr="005F348E">
              <w:t>43</w:t>
            </w:r>
          </w:p>
        </w:tc>
        <w:tc>
          <w:tcPr>
            <w:tcW w:w="1001" w:type="dxa"/>
            <w:tcBorders>
              <w:top w:val="single" w:sz="4" w:space="0" w:color="auto"/>
            </w:tcBorders>
            <w:tcMar>
              <w:top w:w="0" w:type="dxa"/>
              <w:left w:w="108" w:type="dxa"/>
              <w:bottom w:w="0" w:type="dxa"/>
              <w:right w:w="108" w:type="dxa"/>
            </w:tcMar>
            <w:hideMark/>
          </w:tcPr>
          <w:p w:rsidR="0058349F" w:rsidRPr="005F348E" w:rsidRDefault="0058349F" w:rsidP="00174BAC">
            <w:pPr>
              <w:pStyle w:val="BStablefigures00"/>
            </w:pPr>
            <w:r w:rsidRPr="005F348E">
              <w:t>43</w:t>
            </w:r>
          </w:p>
        </w:tc>
        <w:tc>
          <w:tcPr>
            <w:tcW w:w="1001" w:type="dxa"/>
            <w:tcBorders>
              <w:top w:val="single" w:sz="4" w:space="0" w:color="auto"/>
            </w:tcBorders>
            <w:tcMar>
              <w:top w:w="0" w:type="dxa"/>
              <w:left w:w="108" w:type="dxa"/>
              <w:bottom w:w="0" w:type="dxa"/>
              <w:right w:w="108" w:type="dxa"/>
            </w:tcMar>
            <w:hideMark/>
          </w:tcPr>
          <w:p w:rsidR="0058349F" w:rsidRPr="005F348E" w:rsidRDefault="0058349F" w:rsidP="00174BAC">
            <w:pPr>
              <w:pStyle w:val="BStablefigures00"/>
            </w:pPr>
            <w:r w:rsidRPr="005F348E">
              <w:t>43</w:t>
            </w:r>
          </w:p>
        </w:tc>
      </w:tr>
      <w:tr w:rsidR="001651E4" w:rsidTr="00DB5FB0">
        <w:trPr>
          <w:trHeight w:val="170"/>
          <w:jc w:val="center"/>
        </w:trPr>
        <w:tc>
          <w:tcPr>
            <w:tcW w:w="4123" w:type="dxa"/>
            <w:tcBorders>
              <w:top w:val="nil"/>
              <w:left w:val="nil"/>
              <w:bottom w:val="single" w:sz="4" w:space="0" w:color="auto"/>
              <w:right w:val="nil"/>
            </w:tcBorders>
            <w:tcMar>
              <w:top w:w="0" w:type="dxa"/>
              <w:left w:w="108" w:type="dxa"/>
              <w:bottom w:w="0" w:type="dxa"/>
              <w:right w:w="108" w:type="dxa"/>
            </w:tcMar>
            <w:hideMark/>
          </w:tcPr>
          <w:p w:rsidR="0058349F" w:rsidRPr="005F348E" w:rsidRDefault="0058349F" w:rsidP="00174BAC">
            <w:pPr>
              <w:pStyle w:val="BStabletext00"/>
            </w:pPr>
            <w:r w:rsidRPr="005F348E">
              <w:t xml:space="preserve">Recidivism of </w:t>
            </w:r>
            <w:r w:rsidR="005F348E" w:rsidRPr="005F348E">
              <w:t>Young People on Community Based O</w:t>
            </w:r>
            <w:r w:rsidRPr="005F348E">
              <w:t>rders</w:t>
            </w:r>
          </w:p>
        </w:tc>
        <w:tc>
          <w:tcPr>
            <w:tcW w:w="1001" w:type="dxa"/>
            <w:tcBorders>
              <w:top w:val="nil"/>
              <w:left w:val="nil"/>
              <w:bottom w:val="single" w:sz="4" w:space="0" w:color="auto"/>
              <w:right w:val="nil"/>
            </w:tcBorders>
            <w:tcMar>
              <w:top w:w="0" w:type="dxa"/>
              <w:left w:w="108" w:type="dxa"/>
              <w:bottom w:w="0" w:type="dxa"/>
              <w:right w:w="108" w:type="dxa"/>
            </w:tcMar>
            <w:vAlign w:val="center"/>
            <w:hideMark/>
          </w:tcPr>
          <w:p w:rsidR="0058349F" w:rsidRPr="005F348E" w:rsidRDefault="0058349F" w:rsidP="00174BAC">
            <w:pPr>
              <w:pStyle w:val="BStablefigures00"/>
            </w:pPr>
            <w:r w:rsidRPr="005F348E">
              <w:t>34</w:t>
            </w:r>
          </w:p>
        </w:tc>
        <w:tc>
          <w:tcPr>
            <w:tcW w:w="1001" w:type="dxa"/>
            <w:tcBorders>
              <w:top w:val="nil"/>
              <w:left w:val="nil"/>
              <w:bottom w:val="single" w:sz="4" w:space="0" w:color="auto"/>
              <w:right w:val="nil"/>
            </w:tcBorders>
            <w:tcMar>
              <w:top w:w="0" w:type="dxa"/>
              <w:left w:w="108" w:type="dxa"/>
              <w:bottom w:w="0" w:type="dxa"/>
              <w:right w:w="108" w:type="dxa"/>
            </w:tcMar>
            <w:vAlign w:val="center"/>
            <w:hideMark/>
          </w:tcPr>
          <w:p w:rsidR="0058349F" w:rsidRPr="005F348E" w:rsidRDefault="0058349F" w:rsidP="00174BAC">
            <w:pPr>
              <w:pStyle w:val="BStablefigures00"/>
            </w:pPr>
            <w:r w:rsidRPr="005F348E">
              <w:t>34</w:t>
            </w:r>
          </w:p>
        </w:tc>
        <w:tc>
          <w:tcPr>
            <w:tcW w:w="1001" w:type="dxa"/>
            <w:tcBorders>
              <w:top w:val="nil"/>
              <w:left w:val="nil"/>
              <w:bottom w:val="single" w:sz="4" w:space="0" w:color="auto"/>
              <w:right w:val="nil"/>
            </w:tcBorders>
            <w:tcMar>
              <w:top w:w="0" w:type="dxa"/>
              <w:left w:w="108" w:type="dxa"/>
              <w:bottom w:w="0" w:type="dxa"/>
              <w:right w:w="108" w:type="dxa"/>
            </w:tcMar>
            <w:vAlign w:val="center"/>
            <w:hideMark/>
          </w:tcPr>
          <w:p w:rsidR="0058349F" w:rsidRPr="005F348E" w:rsidRDefault="0058349F" w:rsidP="00174BAC">
            <w:pPr>
              <w:pStyle w:val="BStablefigures00"/>
            </w:pPr>
            <w:r w:rsidRPr="005F348E">
              <w:t>34</w:t>
            </w:r>
          </w:p>
        </w:tc>
        <w:tc>
          <w:tcPr>
            <w:tcW w:w="1001" w:type="dxa"/>
            <w:tcBorders>
              <w:top w:val="nil"/>
              <w:left w:val="nil"/>
              <w:bottom w:val="single" w:sz="4" w:space="0" w:color="auto"/>
              <w:right w:val="nil"/>
            </w:tcBorders>
            <w:tcMar>
              <w:top w:w="0" w:type="dxa"/>
              <w:left w:w="108" w:type="dxa"/>
              <w:bottom w:w="0" w:type="dxa"/>
              <w:right w:w="108" w:type="dxa"/>
            </w:tcMar>
            <w:vAlign w:val="center"/>
            <w:hideMark/>
          </w:tcPr>
          <w:p w:rsidR="0058349F" w:rsidRPr="005F348E" w:rsidRDefault="0058349F" w:rsidP="00174BAC">
            <w:pPr>
              <w:pStyle w:val="BStablefigures00"/>
            </w:pPr>
            <w:r w:rsidRPr="005F348E">
              <w:t>34</w:t>
            </w:r>
          </w:p>
        </w:tc>
        <w:tc>
          <w:tcPr>
            <w:tcW w:w="1001" w:type="dxa"/>
            <w:tcBorders>
              <w:top w:val="nil"/>
              <w:left w:val="nil"/>
              <w:bottom w:val="single" w:sz="4" w:space="0" w:color="auto"/>
              <w:right w:val="nil"/>
            </w:tcBorders>
            <w:tcMar>
              <w:top w:w="0" w:type="dxa"/>
              <w:left w:w="108" w:type="dxa"/>
              <w:bottom w:w="0" w:type="dxa"/>
              <w:right w:w="108" w:type="dxa"/>
            </w:tcMar>
            <w:vAlign w:val="center"/>
            <w:hideMark/>
          </w:tcPr>
          <w:p w:rsidR="0058349F" w:rsidRPr="005F348E" w:rsidRDefault="0058349F" w:rsidP="00174BAC">
            <w:pPr>
              <w:pStyle w:val="BStablefigures00"/>
            </w:pPr>
            <w:r w:rsidRPr="005F348E">
              <w:t>34</w:t>
            </w:r>
          </w:p>
        </w:tc>
      </w:tr>
    </w:tbl>
    <w:p w:rsidR="0058349F" w:rsidRDefault="0058349F" w:rsidP="0058349F">
      <w:pPr>
        <w:pStyle w:val="Heading30"/>
        <w:rPr>
          <w:szCs w:val="28"/>
        </w:rPr>
      </w:pPr>
      <w:bookmarkStart w:id="25" w:name="_Toc514926329"/>
      <w:r>
        <w:rPr>
          <w:szCs w:val="28"/>
        </w:rPr>
        <w:t>Strategic Objective 9</w:t>
      </w:r>
      <w:bookmarkEnd w:id="25"/>
      <w:r>
        <w:rPr>
          <w:szCs w:val="28"/>
        </w:rPr>
        <w:t xml:space="preserve"> </w:t>
      </w:r>
    </w:p>
    <w:p w:rsidR="0058349F" w:rsidRDefault="0058349F" w:rsidP="0058349F">
      <w:pPr>
        <w:pStyle w:val="Heading4"/>
        <w:rPr>
          <w:i w:val="0"/>
        </w:rPr>
      </w:pPr>
      <w:r>
        <w:t>Improve stability of children in care through case management and appropriate services and programs</w:t>
      </w:r>
    </w:p>
    <w:p w:rsidR="0058349F" w:rsidRDefault="0058349F" w:rsidP="0058349F">
      <w:pPr>
        <w:pStyle w:val="Normal20"/>
        <w:rPr>
          <w:szCs w:val="24"/>
        </w:rPr>
      </w:pPr>
      <w:r>
        <w:rPr>
          <w:szCs w:val="24"/>
        </w:rPr>
        <w:t>The Directorate provides child protection services for children and young people by promoting their safety within the family unit. Where a child is at risk and cannot remain within the family home, supports the child in out of home care.</w:t>
      </w:r>
    </w:p>
    <w:p w:rsidR="0058349F" w:rsidRDefault="0058349F" w:rsidP="0058349F">
      <w:pPr>
        <w:pStyle w:val="Normal20"/>
        <w:rPr>
          <w:szCs w:val="24"/>
        </w:rPr>
      </w:pPr>
      <w:r>
        <w:rPr>
          <w:szCs w:val="24"/>
        </w:rPr>
        <w:t>Uninterrupted placements signal appropriately targeted intervention, stability and continuity of care. This maximises opportunities to achieve positive outcomes for vulnerable children and young people.</w:t>
      </w:r>
    </w:p>
    <w:p w:rsidR="0058349F" w:rsidRDefault="0058349F" w:rsidP="0058349F">
      <w:pPr>
        <w:pStyle w:val="Heading4"/>
        <w:rPr>
          <w:i w:val="0"/>
        </w:rPr>
      </w:pPr>
      <w:r>
        <w:t>Strategic Indicator 9: Proportion of children exiting care having experienced no more than two placements in care</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1651E4" w:rsidTr="0058349F">
        <w:trPr>
          <w:trHeight w:val="170"/>
          <w:jc w:val="center"/>
        </w:trPr>
        <w:tc>
          <w:tcPr>
            <w:tcW w:w="1821" w:type="dxa"/>
            <w:tcBorders>
              <w:top w:val="single" w:sz="4" w:space="0" w:color="auto"/>
              <w:left w:val="nil"/>
              <w:bottom w:val="nil"/>
              <w:right w:val="nil"/>
            </w:tcBorders>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2017-18</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2018-19</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2019-20</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2020-21</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2021-22</w:t>
            </w:r>
          </w:p>
        </w:tc>
      </w:tr>
      <w:tr w:rsidR="001651E4" w:rsidTr="0058349F">
        <w:trPr>
          <w:trHeight w:val="170"/>
          <w:jc w:val="center"/>
        </w:trPr>
        <w:tc>
          <w:tcPr>
            <w:tcW w:w="1821" w:type="dxa"/>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r>
      <w:tr w:rsidR="001651E4" w:rsidTr="0058349F">
        <w:trPr>
          <w:trHeight w:val="170"/>
          <w:jc w:val="center"/>
        </w:trPr>
        <w:tc>
          <w:tcPr>
            <w:tcW w:w="1821" w:type="dxa"/>
            <w:tcBorders>
              <w:top w:val="nil"/>
              <w:left w:val="nil"/>
              <w:bottom w:val="single" w:sz="4" w:space="0" w:color="auto"/>
              <w:right w:val="nil"/>
            </w:tcBorders>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r>
      <w:tr w:rsidR="001651E4" w:rsidTr="0058349F">
        <w:trPr>
          <w:trHeight w:val="284"/>
          <w:jc w:val="center"/>
        </w:trPr>
        <w:tc>
          <w:tcPr>
            <w:tcW w:w="1821" w:type="dxa"/>
            <w:tcBorders>
              <w:top w:val="single" w:sz="4" w:space="0" w:color="auto"/>
              <w:left w:val="nil"/>
              <w:bottom w:val="single" w:sz="4" w:space="0" w:color="auto"/>
              <w:right w:val="nil"/>
            </w:tcBorders>
            <w:vAlign w:val="center"/>
            <w:hideMark/>
          </w:tcPr>
          <w:p w:rsidR="0058349F" w:rsidRPr="00C84286" w:rsidRDefault="0058349F" w:rsidP="00174BAC">
            <w:pPr>
              <w:pStyle w:val="BStablefigures00"/>
            </w:pPr>
            <w:r w:rsidRPr="00C84286">
              <w:t>75</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pPr>
            <w:r w:rsidRPr="00C84286">
              <w:t>75</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pPr>
            <w:r w:rsidRPr="00C84286">
              <w:t>75</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pPr>
            <w:r w:rsidRPr="00C84286">
              <w:t>75</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pPr>
            <w:r w:rsidRPr="00C84286">
              <w:t>75</w:t>
            </w:r>
          </w:p>
        </w:tc>
      </w:tr>
    </w:tbl>
    <w:p w:rsidR="0058349F" w:rsidRDefault="0058349F" w:rsidP="0058349F">
      <w:pPr>
        <w:pStyle w:val="Heading30"/>
        <w:rPr>
          <w:szCs w:val="28"/>
        </w:rPr>
      </w:pPr>
      <w:bookmarkStart w:id="26" w:name="_Toc514926330"/>
      <w:r>
        <w:rPr>
          <w:szCs w:val="28"/>
        </w:rPr>
        <w:t>Strategic Objective 10</w:t>
      </w:r>
      <w:bookmarkEnd w:id="26"/>
    </w:p>
    <w:p w:rsidR="0058349F" w:rsidRDefault="0058349F" w:rsidP="0058349F">
      <w:pPr>
        <w:pStyle w:val="Heading4"/>
        <w:rPr>
          <w:i w:val="0"/>
        </w:rPr>
      </w:pPr>
      <w:r>
        <w:t>Ensure the high quality of suitable entities for care and protection purposes</w:t>
      </w:r>
    </w:p>
    <w:p w:rsidR="0058349F" w:rsidRDefault="0058349F" w:rsidP="0058349F">
      <w:pPr>
        <w:pStyle w:val="Normal20"/>
        <w:rPr>
          <w:szCs w:val="24"/>
        </w:rPr>
      </w:pPr>
      <w:r>
        <w:rPr>
          <w:szCs w:val="24"/>
        </w:rPr>
        <w:t xml:space="preserve">The Directorate has responsibility for the oversight of suitable entities for care and protection purposes. This function </w:t>
      </w:r>
      <w:r w:rsidR="009973B4">
        <w:rPr>
          <w:szCs w:val="24"/>
        </w:rPr>
        <w:t>requires</w:t>
      </w:r>
      <w:r>
        <w:rPr>
          <w:szCs w:val="24"/>
        </w:rPr>
        <w:t xml:space="preserve"> that suitable entities in the ACT are financially sound, supported by robust governance structures and adhere to current best practice standards.</w:t>
      </w:r>
    </w:p>
    <w:p w:rsidR="0058349F" w:rsidRDefault="0058349F" w:rsidP="0058349F">
      <w:pPr>
        <w:pStyle w:val="Heading4"/>
        <w:rPr>
          <w:i w:val="0"/>
        </w:rPr>
      </w:pPr>
      <w:r>
        <w:t>Strategic Indicator 10: The proportion of suitable entities compliant with registration standards</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1651E4" w:rsidTr="0058349F">
        <w:trPr>
          <w:trHeight w:val="170"/>
          <w:jc w:val="center"/>
        </w:trPr>
        <w:tc>
          <w:tcPr>
            <w:tcW w:w="1821" w:type="dxa"/>
            <w:tcBorders>
              <w:top w:val="single" w:sz="4" w:space="0" w:color="auto"/>
              <w:left w:val="nil"/>
              <w:bottom w:val="nil"/>
              <w:right w:val="nil"/>
            </w:tcBorders>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2017-18</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2018-19</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2019-20</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2020-21</w:t>
            </w:r>
          </w:p>
        </w:tc>
        <w:tc>
          <w:tcPr>
            <w:tcW w:w="1821" w:type="dxa"/>
            <w:tcBorders>
              <w:top w:val="single" w:sz="4" w:space="0" w:color="auto"/>
              <w:left w:val="nil"/>
              <w:bottom w:val="nil"/>
              <w:right w:val="nil"/>
            </w:tcBorders>
            <w:noWrap/>
            <w:tcMar>
              <w:top w:w="15" w:type="dxa"/>
              <w:left w:w="15" w:type="dxa"/>
              <w:bottom w:w="0" w:type="dxa"/>
              <w:right w:w="15" w:type="dxa"/>
            </w:tcMar>
            <w:vAlign w:val="center"/>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2021-22</w:t>
            </w:r>
          </w:p>
        </w:tc>
      </w:tr>
      <w:tr w:rsidR="001651E4" w:rsidTr="0058349F">
        <w:trPr>
          <w:trHeight w:val="170"/>
          <w:jc w:val="center"/>
        </w:trPr>
        <w:tc>
          <w:tcPr>
            <w:tcW w:w="1821" w:type="dxa"/>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Target</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c>
          <w:tcPr>
            <w:tcW w:w="1821" w:type="dxa"/>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Estimate</w:t>
            </w:r>
          </w:p>
        </w:tc>
      </w:tr>
      <w:tr w:rsidR="001651E4" w:rsidTr="0058349F">
        <w:trPr>
          <w:trHeight w:val="170"/>
          <w:jc w:val="center"/>
        </w:trPr>
        <w:tc>
          <w:tcPr>
            <w:tcW w:w="1821" w:type="dxa"/>
            <w:tcBorders>
              <w:top w:val="nil"/>
              <w:left w:val="nil"/>
              <w:bottom w:val="single" w:sz="4" w:space="0" w:color="auto"/>
              <w:right w:val="nil"/>
            </w:tcBorders>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c>
          <w:tcPr>
            <w:tcW w:w="1821" w:type="dxa"/>
            <w:tcBorders>
              <w:top w:val="nil"/>
              <w:left w:val="nil"/>
              <w:bottom w:val="single" w:sz="4" w:space="0" w:color="auto"/>
              <w:right w:val="nil"/>
            </w:tcBorders>
            <w:noWrap/>
            <w:tcMar>
              <w:top w:w="15" w:type="dxa"/>
              <w:left w:w="15" w:type="dxa"/>
              <w:bottom w:w="0" w:type="dxa"/>
              <w:right w:w="15" w:type="dxa"/>
            </w:tcMar>
            <w:vAlign w:val="bottom"/>
            <w:hideMark/>
          </w:tcPr>
          <w:p w:rsidR="0058349F" w:rsidRDefault="0058349F">
            <w:pPr>
              <w:pStyle w:val="TableTextHeading1"/>
              <w:rPr>
                <w:rFonts w:ascii="Calibri" w:eastAsia="Arial Unicode MS" w:hAnsi="Calibri" w:cs="Calibri"/>
                <w:sz w:val="20"/>
              </w:rPr>
            </w:pPr>
            <w:r>
              <w:rPr>
                <w:rFonts w:ascii="Calibri" w:eastAsia="Arial Unicode MS" w:hAnsi="Calibri" w:cs="Calibri"/>
                <w:sz w:val="20"/>
              </w:rPr>
              <w:t>%</w:t>
            </w:r>
          </w:p>
        </w:tc>
      </w:tr>
      <w:tr w:rsidR="001651E4" w:rsidTr="0058349F">
        <w:trPr>
          <w:trHeight w:val="284"/>
          <w:jc w:val="center"/>
        </w:trPr>
        <w:tc>
          <w:tcPr>
            <w:tcW w:w="1821" w:type="dxa"/>
            <w:tcBorders>
              <w:top w:val="single" w:sz="4" w:space="0" w:color="auto"/>
              <w:left w:val="nil"/>
              <w:bottom w:val="single" w:sz="4" w:space="0" w:color="auto"/>
              <w:right w:val="nil"/>
            </w:tcBorders>
            <w:vAlign w:val="center"/>
            <w:hideMark/>
          </w:tcPr>
          <w:p w:rsidR="0058349F" w:rsidRPr="00D92958" w:rsidRDefault="0058349F" w:rsidP="00174BAC">
            <w:pPr>
              <w:pStyle w:val="BStablefigures00"/>
              <w:rPr>
                <w:vertAlign w:val="superscript"/>
              </w:rPr>
            </w:pPr>
            <w:r w:rsidRPr="00C84286">
              <w:t>N/A</w:t>
            </w:r>
            <w:r w:rsidR="00D92958">
              <w:t xml:space="preserve"> </w:t>
            </w:r>
            <w:r w:rsidR="00D92958">
              <w:rPr>
                <w:vertAlign w:val="superscript"/>
              </w:rPr>
              <w:t>1</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rPr>
                <w:strike/>
                <w:color w:val="FF0000"/>
              </w:rPr>
            </w:pPr>
            <w:r w:rsidRPr="00C84286">
              <w:t>100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rPr>
                <w:strike/>
                <w:color w:val="FF0000"/>
              </w:rPr>
            </w:pPr>
            <w:r w:rsidRPr="00C84286">
              <w:t>100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rPr>
                <w:strike/>
                <w:color w:val="FF0000"/>
              </w:rPr>
            </w:pPr>
            <w:r w:rsidRPr="00C84286">
              <w:t>100</w:t>
            </w:r>
          </w:p>
        </w:tc>
        <w:tc>
          <w:tcPr>
            <w:tcW w:w="182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58349F" w:rsidRPr="00C84286" w:rsidRDefault="0058349F" w:rsidP="00174BAC">
            <w:pPr>
              <w:pStyle w:val="BStablefigures00"/>
              <w:rPr>
                <w:strike/>
                <w:color w:val="FF0000"/>
              </w:rPr>
            </w:pPr>
            <w:r w:rsidRPr="00C84286">
              <w:t>100</w:t>
            </w:r>
          </w:p>
        </w:tc>
      </w:tr>
    </w:tbl>
    <w:p w:rsidR="00D92958" w:rsidRDefault="00D92958" w:rsidP="00D92958">
      <w:pPr>
        <w:pStyle w:val="BSnote0"/>
      </w:pPr>
      <w:r>
        <w:t>Note:</w:t>
      </w:r>
      <w:r>
        <w:tab/>
      </w:r>
    </w:p>
    <w:p w:rsidR="00D92958" w:rsidRPr="00D92958" w:rsidRDefault="00D92958" w:rsidP="007D648C">
      <w:pPr>
        <w:pStyle w:val="BSnoteslist0"/>
        <w:numPr>
          <w:ilvl w:val="0"/>
          <w:numId w:val="60"/>
        </w:numPr>
        <w:rPr>
          <w:color w:val="FF0000"/>
        </w:rPr>
      </w:pPr>
      <w:r>
        <w:t>This is a new Strategic Objective for 2018-19.</w:t>
      </w:r>
    </w:p>
    <w:p w:rsidR="0058349F" w:rsidRDefault="0058349F" w:rsidP="0058349F">
      <w:pPr>
        <w:pStyle w:val="Normal3"/>
        <w:spacing w:before="0" w:after="0"/>
        <w:rPr>
          <w:b/>
          <w:snapToGrid w:val="0"/>
          <w:sz w:val="32"/>
        </w:rPr>
      </w:pPr>
    </w:p>
    <w:p w:rsidR="0058349F" w:rsidRDefault="0058349F" w:rsidP="0058349F">
      <w:pPr>
        <w:pStyle w:val="Heading23"/>
        <w:pageBreakBefore/>
      </w:pPr>
      <w:bookmarkStart w:id="27" w:name="_Toc452467799"/>
      <w:bookmarkStart w:id="28" w:name="_Toc514926331"/>
      <w:r>
        <w:t>Output Classes</w:t>
      </w:r>
      <w:bookmarkEnd w:id="27"/>
      <w:bookmarkEnd w:id="28"/>
      <w:r>
        <w:t xml:space="preserve"> </w:t>
      </w:r>
    </w:p>
    <w:p w:rsidR="0058349F" w:rsidRPr="0058349F" w:rsidRDefault="0058349F" w:rsidP="0058349F">
      <w:pPr>
        <w:pStyle w:val="Heading31"/>
      </w:pPr>
      <w:bookmarkStart w:id="29" w:name="_Toc514926332"/>
      <w:r>
        <w:t xml:space="preserve">Output Class 1: </w:t>
      </w:r>
      <w:r w:rsidRPr="0058349F">
        <w:t>National Disability Insurance Scheme (NDIS) Implementation</w:t>
      </w:r>
      <w:bookmarkEnd w:id="29"/>
    </w:p>
    <w:p w:rsidR="0058349F" w:rsidRDefault="0058349F" w:rsidP="0058349F">
      <w:pPr>
        <w:pStyle w:val="Caption0"/>
      </w:pPr>
      <w:r w:rsidRPr="0058349F">
        <w:t>Table 2: Output Class 1: National Disability Insurance Scheme (NDIS) Implementation</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1651E4">
            <w:pPr>
              <w:pStyle w:val="Normal4"/>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1651E4">
            <w:pPr>
              <w:pStyle w:val="Normal4"/>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58349F" w:rsidP="002049CF">
            <w:pPr>
              <w:pStyle w:val="BStabletextbold"/>
              <w:jc w:val="right"/>
              <w:rPr>
                <w:rFonts w:eastAsia="Calibri"/>
              </w:rPr>
            </w:pPr>
            <w:r>
              <w:rPr>
                <w:rFonts w:eastAsia="Calibri"/>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58349F" w:rsidP="002049CF">
            <w:pPr>
              <w:pStyle w:val="BStabletextbold"/>
              <w:jc w:val="right"/>
              <w:rPr>
                <w:rFonts w:eastAsia="Calibri"/>
              </w:rPr>
            </w:pPr>
            <w:r>
              <w:rPr>
                <w:rFonts w:eastAsia="Calibri"/>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Default="001651E4">
            <w:pPr>
              <w:pStyle w:val="Normal4"/>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Default="001651E4">
            <w:pPr>
              <w:pStyle w:val="Normal4"/>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1651E4" w:rsidRDefault="0058349F" w:rsidP="002049CF">
            <w:pPr>
              <w:pStyle w:val="BStabletextbold"/>
              <w:jc w:val="right"/>
              <w:rPr>
                <w:rFonts w:eastAsia="Calibri"/>
              </w:rPr>
            </w:pPr>
            <w:r>
              <w:rPr>
                <w:rFonts w:eastAsia="Calibri"/>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Default="0058349F" w:rsidP="002049CF">
            <w:pPr>
              <w:pStyle w:val="BStabletextbold"/>
              <w:jc w:val="right"/>
              <w:rPr>
                <w:rFonts w:eastAsia="Calibri"/>
              </w:rPr>
            </w:pPr>
            <w:r>
              <w:rPr>
                <w:rFonts w:eastAsia="Calibri"/>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Default="001651E4">
            <w:pPr>
              <w:pStyle w:val="Normal4"/>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Default="001651E4">
            <w:pPr>
              <w:pStyle w:val="Normal4"/>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Default="0058349F" w:rsidP="002049CF">
            <w:pPr>
              <w:pStyle w:val="BStabletextbold"/>
              <w:jc w:val="right"/>
              <w:rPr>
                <w:rFonts w:eastAsia="Calibri"/>
              </w:rPr>
            </w:pPr>
            <w:r>
              <w:rPr>
                <w:rFonts w:eastAsia="Calibri"/>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Default="0058349F" w:rsidP="002049CF">
            <w:pPr>
              <w:pStyle w:val="BStabletextbold"/>
              <w:jc w:val="right"/>
              <w:rPr>
                <w:rFonts w:eastAsia="Calibri"/>
              </w:rPr>
            </w:pPr>
            <w:r>
              <w:rPr>
                <w:rFonts w:eastAsia="Calibri"/>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58349F" w:rsidP="002049CF">
            <w:pPr>
              <w:pStyle w:val="BStabletextbold"/>
              <w:rPr>
                <w:rFonts w:eastAsia="Calibri"/>
              </w:rPr>
            </w:pPr>
            <w:r>
              <w:rPr>
                <w:rFonts w:eastAsia="Calibri"/>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1651E4">
            <w:pPr>
              <w:pStyle w:val="Normal4"/>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353D5D" w:rsidP="002049CF">
            <w:pPr>
              <w:pStyle w:val="BStablefigures0"/>
              <w:rPr>
                <w:rFonts w:eastAsia="Calibri"/>
              </w:rPr>
            </w:pPr>
            <w:r>
              <w:rPr>
                <w:rFonts w:eastAsia="Calibri"/>
              </w:rPr>
              <w:t>94,</w:t>
            </w:r>
            <w:r w:rsidR="0058349F">
              <w:rPr>
                <w:rFonts w:eastAsia="Calibri"/>
              </w:rPr>
              <w:t>282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Default="0058349F" w:rsidP="00353D5D">
            <w:pPr>
              <w:pStyle w:val="BStablefigures0"/>
              <w:rPr>
                <w:rFonts w:eastAsia="Calibri"/>
              </w:rPr>
            </w:pPr>
            <w:r>
              <w:rPr>
                <w:rFonts w:eastAsia="Calibri"/>
              </w:rPr>
              <w:t>99</w:t>
            </w:r>
            <w:r w:rsidR="00353D5D">
              <w:rPr>
                <w:rFonts w:eastAsia="Calibri"/>
              </w:rPr>
              <w:t>,</w:t>
            </w:r>
            <w:r>
              <w:rPr>
                <w:rFonts w:eastAsia="Calibri"/>
              </w:rPr>
              <w:t>704</w:t>
            </w:r>
          </w:p>
        </w:tc>
      </w:tr>
      <w:tr w:rsidR="001651E4" w:rsidTr="0058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EE4DE4" w:rsidRDefault="0058349F" w:rsidP="002049CF">
            <w:pPr>
              <w:pStyle w:val="BStabletextbold"/>
              <w:rPr>
                <w:rFonts w:eastAsia="Calibri"/>
                <w:vertAlign w:val="superscript"/>
              </w:rPr>
            </w:pPr>
            <w:r>
              <w:rPr>
                <w:rFonts w:eastAsia="Calibri"/>
              </w:rPr>
              <w:t>Controlled Recurrent Payments</w:t>
            </w:r>
            <w:r w:rsidR="00EE4DE4">
              <w:rPr>
                <w:rFonts w:eastAsia="Calibri"/>
              </w:rPr>
              <w:t xml:space="preserve"> </w:t>
            </w:r>
            <w:r w:rsidR="00EE4DE4">
              <w:rPr>
                <w:rFonts w:eastAsia="Calibri"/>
                <w:vertAlign w:val="superscript"/>
              </w:rPr>
              <w:t>1</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Default="001651E4">
            <w:pPr>
              <w:pStyle w:val="Normal4"/>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Default="0058349F" w:rsidP="00353D5D">
            <w:pPr>
              <w:pStyle w:val="BStablefigures0"/>
              <w:rPr>
                <w:rFonts w:eastAsia="Calibri"/>
              </w:rPr>
            </w:pPr>
            <w:r>
              <w:rPr>
                <w:rFonts w:eastAsia="Calibri"/>
              </w:rPr>
              <w:t>94</w:t>
            </w:r>
            <w:r w:rsidR="00353D5D">
              <w:rPr>
                <w:rFonts w:eastAsia="Calibri"/>
              </w:rPr>
              <w:t>,</w:t>
            </w:r>
            <w:r>
              <w:rPr>
                <w:rFonts w:eastAsia="Calibri"/>
              </w:rPr>
              <w:t>282</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Default="0058349F" w:rsidP="00353D5D">
            <w:pPr>
              <w:pStyle w:val="BStablefigures0"/>
              <w:rPr>
                <w:rFonts w:eastAsia="Calibri"/>
              </w:rPr>
            </w:pPr>
            <w:r>
              <w:rPr>
                <w:rFonts w:eastAsia="Calibri"/>
              </w:rPr>
              <w:t>99</w:t>
            </w:r>
            <w:r w:rsidR="00353D5D">
              <w:rPr>
                <w:rFonts w:eastAsia="Calibri"/>
              </w:rPr>
              <w:t>,</w:t>
            </w:r>
            <w:r>
              <w:rPr>
                <w:rFonts w:eastAsia="Calibri"/>
              </w:rPr>
              <w:t>704</w:t>
            </w:r>
          </w:p>
        </w:tc>
      </w:tr>
    </w:tbl>
    <w:p w:rsidR="0058349F" w:rsidRDefault="0058349F" w:rsidP="0058349F">
      <w:pPr>
        <w:pStyle w:val="BSnote1"/>
      </w:pPr>
      <w:r>
        <w:t>Note:</w:t>
      </w:r>
    </w:p>
    <w:p w:rsidR="0058349F" w:rsidRDefault="0058349F" w:rsidP="0058349F">
      <w:pPr>
        <w:pStyle w:val="BSnoteslist1"/>
        <w:numPr>
          <w:ilvl w:val="0"/>
          <w:numId w:val="12"/>
        </w:numPr>
      </w:pPr>
      <w:r>
        <w:t>The increase in the 2018-19 budget from the 201</w:t>
      </w:r>
      <w:r w:rsidR="00D92958">
        <w:t>7</w:t>
      </w:r>
      <w:r>
        <w:t>-1</w:t>
      </w:r>
      <w:r w:rsidR="00D92958">
        <w:t>8</w:t>
      </w:r>
      <w:r>
        <w:t xml:space="preserve"> estimated outcome is due to</w:t>
      </w:r>
      <w:r w:rsidR="00617363">
        <w:t xml:space="preserve"> an</w:t>
      </w:r>
      <w:r w:rsidR="00EB52D4">
        <w:t xml:space="preserve"> increase in the Territory’</w:t>
      </w:r>
      <w:r>
        <w:t xml:space="preserve">s contribution to the NDIS. </w:t>
      </w:r>
    </w:p>
    <w:p w:rsidR="0058349F" w:rsidRDefault="0058349F" w:rsidP="0058349F">
      <w:pPr>
        <w:pStyle w:val="Heading40"/>
      </w:pPr>
      <w:r>
        <w:t xml:space="preserve">Output 1.1:  </w:t>
      </w:r>
      <w:r w:rsidRPr="0058349F">
        <w:t>National Disability Insurance Scheme (NDIS) Implementation</w:t>
      </w:r>
    </w:p>
    <w:p w:rsidR="00257F5C" w:rsidRDefault="00257F5C" w:rsidP="00257F5C">
      <w:pPr>
        <w:pStyle w:val="Normal4"/>
        <w:rPr>
          <w:szCs w:val="24"/>
        </w:rPr>
      </w:pPr>
      <w:r>
        <w:rPr>
          <w:szCs w:val="24"/>
        </w:rPr>
        <w:t xml:space="preserve">This output </w:t>
      </w:r>
      <w:r w:rsidRPr="008268F1">
        <w:rPr>
          <w:szCs w:val="24"/>
        </w:rPr>
        <w:t>reflect</w:t>
      </w:r>
      <w:r>
        <w:rPr>
          <w:szCs w:val="24"/>
        </w:rPr>
        <w:t>s</w:t>
      </w:r>
      <w:r w:rsidRPr="008268F1">
        <w:rPr>
          <w:szCs w:val="24"/>
        </w:rPr>
        <w:t xml:space="preserve"> funding provided by the Territory to the Commonwealth, recognising the ongoing commitment to people with disability in the ACT will be supported by the Territory during the final transition period into the NDIS. </w:t>
      </w:r>
      <w:r>
        <w:rPr>
          <w:szCs w:val="24"/>
        </w:rPr>
        <w:t>R</w:t>
      </w:r>
      <w:r w:rsidRPr="008268F1">
        <w:rPr>
          <w:szCs w:val="24"/>
        </w:rPr>
        <w:t>esponsibility for the accountability of service provision under the scheme will rest with the Commonwealth.</w:t>
      </w:r>
    </w:p>
    <w:p w:rsidR="0058349F" w:rsidRPr="00B86090" w:rsidRDefault="0058349F" w:rsidP="0058349F">
      <w:pPr>
        <w:pStyle w:val="BSbullet10"/>
        <w:keepNext/>
        <w:keepLines/>
        <w:numPr>
          <w:ilvl w:val="0"/>
          <w:numId w:val="0"/>
        </w:numPr>
        <w:jc w:val="left"/>
        <w:rPr>
          <w:b/>
        </w:rPr>
      </w:pPr>
      <w:r w:rsidRPr="0058349F">
        <w:rPr>
          <w:b/>
        </w:rPr>
        <w:t>Table 3: Output 1.1:  National Disability Insurance Scheme (NDIS) Implementation</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94</w:t>
            </w:r>
            <w:r w:rsidR="00353D5D">
              <w:rPr>
                <w:rFonts w:eastAsia="Calibri" w:cs="Calibri"/>
                <w:color w:val="000000"/>
                <w:sz w:val="20"/>
              </w:rPr>
              <w:t>,</w:t>
            </w:r>
            <w:r w:rsidRPr="002049CF">
              <w:rPr>
                <w:rFonts w:eastAsia="Calibri" w:cs="Calibri"/>
                <w:color w:val="000000"/>
                <w:sz w:val="20"/>
              </w:rPr>
              <w:t>282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9</w:t>
            </w:r>
            <w:r w:rsidR="00353D5D">
              <w:rPr>
                <w:rFonts w:eastAsia="Calibri" w:cs="Calibri"/>
                <w:color w:val="000000"/>
                <w:sz w:val="20"/>
              </w:rPr>
              <w:t>9,</w:t>
            </w:r>
            <w:r w:rsidRPr="002049CF">
              <w:rPr>
                <w:rFonts w:eastAsia="Calibri" w:cs="Calibri"/>
                <w:color w:val="000000"/>
                <w:sz w:val="20"/>
              </w:rPr>
              <w:t>704</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94,</w:t>
            </w:r>
            <w:r w:rsidR="0058349F" w:rsidRPr="002049CF">
              <w:rPr>
                <w:rFonts w:eastAsia="Calibri" w:cs="Calibri"/>
                <w:color w:val="000000"/>
                <w:sz w:val="20"/>
              </w:rPr>
              <w:t>282</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99,</w:t>
            </w:r>
            <w:r w:rsidR="0058349F" w:rsidRPr="002049CF">
              <w:rPr>
                <w:rFonts w:eastAsia="Calibri" w:cs="Calibri"/>
                <w:color w:val="000000"/>
                <w:sz w:val="20"/>
              </w:rPr>
              <w:t>704</w:t>
            </w:r>
          </w:p>
        </w:tc>
      </w:tr>
    </w:tbl>
    <w:p w:rsidR="0058349F" w:rsidRDefault="0058349F" w:rsidP="0058349F">
      <w:pPr>
        <w:pStyle w:val="Heading31"/>
      </w:pPr>
    </w:p>
    <w:p w:rsidR="0058349F" w:rsidRDefault="0058349F">
      <w:pPr>
        <w:spacing w:before="0" w:after="0"/>
        <w:rPr>
          <w:b/>
          <w:bCs/>
          <w:sz w:val="28"/>
          <w:szCs w:val="26"/>
        </w:rPr>
      </w:pPr>
      <w:r>
        <w:br w:type="page"/>
      </w:r>
    </w:p>
    <w:p w:rsidR="0058349F" w:rsidRPr="0058349F" w:rsidRDefault="0058349F" w:rsidP="0058349F">
      <w:pPr>
        <w:pStyle w:val="Heading31"/>
      </w:pPr>
      <w:bookmarkStart w:id="30" w:name="_Toc514926333"/>
      <w:r>
        <w:t>Output Cl</w:t>
      </w:r>
      <w:r w:rsidR="00617363">
        <w:t>ass 2: Strategic Policy</w:t>
      </w:r>
      <w:r w:rsidRPr="0058349F">
        <w:t xml:space="preserve">, </w:t>
      </w:r>
      <w:r w:rsidR="00617363">
        <w:t>Inclusion and P</w:t>
      </w:r>
      <w:r w:rsidRPr="0058349F">
        <w:t xml:space="preserve">articipation </w:t>
      </w:r>
      <w:r w:rsidRPr="0058349F">
        <w:rPr>
          <w:vertAlign w:val="superscript"/>
        </w:rPr>
        <w:t>1</w:t>
      </w:r>
      <w:bookmarkEnd w:id="30"/>
    </w:p>
    <w:p w:rsidR="0058349F" w:rsidRDefault="0058349F" w:rsidP="0058349F">
      <w:pPr>
        <w:pStyle w:val="Caption0"/>
      </w:pPr>
      <w:r w:rsidRPr="0058349F">
        <w:t xml:space="preserve">Table </w:t>
      </w:r>
      <w:r>
        <w:t>4</w:t>
      </w:r>
      <w:r w:rsidR="00617363">
        <w:t>: Output Class 2: Strategic Policy, Inclusion and Participation</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62,</w:t>
            </w:r>
            <w:r w:rsidR="0058349F" w:rsidRPr="002049CF">
              <w:rPr>
                <w:rFonts w:eastAsia="Calibri" w:cs="Calibri"/>
                <w:color w:val="000000"/>
                <w:sz w:val="20"/>
              </w:rPr>
              <w:t>795</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60,</w:t>
            </w:r>
            <w:r w:rsidR="0058349F" w:rsidRPr="002049CF">
              <w:rPr>
                <w:rFonts w:eastAsia="Calibri" w:cs="Calibri"/>
                <w:color w:val="000000"/>
                <w:sz w:val="20"/>
              </w:rPr>
              <w:t>897</w:t>
            </w:r>
          </w:p>
        </w:tc>
      </w:tr>
      <w:tr w:rsidR="001651E4" w:rsidTr="0058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 xml:space="preserve">Controlled Recurrent Payments </w:t>
            </w:r>
            <w:r w:rsidRPr="002049CF">
              <w:rPr>
                <w:rFonts w:eastAsia="Calibri" w:cs="Calibri"/>
                <w:b/>
                <w:color w:val="000000"/>
                <w:sz w:val="20"/>
                <w:vertAlign w:val="superscript"/>
              </w:rPr>
              <w:t>2</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61,</w:t>
            </w:r>
            <w:r w:rsidR="0058349F" w:rsidRPr="002049CF">
              <w:rPr>
                <w:rFonts w:eastAsia="Calibri" w:cs="Calibri"/>
                <w:color w:val="000000"/>
                <w:sz w:val="20"/>
              </w:rPr>
              <w:t>224</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353D5D">
            <w:pPr>
              <w:pStyle w:val="Normal4"/>
              <w:spacing w:before="0" w:after="0"/>
              <w:jc w:val="right"/>
              <w:rPr>
                <w:rFonts w:eastAsia="Calibri" w:cs="Calibri"/>
                <w:color w:val="000000"/>
                <w:sz w:val="20"/>
                <w:vertAlign w:val="superscript"/>
              </w:rPr>
            </w:pPr>
            <w:r w:rsidRPr="002049CF">
              <w:rPr>
                <w:rFonts w:eastAsia="Calibri" w:cs="Calibri"/>
                <w:color w:val="000000"/>
                <w:sz w:val="20"/>
              </w:rPr>
              <w:t>60</w:t>
            </w:r>
            <w:r w:rsidR="00353D5D">
              <w:rPr>
                <w:rFonts w:eastAsia="Calibri" w:cs="Calibri"/>
                <w:color w:val="000000"/>
                <w:sz w:val="20"/>
              </w:rPr>
              <w:t>,</w:t>
            </w:r>
            <w:r w:rsidRPr="002049CF">
              <w:rPr>
                <w:rFonts w:eastAsia="Calibri" w:cs="Calibri"/>
                <w:color w:val="000000"/>
                <w:sz w:val="20"/>
              </w:rPr>
              <w:t>004</w:t>
            </w:r>
          </w:p>
        </w:tc>
      </w:tr>
    </w:tbl>
    <w:p w:rsidR="0058349F" w:rsidRDefault="0058349F" w:rsidP="0058349F">
      <w:pPr>
        <w:pStyle w:val="BSnote1"/>
      </w:pPr>
      <w:r>
        <w:t>Notes:</w:t>
      </w:r>
    </w:p>
    <w:p w:rsidR="0058349F" w:rsidRDefault="0058349F" w:rsidP="006971D9">
      <w:pPr>
        <w:pStyle w:val="BSnoteslist10"/>
        <w:numPr>
          <w:ilvl w:val="0"/>
          <w:numId w:val="14"/>
        </w:numPr>
      </w:pPr>
      <w:r>
        <w:t>This Output Class was previously Output Class 2 Strategy, Participation and Early Intervention. The Output Class is renamed following the transfer of Child and Family Centres in Output 2.1 Early Intervention Services and Output 2.2 Child Development Services to Output 3 Children, Youth and Families.</w:t>
      </w:r>
    </w:p>
    <w:p w:rsidR="0058349F" w:rsidRDefault="0058349F" w:rsidP="006971D9">
      <w:pPr>
        <w:pStyle w:val="BSnoteslist10"/>
        <w:numPr>
          <w:ilvl w:val="0"/>
          <w:numId w:val="14"/>
        </w:numPr>
      </w:pPr>
      <w:r>
        <w:t>The decrease in the 2018-19 budget from the 2017-18 estimated outcome is due mainly to the transfer of Child and Family Centres in Output 2.1 Early Intervention Services and Output 2.2 Child Development Services to Output 3 Children, Youth and Families, partially offset by new initiatives.</w:t>
      </w:r>
    </w:p>
    <w:p w:rsidR="0058349F" w:rsidRDefault="0058349F" w:rsidP="0058349F">
      <w:pPr>
        <w:pStyle w:val="Heading40"/>
      </w:pPr>
      <w:r>
        <w:t>Output 2.</w:t>
      </w:r>
      <w:r w:rsidRPr="0058349F">
        <w:t>1: Early Intervention Services</w:t>
      </w:r>
      <w:r w:rsidRPr="0058349F">
        <w:rPr>
          <w:color w:val="000000"/>
          <w:szCs w:val="24"/>
          <w:lang w:eastAsia="en-AU"/>
        </w:rPr>
        <w:t xml:space="preserve"> </w:t>
      </w:r>
      <w:r w:rsidRPr="0058349F">
        <w:rPr>
          <w:vertAlign w:val="superscript"/>
        </w:rPr>
        <w:t>1</w:t>
      </w:r>
    </w:p>
    <w:p w:rsidR="0058349F" w:rsidRPr="00B86090" w:rsidRDefault="0058349F" w:rsidP="0058349F">
      <w:pPr>
        <w:pStyle w:val="Normal4"/>
        <w:rPr>
          <w:b/>
        </w:rPr>
      </w:pPr>
      <w:r w:rsidRPr="0058349F">
        <w:rPr>
          <w:b/>
        </w:rPr>
        <w:t>Table 5: Output 2.1:  Early Intervention Services</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r w:rsidR="00034204" w:rsidRPr="002049CF">
              <w:rPr>
                <w:rFonts w:eastAsia="Calibri" w:cs="Calibri"/>
                <w:b/>
                <w:color w:val="000000"/>
                <w:sz w:val="20"/>
              </w:rPr>
              <w:t xml:space="preserve"> </w:t>
            </w:r>
            <w:r w:rsidR="00034204" w:rsidRPr="002049CF">
              <w:rPr>
                <w:rFonts w:eastAsia="Calibri" w:cs="Calibri"/>
                <w:b/>
                <w:color w:val="000000"/>
                <w:sz w:val="20"/>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22</w:t>
            </w:r>
            <w:r w:rsidR="00353D5D">
              <w:rPr>
                <w:rFonts w:eastAsia="Calibri" w:cs="Calibri"/>
                <w:color w:val="000000"/>
                <w:sz w:val="20"/>
              </w:rPr>
              <w:t>,</w:t>
            </w:r>
            <w:r w:rsidRPr="002049CF">
              <w:rPr>
                <w:rFonts w:eastAsia="Calibri" w:cs="Calibri"/>
                <w:color w:val="000000"/>
                <w:sz w:val="20"/>
              </w:rPr>
              <w:t>169</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r>
      <w:tr w:rsidR="001651E4" w:rsidTr="0058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 xml:space="preserve">Controlled Recurrent Payments </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21,</w:t>
            </w:r>
            <w:r w:rsidR="0058349F" w:rsidRPr="002049CF">
              <w:rPr>
                <w:rFonts w:eastAsia="Calibri" w:cs="Calibri"/>
                <w:color w:val="000000"/>
                <w:sz w:val="20"/>
              </w:rPr>
              <w:t>877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r>
    </w:tbl>
    <w:p w:rsidR="0058349F" w:rsidRDefault="0058349F" w:rsidP="0058349F">
      <w:pPr>
        <w:pStyle w:val="BSnote1"/>
      </w:pPr>
      <w:r>
        <w:t>Notes:</w:t>
      </w:r>
    </w:p>
    <w:p w:rsidR="0058349F" w:rsidRDefault="0058349F" w:rsidP="0058349F">
      <w:pPr>
        <w:pStyle w:val="BSnoteslist1"/>
        <w:numPr>
          <w:ilvl w:val="0"/>
          <w:numId w:val="49"/>
        </w:numPr>
      </w:pPr>
      <w:r>
        <w:t>This Output has transferred to Output 3.1 Child and Family Centres and the Child</w:t>
      </w:r>
      <w:r w:rsidR="00617363">
        <w:t>,</w:t>
      </w:r>
      <w:r>
        <w:t xml:space="preserve"> Youth and Family Services Program has transferred to Output 2.3 Inclusion and Participation</w:t>
      </w:r>
      <w:r w:rsidR="00617363">
        <w:t>.</w:t>
      </w:r>
    </w:p>
    <w:p w:rsidR="0058349F" w:rsidRDefault="0058349F" w:rsidP="0058349F">
      <w:pPr>
        <w:pStyle w:val="BSnoteslist10"/>
        <w:numPr>
          <w:ilvl w:val="0"/>
          <w:numId w:val="12"/>
        </w:numPr>
      </w:pPr>
      <w:r>
        <w:t xml:space="preserve">Total cost </w:t>
      </w:r>
      <w:r>
        <w:rPr>
          <w:szCs w:val="16"/>
        </w:rPr>
        <w:t>includes</w:t>
      </w:r>
      <w:r>
        <w:t xml:space="preserve"> depreciation of $0.228 million in 2017-18</w:t>
      </w:r>
      <w:r w:rsidR="00617363">
        <w:t>.</w:t>
      </w:r>
    </w:p>
    <w:p w:rsidR="0058349F" w:rsidRPr="0058349F" w:rsidRDefault="0058349F" w:rsidP="0058349F">
      <w:pPr>
        <w:pStyle w:val="Heading40"/>
      </w:pPr>
      <w:r>
        <w:t xml:space="preserve">Output 2.2: </w:t>
      </w:r>
      <w:r w:rsidRPr="0058349F">
        <w:t>Child Development Services</w:t>
      </w:r>
      <w:r w:rsidRPr="0058349F">
        <w:rPr>
          <w:color w:val="000000"/>
          <w:szCs w:val="24"/>
          <w:lang w:eastAsia="en-AU"/>
        </w:rPr>
        <w:t xml:space="preserve"> </w:t>
      </w:r>
      <w:r w:rsidRPr="0058349F">
        <w:rPr>
          <w:vertAlign w:val="superscript"/>
        </w:rPr>
        <w:t>1</w:t>
      </w:r>
    </w:p>
    <w:p w:rsidR="0058349F" w:rsidRPr="00B86090" w:rsidRDefault="0058349F" w:rsidP="0058349F">
      <w:pPr>
        <w:pStyle w:val="BSbullet10"/>
        <w:keepNext/>
        <w:keepLines/>
        <w:numPr>
          <w:ilvl w:val="0"/>
          <w:numId w:val="0"/>
        </w:numPr>
        <w:jc w:val="left"/>
        <w:rPr>
          <w:b/>
        </w:rPr>
      </w:pPr>
      <w:r w:rsidRPr="0058349F">
        <w:rPr>
          <w:b/>
        </w:rPr>
        <w:t xml:space="preserve">Table </w:t>
      </w:r>
      <w:r>
        <w:rPr>
          <w:b/>
        </w:rPr>
        <w:t>6</w:t>
      </w:r>
      <w:r w:rsidRPr="0058349F">
        <w:rPr>
          <w:b/>
        </w:rPr>
        <w:t>: Output 2.2:  Child Development Services</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r w:rsidR="00EE4DE4" w:rsidRPr="002049CF">
              <w:rPr>
                <w:rFonts w:eastAsia="Calibri" w:cs="Calibri"/>
                <w:b/>
                <w:color w:val="000000"/>
                <w:sz w:val="20"/>
              </w:rPr>
              <w:t xml:space="preserve"> </w:t>
            </w:r>
            <w:r w:rsidR="00EE4DE4" w:rsidRPr="002049CF">
              <w:rPr>
                <w:rFonts w:eastAsia="Calibri" w:cs="Calibri"/>
                <w:b/>
                <w:color w:val="000000"/>
                <w:sz w:val="20"/>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4,</w:t>
            </w:r>
            <w:r w:rsidR="0058349F" w:rsidRPr="002049CF">
              <w:rPr>
                <w:rFonts w:eastAsia="Calibri" w:cs="Calibri"/>
                <w:color w:val="000000"/>
                <w:sz w:val="20"/>
              </w:rPr>
              <w:t>341</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r>
      <w:tr w:rsidR="001651E4" w:rsidTr="0058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 xml:space="preserve">Controlled Recurrent Payments </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4,</w:t>
            </w:r>
            <w:r w:rsidR="0058349F" w:rsidRPr="002049CF">
              <w:rPr>
                <w:rFonts w:eastAsia="Calibri" w:cs="Calibri"/>
                <w:color w:val="000000"/>
                <w:sz w:val="20"/>
              </w:rPr>
              <w:t>237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r>
    </w:tbl>
    <w:p w:rsidR="0058349F" w:rsidRDefault="0058349F" w:rsidP="0058349F">
      <w:pPr>
        <w:pStyle w:val="BSnote1"/>
      </w:pPr>
      <w:r>
        <w:t>Notes:</w:t>
      </w:r>
    </w:p>
    <w:p w:rsidR="0058349F" w:rsidRDefault="0058349F" w:rsidP="0058349F">
      <w:pPr>
        <w:pStyle w:val="BSnoteslist10"/>
        <w:numPr>
          <w:ilvl w:val="0"/>
          <w:numId w:val="15"/>
        </w:numPr>
      </w:pPr>
      <w:r>
        <w:t>This Output has transferred to Output 3.2 Child Development Services</w:t>
      </w:r>
    </w:p>
    <w:p w:rsidR="0058349F" w:rsidRDefault="0058349F" w:rsidP="0058349F">
      <w:pPr>
        <w:pStyle w:val="BSnoteslist10"/>
        <w:numPr>
          <w:ilvl w:val="0"/>
          <w:numId w:val="15"/>
        </w:numPr>
      </w:pPr>
      <w:r>
        <w:t xml:space="preserve">Total cost includes </w:t>
      </w:r>
      <w:r w:rsidRPr="00B43CA5">
        <w:t>depreciati</w:t>
      </w:r>
      <w:r>
        <w:t>on of $0.232 million in 2017-18</w:t>
      </w:r>
    </w:p>
    <w:p w:rsidR="0058349F" w:rsidRPr="0058349F" w:rsidRDefault="0058349F" w:rsidP="0058349F">
      <w:pPr>
        <w:pStyle w:val="Heading40"/>
      </w:pPr>
      <w:r w:rsidRPr="0058349F">
        <w:t>Output 2.3: Inclusion and Participation</w:t>
      </w:r>
      <w:r w:rsidRPr="0058349F">
        <w:rPr>
          <w:color w:val="000000"/>
          <w:szCs w:val="24"/>
          <w:lang w:eastAsia="en-AU"/>
        </w:rPr>
        <w:t xml:space="preserve"> </w:t>
      </w:r>
      <w:r w:rsidRPr="0058349F">
        <w:rPr>
          <w:vertAlign w:val="superscript"/>
        </w:rPr>
        <w:t>1</w:t>
      </w:r>
    </w:p>
    <w:p w:rsidR="0058349F" w:rsidRPr="0058349F" w:rsidRDefault="0058349F" w:rsidP="0058349F">
      <w:pPr>
        <w:pStyle w:val="Normal30"/>
        <w:spacing w:before="0" w:after="120"/>
        <w:rPr>
          <w:szCs w:val="24"/>
        </w:rPr>
      </w:pPr>
      <w:r w:rsidRPr="0058349F">
        <w:rPr>
          <w:szCs w:val="24"/>
        </w:rPr>
        <w:t>Inclusion and Participation provides: Informed strategic advice to strengthen the inclusion and participation of all people, including people from multicultural backgrounds, youth, women, veterans and seniors; recognises the contribution and supports the participation and inclusion of all people through community events, awards, ceremonies and grants; and administers and funds community sector services and programs.</w:t>
      </w:r>
    </w:p>
    <w:p w:rsidR="00617363" w:rsidRDefault="00617363">
      <w:pPr>
        <w:spacing w:before="0" w:after="0"/>
        <w:rPr>
          <w:b/>
          <w:szCs w:val="24"/>
        </w:rPr>
      </w:pPr>
      <w:r>
        <w:rPr>
          <w:b/>
        </w:rPr>
        <w:br w:type="page"/>
      </w:r>
    </w:p>
    <w:p w:rsidR="0058349F" w:rsidRPr="00B86090" w:rsidRDefault="0058349F" w:rsidP="0058349F">
      <w:pPr>
        <w:pStyle w:val="BSbullet10"/>
        <w:keepNext/>
        <w:keepLines/>
        <w:numPr>
          <w:ilvl w:val="0"/>
          <w:numId w:val="0"/>
        </w:numPr>
        <w:jc w:val="left"/>
        <w:rPr>
          <w:b/>
        </w:rPr>
      </w:pPr>
      <w:r w:rsidRPr="0058349F">
        <w:rPr>
          <w:b/>
        </w:rPr>
        <w:t xml:space="preserve">Table </w:t>
      </w:r>
      <w:r>
        <w:rPr>
          <w:b/>
        </w:rPr>
        <w:t>7</w:t>
      </w:r>
      <w:r w:rsidRPr="0058349F">
        <w:rPr>
          <w:b/>
        </w:rPr>
        <w:t>: Output 2.3:  Inclusion and Participation</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rsidP="00EB52D4">
            <w:pPr>
              <w:pStyle w:val="Normal4"/>
              <w:spacing w:before="0" w:after="0"/>
              <w:rPr>
                <w:rFonts w:eastAsia="Calibri" w:cs="Calibri"/>
                <w:b/>
                <w:color w:val="000000"/>
                <w:sz w:val="20"/>
              </w:rPr>
            </w:pPr>
            <w:r w:rsidRPr="002049CF">
              <w:rPr>
                <w:rFonts w:eastAsia="Calibri" w:cs="Calibri"/>
                <w:b/>
                <w:color w:val="000000"/>
                <w:sz w:val="20"/>
              </w:rPr>
              <w:t>Total Cost</w:t>
            </w:r>
            <w:r w:rsidR="00F14CFA" w:rsidRPr="002049CF">
              <w:rPr>
                <w:rFonts w:eastAsia="Calibri" w:cs="Calibri"/>
                <w:b/>
                <w:color w:val="000000"/>
                <w:sz w:val="20"/>
              </w:rPr>
              <w:t xml:space="preserve"> </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24,</w:t>
            </w:r>
            <w:r w:rsidR="0058349F" w:rsidRPr="002049CF">
              <w:rPr>
                <w:rFonts w:eastAsia="Calibri" w:cs="Calibri"/>
                <w:color w:val="000000"/>
                <w:sz w:val="20"/>
              </w:rPr>
              <w:t>002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39</w:t>
            </w:r>
            <w:r w:rsidR="00353D5D">
              <w:rPr>
                <w:rFonts w:eastAsia="Calibri" w:cs="Calibri"/>
                <w:color w:val="000000"/>
                <w:sz w:val="20"/>
              </w:rPr>
              <w:t>,</w:t>
            </w:r>
            <w:r w:rsidRPr="002049CF">
              <w:rPr>
                <w:rFonts w:eastAsia="Calibri" w:cs="Calibri"/>
                <w:color w:val="000000"/>
                <w:sz w:val="20"/>
              </w:rPr>
              <w:t>780</w:t>
            </w:r>
          </w:p>
        </w:tc>
      </w:tr>
      <w:tr w:rsidR="001651E4" w:rsidTr="0058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 xml:space="preserve">Controlled Recurrent Payments </w:t>
            </w:r>
            <w:r w:rsidR="00EB52D4" w:rsidRPr="002049CF">
              <w:rPr>
                <w:rFonts w:eastAsia="Calibri" w:cs="Calibri"/>
                <w:b/>
                <w:color w:val="000000"/>
                <w:sz w:val="20"/>
                <w:vertAlign w:val="superscript"/>
              </w:rPr>
              <w:t>2</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23,</w:t>
            </w:r>
            <w:r w:rsidR="0058349F" w:rsidRPr="002049CF">
              <w:rPr>
                <w:rFonts w:eastAsia="Calibri" w:cs="Calibri"/>
                <w:color w:val="000000"/>
                <w:sz w:val="20"/>
              </w:rPr>
              <w:t>080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39,</w:t>
            </w:r>
            <w:r w:rsidR="0058349F" w:rsidRPr="002049CF">
              <w:rPr>
                <w:rFonts w:eastAsia="Calibri" w:cs="Calibri"/>
                <w:color w:val="000000"/>
                <w:sz w:val="20"/>
              </w:rPr>
              <w:t>239</w:t>
            </w:r>
          </w:p>
        </w:tc>
      </w:tr>
    </w:tbl>
    <w:p w:rsidR="0058349F" w:rsidRDefault="0058349F" w:rsidP="0058349F">
      <w:pPr>
        <w:pStyle w:val="BSnote1"/>
      </w:pPr>
      <w:r>
        <w:t>Notes:</w:t>
      </w:r>
    </w:p>
    <w:p w:rsidR="0058349F" w:rsidRDefault="0058349F" w:rsidP="0058349F">
      <w:pPr>
        <w:pStyle w:val="BSnoteslist10"/>
        <w:numPr>
          <w:ilvl w:val="0"/>
          <w:numId w:val="16"/>
        </w:numPr>
      </w:pPr>
      <w:r>
        <w:t>This Output was previously Output Class 2.3 Community Participation. The Output has been renamed following the transfer of the Child Youth and Family Services Program from Output 2.1 Early Intervention Services.</w:t>
      </w:r>
    </w:p>
    <w:p w:rsidR="0058349F" w:rsidRDefault="0058349F" w:rsidP="0058349F">
      <w:pPr>
        <w:pStyle w:val="BSnoteslist10"/>
        <w:numPr>
          <w:ilvl w:val="0"/>
          <w:numId w:val="16"/>
        </w:numPr>
      </w:pPr>
      <w:r>
        <w:t xml:space="preserve">The increase in the 2018-19 budget from the 2017-18 estimated outcome is mainly due to the transfer of the Child Youth and Family Services Program from Output 2.1 Early Intervention Services and new initiatives including </w:t>
      </w:r>
      <w:r w:rsidR="0022624C">
        <w:t xml:space="preserve">Growing the </w:t>
      </w:r>
      <w:r>
        <w:t>Reconciliation Day</w:t>
      </w:r>
      <w:r w:rsidR="0022624C">
        <w:t xml:space="preserve"> Public Holiday</w:t>
      </w:r>
      <w:r>
        <w:t xml:space="preserve">, </w:t>
      </w:r>
      <w:r w:rsidR="00617363">
        <w:t xml:space="preserve">Strengthening the </w:t>
      </w:r>
      <w:r>
        <w:t>National Multicultural Festival,</w:t>
      </w:r>
      <w:r w:rsidR="00617363">
        <w:t xml:space="preserve"> Supporting v</w:t>
      </w:r>
      <w:r>
        <w:t xml:space="preserve">eterans and </w:t>
      </w:r>
      <w:r w:rsidR="00617363">
        <w:t>s</w:t>
      </w:r>
      <w:r>
        <w:t xml:space="preserve">eniors, </w:t>
      </w:r>
      <w:proofErr w:type="spellStart"/>
      <w:r>
        <w:t>Gugan</w:t>
      </w:r>
      <w:proofErr w:type="spellEnd"/>
      <w:r>
        <w:t xml:space="preserve"> </w:t>
      </w:r>
      <w:proofErr w:type="spellStart"/>
      <w:r>
        <w:t>Gulwan</w:t>
      </w:r>
      <w:proofErr w:type="spellEnd"/>
      <w:r w:rsidR="00221C68">
        <w:t xml:space="preserve"> Youth Aboriginal Corporate accommodation</w:t>
      </w:r>
      <w:r>
        <w:t xml:space="preserve"> and continued support for Self Help Organisations</w:t>
      </w:r>
      <w:r w:rsidR="00221C68">
        <w:t xml:space="preserve"> United Together (SHOUT)</w:t>
      </w:r>
      <w:r>
        <w:t>.</w:t>
      </w:r>
    </w:p>
    <w:p w:rsidR="0058349F" w:rsidRDefault="0058349F" w:rsidP="0058349F">
      <w:pPr>
        <w:pStyle w:val="Heading40"/>
      </w:pPr>
      <w:r>
        <w:t xml:space="preserve">Output 2.4: </w:t>
      </w:r>
      <w:r w:rsidRPr="0058349F">
        <w:t>Office for Disability</w:t>
      </w:r>
    </w:p>
    <w:p w:rsidR="0058349F" w:rsidRDefault="0058349F" w:rsidP="0058349F">
      <w:pPr>
        <w:pStyle w:val="Normal30"/>
      </w:pPr>
      <w:r>
        <w:rPr>
          <w:szCs w:val="24"/>
        </w:rPr>
        <w:t>The ACT Office for Disability promotes social inclusion and community participation of people with disability through: supporting the implementation of the NDIS; progressing the objectives of the National Disability Strategy including better access to justice; implementing the Connect and Participate Expo and Companion Card; progressing the Disability Inclusion Grants to provide increased opportunities for people with disability to participate in mainstream community activities; promote International Day of People with Disability; and support the Disability Reference Group, the ACT Inclusion Council and the Chief Minister’s Inclusion Awards.</w:t>
      </w:r>
    </w:p>
    <w:p w:rsidR="0058349F" w:rsidRPr="00B86090" w:rsidRDefault="0058349F" w:rsidP="0058349F">
      <w:pPr>
        <w:pStyle w:val="BSbullet10"/>
        <w:keepNext/>
        <w:keepLines/>
        <w:numPr>
          <w:ilvl w:val="0"/>
          <w:numId w:val="0"/>
        </w:numPr>
        <w:jc w:val="left"/>
        <w:rPr>
          <w:b/>
        </w:rPr>
      </w:pPr>
      <w:r w:rsidRPr="0058349F">
        <w:rPr>
          <w:b/>
        </w:rPr>
        <w:t>Table 8: Output 2.4:  Office for Disability</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r w:rsidR="00F14CFA" w:rsidRPr="002049CF">
              <w:rPr>
                <w:rFonts w:eastAsia="Calibri" w:cs="Calibri"/>
                <w:b/>
                <w:color w:val="000000"/>
                <w:sz w:val="20"/>
              </w:rPr>
              <w:t xml:space="preserve"> </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3,</w:t>
            </w:r>
            <w:r w:rsidR="0058349F" w:rsidRPr="002049CF">
              <w:rPr>
                <w:rFonts w:eastAsia="Calibri" w:cs="Calibri"/>
                <w:color w:val="000000"/>
                <w:sz w:val="20"/>
              </w:rPr>
              <w:t>322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4,</w:t>
            </w:r>
            <w:r w:rsidR="0058349F" w:rsidRPr="002049CF">
              <w:rPr>
                <w:rFonts w:eastAsia="Calibri" w:cs="Calibri"/>
                <w:color w:val="000000"/>
                <w:sz w:val="20"/>
              </w:rPr>
              <w:t>298</w:t>
            </w:r>
          </w:p>
        </w:tc>
      </w:tr>
      <w:tr w:rsidR="001651E4" w:rsidTr="0058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 xml:space="preserve">Controlled Recurrent Payments </w:t>
            </w:r>
            <w:r w:rsidR="00F14CFA" w:rsidRPr="002049CF">
              <w:rPr>
                <w:rFonts w:eastAsia="Calibri" w:cs="Calibri"/>
                <w:b/>
                <w:color w:val="000000"/>
                <w:sz w:val="20"/>
                <w:vertAlign w:val="superscript"/>
              </w:rPr>
              <w:t>1</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3</w:t>
            </w:r>
            <w:r w:rsidR="00353D5D">
              <w:rPr>
                <w:rFonts w:eastAsia="Calibri" w:cs="Calibri"/>
                <w:color w:val="000000"/>
                <w:sz w:val="20"/>
              </w:rPr>
              <w:t>,</w:t>
            </w:r>
            <w:r w:rsidRPr="002049CF">
              <w:rPr>
                <w:rFonts w:eastAsia="Calibri" w:cs="Calibri"/>
                <w:color w:val="000000"/>
                <w:sz w:val="20"/>
              </w:rPr>
              <w:t>284</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4</w:t>
            </w:r>
            <w:r w:rsidR="00353D5D">
              <w:rPr>
                <w:rFonts w:eastAsia="Calibri" w:cs="Calibri"/>
                <w:color w:val="000000"/>
                <w:sz w:val="20"/>
              </w:rPr>
              <w:t>,</w:t>
            </w:r>
            <w:r w:rsidRPr="002049CF">
              <w:rPr>
                <w:rFonts w:eastAsia="Calibri" w:cs="Calibri"/>
                <w:color w:val="000000"/>
                <w:sz w:val="20"/>
              </w:rPr>
              <w:t>278</w:t>
            </w:r>
          </w:p>
        </w:tc>
      </w:tr>
    </w:tbl>
    <w:p w:rsidR="0058349F" w:rsidRDefault="0058349F" w:rsidP="0058349F">
      <w:pPr>
        <w:pStyle w:val="BSnote1"/>
      </w:pPr>
      <w:r>
        <w:t>Note:</w:t>
      </w:r>
    </w:p>
    <w:p w:rsidR="0058349F" w:rsidRDefault="0058349F" w:rsidP="00E21BA2">
      <w:pPr>
        <w:pStyle w:val="BSnoteslist2"/>
        <w:numPr>
          <w:ilvl w:val="0"/>
          <w:numId w:val="68"/>
        </w:numPr>
      </w:pPr>
      <w:r>
        <w:t xml:space="preserve">The increase in the 2018-19 budget from the 2017-18 estimated outcome is due to new initiatives including </w:t>
      </w:r>
      <w:r w:rsidR="00617363">
        <w:t>D</w:t>
      </w:r>
      <w:r>
        <w:t>isability Justice Strategy and</w:t>
      </w:r>
      <w:r w:rsidR="00617363">
        <w:t xml:space="preserve"> NDIS Transition Integrated S</w:t>
      </w:r>
      <w:r>
        <w:t xml:space="preserve">ervices </w:t>
      </w:r>
      <w:r w:rsidR="00617363">
        <w:t>R</w:t>
      </w:r>
      <w:r>
        <w:t xml:space="preserve">esponse. </w:t>
      </w:r>
    </w:p>
    <w:p w:rsidR="0058349F" w:rsidRDefault="0058349F" w:rsidP="0058349F">
      <w:pPr>
        <w:pStyle w:val="Heading40"/>
      </w:pPr>
      <w:r>
        <w:t xml:space="preserve">Output 2.5: </w:t>
      </w:r>
      <w:r w:rsidRPr="00AD718D">
        <w:t>Strategic Policy</w:t>
      </w:r>
      <w:r w:rsidRPr="00AD718D">
        <w:rPr>
          <w:color w:val="000000"/>
          <w:szCs w:val="24"/>
          <w:lang w:eastAsia="en-AU"/>
        </w:rPr>
        <w:t xml:space="preserve"> </w:t>
      </w:r>
      <w:r w:rsidRPr="00AD718D">
        <w:rPr>
          <w:vertAlign w:val="superscript"/>
        </w:rPr>
        <w:t>1</w:t>
      </w:r>
    </w:p>
    <w:p w:rsidR="0058349F" w:rsidRDefault="0058349F" w:rsidP="0058349F">
      <w:pPr>
        <w:pStyle w:val="Normal10"/>
      </w:pPr>
      <w:r>
        <w:t>Strategic Policy (SP) leads and contributes to specialist human services policy and project work across the Directorate and across government. SP guides the Directorate’s work through policy development, business improvement, and performance and accountability activities. This includes data management for internal and external reporting, implementing the Community Services Industry Strategy, leading the Human Services Cluster Early Intervention by Design project, leading the commi</w:t>
      </w:r>
      <w:r w:rsidR="00D92958">
        <w:t xml:space="preserve">ssioning for outcomes work for </w:t>
      </w:r>
      <w:r>
        <w:t xml:space="preserve">the Directorate and across </w:t>
      </w:r>
      <w:r w:rsidR="00D92958">
        <w:t>g</w:t>
      </w:r>
      <w:r>
        <w:t xml:space="preserve">overnment and building the capacity of our community partners. </w:t>
      </w:r>
      <w:r w:rsidR="00617363">
        <w:t xml:space="preserve"> </w:t>
      </w:r>
      <w:r>
        <w:t>SP also provides support and advice on whole of government reform initiatives including children, young people and their families, with a view to improving human service delivery through establishing innovation and co-design frameworks. SP is also responsible for digital and information management through the Directorate</w:t>
      </w:r>
      <w:r w:rsidR="00EB52D4">
        <w:t>’</w:t>
      </w:r>
      <w:r>
        <w:t>s Chief Information Office and across government.</w:t>
      </w:r>
    </w:p>
    <w:p w:rsidR="0058349F" w:rsidRPr="00B86090" w:rsidRDefault="0058349F" w:rsidP="0058349F">
      <w:pPr>
        <w:pStyle w:val="BSbullet10"/>
        <w:keepNext/>
        <w:keepLines/>
        <w:numPr>
          <w:ilvl w:val="0"/>
          <w:numId w:val="0"/>
        </w:numPr>
        <w:jc w:val="left"/>
        <w:rPr>
          <w:b/>
        </w:rPr>
      </w:pPr>
      <w:r w:rsidRPr="00AD718D">
        <w:rPr>
          <w:b/>
        </w:rPr>
        <w:t xml:space="preserve">Table </w:t>
      </w:r>
      <w:r w:rsidR="00AD718D" w:rsidRPr="00AD718D">
        <w:rPr>
          <w:b/>
        </w:rPr>
        <w:t>9</w:t>
      </w:r>
      <w:r w:rsidRPr="00AD718D">
        <w:rPr>
          <w:b/>
        </w:rPr>
        <w:t>: Output 2.5:  Strategic Policy</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4,</w:t>
            </w:r>
            <w:r w:rsidR="0058349F" w:rsidRPr="002049CF">
              <w:rPr>
                <w:rFonts w:eastAsia="Calibri" w:cs="Calibri"/>
                <w:color w:val="000000"/>
                <w:sz w:val="20"/>
              </w:rPr>
              <w:t>816</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AD718D" w:rsidP="00353D5D">
            <w:pPr>
              <w:pStyle w:val="Normal4"/>
              <w:spacing w:before="0" w:after="0"/>
              <w:jc w:val="right"/>
              <w:rPr>
                <w:rFonts w:eastAsia="Calibri" w:cs="Calibri"/>
                <w:color w:val="000000"/>
                <w:sz w:val="20"/>
              </w:rPr>
            </w:pPr>
            <w:r w:rsidRPr="002049CF">
              <w:rPr>
                <w:rFonts w:eastAsia="Calibri" w:cs="Calibri"/>
                <w:color w:val="000000"/>
                <w:sz w:val="20"/>
              </w:rPr>
              <w:t>7</w:t>
            </w:r>
            <w:r w:rsidR="00353D5D">
              <w:rPr>
                <w:rFonts w:eastAsia="Calibri" w:cs="Calibri"/>
                <w:color w:val="000000"/>
                <w:sz w:val="20"/>
              </w:rPr>
              <w:t>,</w:t>
            </w:r>
            <w:r w:rsidRPr="002049CF">
              <w:rPr>
                <w:rFonts w:eastAsia="Calibri" w:cs="Calibri"/>
                <w:color w:val="000000"/>
                <w:sz w:val="20"/>
              </w:rPr>
              <w:t>893</w:t>
            </w:r>
          </w:p>
        </w:tc>
      </w:tr>
      <w:tr w:rsidR="001651E4" w:rsidTr="00AD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Controlled Recurrent Payments</w:t>
            </w:r>
            <w:r w:rsidR="00AD718D" w:rsidRPr="002049CF">
              <w:rPr>
                <w:rFonts w:eastAsia="Calibri" w:cs="Calibri"/>
                <w:b/>
                <w:color w:val="000000"/>
                <w:sz w:val="20"/>
              </w:rPr>
              <w:t xml:space="preserve"> </w:t>
            </w:r>
            <w:r w:rsidR="00AD718D" w:rsidRPr="002049CF">
              <w:rPr>
                <w:rFonts w:eastAsia="Calibri" w:cs="Calibri"/>
                <w:b/>
                <w:color w:val="000000"/>
                <w:sz w:val="20"/>
                <w:vertAlign w:val="superscript"/>
              </w:rPr>
              <w:t>2</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4</w:t>
            </w:r>
            <w:r w:rsidR="00353D5D">
              <w:rPr>
                <w:rFonts w:eastAsia="Calibri" w:cs="Calibri"/>
                <w:color w:val="000000"/>
                <w:sz w:val="20"/>
              </w:rPr>
              <w:t>,</w:t>
            </w:r>
            <w:r w:rsidRPr="002049CF">
              <w:rPr>
                <w:rFonts w:eastAsia="Calibri" w:cs="Calibri"/>
                <w:color w:val="000000"/>
                <w:sz w:val="20"/>
              </w:rPr>
              <w:t>747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AD718D">
            <w:pPr>
              <w:pStyle w:val="Normal4"/>
              <w:spacing w:before="0" w:after="0"/>
              <w:jc w:val="right"/>
              <w:rPr>
                <w:rFonts w:eastAsia="Calibri" w:cs="Calibri"/>
                <w:color w:val="000000"/>
                <w:sz w:val="20"/>
              </w:rPr>
            </w:pPr>
            <w:r w:rsidRPr="002049CF">
              <w:rPr>
                <w:rFonts w:eastAsia="Calibri" w:cs="Calibri"/>
                <w:color w:val="000000"/>
                <w:sz w:val="20"/>
              </w:rPr>
              <w:t>7</w:t>
            </w:r>
            <w:r w:rsidR="00353D5D">
              <w:rPr>
                <w:rFonts w:eastAsia="Calibri" w:cs="Calibri"/>
                <w:color w:val="000000"/>
                <w:sz w:val="20"/>
              </w:rPr>
              <w:t>,</w:t>
            </w:r>
            <w:r w:rsidRPr="002049CF">
              <w:rPr>
                <w:rFonts w:eastAsia="Calibri" w:cs="Calibri"/>
                <w:color w:val="000000"/>
                <w:sz w:val="20"/>
              </w:rPr>
              <w:t>615</w:t>
            </w:r>
          </w:p>
        </w:tc>
      </w:tr>
    </w:tbl>
    <w:p w:rsidR="0058349F" w:rsidRDefault="0058349F" w:rsidP="0058349F">
      <w:pPr>
        <w:pStyle w:val="BSnote1"/>
      </w:pPr>
      <w:r>
        <w:t>Notes:</w:t>
      </w:r>
    </w:p>
    <w:p w:rsidR="0058349F" w:rsidRDefault="0058349F" w:rsidP="00E23CA9">
      <w:pPr>
        <w:pStyle w:val="BSnoteslist10"/>
        <w:numPr>
          <w:ilvl w:val="0"/>
          <w:numId w:val="70"/>
        </w:numPr>
      </w:pPr>
      <w:r>
        <w:t>This Output was previously Output Class 2.5 Service Design, Policy and Accountability.</w:t>
      </w:r>
    </w:p>
    <w:p w:rsidR="0058349F" w:rsidRDefault="0058349F" w:rsidP="00E23CA9">
      <w:pPr>
        <w:pStyle w:val="BSnoteslist10"/>
        <w:numPr>
          <w:ilvl w:val="0"/>
          <w:numId w:val="70"/>
        </w:numPr>
      </w:pPr>
      <w:r>
        <w:t xml:space="preserve">The increase in the 2018-19 budget from the 2017-18 estimated outcome is due mainly to new initiatives including Digital Records for Digital Government and implementing the Commonwealth Redress Scheme. </w:t>
      </w:r>
    </w:p>
    <w:p w:rsidR="0058349F" w:rsidRPr="00AD718D" w:rsidRDefault="0058349F" w:rsidP="0058349F">
      <w:pPr>
        <w:pStyle w:val="Heading40"/>
      </w:pPr>
      <w:r>
        <w:t xml:space="preserve">Output 2.6: </w:t>
      </w:r>
      <w:r w:rsidRPr="00AD718D">
        <w:t>Quality, Complaints and Regulation</w:t>
      </w:r>
      <w:r w:rsidRPr="00AD718D">
        <w:rPr>
          <w:color w:val="000000"/>
          <w:szCs w:val="24"/>
          <w:lang w:eastAsia="en-AU"/>
        </w:rPr>
        <w:t xml:space="preserve"> </w:t>
      </w:r>
      <w:r w:rsidRPr="00AD718D">
        <w:rPr>
          <w:vertAlign w:val="superscript"/>
        </w:rPr>
        <w:t>1</w:t>
      </w:r>
    </w:p>
    <w:p w:rsidR="0058349F" w:rsidRPr="00AD718D" w:rsidRDefault="0058349F" w:rsidP="0058349F">
      <w:pPr>
        <w:pStyle w:val="Normal30"/>
        <w:rPr>
          <w:szCs w:val="24"/>
        </w:rPr>
      </w:pPr>
      <w:r w:rsidRPr="00AD718D">
        <w:rPr>
          <w:szCs w:val="24"/>
        </w:rPr>
        <w:t>Quality, Complaints and Regulation (QCR) operates independently from program, funding or policy streams within the Directorate. It incorporates the Office for the Human Services Registrar, which regulates human service providers under ACT legislation. QCR is responsible for building capacity of service providers to deliver quality and viable services whilst investigating incidents and complex complaint</w:t>
      </w:r>
      <w:r w:rsidR="00D92958">
        <w:rPr>
          <w:szCs w:val="24"/>
        </w:rPr>
        <w:t>s made about government and non</w:t>
      </w:r>
      <w:r w:rsidR="00D92958">
        <w:rPr>
          <w:szCs w:val="24"/>
        </w:rPr>
        <w:noBreakHyphen/>
      </w:r>
      <w:r w:rsidRPr="00AD718D">
        <w:rPr>
          <w:szCs w:val="24"/>
        </w:rPr>
        <w:t>government service providers. QCR provides support to strategic committees and projects and also represents the Directorate on matters relating to quality and safeguards for vulnerable and disadvantaged members of our community.</w:t>
      </w:r>
    </w:p>
    <w:p w:rsidR="0058349F" w:rsidRPr="00B86090" w:rsidRDefault="0058349F" w:rsidP="0058349F">
      <w:pPr>
        <w:pStyle w:val="BSbullet10"/>
        <w:keepNext/>
        <w:keepLines/>
        <w:numPr>
          <w:ilvl w:val="0"/>
          <w:numId w:val="0"/>
        </w:numPr>
        <w:jc w:val="left"/>
        <w:rPr>
          <w:b/>
        </w:rPr>
      </w:pPr>
      <w:r w:rsidRPr="00AD718D">
        <w:rPr>
          <w:b/>
        </w:rPr>
        <w:t xml:space="preserve">Table </w:t>
      </w:r>
      <w:r w:rsidR="00AD718D">
        <w:rPr>
          <w:b/>
        </w:rPr>
        <w:t>10</w:t>
      </w:r>
      <w:r w:rsidRPr="00AD718D">
        <w:rPr>
          <w:b/>
        </w:rPr>
        <w:t>: Output 2.6:  Quality, Complaints and Regulation</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2,</w:t>
            </w:r>
            <w:r w:rsidR="0058349F" w:rsidRPr="002049CF">
              <w:rPr>
                <w:rFonts w:eastAsia="Calibri" w:cs="Calibri"/>
                <w:color w:val="000000"/>
                <w:sz w:val="20"/>
              </w:rPr>
              <w:t>698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AD718D" w:rsidP="00353D5D">
            <w:pPr>
              <w:pStyle w:val="Normal4"/>
              <w:spacing w:before="0" w:after="0"/>
              <w:jc w:val="right"/>
              <w:rPr>
                <w:rFonts w:eastAsia="Calibri" w:cs="Calibri"/>
                <w:color w:val="000000"/>
                <w:sz w:val="20"/>
              </w:rPr>
            </w:pPr>
            <w:r w:rsidRPr="002049CF">
              <w:rPr>
                <w:rFonts w:eastAsia="Calibri" w:cs="Calibri"/>
                <w:color w:val="000000"/>
                <w:sz w:val="20"/>
              </w:rPr>
              <w:t>4</w:t>
            </w:r>
            <w:r w:rsidR="00353D5D">
              <w:rPr>
                <w:rFonts w:eastAsia="Calibri" w:cs="Calibri"/>
                <w:color w:val="000000"/>
                <w:sz w:val="20"/>
              </w:rPr>
              <w:t>,</w:t>
            </w:r>
            <w:r w:rsidRPr="002049CF">
              <w:rPr>
                <w:rFonts w:eastAsia="Calibri" w:cs="Calibri"/>
                <w:color w:val="000000"/>
                <w:sz w:val="20"/>
              </w:rPr>
              <w:t>233</w:t>
            </w:r>
          </w:p>
        </w:tc>
      </w:tr>
      <w:tr w:rsidR="001651E4" w:rsidTr="00AD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Controlled Recurrent Payments</w:t>
            </w:r>
            <w:r w:rsidR="00AD718D" w:rsidRPr="002049CF">
              <w:rPr>
                <w:rFonts w:eastAsia="Calibri" w:cs="Calibri"/>
                <w:b/>
                <w:color w:val="000000"/>
                <w:sz w:val="20"/>
              </w:rPr>
              <w:t xml:space="preserve"> </w:t>
            </w:r>
            <w:r w:rsidR="00AD718D" w:rsidRPr="002049CF">
              <w:rPr>
                <w:rFonts w:eastAsia="Calibri" w:cs="Calibri"/>
                <w:b/>
                <w:color w:val="000000"/>
                <w:sz w:val="20"/>
                <w:vertAlign w:val="superscript"/>
              </w:rPr>
              <w:t>2</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2</w:t>
            </w:r>
            <w:r w:rsidR="00353D5D">
              <w:rPr>
                <w:rFonts w:eastAsia="Calibri" w:cs="Calibri"/>
                <w:color w:val="000000"/>
                <w:sz w:val="20"/>
              </w:rPr>
              <w:t>,</w:t>
            </w:r>
            <w:r w:rsidRPr="002049CF">
              <w:rPr>
                <w:rFonts w:eastAsia="Calibri" w:cs="Calibri"/>
                <w:color w:val="000000"/>
                <w:sz w:val="20"/>
              </w:rPr>
              <w:t>656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AD718D">
            <w:pPr>
              <w:pStyle w:val="Normal4"/>
              <w:spacing w:before="0" w:after="0"/>
              <w:jc w:val="right"/>
              <w:rPr>
                <w:rFonts w:eastAsia="Calibri" w:cs="Calibri"/>
                <w:color w:val="000000"/>
                <w:sz w:val="20"/>
              </w:rPr>
            </w:pPr>
            <w:r w:rsidRPr="002049CF">
              <w:rPr>
                <w:rFonts w:eastAsia="Calibri" w:cs="Calibri"/>
                <w:color w:val="000000"/>
                <w:sz w:val="20"/>
              </w:rPr>
              <w:t>4</w:t>
            </w:r>
            <w:r w:rsidR="00353D5D">
              <w:rPr>
                <w:rFonts w:eastAsia="Calibri" w:cs="Calibri"/>
                <w:color w:val="000000"/>
                <w:sz w:val="20"/>
              </w:rPr>
              <w:t>,</w:t>
            </w:r>
            <w:r w:rsidRPr="002049CF">
              <w:rPr>
                <w:rFonts w:eastAsia="Calibri" w:cs="Calibri"/>
                <w:color w:val="000000"/>
                <w:sz w:val="20"/>
              </w:rPr>
              <w:t>201</w:t>
            </w:r>
          </w:p>
        </w:tc>
      </w:tr>
    </w:tbl>
    <w:p w:rsidR="0058349F" w:rsidRDefault="0058349F" w:rsidP="0058349F">
      <w:pPr>
        <w:pStyle w:val="BSnote1"/>
      </w:pPr>
      <w:r>
        <w:t>Notes:</w:t>
      </w:r>
    </w:p>
    <w:p w:rsidR="0058349F" w:rsidRDefault="0058349F" w:rsidP="0058349F">
      <w:pPr>
        <w:pStyle w:val="BSnoteslist10"/>
        <w:numPr>
          <w:ilvl w:val="0"/>
          <w:numId w:val="19"/>
        </w:numPr>
      </w:pPr>
      <w:r>
        <w:t>This Output was previously Output Class 2.6 Quality and Human Services Regulation.</w:t>
      </w:r>
    </w:p>
    <w:p w:rsidR="0058349F" w:rsidRDefault="0058349F" w:rsidP="0058349F">
      <w:pPr>
        <w:pStyle w:val="BSnoteslist10"/>
        <w:numPr>
          <w:ilvl w:val="0"/>
          <w:numId w:val="19"/>
        </w:numPr>
      </w:pPr>
      <w:r>
        <w:t xml:space="preserve">The increase in the 2018-19 budget from the 2017-18 estimated outcome is due to continuing initiatives including </w:t>
      </w:r>
      <w:r w:rsidR="00617363">
        <w:t xml:space="preserve">stronger oversight of </w:t>
      </w:r>
      <w:r>
        <w:t xml:space="preserve">human services </w:t>
      </w:r>
      <w:r w:rsidR="00617363">
        <w:t>delivery</w:t>
      </w:r>
      <w:r>
        <w:t xml:space="preserve">, </w:t>
      </w:r>
      <w:r w:rsidR="00617363">
        <w:t>Child and Youth Protection</w:t>
      </w:r>
      <w:r>
        <w:t xml:space="preserve"> </w:t>
      </w:r>
      <w:r w:rsidR="0022624C">
        <w:t xml:space="preserve">Quality Assurance and Improvement Committee </w:t>
      </w:r>
      <w:r>
        <w:t>and a review of Aboriginal and Torres Strait Islander children and young people in</w:t>
      </w:r>
      <w:r w:rsidR="00617363">
        <w:t>volved with Child and Youth Protection</w:t>
      </w:r>
      <w:r>
        <w:t>.</w:t>
      </w:r>
    </w:p>
    <w:p w:rsidR="00617363" w:rsidRDefault="00617363">
      <w:pPr>
        <w:spacing w:before="0" w:after="0"/>
        <w:rPr>
          <w:b/>
          <w:i/>
        </w:rPr>
      </w:pPr>
      <w:r>
        <w:br w:type="page"/>
      </w:r>
    </w:p>
    <w:p w:rsidR="0058349F" w:rsidRDefault="0058349F" w:rsidP="0058349F">
      <w:pPr>
        <w:pStyle w:val="Heading40"/>
      </w:pPr>
      <w:r>
        <w:t xml:space="preserve">Output 2.7: </w:t>
      </w:r>
      <w:r w:rsidR="00AD718D">
        <w:t xml:space="preserve">Safer Families </w:t>
      </w:r>
      <w:r>
        <w:rPr>
          <w:vertAlign w:val="superscript"/>
        </w:rPr>
        <w:t>1</w:t>
      </w:r>
    </w:p>
    <w:p w:rsidR="0058349F" w:rsidRDefault="0058349F" w:rsidP="0058349F">
      <w:pPr>
        <w:pStyle w:val="BSbullet10"/>
        <w:keepNext/>
        <w:keepLines/>
        <w:numPr>
          <w:ilvl w:val="0"/>
          <w:numId w:val="0"/>
        </w:numPr>
        <w:jc w:val="left"/>
      </w:pPr>
      <w:r>
        <w:t xml:space="preserve">The Office of the Coordinator General for Family Safety ensures ACT Government </w:t>
      </w:r>
      <w:proofErr w:type="gramStart"/>
      <w:r>
        <w:t>directorate</w:t>
      </w:r>
      <w:r w:rsidR="000A0A61">
        <w:t>’</w:t>
      </w:r>
      <w:r>
        <w:t>s</w:t>
      </w:r>
      <w:proofErr w:type="gramEnd"/>
      <w:r>
        <w:t xml:space="preserve"> and agencies work together to respond to family and domestic violence. This office is responsible for overseeing the ACT Government</w:t>
      </w:r>
      <w:r w:rsidR="00617363">
        <w:t>’</w:t>
      </w:r>
      <w:r>
        <w:t>s commitment to address family and domestic violence.</w:t>
      </w:r>
    </w:p>
    <w:p w:rsidR="00AD718D" w:rsidRPr="00B86090" w:rsidRDefault="00AD718D" w:rsidP="00AD718D">
      <w:pPr>
        <w:pStyle w:val="BSbullet10"/>
        <w:keepNext/>
        <w:keepLines/>
        <w:numPr>
          <w:ilvl w:val="0"/>
          <w:numId w:val="0"/>
        </w:numPr>
        <w:jc w:val="left"/>
        <w:rPr>
          <w:b/>
        </w:rPr>
      </w:pPr>
      <w:r w:rsidRPr="00AD718D">
        <w:rPr>
          <w:b/>
        </w:rPr>
        <w:t xml:space="preserve">Table </w:t>
      </w:r>
      <w:r>
        <w:rPr>
          <w:b/>
        </w:rPr>
        <w:t>11</w:t>
      </w:r>
      <w:r w:rsidRPr="00AD718D">
        <w:rPr>
          <w:b/>
        </w:rPr>
        <w:t>: Output 2.</w:t>
      </w:r>
      <w:r>
        <w:rPr>
          <w:b/>
        </w:rPr>
        <w:t>7</w:t>
      </w:r>
      <w:r w:rsidRPr="00AD718D">
        <w:rPr>
          <w:b/>
        </w:rPr>
        <w:t xml:space="preserve">:  </w:t>
      </w:r>
      <w:r>
        <w:rPr>
          <w:b/>
        </w:rPr>
        <w:t>Safer Families</w:t>
      </w:r>
    </w:p>
    <w:tbl>
      <w:tblPr>
        <w:tblW w:w="9060" w:type="dxa"/>
        <w:tblLayout w:type="fixed"/>
        <w:tblLook w:val="0600" w:firstRow="0" w:lastRow="0" w:firstColumn="0" w:lastColumn="0" w:noHBand="1" w:noVBand="1"/>
      </w:tblPr>
      <w:tblGrid>
        <w:gridCol w:w="4695"/>
        <w:gridCol w:w="540"/>
        <w:gridCol w:w="2175"/>
        <w:gridCol w:w="1650"/>
      </w:tblGrid>
      <w:tr w:rsidR="00AD718D" w:rsidTr="00641AC8">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AD718D" w:rsidTr="00641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AD718D" w:rsidRPr="002049CF" w:rsidRDefault="00AD718D" w:rsidP="00641AC8">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AD718D" w:rsidTr="00641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AD718D" w:rsidTr="00641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b/>
                <w:color w:val="000000"/>
                <w:sz w:val="20"/>
              </w:rPr>
            </w:pPr>
            <w:r w:rsidRPr="002049CF">
              <w:rPr>
                <w:rFonts w:eastAsia="Calibri" w:cs="Calibri"/>
                <w:b/>
                <w:color w:val="000000"/>
                <w:sz w:val="20"/>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353D5D" w:rsidP="00353D5D">
            <w:pPr>
              <w:pStyle w:val="Normal4"/>
              <w:spacing w:before="0" w:after="0"/>
              <w:jc w:val="right"/>
              <w:rPr>
                <w:rFonts w:eastAsia="Calibri" w:cs="Calibri"/>
                <w:color w:val="000000"/>
                <w:sz w:val="20"/>
              </w:rPr>
            </w:pPr>
            <w:r>
              <w:rPr>
                <w:rFonts w:eastAsia="Calibri" w:cs="Calibri"/>
                <w:color w:val="000000"/>
                <w:sz w:val="20"/>
              </w:rPr>
              <w:t>1,</w:t>
            </w:r>
            <w:r w:rsidR="00AD718D" w:rsidRPr="002049CF">
              <w:rPr>
                <w:rFonts w:eastAsia="Calibri" w:cs="Calibri"/>
                <w:color w:val="000000"/>
                <w:sz w:val="20"/>
              </w:rPr>
              <w:t>447</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AD718D" w:rsidRPr="002049CF" w:rsidRDefault="00AD718D" w:rsidP="00641AC8">
            <w:pPr>
              <w:pStyle w:val="Normal4"/>
              <w:spacing w:before="0" w:after="0"/>
              <w:jc w:val="right"/>
              <w:rPr>
                <w:rFonts w:eastAsia="Calibri" w:cs="Calibri"/>
                <w:color w:val="000000"/>
                <w:sz w:val="20"/>
              </w:rPr>
            </w:pPr>
            <w:r w:rsidRPr="002049CF">
              <w:rPr>
                <w:rFonts w:eastAsia="Calibri" w:cs="Calibri"/>
                <w:color w:val="000000"/>
                <w:sz w:val="20"/>
              </w:rPr>
              <w:t>4</w:t>
            </w:r>
            <w:r w:rsidR="00353D5D">
              <w:rPr>
                <w:rFonts w:eastAsia="Calibri" w:cs="Calibri"/>
                <w:color w:val="000000"/>
                <w:sz w:val="20"/>
              </w:rPr>
              <w:t>,</w:t>
            </w:r>
            <w:r w:rsidRPr="002049CF">
              <w:rPr>
                <w:rFonts w:eastAsia="Calibri" w:cs="Calibri"/>
                <w:color w:val="000000"/>
                <w:sz w:val="20"/>
              </w:rPr>
              <w:t>693</w:t>
            </w:r>
          </w:p>
        </w:tc>
      </w:tr>
      <w:tr w:rsidR="00AD718D" w:rsidTr="00641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AD718D" w:rsidRPr="002049CF" w:rsidRDefault="00AD718D" w:rsidP="00641AC8">
            <w:pPr>
              <w:pStyle w:val="Normal4"/>
              <w:spacing w:before="0" w:after="0"/>
              <w:rPr>
                <w:rFonts w:eastAsia="Calibri" w:cs="Calibri"/>
                <w:b/>
                <w:color w:val="000000"/>
                <w:sz w:val="20"/>
                <w:vertAlign w:val="superscript"/>
              </w:rPr>
            </w:pPr>
            <w:r w:rsidRPr="002049CF">
              <w:rPr>
                <w:rFonts w:eastAsia="Calibri" w:cs="Calibri"/>
                <w:b/>
                <w:color w:val="000000"/>
                <w:sz w:val="20"/>
              </w:rPr>
              <w:t xml:space="preserve">Controlled Recurrent Payments </w:t>
            </w:r>
            <w:r w:rsidRPr="002049CF">
              <w:rPr>
                <w:rFonts w:eastAsia="Calibri" w:cs="Calibri"/>
                <w:b/>
                <w:color w:val="000000"/>
                <w:sz w:val="20"/>
                <w:vertAlign w:val="superscript"/>
              </w:rPr>
              <w:t>2</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AD718D" w:rsidRPr="002049CF" w:rsidRDefault="00AD718D" w:rsidP="00641AC8">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AD718D" w:rsidRPr="002049CF" w:rsidRDefault="00353D5D" w:rsidP="00641AC8">
            <w:pPr>
              <w:pStyle w:val="Normal4"/>
              <w:spacing w:before="0" w:after="0"/>
              <w:jc w:val="right"/>
              <w:rPr>
                <w:rFonts w:eastAsia="Calibri" w:cs="Calibri"/>
                <w:color w:val="000000"/>
                <w:sz w:val="20"/>
              </w:rPr>
            </w:pPr>
            <w:r>
              <w:rPr>
                <w:rFonts w:eastAsia="Calibri" w:cs="Calibri"/>
                <w:color w:val="000000"/>
                <w:sz w:val="20"/>
              </w:rPr>
              <w:t>1,</w:t>
            </w:r>
            <w:r w:rsidR="00AD718D" w:rsidRPr="002049CF">
              <w:rPr>
                <w:rFonts w:eastAsia="Calibri" w:cs="Calibri"/>
                <w:color w:val="000000"/>
                <w:sz w:val="20"/>
              </w:rPr>
              <w:t>343</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AD718D" w:rsidRPr="002049CF" w:rsidRDefault="00AD718D" w:rsidP="00353D5D">
            <w:pPr>
              <w:pStyle w:val="Normal4"/>
              <w:spacing w:before="0" w:after="0"/>
              <w:jc w:val="right"/>
              <w:rPr>
                <w:rFonts w:eastAsia="Calibri" w:cs="Calibri"/>
                <w:color w:val="000000"/>
                <w:sz w:val="20"/>
              </w:rPr>
            </w:pPr>
            <w:r w:rsidRPr="002049CF">
              <w:rPr>
                <w:rFonts w:eastAsia="Calibri" w:cs="Calibri"/>
                <w:color w:val="000000"/>
                <w:sz w:val="20"/>
              </w:rPr>
              <w:t>4</w:t>
            </w:r>
            <w:r w:rsidR="00353D5D">
              <w:rPr>
                <w:rFonts w:eastAsia="Calibri" w:cs="Calibri"/>
                <w:color w:val="000000"/>
                <w:sz w:val="20"/>
              </w:rPr>
              <w:t>,</w:t>
            </w:r>
            <w:r w:rsidRPr="002049CF">
              <w:rPr>
                <w:rFonts w:eastAsia="Calibri" w:cs="Calibri"/>
                <w:color w:val="000000"/>
                <w:sz w:val="20"/>
              </w:rPr>
              <w:t>671</w:t>
            </w:r>
          </w:p>
        </w:tc>
      </w:tr>
    </w:tbl>
    <w:p w:rsidR="0058349F" w:rsidRDefault="0058349F" w:rsidP="0058349F">
      <w:pPr>
        <w:pStyle w:val="BSnote1"/>
      </w:pPr>
      <w:r>
        <w:t>Notes:</w:t>
      </w:r>
    </w:p>
    <w:p w:rsidR="0058349F" w:rsidRDefault="0058349F" w:rsidP="0058349F">
      <w:pPr>
        <w:pStyle w:val="BSnoteslist10"/>
        <w:numPr>
          <w:ilvl w:val="0"/>
          <w:numId w:val="20"/>
        </w:numPr>
      </w:pPr>
      <w:r>
        <w:t xml:space="preserve">This is a new Output following the Administrative Arrangements transferring the Coordinator-General for Family Safety from Justice and Community Safety Directorate to </w:t>
      </w:r>
      <w:r w:rsidR="00353D5D">
        <w:t>the Directorate</w:t>
      </w:r>
      <w:r>
        <w:t xml:space="preserve">. </w:t>
      </w:r>
    </w:p>
    <w:p w:rsidR="0058349F" w:rsidRDefault="0058349F" w:rsidP="0058349F">
      <w:pPr>
        <w:pStyle w:val="BSnoteslist10"/>
        <w:numPr>
          <w:ilvl w:val="0"/>
          <w:numId w:val="20"/>
        </w:numPr>
        <w:rPr>
          <w:b/>
        </w:rPr>
      </w:pPr>
      <w:r>
        <w:t>The increase in the 2018-19 budget from the 2017-18 estimated outcome is due to Family Safety Innovation Hub resources and additional resources in supporting increased demand for frontline crisis services.</w:t>
      </w:r>
    </w:p>
    <w:p w:rsidR="0058349F" w:rsidRPr="00AD718D" w:rsidRDefault="0058349F" w:rsidP="0058349F">
      <w:pPr>
        <w:pStyle w:val="Heading31"/>
      </w:pPr>
      <w:bookmarkStart w:id="31" w:name="_Toc514926334"/>
      <w:r>
        <w:t xml:space="preserve">Output Class 3: </w:t>
      </w:r>
      <w:r w:rsidR="00617363">
        <w:t xml:space="preserve">Children, Youth and Families </w:t>
      </w:r>
      <w:r w:rsidRPr="00AD718D">
        <w:rPr>
          <w:vertAlign w:val="superscript"/>
        </w:rPr>
        <w:t>1</w:t>
      </w:r>
      <w:bookmarkEnd w:id="31"/>
    </w:p>
    <w:p w:rsidR="0058349F" w:rsidRDefault="0058349F" w:rsidP="0058349F">
      <w:pPr>
        <w:pStyle w:val="Caption0"/>
      </w:pPr>
      <w:r w:rsidRPr="00AD718D">
        <w:t xml:space="preserve">Table </w:t>
      </w:r>
      <w:r w:rsidR="00AD718D" w:rsidRPr="00AD718D">
        <w:t>12</w:t>
      </w:r>
      <w:r w:rsidR="00617363">
        <w:t>: Output Class 3: Children, Youth and Families</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r w:rsidR="00F14CFA" w:rsidRPr="002049CF">
              <w:rPr>
                <w:rFonts w:eastAsia="Calibri" w:cs="Calibri"/>
                <w:b/>
                <w:color w:val="000000"/>
                <w:sz w:val="20"/>
              </w:rPr>
              <w:t xml:space="preserve"> </w:t>
            </w:r>
            <w:r w:rsidR="00F14CFA" w:rsidRPr="002049CF">
              <w:rPr>
                <w:rFonts w:eastAsia="Calibri" w:cs="Calibri"/>
                <w:b/>
                <w:color w:val="000000"/>
                <w:sz w:val="20"/>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101</w:t>
            </w:r>
            <w:r w:rsidR="00353D5D">
              <w:rPr>
                <w:rFonts w:eastAsia="Calibri" w:cs="Calibri"/>
                <w:color w:val="000000"/>
                <w:sz w:val="20"/>
              </w:rPr>
              <w:t>,</w:t>
            </w:r>
            <w:r w:rsidRPr="002049CF">
              <w:rPr>
                <w:rFonts w:eastAsia="Calibri" w:cs="Calibri"/>
                <w:color w:val="000000"/>
                <w:sz w:val="20"/>
              </w:rPr>
              <w:t>961</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113</w:t>
            </w:r>
            <w:r w:rsidR="00353D5D">
              <w:rPr>
                <w:rFonts w:eastAsia="Calibri" w:cs="Calibri"/>
                <w:color w:val="000000"/>
                <w:sz w:val="20"/>
              </w:rPr>
              <w:t>,</w:t>
            </w:r>
            <w:r w:rsidRPr="002049CF">
              <w:rPr>
                <w:rFonts w:eastAsia="Calibri" w:cs="Calibri"/>
                <w:color w:val="000000"/>
                <w:sz w:val="20"/>
              </w:rPr>
              <w:t>804</w:t>
            </w:r>
          </w:p>
        </w:tc>
      </w:tr>
      <w:tr w:rsidR="001651E4" w:rsidTr="00AD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F14CFA">
            <w:pPr>
              <w:pStyle w:val="Normal4"/>
              <w:spacing w:before="0" w:after="0"/>
              <w:rPr>
                <w:rFonts w:eastAsia="Calibri" w:cs="Calibri"/>
                <w:b/>
                <w:color w:val="000000"/>
                <w:sz w:val="20"/>
                <w:vertAlign w:val="superscript"/>
              </w:rPr>
            </w:pPr>
            <w:r w:rsidRPr="002049CF">
              <w:rPr>
                <w:rFonts w:eastAsia="Calibri" w:cs="Calibri"/>
                <w:b/>
                <w:color w:val="000000"/>
                <w:sz w:val="20"/>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98</w:t>
            </w:r>
            <w:r w:rsidR="00353D5D">
              <w:rPr>
                <w:rFonts w:eastAsia="Calibri" w:cs="Calibri"/>
                <w:color w:val="000000"/>
                <w:sz w:val="20"/>
              </w:rPr>
              <w:t>,</w:t>
            </w:r>
            <w:r w:rsidRPr="002049CF">
              <w:rPr>
                <w:rFonts w:eastAsia="Calibri" w:cs="Calibri"/>
                <w:color w:val="000000"/>
                <w:sz w:val="20"/>
              </w:rPr>
              <w:t>546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353D5D">
            <w:pPr>
              <w:pStyle w:val="Normal4"/>
              <w:spacing w:before="0" w:after="0"/>
              <w:jc w:val="right"/>
              <w:rPr>
                <w:rFonts w:eastAsia="Calibri" w:cs="Calibri"/>
                <w:color w:val="000000"/>
                <w:sz w:val="20"/>
              </w:rPr>
            </w:pPr>
            <w:r w:rsidRPr="002049CF">
              <w:rPr>
                <w:rFonts w:eastAsia="Calibri" w:cs="Calibri"/>
                <w:color w:val="000000"/>
                <w:sz w:val="20"/>
              </w:rPr>
              <w:t>109</w:t>
            </w:r>
            <w:r w:rsidR="00353D5D">
              <w:rPr>
                <w:rFonts w:eastAsia="Calibri" w:cs="Calibri"/>
                <w:color w:val="000000"/>
                <w:sz w:val="20"/>
              </w:rPr>
              <w:t>,</w:t>
            </w:r>
            <w:r w:rsidRPr="002049CF">
              <w:rPr>
                <w:rFonts w:eastAsia="Calibri" w:cs="Calibri"/>
                <w:color w:val="000000"/>
                <w:sz w:val="20"/>
              </w:rPr>
              <w:t>389</w:t>
            </w:r>
          </w:p>
        </w:tc>
      </w:tr>
    </w:tbl>
    <w:p w:rsidR="0058349F" w:rsidRDefault="0058349F" w:rsidP="0058349F">
      <w:pPr>
        <w:pStyle w:val="BSnote1"/>
      </w:pPr>
      <w:r>
        <w:t>Notes:</w:t>
      </w:r>
    </w:p>
    <w:p w:rsidR="0058349F" w:rsidRDefault="0058349F" w:rsidP="0058349F">
      <w:pPr>
        <w:pStyle w:val="BSnoteslist10"/>
        <w:numPr>
          <w:ilvl w:val="0"/>
          <w:numId w:val="21"/>
        </w:numPr>
        <w:rPr>
          <w:b/>
        </w:rPr>
      </w:pPr>
      <w:r>
        <w:t>This Output Class was previously Output Class 3 Child and Youth Protection Services. The Output Class has been renamed following the transfer of Child and Family Centres in Output 2.1 Early Intervention Services and Output 2.2 Child Development Services.</w:t>
      </w:r>
    </w:p>
    <w:p w:rsidR="0058349F" w:rsidRDefault="0058349F" w:rsidP="0058349F">
      <w:pPr>
        <w:pStyle w:val="BSnoteslist10"/>
        <w:numPr>
          <w:ilvl w:val="0"/>
          <w:numId w:val="21"/>
        </w:numPr>
        <w:rPr>
          <w:b/>
        </w:rPr>
      </w:pPr>
      <w:r>
        <w:t xml:space="preserve">Total cost </w:t>
      </w:r>
      <w:r>
        <w:rPr>
          <w:szCs w:val="16"/>
        </w:rPr>
        <w:t>includes</w:t>
      </w:r>
      <w:r>
        <w:t xml:space="preserve"> depreciation and amortisation of $1.439 million in 2017-18 and $2.589 million in 2018-19.</w:t>
      </w:r>
    </w:p>
    <w:p w:rsidR="0058349F" w:rsidRDefault="0058349F" w:rsidP="0058349F">
      <w:pPr>
        <w:pStyle w:val="Heading40"/>
      </w:pPr>
      <w:r w:rsidRPr="00AD718D">
        <w:t>Output 3.1: Child and Family Centres</w:t>
      </w:r>
      <w:r w:rsidRPr="00AD718D">
        <w:rPr>
          <w:color w:val="000000"/>
          <w:szCs w:val="24"/>
          <w:lang w:eastAsia="en-AU"/>
        </w:rPr>
        <w:t xml:space="preserve"> </w:t>
      </w:r>
      <w:r w:rsidRPr="00AD718D">
        <w:rPr>
          <w:vertAlign w:val="superscript"/>
        </w:rPr>
        <w:t>1</w:t>
      </w:r>
    </w:p>
    <w:p w:rsidR="0058349F" w:rsidRPr="00AD718D" w:rsidRDefault="0058349F" w:rsidP="0058349F">
      <w:pPr>
        <w:pStyle w:val="Normal30"/>
      </w:pPr>
      <w:r>
        <w:t xml:space="preserve">Early intervention and prevention services are provided through a universal platform with targeted services for vulnerable families. Services provided include parenting tip sheets, sustained home visiting, parenting advice and support services, specialist clinical services, community development and community education. Services are delivered in partnership </w:t>
      </w:r>
      <w:r w:rsidRPr="00AD718D">
        <w:t>with other agencies, local community organisations and service providers.</w:t>
      </w:r>
    </w:p>
    <w:p w:rsidR="0058349F" w:rsidRPr="00B86090" w:rsidRDefault="0058349F" w:rsidP="0058349F">
      <w:pPr>
        <w:pStyle w:val="BSbullet10"/>
        <w:keepNext/>
        <w:keepLines/>
        <w:numPr>
          <w:ilvl w:val="0"/>
          <w:numId w:val="0"/>
        </w:numPr>
        <w:jc w:val="left"/>
        <w:rPr>
          <w:b/>
        </w:rPr>
      </w:pPr>
      <w:r w:rsidRPr="00AD718D">
        <w:rPr>
          <w:b/>
        </w:rPr>
        <w:t xml:space="preserve">Table </w:t>
      </w:r>
      <w:r w:rsidR="00AD718D" w:rsidRPr="00AD718D">
        <w:rPr>
          <w:b/>
        </w:rPr>
        <w:t>13</w:t>
      </w:r>
      <w:r w:rsidRPr="00AD718D">
        <w:rPr>
          <w:b/>
        </w:rPr>
        <w:t>: Output 3.1:  Child and Family Centres</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r w:rsidR="00F14CFA" w:rsidRPr="002049CF">
              <w:rPr>
                <w:rFonts w:eastAsia="Calibri" w:cs="Calibri"/>
                <w:b/>
                <w:color w:val="000000"/>
                <w:sz w:val="20"/>
              </w:rPr>
              <w:t xml:space="preserve">  </w:t>
            </w:r>
            <w:r w:rsidR="00F14CFA" w:rsidRPr="002049CF">
              <w:rPr>
                <w:rFonts w:eastAsia="Calibri" w:cs="Calibri"/>
                <w:b/>
                <w:color w:val="000000"/>
                <w:sz w:val="20"/>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6,</w:t>
            </w:r>
            <w:r w:rsidR="00AD718D" w:rsidRPr="002049CF">
              <w:rPr>
                <w:rFonts w:eastAsia="Calibri" w:cs="Calibri"/>
                <w:color w:val="000000"/>
                <w:sz w:val="20"/>
              </w:rPr>
              <w:t>237</w:t>
            </w:r>
          </w:p>
        </w:tc>
      </w:tr>
      <w:tr w:rsidR="001651E4" w:rsidTr="00AD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rPr>
                <w:rFonts w:eastAsia="Calibri" w:cs="Calibri"/>
                <w:b/>
                <w:color w:val="000000"/>
                <w:sz w:val="20"/>
                <w:vertAlign w:val="superscript"/>
              </w:rPr>
            </w:pPr>
            <w:r w:rsidRPr="002049CF">
              <w:rPr>
                <w:rFonts w:eastAsia="Calibri" w:cs="Calibri"/>
                <w:b/>
                <w:color w:val="000000"/>
                <w:sz w:val="20"/>
              </w:rPr>
              <w:t>Controlled Recurrent Payments</w:t>
            </w:r>
            <w:r w:rsidR="00AD718D" w:rsidRPr="002049CF">
              <w:rPr>
                <w:rFonts w:eastAsia="Calibri" w:cs="Calibri"/>
                <w:b/>
                <w:color w:val="000000"/>
                <w:sz w:val="20"/>
              </w:rPr>
              <w:t xml:space="preserve"> </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AD718D" w:rsidP="00353D5D">
            <w:pPr>
              <w:pStyle w:val="Normal4"/>
              <w:spacing w:before="0" w:after="0"/>
              <w:jc w:val="right"/>
              <w:rPr>
                <w:rFonts w:eastAsia="Calibri" w:cs="Calibri"/>
                <w:color w:val="000000"/>
                <w:sz w:val="20"/>
              </w:rPr>
            </w:pPr>
            <w:r w:rsidRPr="002049CF">
              <w:rPr>
                <w:rFonts w:eastAsia="Calibri" w:cs="Calibri"/>
                <w:color w:val="000000"/>
                <w:sz w:val="20"/>
              </w:rPr>
              <w:t>5</w:t>
            </w:r>
            <w:r w:rsidR="00353D5D">
              <w:rPr>
                <w:rFonts w:eastAsia="Calibri" w:cs="Calibri"/>
                <w:color w:val="000000"/>
                <w:sz w:val="20"/>
              </w:rPr>
              <w:t>,</w:t>
            </w:r>
            <w:r w:rsidRPr="002049CF">
              <w:rPr>
                <w:rFonts w:eastAsia="Calibri" w:cs="Calibri"/>
                <w:color w:val="000000"/>
                <w:sz w:val="20"/>
              </w:rPr>
              <w:t>940</w:t>
            </w:r>
          </w:p>
        </w:tc>
      </w:tr>
    </w:tbl>
    <w:p w:rsidR="0058349F" w:rsidRDefault="0058349F" w:rsidP="0058349F">
      <w:pPr>
        <w:pStyle w:val="BSnote1"/>
      </w:pPr>
      <w:r>
        <w:t>Notes:</w:t>
      </w:r>
    </w:p>
    <w:p w:rsidR="0058349F" w:rsidRDefault="0058349F" w:rsidP="0058349F">
      <w:pPr>
        <w:pStyle w:val="BSnoteslist10"/>
        <w:numPr>
          <w:ilvl w:val="0"/>
          <w:numId w:val="22"/>
        </w:numPr>
      </w:pPr>
      <w:r>
        <w:t xml:space="preserve">This Output </w:t>
      </w:r>
      <w:r w:rsidR="00AD718D">
        <w:t xml:space="preserve">transferred from </w:t>
      </w:r>
      <w:r>
        <w:t>Output 2.1 Early Intervention Services.</w:t>
      </w:r>
    </w:p>
    <w:p w:rsidR="0058349F" w:rsidRDefault="0058349F" w:rsidP="0058349F">
      <w:pPr>
        <w:pStyle w:val="BSnoteslist10"/>
        <w:numPr>
          <w:ilvl w:val="0"/>
          <w:numId w:val="22"/>
        </w:numPr>
      </w:pPr>
      <w:r>
        <w:t xml:space="preserve">Total cost </w:t>
      </w:r>
      <w:r>
        <w:rPr>
          <w:szCs w:val="16"/>
        </w:rPr>
        <w:t>includes</w:t>
      </w:r>
      <w:r>
        <w:t xml:space="preserve"> depreciation of $0.215 million in 2018-19.</w:t>
      </w:r>
    </w:p>
    <w:p w:rsidR="0058349F" w:rsidRPr="00AD718D" w:rsidRDefault="0058349F" w:rsidP="0058349F">
      <w:pPr>
        <w:pStyle w:val="Heading40"/>
      </w:pPr>
      <w:r>
        <w:t xml:space="preserve">Output 3.2: </w:t>
      </w:r>
      <w:r w:rsidRPr="00AD718D">
        <w:t>Child Development Services</w:t>
      </w:r>
      <w:r w:rsidRPr="00AD718D">
        <w:rPr>
          <w:color w:val="000000"/>
          <w:szCs w:val="24"/>
          <w:lang w:eastAsia="en-AU"/>
        </w:rPr>
        <w:t xml:space="preserve"> </w:t>
      </w:r>
      <w:r w:rsidRPr="00AD718D">
        <w:rPr>
          <w:vertAlign w:val="superscript"/>
        </w:rPr>
        <w:t>1</w:t>
      </w:r>
    </w:p>
    <w:p w:rsidR="0058349F" w:rsidRPr="00AD718D" w:rsidRDefault="0058349F" w:rsidP="0058349F">
      <w:pPr>
        <w:pStyle w:val="Normal30"/>
        <w:rPr>
          <w:szCs w:val="24"/>
        </w:rPr>
      </w:pPr>
      <w:r w:rsidRPr="00AD718D">
        <w:rPr>
          <w:szCs w:val="24"/>
        </w:rPr>
        <w:t>The Child Development Service has a focus on early identification and intervention and provides assessment, referral, information and linkages for children 0-6 living in the ACT, where there are concerns relating to their development. Autism assessments are provided for children up to 12 years. Children 7-8 years with complex needs who have not had a previous assessment by allied health professionals can access the service.</w:t>
      </w:r>
    </w:p>
    <w:p w:rsidR="0058349F" w:rsidRPr="00B86090" w:rsidRDefault="0058349F" w:rsidP="0058349F">
      <w:pPr>
        <w:pStyle w:val="BSbullet10"/>
        <w:keepNext/>
        <w:keepLines/>
        <w:numPr>
          <w:ilvl w:val="0"/>
          <w:numId w:val="0"/>
        </w:numPr>
        <w:jc w:val="left"/>
        <w:rPr>
          <w:b/>
        </w:rPr>
      </w:pPr>
      <w:r w:rsidRPr="00AD718D">
        <w:rPr>
          <w:b/>
        </w:rPr>
        <w:t xml:space="preserve">Table </w:t>
      </w:r>
      <w:r w:rsidR="00AD718D">
        <w:rPr>
          <w:b/>
        </w:rPr>
        <w:t>14</w:t>
      </w:r>
      <w:r w:rsidRPr="00AD718D">
        <w:rPr>
          <w:b/>
        </w:rPr>
        <w:t>: Output 3.2:  Child Development Services</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r w:rsidR="00F14CFA" w:rsidRPr="002049CF">
              <w:rPr>
                <w:rFonts w:eastAsia="Calibri" w:cs="Calibri"/>
                <w:b/>
                <w:color w:val="000000"/>
                <w:sz w:val="20"/>
              </w:rPr>
              <w:t xml:space="preserve"> </w:t>
            </w:r>
            <w:r w:rsidR="00F14CFA" w:rsidRPr="002049CF">
              <w:rPr>
                <w:rFonts w:eastAsia="Calibri" w:cs="Calibri"/>
                <w:b/>
                <w:color w:val="000000"/>
                <w:sz w:val="20"/>
                <w:vertAlign w:val="superscript"/>
              </w:rPr>
              <w:t>2</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4,</w:t>
            </w:r>
            <w:r w:rsidR="00AD718D" w:rsidRPr="002049CF">
              <w:rPr>
                <w:rFonts w:eastAsia="Calibri" w:cs="Calibri"/>
                <w:color w:val="000000"/>
                <w:sz w:val="20"/>
              </w:rPr>
              <w:t>581</w:t>
            </w:r>
          </w:p>
        </w:tc>
      </w:tr>
      <w:tr w:rsidR="001651E4" w:rsidTr="00AD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F14CFA">
            <w:pPr>
              <w:pStyle w:val="Normal4"/>
              <w:spacing w:before="0" w:after="0"/>
              <w:rPr>
                <w:rFonts w:eastAsia="Calibri" w:cs="Calibri"/>
                <w:b/>
                <w:color w:val="000000"/>
                <w:sz w:val="20"/>
                <w:vertAlign w:val="superscript"/>
              </w:rPr>
            </w:pPr>
            <w:r w:rsidRPr="002049CF">
              <w:rPr>
                <w:rFonts w:eastAsia="Calibri" w:cs="Calibri"/>
                <w:b/>
                <w:color w:val="000000"/>
                <w:sz w:val="20"/>
              </w:rPr>
              <w:t>Controlled Recurrent Payments</w:t>
            </w:r>
            <w:r w:rsidR="00AD718D" w:rsidRPr="002049CF">
              <w:rPr>
                <w:rFonts w:eastAsia="Calibri" w:cs="Calibri"/>
                <w:b/>
                <w:color w:val="000000"/>
                <w:sz w:val="20"/>
              </w:rPr>
              <w:t xml:space="preserve"> </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pPr>
              <w:pStyle w:val="Normal4"/>
              <w:spacing w:before="0" w:after="0"/>
              <w:jc w:val="right"/>
              <w:rPr>
                <w:rFonts w:eastAsia="Calibri" w:cs="Calibri"/>
                <w:color w:val="000000"/>
                <w:sz w:val="20"/>
              </w:rPr>
            </w:pPr>
            <w:r w:rsidRPr="002049CF">
              <w:rPr>
                <w:rFonts w:eastAsia="Calibri" w:cs="Calibri"/>
                <w:color w:val="000000"/>
                <w:sz w:val="20"/>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4,</w:t>
            </w:r>
            <w:r w:rsidR="00AD718D" w:rsidRPr="002049CF">
              <w:rPr>
                <w:rFonts w:eastAsia="Calibri" w:cs="Calibri"/>
                <w:color w:val="000000"/>
                <w:sz w:val="20"/>
              </w:rPr>
              <w:t>275</w:t>
            </w:r>
          </w:p>
        </w:tc>
      </w:tr>
    </w:tbl>
    <w:p w:rsidR="0058349F" w:rsidRDefault="0058349F" w:rsidP="0058349F">
      <w:pPr>
        <w:pStyle w:val="BSnote1"/>
      </w:pPr>
      <w:r>
        <w:t>Notes:</w:t>
      </w:r>
    </w:p>
    <w:p w:rsidR="0058349F" w:rsidRDefault="0058349F" w:rsidP="0058349F">
      <w:pPr>
        <w:pStyle w:val="BSnoteslist10"/>
        <w:numPr>
          <w:ilvl w:val="0"/>
          <w:numId w:val="23"/>
        </w:numPr>
      </w:pPr>
      <w:r>
        <w:t xml:space="preserve">This Output </w:t>
      </w:r>
      <w:r w:rsidR="00AD718D">
        <w:t xml:space="preserve">transferred from </w:t>
      </w:r>
      <w:r>
        <w:t>Output 2.2 Child Development Services.</w:t>
      </w:r>
    </w:p>
    <w:p w:rsidR="0058349F" w:rsidRDefault="0058349F" w:rsidP="0058349F">
      <w:pPr>
        <w:pStyle w:val="BSnoteslist10"/>
        <w:numPr>
          <w:ilvl w:val="0"/>
          <w:numId w:val="23"/>
        </w:numPr>
      </w:pPr>
      <w:r>
        <w:t xml:space="preserve">Total cost </w:t>
      </w:r>
      <w:r>
        <w:rPr>
          <w:szCs w:val="16"/>
        </w:rPr>
        <w:t>includes</w:t>
      </w:r>
      <w:r>
        <w:t xml:space="preserve"> depreciation of $0.230 million in 2018-19.</w:t>
      </w:r>
    </w:p>
    <w:p w:rsidR="0058349F" w:rsidRPr="00AD718D" w:rsidRDefault="0058349F" w:rsidP="0058349F">
      <w:pPr>
        <w:pStyle w:val="Heading40"/>
      </w:pPr>
      <w:r>
        <w:t>Output 3.3</w:t>
      </w:r>
      <w:r w:rsidRPr="00AD718D">
        <w:t>: Child and Youth Protection Services</w:t>
      </w:r>
    </w:p>
    <w:p w:rsidR="0058349F" w:rsidRPr="00AD718D" w:rsidRDefault="0058349F" w:rsidP="0058349F">
      <w:pPr>
        <w:pStyle w:val="Normal30"/>
        <w:rPr>
          <w:szCs w:val="24"/>
        </w:rPr>
      </w:pPr>
      <w:r w:rsidRPr="00AD718D">
        <w:rPr>
          <w:szCs w:val="24"/>
        </w:rPr>
        <w:t>Provision of statutory child protection and youth justice services</w:t>
      </w:r>
      <w:r w:rsidR="00F14CFA">
        <w:rPr>
          <w:szCs w:val="24"/>
        </w:rPr>
        <w:t xml:space="preserve"> is</w:t>
      </w:r>
      <w:r w:rsidRPr="00AD718D">
        <w:rPr>
          <w:szCs w:val="24"/>
        </w:rPr>
        <w:t xml:space="preserve"> aimed at improving and promoting the safety and the wellbeing of children, young people, their families and the community.</w:t>
      </w:r>
    </w:p>
    <w:p w:rsidR="0058349F" w:rsidRPr="00B86090" w:rsidRDefault="0058349F" w:rsidP="0058349F">
      <w:pPr>
        <w:pStyle w:val="BSbullet10"/>
        <w:keepNext/>
        <w:keepLines/>
        <w:numPr>
          <w:ilvl w:val="0"/>
          <w:numId w:val="0"/>
        </w:numPr>
        <w:jc w:val="left"/>
        <w:rPr>
          <w:b/>
        </w:rPr>
      </w:pPr>
      <w:r w:rsidRPr="00AD718D">
        <w:rPr>
          <w:b/>
        </w:rPr>
        <w:t xml:space="preserve">Table </w:t>
      </w:r>
      <w:r w:rsidR="00AD718D">
        <w:rPr>
          <w:b/>
        </w:rPr>
        <w:t>15</w:t>
      </w:r>
      <w:r w:rsidRPr="00AD718D">
        <w:rPr>
          <w:b/>
        </w:rPr>
        <w:t>: Output 3.3:  Child and Youth Protection Services</w:t>
      </w:r>
    </w:p>
    <w:tbl>
      <w:tblPr>
        <w:tblW w:w="9060" w:type="dxa"/>
        <w:tblLayout w:type="fixed"/>
        <w:tblLook w:val="0600" w:firstRow="0" w:lastRow="0" w:firstColumn="0" w:lastColumn="0" w:noHBand="1" w:noVBand="1"/>
      </w:tblPr>
      <w:tblGrid>
        <w:gridCol w:w="4695"/>
        <w:gridCol w:w="540"/>
        <w:gridCol w:w="2175"/>
        <w:gridCol w:w="1650"/>
      </w:tblGrid>
      <w:tr w:rsidR="001651E4">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2018-19</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nil"/>
              <w:right w:val="nil"/>
              <w:tl2br w:val="nil"/>
              <w:tr2bl w:val="nil"/>
            </w:tcBorders>
            <w:shd w:val="clear" w:color="auto" w:fill="auto"/>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Budget</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1651E4" w:rsidRPr="002049CF" w:rsidRDefault="0058349F">
            <w:pPr>
              <w:pStyle w:val="Normal4"/>
              <w:spacing w:before="0" w:after="0"/>
              <w:jc w:val="right"/>
              <w:rPr>
                <w:rFonts w:eastAsia="Calibri" w:cs="Calibri"/>
                <w:b/>
                <w:color w:val="000000"/>
                <w:sz w:val="20"/>
              </w:rPr>
            </w:pPr>
            <w:r w:rsidRPr="002049CF">
              <w:rPr>
                <w:rFonts w:eastAsia="Calibri" w:cs="Calibri"/>
                <w:b/>
                <w:color w:val="000000"/>
                <w:sz w:val="20"/>
              </w:rPr>
              <w:t>$'000</w:t>
            </w:r>
          </w:p>
        </w:tc>
      </w:tr>
      <w:tr w:rsidR="00165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58349F">
            <w:pPr>
              <w:pStyle w:val="Normal4"/>
              <w:spacing w:before="0" w:after="0"/>
              <w:rPr>
                <w:rFonts w:eastAsia="Calibri" w:cs="Calibri"/>
                <w:b/>
                <w:color w:val="000000"/>
                <w:sz w:val="20"/>
              </w:rPr>
            </w:pPr>
            <w:r w:rsidRPr="002049CF">
              <w:rPr>
                <w:rFonts w:eastAsia="Calibri" w:cs="Calibri"/>
                <w:b/>
                <w:color w:val="000000"/>
                <w:sz w:val="20"/>
              </w:rPr>
              <w:t>Total Cost</w:t>
            </w:r>
            <w:r w:rsidR="00F14CFA" w:rsidRPr="002049CF">
              <w:rPr>
                <w:rFonts w:eastAsia="Calibri" w:cs="Calibri"/>
                <w:b/>
                <w:color w:val="000000"/>
                <w:sz w:val="20"/>
              </w:rPr>
              <w:t xml:space="preserve"> </w:t>
            </w:r>
            <w:r w:rsidR="00F14CFA" w:rsidRPr="002049CF">
              <w:rPr>
                <w:rFonts w:eastAsia="Calibri" w:cs="Calibri"/>
                <w:b/>
                <w:color w:val="000000"/>
                <w:sz w:val="20"/>
                <w:vertAlign w:val="superscript"/>
              </w:rPr>
              <w:t>1</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1651E4">
            <w:pPr>
              <w:pStyle w:val="Normal4"/>
              <w:spacing w:before="0" w:after="0"/>
              <w:rPr>
                <w:rFonts w:eastAsia="Calibri" w:cs="Calibri"/>
                <w:b/>
                <w:color w:val="000000"/>
                <w:sz w:val="20"/>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101,</w:t>
            </w:r>
            <w:r w:rsidR="0058349F" w:rsidRPr="002049CF">
              <w:rPr>
                <w:rFonts w:eastAsia="Calibri" w:cs="Calibri"/>
                <w:color w:val="000000"/>
                <w:sz w:val="20"/>
              </w:rPr>
              <w:t>961</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1651E4" w:rsidRPr="002049CF" w:rsidRDefault="00AD718D" w:rsidP="00353D5D">
            <w:pPr>
              <w:pStyle w:val="Normal4"/>
              <w:spacing w:before="0" w:after="0"/>
              <w:jc w:val="right"/>
              <w:rPr>
                <w:rFonts w:eastAsia="Calibri" w:cs="Calibri"/>
                <w:color w:val="000000"/>
                <w:sz w:val="20"/>
              </w:rPr>
            </w:pPr>
            <w:r w:rsidRPr="002049CF">
              <w:rPr>
                <w:rFonts w:eastAsia="Calibri" w:cs="Calibri"/>
                <w:color w:val="000000"/>
                <w:sz w:val="20"/>
              </w:rPr>
              <w:t>102</w:t>
            </w:r>
            <w:r w:rsidR="00353D5D">
              <w:rPr>
                <w:rFonts w:eastAsia="Calibri" w:cs="Calibri"/>
                <w:color w:val="000000"/>
                <w:sz w:val="20"/>
              </w:rPr>
              <w:t>,</w:t>
            </w:r>
            <w:r w:rsidRPr="002049CF">
              <w:rPr>
                <w:rFonts w:eastAsia="Calibri" w:cs="Calibri"/>
                <w:color w:val="000000"/>
                <w:sz w:val="20"/>
              </w:rPr>
              <w:t>986</w:t>
            </w:r>
          </w:p>
        </w:tc>
      </w:tr>
      <w:tr w:rsidR="001651E4" w:rsidTr="00AD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58349F" w:rsidP="00F14CFA">
            <w:pPr>
              <w:pStyle w:val="Normal4"/>
              <w:spacing w:before="0" w:after="0"/>
              <w:rPr>
                <w:rFonts w:eastAsia="Calibri" w:cs="Calibri"/>
                <w:b/>
                <w:color w:val="000000"/>
                <w:sz w:val="20"/>
                <w:vertAlign w:val="superscript"/>
              </w:rPr>
            </w:pPr>
            <w:r w:rsidRPr="002049CF">
              <w:rPr>
                <w:rFonts w:eastAsia="Calibri" w:cs="Calibri"/>
                <w:b/>
                <w:color w:val="000000"/>
                <w:sz w:val="20"/>
              </w:rPr>
              <w:t>Controlled Recurrent Payments</w:t>
            </w:r>
            <w:r w:rsidR="00AD718D" w:rsidRPr="002049CF">
              <w:rPr>
                <w:rFonts w:eastAsia="Calibri" w:cs="Calibri"/>
                <w:b/>
                <w:color w:val="000000"/>
                <w:sz w:val="20"/>
              </w:rPr>
              <w:t xml:space="preserve"> </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1651E4">
            <w:pPr>
              <w:pStyle w:val="Normal4"/>
              <w:spacing w:before="0" w:after="0"/>
              <w:rPr>
                <w:rFonts w:eastAsia="Calibri" w:cs="Calibri"/>
                <w:b/>
                <w:color w:val="000000"/>
                <w:sz w:val="20"/>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353D5D">
            <w:pPr>
              <w:pStyle w:val="Normal4"/>
              <w:spacing w:before="0" w:after="0"/>
              <w:jc w:val="right"/>
              <w:rPr>
                <w:rFonts w:eastAsia="Calibri" w:cs="Calibri"/>
                <w:color w:val="000000"/>
                <w:sz w:val="20"/>
              </w:rPr>
            </w:pPr>
            <w:r>
              <w:rPr>
                <w:rFonts w:eastAsia="Calibri" w:cs="Calibri"/>
                <w:color w:val="000000"/>
                <w:sz w:val="20"/>
              </w:rPr>
              <w:t>98,</w:t>
            </w:r>
            <w:r w:rsidR="0058349F" w:rsidRPr="002049CF">
              <w:rPr>
                <w:rFonts w:eastAsia="Calibri" w:cs="Calibri"/>
                <w:color w:val="000000"/>
                <w:sz w:val="20"/>
              </w:rPr>
              <w:t>546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1651E4" w:rsidRPr="002049CF" w:rsidRDefault="00AD718D" w:rsidP="00353D5D">
            <w:pPr>
              <w:pStyle w:val="Normal4"/>
              <w:spacing w:before="0" w:after="0"/>
              <w:jc w:val="right"/>
              <w:rPr>
                <w:rFonts w:eastAsia="Calibri" w:cs="Calibri"/>
                <w:color w:val="000000"/>
                <w:sz w:val="20"/>
              </w:rPr>
            </w:pPr>
            <w:r w:rsidRPr="002049CF">
              <w:rPr>
                <w:rFonts w:eastAsia="Calibri" w:cs="Calibri"/>
                <w:color w:val="000000"/>
                <w:sz w:val="20"/>
              </w:rPr>
              <w:t>99</w:t>
            </w:r>
            <w:r w:rsidR="00353D5D">
              <w:rPr>
                <w:rFonts w:eastAsia="Calibri" w:cs="Calibri"/>
                <w:color w:val="000000"/>
                <w:sz w:val="20"/>
              </w:rPr>
              <w:t>,</w:t>
            </w:r>
            <w:r w:rsidRPr="002049CF">
              <w:rPr>
                <w:rFonts w:eastAsia="Calibri" w:cs="Calibri"/>
                <w:color w:val="000000"/>
                <w:sz w:val="20"/>
              </w:rPr>
              <w:t>174</w:t>
            </w:r>
          </w:p>
        </w:tc>
      </w:tr>
    </w:tbl>
    <w:p w:rsidR="0058349F" w:rsidRDefault="0058349F" w:rsidP="0058349F">
      <w:pPr>
        <w:pStyle w:val="BSnote1"/>
      </w:pPr>
      <w:r>
        <w:t>Note:</w:t>
      </w:r>
    </w:p>
    <w:p w:rsidR="0058349F" w:rsidRDefault="0058349F" w:rsidP="0058349F">
      <w:pPr>
        <w:pStyle w:val="BSnoteslist10"/>
        <w:numPr>
          <w:ilvl w:val="0"/>
          <w:numId w:val="24"/>
        </w:numPr>
      </w:pPr>
      <w:r>
        <w:t xml:space="preserve">Total cost </w:t>
      </w:r>
      <w:r>
        <w:rPr>
          <w:szCs w:val="16"/>
        </w:rPr>
        <w:t>includes</w:t>
      </w:r>
      <w:r>
        <w:t xml:space="preserve"> depreciation and amortisation of $1.439 million in 2017-18 and $2.144 million in 2018-19.</w:t>
      </w:r>
    </w:p>
    <w:p w:rsidR="0058349F" w:rsidRDefault="0058349F" w:rsidP="0058349F">
      <w:pPr>
        <w:pStyle w:val="Normal4"/>
      </w:pPr>
    </w:p>
    <w:p w:rsidR="0058349F" w:rsidRDefault="0058349F" w:rsidP="0058349F">
      <w:pPr>
        <w:pStyle w:val="Normal4"/>
      </w:pPr>
      <w:r>
        <w:t xml:space="preserve"> </w:t>
      </w:r>
    </w:p>
    <w:p w:rsidR="0058349F" w:rsidRDefault="0058349F" w:rsidP="0058349F">
      <w:pPr>
        <w:pStyle w:val="Heading24"/>
        <w:pageBreakBefore/>
      </w:pPr>
      <w:bookmarkStart w:id="32" w:name="_Toc452467800"/>
      <w:bookmarkStart w:id="33" w:name="_Toc514926335"/>
      <w:r>
        <w:t>Accountability Indicators</w:t>
      </w:r>
      <w:bookmarkEnd w:id="32"/>
      <w:bookmarkEnd w:id="33"/>
    </w:p>
    <w:p w:rsidR="0058349F" w:rsidRPr="0026393F" w:rsidRDefault="0058349F" w:rsidP="0058349F">
      <w:pPr>
        <w:pStyle w:val="Heading32"/>
      </w:pPr>
      <w:bookmarkStart w:id="34" w:name="_Toc514926336"/>
      <w:r>
        <w:t xml:space="preserve">Output Class 1: </w:t>
      </w:r>
      <w:r w:rsidRPr="0026393F">
        <w:t>National Disability Insurance Scheme (NDIS) Implementation</w:t>
      </w:r>
      <w:bookmarkEnd w:id="34"/>
    </w:p>
    <w:p w:rsidR="0058349F" w:rsidRPr="0026393F" w:rsidRDefault="0058349F" w:rsidP="0058349F">
      <w:pPr>
        <w:pStyle w:val="Heading41"/>
      </w:pPr>
      <w:r w:rsidRPr="0026393F">
        <w:t>Output 1.1: National Disability Insurance Scheme (NDIS) Implementation</w:t>
      </w:r>
    </w:p>
    <w:p w:rsidR="0058349F" w:rsidRDefault="0058349F" w:rsidP="0058349F">
      <w:pPr>
        <w:pStyle w:val="Caption1"/>
        <w:rPr>
          <w:noProof/>
        </w:rPr>
      </w:pPr>
      <w:r w:rsidRPr="0026393F">
        <w:t xml:space="preserve">Table </w:t>
      </w:r>
      <w:r w:rsidR="0026393F" w:rsidRPr="0026393F">
        <w:t>16</w:t>
      </w:r>
      <w:r w:rsidRPr="0026393F">
        <w:rPr>
          <w:noProof/>
        </w:rPr>
        <w:t>:</w:t>
      </w:r>
      <w:r w:rsidRPr="0026393F">
        <w:t xml:space="preserve"> Accountability Indicator</w:t>
      </w:r>
      <w:r w:rsidRPr="0026393F">
        <w:rPr>
          <w:noProof/>
        </w:rPr>
        <w:t xml:space="preserve"> Output 1.1</w:t>
      </w:r>
    </w:p>
    <w:tbl>
      <w:tblPr>
        <w:tblW w:w="5000" w:type="pct"/>
        <w:tblBorders>
          <w:top w:val="single" w:sz="12" w:space="0" w:color="000000"/>
          <w:bottom w:val="single" w:sz="12" w:space="0" w:color="000000"/>
        </w:tblBorders>
        <w:tblLook w:val="04A0" w:firstRow="1" w:lastRow="0" w:firstColumn="1" w:lastColumn="0" w:noHBand="0" w:noVBand="1"/>
      </w:tblPr>
      <w:tblGrid>
        <w:gridCol w:w="5670"/>
        <w:gridCol w:w="993"/>
        <w:gridCol w:w="1276"/>
        <w:gridCol w:w="1087"/>
      </w:tblGrid>
      <w:tr w:rsidR="001651E4" w:rsidTr="0026393F">
        <w:trPr>
          <w:tblHeader/>
        </w:trPr>
        <w:tc>
          <w:tcPr>
            <w:tcW w:w="3141" w:type="pct"/>
            <w:tcBorders>
              <w:top w:val="single" w:sz="12" w:space="0" w:color="000000"/>
              <w:left w:val="nil"/>
              <w:bottom w:val="single" w:sz="12" w:space="0" w:color="000000"/>
              <w:right w:val="nil"/>
            </w:tcBorders>
          </w:tcPr>
          <w:p w:rsidR="0058349F" w:rsidRDefault="0058349F">
            <w:pPr>
              <w:pStyle w:val="BStabletext1"/>
            </w:pPr>
          </w:p>
        </w:tc>
        <w:tc>
          <w:tcPr>
            <w:tcW w:w="550"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w:t>
            </w:r>
          </w:p>
        </w:tc>
        <w:tc>
          <w:tcPr>
            <w:tcW w:w="707"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60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w:t>
            </w:r>
          </w:p>
        </w:tc>
      </w:tr>
      <w:tr w:rsidR="001651E4" w:rsidTr="0058349F">
        <w:tc>
          <w:tcPr>
            <w:tcW w:w="5000" w:type="pct"/>
            <w:gridSpan w:val="4"/>
            <w:tcBorders>
              <w:top w:val="single" w:sz="12" w:space="0" w:color="000000"/>
              <w:left w:val="nil"/>
              <w:bottom w:val="nil"/>
              <w:right w:val="nil"/>
            </w:tcBorders>
            <w:hideMark/>
          </w:tcPr>
          <w:p w:rsidR="0058349F" w:rsidRDefault="0058349F">
            <w:pPr>
              <w:pStyle w:val="BStabletext1"/>
              <w:rPr>
                <w:rStyle w:val="Strong0"/>
                <w:b/>
                <w:bCs/>
              </w:rPr>
            </w:pPr>
            <w:r>
              <w:t>National Disability Insurance Scheme (NDIS) Implementation</w:t>
            </w:r>
            <w:r>
              <w:rPr>
                <w:rStyle w:val="Strong0"/>
                <w:b/>
              </w:rPr>
              <w:t xml:space="preserve"> </w:t>
            </w:r>
          </w:p>
        </w:tc>
      </w:tr>
      <w:tr w:rsidR="001651E4" w:rsidTr="0026393F">
        <w:trPr>
          <w:trHeight w:val="283"/>
        </w:trPr>
        <w:tc>
          <w:tcPr>
            <w:tcW w:w="3141" w:type="pct"/>
            <w:tcBorders>
              <w:top w:val="nil"/>
              <w:left w:val="nil"/>
              <w:bottom w:val="single" w:sz="12" w:space="0" w:color="auto"/>
              <w:right w:val="nil"/>
            </w:tcBorders>
            <w:hideMark/>
          </w:tcPr>
          <w:p w:rsidR="0058349F" w:rsidRDefault="0058349F" w:rsidP="0026393F">
            <w:pPr>
              <w:pStyle w:val="BStablelist"/>
              <w:numPr>
                <w:ilvl w:val="0"/>
                <w:numId w:val="50"/>
              </w:numPr>
              <w:rPr>
                <w:b/>
              </w:rPr>
            </w:pPr>
            <w:r>
              <w:t xml:space="preserve">12 monthly payments on behalf of the Territory to the Commonwealth for the National Disability Insurance Scheme </w:t>
            </w:r>
            <w:r>
              <w:rPr>
                <w:vertAlign w:val="superscript"/>
              </w:rPr>
              <w:t>1</w:t>
            </w:r>
          </w:p>
        </w:tc>
        <w:tc>
          <w:tcPr>
            <w:tcW w:w="550" w:type="pct"/>
            <w:tcBorders>
              <w:top w:val="nil"/>
              <w:left w:val="nil"/>
              <w:bottom w:val="single" w:sz="12" w:space="0" w:color="auto"/>
              <w:right w:val="nil"/>
            </w:tcBorders>
            <w:vAlign w:val="center"/>
            <w:hideMark/>
          </w:tcPr>
          <w:p w:rsidR="0058349F" w:rsidRDefault="0058349F">
            <w:pPr>
              <w:pStyle w:val="BStablefigures1"/>
              <w:rPr>
                <w:b w:val="0"/>
              </w:rPr>
            </w:pPr>
            <w:r>
              <w:rPr>
                <w:b w:val="0"/>
              </w:rPr>
              <w:t>12</w:t>
            </w:r>
          </w:p>
        </w:tc>
        <w:tc>
          <w:tcPr>
            <w:tcW w:w="707" w:type="pct"/>
            <w:tcBorders>
              <w:top w:val="nil"/>
              <w:left w:val="nil"/>
              <w:bottom w:val="single" w:sz="12" w:space="0" w:color="auto"/>
              <w:right w:val="nil"/>
            </w:tcBorders>
            <w:vAlign w:val="center"/>
            <w:hideMark/>
          </w:tcPr>
          <w:p w:rsidR="0058349F" w:rsidRDefault="0058349F">
            <w:pPr>
              <w:pStyle w:val="BStablefigures1"/>
              <w:rPr>
                <w:b w:val="0"/>
              </w:rPr>
            </w:pPr>
            <w:r>
              <w:rPr>
                <w:b w:val="0"/>
              </w:rPr>
              <w:t>12</w:t>
            </w:r>
          </w:p>
        </w:tc>
        <w:tc>
          <w:tcPr>
            <w:tcW w:w="602" w:type="pct"/>
            <w:tcBorders>
              <w:top w:val="nil"/>
              <w:left w:val="nil"/>
              <w:bottom w:val="single" w:sz="12" w:space="0" w:color="auto"/>
              <w:right w:val="nil"/>
            </w:tcBorders>
            <w:vAlign w:val="center"/>
            <w:hideMark/>
          </w:tcPr>
          <w:p w:rsidR="0058349F" w:rsidRDefault="0058349F">
            <w:pPr>
              <w:pStyle w:val="BStablefigures1"/>
              <w:rPr>
                <w:b w:val="0"/>
              </w:rPr>
            </w:pPr>
            <w:r>
              <w:rPr>
                <w:b w:val="0"/>
              </w:rPr>
              <w:t>12</w:t>
            </w:r>
          </w:p>
        </w:tc>
      </w:tr>
    </w:tbl>
    <w:p w:rsidR="0058349F" w:rsidRDefault="0058349F" w:rsidP="0058349F">
      <w:pPr>
        <w:pStyle w:val="BSnote2"/>
      </w:pPr>
      <w:r>
        <w:t>Note:</w:t>
      </w:r>
    </w:p>
    <w:p w:rsidR="0058349F" w:rsidRDefault="0058349F" w:rsidP="0026393F">
      <w:pPr>
        <w:pStyle w:val="BSnoteslist2"/>
        <w:numPr>
          <w:ilvl w:val="0"/>
          <w:numId w:val="51"/>
        </w:numPr>
      </w:pPr>
      <w:r>
        <w:t xml:space="preserve">The 2017-18 target was created under Section 19D of the </w:t>
      </w:r>
      <w:r w:rsidRPr="0026393F">
        <w:rPr>
          <w:i/>
        </w:rPr>
        <w:t>Financial Management Act 1996</w:t>
      </w:r>
      <w:r>
        <w:t>.    </w:t>
      </w:r>
    </w:p>
    <w:p w:rsidR="0058349F" w:rsidRPr="0026393F" w:rsidRDefault="0058349F" w:rsidP="0058349F">
      <w:pPr>
        <w:pStyle w:val="Heading32"/>
      </w:pPr>
      <w:bookmarkStart w:id="35" w:name="_Toc514926337"/>
      <w:r>
        <w:t xml:space="preserve">Output Class 2: </w:t>
      </w:r>
      <w:r w:rsidRPr="00F14CFA">
        <w:t>Strateg</w:t>
      </w:r>
      <w:r w:rsidR="00F14CFA" w:rsidRPr="00F14CFA">
        <w:t xml:space="preserve">ic Policy, Inclusion and </w:t>
      </w:r>
      <w:r w:rsidRPr="00F14CFA">
        <w:t>Participation</w:t>
      </w:r>
      <w:bookmarkEnd w:id="35"/>
    </w:p>
    <w:p w:rsidR="0058349F" w:rsidRPr="0026393F" w:rsidRDefault="0058349F" w:rsidP="0058349F">
      <w:pPr>
        <w:pStyle w:val="Heading41"/>
      </w:pPr>
      <w:r w:rsidRPr="0026393F">
        <w:t>Output 2.1: Early Intervention Services</w:t>
      </w:r>
      <w:r w:rsidRPr="0026393F">
        <w:rPr>
          <w:lang w:eastAsia="en-AU"/>
        </w:rPr>
        <w:t xml:space="preserve"> </w:t>
      </w:r>
      <w:r w:rsidRPr="0026393F">
        <w:rPr>
          <w:vertAlign w:val="superscript"/>
        </w:rPr>
        <w:t>1</w:t>
      </w:r>
    </w:p>
    <w:p w:rsidR="0058349F" w:rsidRDefault="0058349F" w:rsidP="0058349F">
      <w:pPr>
        <w:pStyle w:val="Caption1"/>
        <w:rPr>
          <w:noProof/>
        </w:rPr>
      </w:pPr>
      <w:r w:rsidRPr="0026393F">
        <w:t xml:space="preserve">Table </w:t>
      </w:r>
      <w:r w:rsidR="0026393F">
        <w:t>17</w:t>
      </w:r>
      <w:r w:rsidRPr="0026393F">
        <w:rPr>
          <w:noProof/>
        </w:rPr>
        <w:t>:</w:t>
      </w:r>
      <w:r w:rsidRPr="0026393F">
        <w:t xml:space="preserve"> Accountability Indicators</w:t>
      </w:r>
      <w:r w:rsidRPr="0026393F">
        <w:rPr>
          <w:noProof/>
        </w:rPr>
        <w:t xml:space="preserve"> Output 2.1</w:t>
      </w:r>
    </w:p>
    <w:tbl>
      <w:tblPr>
        <w:tblW w:w="4942" w:type="pct"/>
        <w:tblBorders>
          <w:top w:val="single" w:sz="12" w:space="0" w:color="000000"/>
          <w:bottom w:val="single" w:sz="12" w:space="0" w:color="000000"/>
        </w:tblBorders>
        <w:tblLook w:val="04A0" w:firstRow="1" w:lastRow="0" w:firstColumn="1" w:lastColumn="0" w:noHBand="0" w:noVBand="1"/>
      </w:tblPr>
      <w:tblGrid>
        <w:gridCol w:w="5666"/>
        <w:gridCol w:w="992"/>
        <w:gridCol w:w="1276"/>
        <w:gridCol w:w="987"/>
      </w:tblGrid>
      <w:tr w:rsidR="001651E4" w:rsidTr="0026393F">
        <w:trPr>
          <w:tblHeader/>
        </w:trPr>
        <w:tc>
          <w:tcPr>
            <w:tcW w:w="3176" w:type="pct"/>
            <w:tcBorders>
              <w:top w:val="single" w:sz="12" w:space="0" w:color="000000"/>
              <w:left w:val="nil"/>
              <w:bottom w:val="single" w:sz="12" w:space="0" w:color="000000"/>
              <w:right w:val="nil"/>
            </w:tcBorders>
          </w:tcPr>
          <w:p w:rsidR="0058349F" w:rsidRDefault="0058349F">
            <w:pPr>
              <w:pStyle w:val="BStabletext1"/>
            </w:pPr>
          </w:p>
        </w:tc>
        <w:tc>
          <w:tcPr>
            <w:tcW w:w="556"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715"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53"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26393F">
        <w:tc>
          <w:tcPr>
            <w:tcW w:w="5000" w:type="pct"/>
            <w:gridSpan w:val="4"/>
            <w:tcBorders>
              <w:top w:val="single" w:sz="12" w:space="0" w:color="000000"/>
              <w:left w:val="nil"/>
              <w:bottom w:val="nil"/>
              <w:right w:val="nil"/>
            </w:tcBorders>
            <w:hideMark/>
          </w:tcPr>
          <w:p w:rsidR="0058349F" w:rsidRDefault="0058349F">
            <w:pPr>
              <w:pStyle w:val="BStabletext1"/>
              <w:rPr>
                <w:rStyle w:val="Strong0"/>
                <w:b/>
                <w:bCs/>
              </w:rPr>
            </w:pPr>
            <w:r>
              <w:rPr>
                <w:rStyle w:val="Strong0"/>
                <w:b/>
              </w:rPr>
              <w:t xml:space="preserve">Early Intervention Services </w:t>
            </w:r>
          </w:p>
        </w:tc>
      </w:tr>
      <w:tr w:rsidR="001651E4" w:rsidTr="0026393F">
        <w:trPr>
          <w:trHeight w:val="283"/>
        </w:trPr>
        <w:tc>
          <w:tcPr>
            <w:tcW w:w="3176" w:type="pct"/>
            <w:tcBorders>
              <w:top w:val="nil"/>
              <w:left w:val="nil"/>
              <w:bottom w:val="nil"/>
              <w:right w:val="nil"/>
            </w:tcBorders>
            <w:hideMark/>
          </w:tcPr>
          <w:p w:rsidR="0058349F" w:rsidRDefault="0058349F" w:rsidP="0058349F">
            <w:pPr>
              <w:pStyle w:val="BStabletext1"/>
              <w:numPr>
                <w:ilvl w:val="0"/>
                <w:numId w:val="26"/>
              </w:numPr>
              <w:rPr>
                <w:b w:val="0"/>
              </w:rPr>
            </w:pPr>
            <w:r>
              <w:rPr>
                <w:b w:val="0"/>
              </w:rPr>
              <w:t xml:space="preserve">Number of Community Development/Education Programs </w:t>
            </w:r>
          </w:p>
        </w:tc>
        <w:tc>
          <w:tcPr>
            <w:tcW w:w="556" w:type="pct"/>
            <w:tcBorders>
              <w:top w:val="nil"/>
              <w:left w:val="nil"/>
              <w:bottom w:val="nil"/>
              <w:right w:val="nil"/>
            </w:tcBorders>
            <w:vAlign w:val="center"/>
            <w:hideMark/>
          </w:tcPr>
          <w:p w:rsidR="0058349F" w:rsidRDefault="0058349F">
            <w:pPr>
              <w:pStyle w:val="BStablefigures1"/>
              <w:rPr>
                <w:b w:val="0"/>
              </w:rPr>
            </w:pPr>
            <w:r>
              <w:rPr>
                <w:b w:val="0"/>
              </w:rPr>
              <w:t>325</w:t>
            </w:r>
          </w:p>
        </w:tc>
        <w:tc>
          <w:tcPr>
            <w:tcW w:w="715" w:type="pct"/>
            <w:tcBorders>
              <w:top w:val="nil"/>
              <w:left w:val="nil"/>
              <w:bottom w:val="nil"/>
              <w:right w:val="nil"/>
            </w:tcBorders>
            <w:vAlign w:val="center"/>
            <w:hideMark/>
          </w:tcPr>
          <w:p w:rsidR="0058349F" w:rsidRDefault="0058349F">
            <w:pPr>
              <w:pStyle w:val="BStablefigures1"/>
              <w:rPr>
                <w:b w:val="0"/>
              </w:rPr>
            </w:pPr>
            <w:r>
              <w:rPr>
                <w:b w:val="0"/>
              </w:rPr>
              <w:t>400</w:t>
            </w:r>
          </w:p>
        </w:tc>
        <w:tc>
          <w:tcPr>
            <w:tcW w:w="553" w:type="pct"/>
            <w:tcBorders>
              <w:top w:val="nil"/>
              <w:left w:val="nil"/>
              <w:bottom w:val="nil"/>
              <w:right w:val="nil"/>
            </w:tcBorders>
            <w:vAlign w:val="center"/>
            <w:hideMark/>
          </w:tcPr>
          <w:p w:rsidR="0058349F" w:rsidRPr="00F14CFA" w:rsidRDefault="0058349F">
            <w:pPr>
              <w:pStyle w:val="BStablefigures1"/>
              <w:rPr>
                <w:b w:val="0"/>
                <w:vertAlign w:val="superscript"/>
              </w:rPr>
            </w:pPr>
            <w:r>
              <w:rPr>
                <w:b w:val="0"/>
              </w:rPr>
              <w:t>N/A</w:t>
            </w:r>
            <w:r w:rsidR="00F14CFA">
              <w:rPr>
                <w:b w:val="0"/>
              </w:rPr>
              <w:t xml:space="preserve"> </w:t>
            </w:r>
            <w:r w:rsidR="00F14CFA">
              <w:rPr>
                <w:b w:val="0"/>
                <w:vertAlign w:val="superscript"/>
              </w:rPr>
              <w:t>1</w:t>
            </w:r>
          </w:p>
        </w:tc>
      </w:tr>
      <w:tr w:rsidR="001651E4" w:rsidTr="0026393F">
        <w:trPr>
          <w:trHeight w:val="283"/>
        </w:trPr>
        <w:tc>
          <w:tcPr>
            <w:tcW w:w="3176" w:type="pct"/>
            <w:tcBorders>
              <w:top w:val="nil"/>
              <w:left w:val="nil"/>
              <w:bottom w:val="nil"/>
              <w:right w:val="nil"/>
            </w:tcBorders>
            <w:hideMark/>
          </w:tcPr>
          <w:p w:rsidR="0058349F" w:rsidRDefault="0058349F" w:rsidP="0058349F">
            <w:pPr>
              <w:pStyle w:val="BStabletext1"/>
              <w:numPr>
                <w:ilvl w:val="0"/>
                <w:numId w:val="26"/>
              </w:numPr>
              <w:rPr>
                <w:b w:val="0"/>
              </w:rPr>
            </w:pPr>
            <w:r>
              <w:rPr>
                <w:b w:val="0"/>
              </w:rPr>
              <w:t xml:space="preserve">Number of Parenting Assistance Sessions </w:t>
            </w:r>
          </w:p>
        </w:tc>
        <w:tc>
          <w:tcPr>
            <w:tcW w:w="556" w:type="pct"/>
            <w:tcBorders>
              <w:top w:val="nil"/>
              <w:left w:val="nil"/>
              <w:bottom w:val="nil"/>
              <w:right w:val="nil"/>
            </w:tcBorders>
            <w:hideMark/>
          </w:tcPr>
          <w:p w:rsidR="0058349F" w:rsidRDefault="0058349F" w:rsidP="00353D5D">
            <w:pPr>
              <w:pStyle w:val="BStablefigures1"/>
              <w:rPr>
                <w:b w:val="0"/>
              </w:rPr>
            </w:pPr>
            <w:r>
              <w:rPr>
                <w:b w:val="0"/>
              </w:rPr>
              <w:t>1</w:t>
            </w:r>
            <w:r w:rsidR="00353D5D">
              <w:rPr>
                <w:b w:val="0"/>
              </w:rPr>
              <w:t>,</w:t>
            </w:r>
            <w:r>
              <w:rPr>
                <w:b w:val="0"/>
              </w:rPr>
              <w:t>250</w:t>
            </w:r>
          </w:p>
        </w:tc>
        <w:tc>
          <w:tcPr>
            <w:tcW w:w="715" w:type="pct"/>
            <w:tcBorders>
              <w:top w:val="nil"/>
              <w:left w:val="nil"/>
              <w:bottom w:val="nil"/>
              <w:right w:val="nil"/>
            </w:tcBorders>
            <w:hideMark/>
          </w:tcPr>
          <w:p w:rsidR="0058349F" w:rsidRDefault="0058349F" w:rsidP="00353D5D">
            <w:pPr>
              <w:pStyle w:val="BStablefigures1"/>
              <w:rPr>
                <w:b w:val="0"/>
              </w:rPr>
            </w:pPr>
            <w:r>
              <w:rPr>
                <w:b w:val="0"/>
              </w:rPr>
              <w:t>1</w:t>
            </w:r>
            <w:r w:rsidR="00353D5D">
              <w:rPr>
                <w:b w:val="0"/>
              </w:rPr>
              <w:t>,</w:t>
            </w:r>
            <w:r>
              <w:rPr>
                <w:b w:val="0"/>
              </w:rPr>
              <w:t>025</w:t>
            </w:r>
          </w:p>
        </w:tc>
        <w:tc>
          <w:tcPr>
            <w:tcW w:w="553" w:type="pct"/>
            <w:tcBorders>
              <w:top w:val="nil"/>
              <w:left w:val="nil"/>
              <w:bottom w:val="nil"/>
              <w:right w:val="nil"/>
            </w:tcBorders>
            <w:hideMark/>
          </w:tcPr>
          <w:p w:rsidR="0058349F" w:rsidRPr="00F14CFA" w:rsidRDefault="0058349F">
            <w:pPr>
              <w:pStyle w:val="BStablefigures1"/>
              <w:rPr>
                <w:b w:val="0"/>
                <w:vertAlign w:val="superscript"/>
              </w:rPr>
            </w:pPr>
            <w:r>
              <w:rPr>
                <w:b w:val="0"/>
              </w:rPr>
              <w:t>N/A</w:t>
            </w:r>
            <w:r w:rsidR="00F14CFA">
              <w:rPr>
                <w:b w:val="0"/>
              </w:rPr>
              <w:t xml:space="preserve"> </w:t>
            </w:r>
            <w:r w:rsidR="00F14CFA">
              <w:rPr>
                <w:b w:val="0"/>
                <w:vertAlign w:val="superscript"/>
              </w:rPr>
              <w:t>1</w:t>
            </w:r>
          </w:p>
        </w:tc>
      </w:tr>
      <w:tr w:rsidR="001651E4" w:rsidTr="0026393F">
        <w:trPr>
          <w:trHeight w:val="283"/>
        </w:trPr>
        <w:tc>
          <w:tcPr>
            <w:tcW w:w="3176" w:type="pct"/>
            <w:tcBorders>
              <w:top w:val="nil"/>
              <w:left w:val="nil"/>
              <w:bottom w:val="single" w:sz="12" w:space="0" w:color="000000"/>
              <w:right w:val="nil"/>
            </w:tcBorders>
            <w:hideMark/>
          </w:tcPr>
          <w:p w:rsidR="0058349F" w:rsidRDefault="0058349F" w:rsidP="0058349F">
            <w:pPr>
              <w:pStyle w:val="BStabletext1"/>
              <w:numPr>
                <w:ilvl w:val="0"/>
                <w:numId w:val="26"/>
              </w:numPr>
              <w:rPr>
                <w:b w:val="0"/>
              </w:rPr>
            </w:pPr>
            <w:r>
              <w:rPr>
                <w:b w:val="0"/>
              </w:rPr>
              <w:t>Client satisfaction with services</w:t>
            </w:r>
          </w:p>
        </w:tc>
        <w:tc>
          <w:tcPr>
            <w:tcW w:w="556" w:type="pct"/>
            <w:tcBorders>
              <w:top w:val="nil"/>
              <w:left w:val="nil"/>
              <w:bottom w:val="single" w:sz="12" w:space="0" w:color="000000"/>
              <w:right w:val="nil"/>
            </w:tcBorders>
            <w:hideMark/>
          </w:tcPr>
          <w:p w:rsidR="0058349F" w:rsidRDefault="0058349F">
            <w:pPr>
              <w:pStyle w:val="BStablefigures1"/>
              <w:rPr>
                <w:b w:val="0"/>
              </w:rPr>
            </w:pPr>
            <w:r>
              <w:rPr>
                <w:b w:val="0"/>
              </w:rPr>
              <w:t>90%</w:t>
            </w:r>
          </w:p>
        </w:tc>
        <w:tc>
          <w:tcPr>
            <w:tcW w:w="715" w:type="pct"/>
            <w:tcBorders>
              <w:top w:val="nil"/>
              <w:left w:val="nil"/>
              <w:bottom w:val="single" w:sz="12" w:space="0" w:color="000000"/>
              <w:right w:val="nil"/>
            </w:tcBorders>
            <w:hideMark/>
          </w:tcPr>
          <w:p w:rsidR="0058349F" w:rsidRDefault="0058349F">
            <w:pPr>
              <w:pStyle w:val="BStablefigures1"/>
              <w:rPr>
                <w:b w:val="0"/>
              </w:rPr>
            </w:pPr>
            <w:r>
              <w:rPr>
                <w:b w:val="0"/>
              </w:rPr>
              <w:t>90%</w:t>
            </w:r>
          </w:p>
        </w:tc>
        <w:tc>
          <w:tcPr>
            <w:tcW w:w="553" w:type="pct"/>
            <w:tcBorders>
              <w:top w:val="nil"/>
              <w:left w:val="nil"/>
              <w:bottom w:val="single" w:sz="12" w:space="0" w:color="000000"/>
              <w:right w:val="nil"/>
            </w:tcBorders>
            <w:hideMark/>
          </w:tcPr>
          <w:p w:rsidR="0058349F" w:rsidRPr="00F14CFA" w:rsidRDefault="0058349F">
            <w:pPr>
              <w:pStyle w:val="BStablefigures1"/>
              <w:rPr>
                <w:b w:val="0"/>
                <w:vertAlign w:val="superscript"/>
              </w:rPr>
            </w:pPr>
            <w:r>
              <w:rPr>
                <w:b w:val="0"/>
              </w:rPr>
              <w:t>N/A</w:t>
            </w:r>
            <w:r w:rsidR="00F14CFA">
              <w:rPr>
                <w:b w:val="0"/>
              </w:rPr>
              <w:t xml:space="preserve"> </w:t>
            </w:r>
            <w:r w:rsidR="00F14CFA">
              <w:rPr>
                <w:b w:val="0"/>
                <w:vertAlign w:val="superscript"/>
              </w:rPr>
              <w:t>1</w:t>
            </w:r>
          </w:p>
        </w:tc>
      </w:tr>
    </w:tbl>
    <w:p w:rsidR="0058349F" w:rsidRDefault="00F14CFA" w:rsidP="0058349F">
      <w:pPr>
        <w:pStyle w:val="BSnote2"/>
      </w:pPr>
      <w:r>
        <w:t>Note</w:t>
      </w:r>
      <w:r w:rsidR="0058349F">
        <w:t>:</w:t>
      </w:r>
    </w:p>
    <w:p w:rsidR="0058349F" w:rsidRDefault="0058349F" w:rsidP="0058349F">
      <w:pPr>
        <w:pStyle w:val="BSnoteslist2"/>
        <w:numPr>
          <w:ilvl w:val="0"/>
          <w:numId w:val="27"/>
        </w:numPr>
      </w:pPr>
      <w:r>
        <w:t xml:space="preserve">This Output </w:t>
      </w:r>
      <w:r w:rsidR="00257F5C">
        <w:t xml:space="preserve">has </w:t>
      </w:r>
      <w:r>
        <w:t>moved to Output 3.1 Child and Family Centres.</w:t>
      </w:r>
    </w:p>
    <w:p w:rsidR="0058349F" w:rsidRPr="0026393F" w:rsidRDefault="0058349F" w:rsidP="0058349F">
      <w:pPr>
        <w:pStyle w:val="Heading41"/>
      </w:pPr>
      <w:r>
        <w:t xml:space="preserve">Output 2.2: </w:t>
      </w:r>
      <w:r w:rsidRPr="0026393F">
        <w:t>Child Development Services</w:t>
      </w:r>
      <w:r w:rsidRPr="0026393F">
        <w:rPr>
          <w:lang w:eastAsia="en-AU"/>
        </w:rPr>
        <w:t xml:space="preserve"> </w:t>
      </w:r>
      <w:r w:rsidRPr="0026393F">
        <w:rPr>
          <w:vertAlign w:val="superscript"/>
        </w:rPr>
        <w:t>1</w:t>
      </w:r>
    </w:p>
    <w:p w:rsidR="0058349F" w:rsidRDefault="0058349F" w:rsidP="0058349F">
      <w:pPr>
        <w:pStyle w:val="Caption1"/>
        <w:rPr>
          <w:noProof/>
        </w:rPr>
      </w:pPr>
      <w:r w:rsidRPr="0026393F">
        <w:t xml:space="preserve">Table </w:t>
      </w:r>
      <w:r w:rsidR="0026393F">
        <w:t>18</w:t>
      </w:r>
      <w:r w:rsidRPr="0026393F">
        <w:rPr>
          <w:noProof/>
        </w:rPr>
        <w:t>:</w:t>
      </w:r>
      <w:r w:rsidRPr="0026393F">
        <w:t xml:space="preserve"> Accountability Indicator</w:t>
      </w:r>
      <w:r w:rsidRPr="0026393F">
        <w:rPr>
          <w:noProof/>
        </w:rPr>
        <w:t xml:space="preserve"> Output 2.2</w:t>
      </w:r>
    </w:p>
    <w:tbl>
      <w:tblPr>
        <w:tblW w:w="5000" w:type="pct"/>
        <w:tblBorders>
          <w:top w:val="single" w:sz="12" w:space="0" w:color="000000"/>
          <w:bottom w:val="single" w:sz="12" w:space="0" w:color="000000"/>
        </w:tblBorders>
        <w:tblLook w:val="04A0" w:firstRow="1" w:lastRow="0" w:firstColumn="1" w:lastColumn="0" w:noHBand="0" w:noVBand="1"/>
      </w:tblPr>
      <w:tblGrid>
        <w:gridCol w:w="5643"/>
        <w:gridCol w:w="1105"/>
        <w:gridCol w:w="1244"/>
        <w:gridCol w:w="1034"/>
      </w:tblGrid>
      <w:tr w:rsidR="001651E4" w:rsidTr="0026393F">
        <w:trPr>
          <w:tblHeader/>
        </w:trPr>
        <w:tc>
          <w:tcPr>
            <w:tcW w:w="3126" w:type="pct"/>
            <w:tcBorders>
              <w:top w:val="single" w:sz="12" w:space="0" w:color="000000"/>
              <w:left w:val="nil"/>
              <w:bottom w:val="single" w:sz="12" w:space="0" w:color="000000"/>
              <w:right w:val="nil"/>
            </w:tcBorders>
          </w:tcPr>
          <w:p w:rsidR="0058349F" w:rsidRDefault="0058349F">
            <w:pPr>
              <w:pStyle w:val="Heading6"/>
              <w:jc w:val="left"/>
            </w:pPr>
          </w:p>
        </w:tc>
        <w:tc>
          <w:tcPr>
            <w:tcW w:w="61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89"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7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26393F">
        <w:tc>
          <w:tcPr>
            <w:tcW w:w="5000" w:type="pct"/>
            <w:gridSpan w:val="4"/>
            <w:tcBorders>
              <w:top w:val="single" w:sz="12" w:space="0" w:color="000000"/>
              <w:left w:val="nil"/>
              <w:bottom w:val="nil"/>
              <w:right w:val="nil"/>
            </w:tcBorders>
            <w:hideMark/>
          </w:tcPr>
          <w:p w:rsidR="0058349F" w:rsidRDefault="0058349F">
            <w:pPr>
              <w:pStyle w:val="BStablelist"/>
              <w:numPr>
                <w:ilvl w:val="0"/>
                <w:numId w:val="0"/>
              </w:numPr>
              <w:ind w:left="360" w:hanging="360"/>
              <w:rPr>
                <w:b/>
              </w:rPr>
            </w:pPr>
            <w:r>
              <w:rPr>
                <w:b/>
              </w:rPr>
              <w:t>Child Development Services</w:t>
            </w:r>
          </w:p>
        </w:tc>
      </w:tr>
      <w:tr w:rsidR="001651E4" w:rsidTr="0026393F">
        <w:trPr>
          <w:trHeight w:val="283"/>
        </w:trPr>
        <w:tc>
          <w:tcPr>
            <w:tcW w:w="3126" w:type="pct"/>
            <w:tcBorders>
              <w:top w:val="nil"/>
              <w:left w:val="nil"/>
              <w:bottom w:val="single" w:sz="12" w:space="0" w:color="000000"/>
              <w:right w:val="nil"/>
            </w:tcBorders>
            <w:hideMark/>
          </w:tcPr>
          <w:p w:rsidR="0058349F" w:rsidRDefault="0058349F" w:rsidP="0058349F">
            <w:pPr>
              <w:pStyle w:val="BStablelist"/>
              <w:numPr>
                <w:ilvl w:val="0"/>
                <w:numId w:val="28"/>
              </w:numPr>
            </w:pPr>
            <w:r>
              <w:t>Hours of service provided to the clients of the Child Development Services</w:t>
            </w:r>
          </w:p>
        </w:tc>
        <w:tc>
          <w:tcPr>
            <w:tcW w:w="612" w:type="pct"/>
            <w:tcBorders>
              <w:top w:val="nil"/>
              <w:left w:val="nil"/>
              <w:bottom w:val="single" w:sz="12" w:space="0" w:color="000000"/>
              <w:right w:val="nil"/>
            </w:tcBorders>
            <w:vAlign w:val="center"/>
            <w:hideMark/>
          </w:tcPr>
          <w:p w:rsidR="0058349F" w:rsidRDefault="00353D5D">
            <w:pPr>
              <w:pStyle w:val="BStablefigures1"/>
              <w:rPr>
                <w:b w:val="0"/>
              </w:rPr>
            </w:pPr>
            <w:r>
              <w:rPr>
                <w:b w:val="0"/>
              </w:rPr>
              <w:t>21,</w:t>
            </w:r>
            <w:r w:rsidR="0058349F">
              <w:rPr>
                <w:b w:val="0"/>
              </w:rPr>
              <w:t>125</w:t>
            </w:r>
          </w:p>
        </w:tc>
        <w:tc>
          <w:tcPr>
            <w:tcW w:w="689" w:type="pct"/>
            <w:tcBorders>
              <w:top w:val="nil"/>
              <w:left w:val="nil"/>
              <w:bottom w:val="single" w:sz="12" w:space="0" w:color="000000"/>
              <w:right w:val="nil"/>
            </w:tcBorders>
            <w:vAlign w:val="center"/>
            <w:hideMark/>
          </w:tcPr>
          <w:p w:rsidR="0058349F" w:rsidRDefault="009C7D6A" w:rsidP="00353D5D">
            <w:pPr>
              <w:pStyle w:val="BStablefigures1"/>
              <w:rPr>
                <w:b w:val="0"/>
              </w:rPr>
            </w:pPr>
            <w:r>
              <w:rPr>
                <w:b w:val="0"/>
              </w:rPr>
              <w:t>20</w:t>
            </w:r>
            <w:r w:rsidR="00353D5D">
              <w:rPr>
                <w:b w:val="0"/>
              </w:rPr>
              <w:t>,</w:t>
            </w:r>
            <w:r w:rsidR="0058349F">
              <w:rPr>
                <w:b w:val="0"/>
              </w:rPr>
              <w:t>000</w:t>
            </w:r>
          </w:p>
        </w:tc>
        <w:tc>
          <w:tcPr>
            <w:tcW w:w="572" w:type="pct"/>
            <w:tcBorders>
              <w:top w:val="nil"/>
              <w:left w:val="nil"/>
              <w:bottom w:val="single" w:sz="12" w:space="0" w:color="000000"/>
              <w:right w:val="nil"/>
            </w:tcBorders>
            <w:vAlign w:val="center"/>
            <w:hideMark/>
          </w:tcPr>
          <w:p w:rsidR="0058349F" w:rsidRPr="00F14CFA" w:rsidRDefault="0058349F">
            <w:pPr>
              <w:pStyle w:val="BStablefigures1"/>
              <w:rPr>
                <w:b w:val="0"/>
                <w:vertAlign w:val="superscript"/>
              </w:rPr>
            </w:pPr>
            <w:r>
              <w:rPr>
                <w:b w:val="0"/>
              </w:rPr>
              <w:t>N/A</w:t>
            </w:r>
            <w:r w:rsidR="00F14CFA">
              <w:rPr>
                <w:b w:val="0"/>
              </w:rPr>
              <w:t xml:space="preserve"> </w:t>
            </w:r>
            <w:r w:rsidR="00F14CFA">
              <w:rPr>
                <w:b w:val="0"/>
                <w:vertAlign w:val="superscript"/>
              </w:rPr>
              <w:t>1</w:t>
            </w:r>
          </w:p>
        </w:tc>
      </w:tr>
    </w:tbl>
    <w:p w:rsidR="0058349F" w:rsidRDefault="0058349F" w:rsidP="0058349F">
      <w:pPr>
        <w:pStyle w:val="BSnote20"/>
      </w:pPr>
      <w:r>
        <w:t>Note:</w:t>
      </w:r>
    </w:p>
    <w:p w:rsidR="0058349F" w:rsidRDefault="0058349F" w:rsidP="0058349F">
      <w:pPr>
        <w:pStyle w:val="BSnoteslist2"/>
        <w:numPr>
          <w:ilvl w:val="0"/>
          <w:numId w:val="29"/>
        </w:numPr>
      </w:pPr>
      <w:r>
        <w:t xml:space="preserve">This Output </w:t>
      </w:r>
      <w:r w:rsidR="00257F5C">
        <w:t xml:space="preserve">has </w:t>
      </w:r>
      <w:r>
        <w:t>moved to Output 3.2 Child Development Services.</w:t>
      </w:r>
    </w:p>
    <w:p w:rsidR="00F14CFA" w:rsidRDefault="00F14CFA">
      <w:pPr>
        <w:spacing w:before="0" w:after="0"/>
        <w:rPr>
          <w:b/>
          <w:i/>
        </w:rPr>
      </w:pPr>
      <w:r>
        <w:br w:type="page"/>
      </w:r>
    </w:p>
    <w:p w:rsidR="0058349F" w:rsidRPr="0026393F" w:rsidRDefault="0058349F" w:rsidP="0058349F">
      <w:pPr>
        <w:pStyle w:val="Heading41"/>
      </w:pPr>
      <w:r>
        <w:t xml:space="preserve">Output 2.3: </w:t>
      </w:r>
      <w:r w:rsidRPr="0026393F">
        <w:t>Inclusion and Participation</w:t>
      </w:r>
    </w:p>
    <w:p w:rsidR="0058349F" w:rsidRDefault="0058349F" w:rsidP="0058349F">
      <w:pPr>
        <w:pStyle w:val="Caption1"/>
        <w:rPr>
          <w:noProof/>
        </w:rPr>
      </w:pPr>
      <w:r w:rsidRPr="0026393F">
        <w:t xml:space="preserve">Table </w:t>
      </w:r>
      <w:r w:rsidR="0026393F" w:rsidRPr="0026393F">
        <w:t>19</w:t>
      </w:r>
      <w:r w:rsidRPr="0026393F">
        <w:rPr>
          <w:noProof/>
        </w:rPr>
        <w:t>:</w:t>
      </w:r>
      <w:r w:rsidRPr="0026393F">
        <w:t xml:space="preserve"> Accountability Indicators</w:t>
      </w:r>
      <w:r w:rsidRPr="0026393F">
        <w:rPr>
          <w:noProof/>
        </w:rPr>
        <w:t xml:space="preserve"> Output 2.3</w:t>
      </w:r>
    </w:p>
    <w:tbl>
      <w:tblPr>
        <w:tblW w:w="5000" w:type="pct"/>
        <w:tblBorders>
          <w:top w:val="single" w:sz="12" w:space="0" w:color="000000"/>
          <w:bottom w:val="single" w:sz="12" w:space="0" w:color="000000"/>
        </w:tblBorders>
        <w:tblLook w:val="04A0" w:firstRow="1" w:lastRow="0" w:firstColumn="1" w:lastColumn="0" w:noHBand="0" w:noVBand="1"/>
      </w:tblPr>
      <w:tblGrid>
        <w:gridCol w:w="5643"/>
        <w:gridCol w:w="1105"/>
        <w:gridCol w:w="1244"/>
        <w:gridCol w:w="1034"/>
      </w:tblGrid>
      <w:tr w:rsidR="001651E4" w:rsidTr="009C7D6A">
        <w:trPr>
          <w:tblHeader/>
        </w:trPr>
        <w:tc>
          <w:tcPr>
            <w:tcW w:w="3126" w:type="pct"/>
            <w:tcBorders>
              <w:top w:val="single" w:sz="12" w:space="0" w:color="000000"/>
              <w:left w:val="nil"/>
              <w:bottom w:val="single" w:sz="12" w:space="0" w:color="000000"/>
              <w:right w:val="nil"/>
            </w:tcBorders>
          </w:tcPr>
          <w:p w:rsidR="0058349F" w:rsidRDefault="0058349F">
            <w:pPr>
              <w:pStyle w:val="Heading6"/>
              <w:jc w:val="left"/>
            </w:pPr>
          </w:p>
        </w:tc>
        <w:tc>
          <w:tcPr>
            <w:tcW w:w="61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89"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7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list"/>
              <w:numPr>
                <w:ilvl w:val="0"/>
                <w:numId w:val="0"/>
              </w:numPr>
              <w:ind w:left="360" w:hanging="360"/>
              <w:rPr>
                <w:b/>
              </w:rPr>
            </w:pPr>
            <w:r>
              <w:rPr>
                <w:b/>
              </w:rPr>
              <w:t>Inclusion and Participation</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0"/>
              </w:numPr>
            </w:pPr>
            <w:r>
              <w:t>Number of community building, participation grants and scholarship programs administered</w:t>
            </w:r>
          </w:p>
        </w:tc>
        <w:tc>
          <w:tcPr>
            <w:tcW w:w="612" w:type="pct"/>
            <w:tcBorders>
              <w:top w:val="nil"/>
              <w:left w:val="nil"/>
              <w:bottom w:val="nil"/>
              <w:right w:val="nil"/>
            </w:tcBorders>
            <w:hideMark/>
          </w:tcPr>
          <w:p w:rsidR="0058349F" w:rsidRDefault="0058349F">
            <w:pPr>
              <w:pStyle w:val="BStablefigures1"/>
              <w:rPr>
                <w:b w:val="0"/>
              </w:rPr>
            </w:pPr>
            <w:r>
              <w:rPr>
                <w:b w:val="0"/>
              </w:rPr>
              <w:t>14</w:t>
            </w:r>
          </w:p>
        </w:tc>
        <w:tc>
          <w:tcPr>
            <w:tcW w:w="689" w:type="pct"/>
            <w:tcBorders>
              <w:top w:val="nil"/>
              <w:left w:val="nil"/>
              <w:bottom w:val="nil"/>
              <w:right w:val="nil"/>
            </w:tcBorders>
            <w:hideMark/>
          </w:tcPr>
          <w:p w:rsidR="0058349F" w:rsidRDefault="0058349F">
            <w:pPr>
              <w:pStyle w:val="BStablefigures1"/>
              <w:rPr>
                <w:b w:val="0"/>
              </w:rPr>
            </w:pPr>
            <w:r>
              <w:rPr>
                <w:b w:val="0"/>
              </w:rPr>
              <w:t>14</w:t>
            </w:r>
          </w:p>
        </w:tc>
        <w:tc>
          <w:tcPr>
            <w:tcW w:w="572" w:type="pct"/>
            <w:tcBorders>
              <w:top w:val="nil"/>
              <w:left w:val="nil"/>
              <w:bottom w:val="nil"/>
              <w:right w:val="nil"/>
            </w:tcBorders>
            <w:hideMark/>
          </w:tcPr>
          <w:p w:rsidR="0058349F" w:rsidRDefault="0058349F">
            <w:pPr>
              <w:pStyle w:val="BStablefigures1"/>
              <w:rPr>
                <w:b w:val="0"/>
              </w:rPr>
            </w:pPr>
            <w:r>
              <w:rPr>
                <w:b w:val="0"/>
              </w:rPr>
              <w:t>14</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0"/>
              </w:numPr>
            </w:pPr>
            <w:r>
              <w:t>Percentage of participants who successfully complete the Work Experience and Support Program</w:t>
            </w:r>
          </w:p>
        </w:tc>
        <w:tc>
          <w:tcPr>
            <w:tcW w:w="612" w:type="pct"/>
            <w:tcBorders>
              <w:top w:val="nil"/>
              <w:left w:val="nil"/>
              <w:bottom w:val="nil"/>
              <w:right w:val="nil"/>
            </w:tcBorders>
            <w:hideMark/>
          </w:tcPr>
          <w:p w:rsidR="0058349F" w:rsidRDefault="0058349F">
            <w:pPr>
              <w:pStyle w:val="BStablefigures1"/>
              <w:rPr>
                <w:b w:val="0"/>
              </w:rPr>
            </w:pPr>
            <w:r>
              <w:rPr>
                <w:b w:val="0"/>
              </w:rPr>
              <w:t>85%</w:t>
            </w:r>
          </w:p>
        </w:tc>
        <w:tc>
          <w:tcPr>
            <w:tcW w:w="689" w:type="pct"/>
            <w:tcBorders>
              <w:top w:val="nil"/>
              <w:left w:val="nil"/>
              <w:bottom w:val="nil"/>
              <w:right w:val="nil"/>
            </w:tcBorders>
            <w:hideMark/>
          </w:tcPr>
          <w:p w:rsidR="0058349F" w:rsidRDefault="0058349F">
            <w:pPr>
              <w:pStyle w:val="BStablefigures1"/>
              <w:rPr>
                <w:b w:val="0"/>
              </w:rPr>
            </w:pPr>
            <w:r>
              <w:rPr>
                <w:b w:val="0"/>
              </w:rPr>
              <w:t>90%</w:t>
            </w:r>
          </w:p>
        </w:tc>
        <w:tc>
          <w:tcPr>
            <w:tcW w:w="572" w:type="pct"/>
            <w:tcBorders>
              <w:top w:val="nil"/>
              <w:left w:val="nil"/>
              <w:bottom w:val="nil"/>
              <w:right w:val="nil"/>
            </w:tcBorders>
            <w:hideMark/>
          </w:tcPr>
          <w:p w:rsidR="0058349F" w:rsidRDefault="0058349F">
            <w:pPr>
              <w:pStyle w:val="BStablefigures1"/>
              <w:rPr>
                <w:b w:val="0"/>
              </w:rPr>
            </w:pPr>
            <w:r>
              <w:rPr>
                <w:b w:val="0"/>
              </w:rPr>
              <w:t>90%</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0"/>
              </w:numPr>
            </w:pPr>
            <w:r>
              <w:t xml:space="preserve">Implementation of projects included in the Whole of Government plan on Aboriginal and Torres Strait Islander Agreement </w:t>
            </w:r>
            <w:r>
              <w:rPr>
                <w:vertAlign w:val="superscript"/>
              </w:rPr>
              <w:t>1</w:t>
            </w:r>
          </w:p>
        </w:tc>
        <w:tc>
          <w:tcPr>
            <w:tcW w:w="612" w:type="pct"/>
            <w:tcBorders>
              <w:top w:val="nil"/>
              <w:left w:val="nil"/>
              <w:bottom w:val="nil"/>
              <w:right w:val="nil"/>
            </w:tcBorders>
            <w:vAlign w:val="center"/>
            <w:hideMark/>
          </w:tcPr>
          <w:p w:rsidR="0058349F" w:rsidRDefault="0058349F">
            <w:pPr>
              <w:pStyle w:val="BStablefigures1"/>
              <w:rPr>
                <w:b w:val="0"/>
              </w:rPr>
            </w:pPr>
            <w:r>
              <w:rPr>
                <w:b w:val="0"/>
              </w:rPr>
              <w:t>4</w:t>
            </w:r>
          </w:p>
        </w:tc>
        <w:tc>
          <w:tcPr>
            <w:tcW w:w="689" w:type="pct"/>
            <w:tcBorders>
              <w:top w:val="nil"/>
              <w:left w:val="nil"/>
              <w:bottom w:val="nil"/>
              <w:right w:val="nil"/>
            </w:tcBorders>
            <w:vAlign w:val="center"/>
            <w:hideMark/>
          </w:tcPr>
          <w:p w:rsidR="0058349F" w:rsidRDefault="0058349F">
            <w:pPr>
              <w:pStyle w:val="BStablefigures1"/>
              <w:rPr>
                <w:b w:val="0"/>
              </w:rPr>
            </w:pPr>
            <w:r>
              <w:rPr>
                <w:b w:val="0"/>
              </w:rPr>
              <w:t>4</w:t>
            </w:r>
          </w:p>
        </w:tc>
        <w:tc>
          <w:tcPr>
            <w:tcW w:w="572" w:type="pct"/>
            <w:tcBorders>
              <w:top w:val="nil"/>
              <w:left w:val="nil"/>
              <w:bottom w:val="nil"/>
              <w:right w:val="nil"/>
            </w:tcBorders>
            <w:vAlign w:val="center"/>
            <w:hideMark/>
          </w:tcPr>
          <w:p w:rsidR="0058349F" w:rsidRDefault="0058349F">
            <w:pPr>
              <w:pStyle w:val="BStablefigures1"/>
              <w:rPr>
                <w:b w:val="0"/>
              </w:rPr>
            </w:pPr>
            <w:r>
              <w:rPr>
                <w:b w:val="0"/>
              </w:rPr>
              <w:t>3</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0"/>
              </w:numPr>
            </w:pPr>
            <w:r>
              <w:t xml:space="preserve">Proportion of funded services that were visited by a Relationship Manager during the financial year </w:t>
            </w:r>
            <w:r>
              <w:rPr>
                <w:vertAlign w:val="superscript"/>
              </w:rPr>
              <w:t>2</w:t>
            </w:r>
          </w:p>
        </w:tc>
        <w:tc>
          <w:tcPr>
            <w:tcW w:w="612" w:type="pct"/>
            <w:tcBorders>
              <w:top w:val="nil"/>
              <w:left w:val="nil"/>
              <w:bottom w:val="nil"/>
              <w:right w:val="nil"/>
            </w:tcBorders>
            <w:hideMark/>
          </w:tcPr>
          <w:p w:rsidR="0058349F" w:rsidRDefault="0058349F">
            <w:pPr>
              <w:pStyle w:val="BStablefigures1"/>
              <w:rPr>
                <w:b w:val="0"/>
              </w:rPr>
            </w:pPr>
            <w:r>
              <w:rPr>
                <w:b w:val="0"/>
              </w:rPr>
              <w:t>90%</w:t>
            </w:r>
          </w:p>
        </w:tc>
        <w:tc>
          <w:tcPr>
            <w:tcW w:w="689" w:type="pct"/>
            <w:tcBorders>
              <w:top w:val="nil"/>
              <w:left w:val="nil"/>
              <w:bottom w:val="nil"/>
              <w:right w:val="nil"/>
            </w:tcBorders>
            <w:hideMark/>
          </w:tcPr>
          <w:p w:rsidR="0058349F" w:rsidRDefault="0058349F">
            <w:pPr>
              <w:pStyle w:val="BStablefigures1"/>
              <w:rPr>
                <w:b w:val="0"/>
              </w:rPr>
            </w:pPr>
            <w:r>
              <w:rPr>
                <w:b w:val="0"/>
              </w:rPr>
              <w:t>80%</w:t>
            </w:r>
          </w:p>
        </w:tc>
        <w:tc>
          <w:tcPr>
            <w:tcW w:w="572" w:type="pct"/>
            <w:tcBorders>
              <w:top w:val="nil"/>
              <w:left w:val="nil"/>
              <w:bottom w:val="nil"/>
              <w:right w:val="nil"/>
            </w:tcBorders>
            <w:hideMark/>
          </w:tcPr>
          <w:p w:rsidR="0058349F" w:rsidRDefault="0058349F">
            <w:pPr>
              <w:pStyle w:val="BStablefigures1"/>
              <w:rPr>
                <w:b w:val="0"/>
              </w:rPr>
            </w:pPr>
            <w:r>
              <w:rPr>
                <w:b w:val="0"/>
              </w:rPr>
              <w:t>70%</w:t>
            </w:r>
          </w:p>
        </w:tc>
      </w:tr>
      <w:tr w:rsidR="001651E4" w:rsidTr="009C7D6A">
        <w:trPr>
          <w:trHeight w:val="283"/>
        </w:trPr>
        <w:tc>
          <w:tcPr>
            <w:tcW w:w="3126" w:type="pct"/>
            <w:tcBorders>
              <w:top w:val="nil"/>
              <w:left w:val="nil"/>
              <w:bottom w:val="single" w:sz="12" w:space="0" w:color="000000"/>
              <w:right w:val="nil"/>
            </w:tcBorders>
            <w:hideMark/>
          </w:tcPr>
          <w:p w:rsidR="0058349F" w:rsidRDefault="0058349F" w:rsidP="0058349F">
            <w:pPr>
              <w:pStyle w:val="BStablelist"/>
              <w:numPr>
                <w:ilvl w:val="0"/>
                <w:numId w:val="30"/>
              </w:numPr>
            </w:pPr>
            <w:r>
              <w:t xml:space="preserve">Number of community engagement opportunities for Veterans in the ACT </w:t>
            </w:r>
            <w:r>
              <w:rPr>
                <w:vertAlign w:val="superscript"/>
              </w:rPr>
              <w:t>3</w:t>
            </w:r>
          </w:p>
        </w:tc>
        <w:tc>
          <w:tcPr>
            <w:tcW w:w="612" w:type="pct"/>
            <w:tcBorders>
              <w:top w:val="nil"/>
              <w:left w:val="nil"/>
              <w:bottom w:val="single" w:sz="12" w:space="0" w:color="000000"/>
              <w:right w:val="nil"/>
            </w:tcBorders>
            <w:hideMark/>
          </w:tcPr>
          <w:p w:rsidR="0058349F" w:rsidRDefault="0058349F">
            <w:pPr>
              <w:pStyle w:val="BStablefigures1"/>
              <w:rPr>
                <w:b w:val="0"/>
              </w:rPr>
            </w:pPr>
            <w:r>
              <w:rPr>
                <w:b w:val="0"/>
              </w:rPr>
              <w:t>N/A</w:t>
            </w:r>
          </w:p>
        </w:tc>
        <w:tc>
          <w:tcPr>
            <w:tcW w:w="689" w:type="pct"/>
            <w:tcBorders>
              <w:top w:val="nil"/>
              <w:left w:val="nil"/>
              <w:bottom w:val="single" w:sz="12" w:space="0" w:color="000000"/>
              <w:right w:val="nil"/>
            </w:tcBorders>
            <w:hideMark/>
          </w:tcPr>
          <w:p w:rsidR="0058349F" w:rsidRDefault="0058349F">
            <w:pPr>
              <w:pStyle w:val="BStablefigures1"/>
              <w:rPr>
                <w:b w:val="0"/>
              </w:rPr>
            </w:pPr>
            <w:r>
              <w:rPr>
                <w:b w:val="0"/>
              </w:rPr>
              <w:t>N/A</w:t>
            </w:r>
          </w:p>
        </w:tc>
        <w:tc>
          <w:tcPr>
            <w:tcW w:w="572" w:type="pct"/>
            <w:tcBorders>
              <w:top w:val="nil"/>
              <w:left w:val="nil"/>
              <w:bottom w:val="single" w:sz="12" w:space="0" w:color="000000"/>
              <w:right w:val="nil"/>
            </w:tcBorders>
            <w:hideMark/>
          </w:tcPr>
          <w:p w:rsidR="0058349F" w:rsidRDefault="0058349F">
            <w:pPr>
              <w:pStyle w:val="BStablefigures1"/>
              <w:rPr>
                <w:b w:val="0"/>
              </w:rPr>
            </w:pPr>
            <w:r>
              <w:rPr>
                <w:b w:val="0"/>
              </w:rPr>
              <w:t>7</w:t>
            </w:r>
          </w:p>
        </w:tc>
      </w:tr>
    </w:tbl>
    <w:p w:rsidR="0058349F" w:rsidRDefault="0058349F" w:rsidP="0058349F">
      <w:pPr>
        <w:pStyle w:val="BSnote2"/>
      </w:pPr>
      <w:r>
        <w:t>Notes:</w:t>
      </w:r>
    </w:p>
    <w:p w:rsidR="0058349F" w:rsidRDefault="0058349F" w:rsidP="00F14CFA">
      <w:pPr>
        <w:pStyle w:val="BSnoteslist2"/>
        <w:numPr>
          <w:ilvl w:val="0"/>
          <w:numId w:val="31"/>
        </w:numPr>
        <w:jc w:val="both"/>
      </w:pPr>
      <w:r>
        <w:t>The three projects are: ‘Finalise the next Aboriginal and Torres Strait Islander Agreement 2018-23’</w:t>
      </w:r>
      <w:r w:rsidRPr="00140801">
        <w:rPr>
          <w:color w:val="1F497D"/>
        </w:rPr>
        <w:t xml:space="preserve">, </w:t>
      </w:r>
      <w:r>
        <w:t>‘Provision and support to Aboriginal and Torres Strait Islander Elected Body’ and ‘</w:t>
      </w:r>
      <w:r w:rsidR="00257F5C">
        <w:t>development of capacity and capability building projects for Aboriginal and Torres Strait Islander agencies’.</w:t>
      </w:r>
      <w:r>
        <w:t xml:space="preserve"> </w:t>
      </w:r>
    </w:p>
    <w:p w:rsidR="0058349F" w:rsidRDefault="0058349F" w:rsidP="00F14CFA">
      <w:pPr>
        <w:pStyle w:val="BSnoteslist2"/>
        <w:numPr>
          <w:ilvl w:val="0"/>
          <w:numId w:val="31"/>
        </w:numPr>
        <w:jc w:val="both"/>
      </w:pPr>
      <w:r>
        <w:t>This indicator is relocated from (a) under Output 2.5 Strategic Policy. The 2018-19 target is reduced to 70% due to a number of organisations being transferred from Service Funding Agreement to Deeds of Grant in line with the red tape reduction initiative</w:t>
      </w:r>
      <w:r w:rsidR="00F14CFA">
        <w:t xml:space="preserve"> and do not require a visit.</w:t>
      </w:r>
      <w:r>
        <w:t xml:space="preserve"> </w:t>
      </w:r>
      <w:r w:rsidR="00257F5C">
        <w:t xml:space="preserve"> </w:t>
      </w:r>
      <w:r w:rsidR="00257F5C" w:rsidRPr="00257F5C">
        <w:t xml:space="preserve">Engagement </w:t>
      </w:r>
      <w:r w:rsidR="00257F5C">
        <w:t>with</w:t>
      </w:r>
      <w:r w:rsidR="00257F5C" w:rsidRPr="00257F5C">
        <w:t xml:space="preserve"> these organisations </w:t>
      </w:r>
      <w:r w:rsidR="00257F5C">
        <w:t>is</w:t>
      </w:r>
      <w:r w:rsidR="00257F5C" w:rsidRPr="00257F5C">
        <w:t xml:space="preserve"> ongoing, supported by </w:t>
      </w:r>
      <w:r w:rsidR="00257F5C" w:rsidRPr="00257F5C">
        <w:rPr>
          <w:lang w:eastAsia="en-AU"/>
        </w:rPr>
        <w:t>phone or e-mail rather than face to face</w:t>
      </w:r>
      <w:r w:rsidR="00257F5C">
        <w:rPr>
          <w:lang w:eastAsia="en-AU"/>
        </w:rPr>
        <w:t xml:space="preserve"> visits</w:t>
      </w:r>
      <w:r w:rsidR="00257F5C" w:rsidRPr="00257F5C">
        <w:rPr>
          <w:lang w:eastAsia="en-AU"/>
        </w:rPr>
        <w:t>. Where a service visit is deemed necessary, these will continue.  </w:t>
      </w:r>
    </w:p>
    <w:p w:rsidR="0058349F" w:rsidRDefault="0058349F" w:rsidP="00F14CFA">
      <w:pPr>
        <w:pStyle w:val="BSnoteslist2"/>
        <w:numPr>
          <w:ilvl w:val="0"/>
          <w:numId w:val="31"/>
        </w:numPr>
        <w:jc w:val="both"/>
      </w:pPr>
      <w:r>
        <w:t>This is a new indicator. It measures through the number of Veterans Advisory Committee meetings and community consultation forums</w:t>
      </w:r>
      <w:r w:rsidR="00F14CFA">
        <w:t xml:space="preserve"> held</w:t>
      </w:r>
      <w:r>
        <w:t xml:space="preserve">. </w:t>
      </w:r>
    </w:p>
    <w:p w:rsidR="0058349F" w:rsidRDefault="0058349F" w:rsidP="0058349F">
      <w:pPr>
        <w:pStyle w:val="Heading41"/>
      </w:pPr>
      <w:r>
        <w:t>Output 2.4</w:t>
      </w:r>
      <w:r w:rsidRPr="009C7D6A">
        <w:t>: Office for Disability</w:t>
      </w:r>
    </w:p>
    <w:p w:rsidR="0058349F" w:rsidRDefault="0058349F" w:rsidP="0058349F">
      <w:pPr>
        <w:pStyle w:val="Caption1"/>
      </w:pPr>
      <w:r>
        <w:t xml:space="preserve">Table </w:t>
      </w:r>
      <w:r w:rsidR="005731B5">
        <w:fldChar w:fldCharType="begin"/>
      </w:r>
      <w:r w:rsidR="005731B5">
        <w:instrText xml:space="preserve"> SEQ Table \* ARABIC </w:instrText>
      </w:r>
      <w:r w:rsidR="005731B5">
        <w:fldChar w:fldCharType="separate"/>
      </w:r>
      <w:r w:rsidR="00763F99">
        <w:rPr>
          <w:noProof/>
        </w:rPr>
        <w:t>2</w:t>
      </w:r>
      <w:r w:rsidR="005731B5">
        <w:rPr>
          <w:noProof/>
        </w:rPr>
        <w:fldChar w:fldCharType="end"/>
      </w:r>
      <w:r w:rsidR="009C7D6A">
        <w:rPr>
          <w:noProof/>
        </w:rPr>
        <w:t>0</w:t>
      </w:r>
      <w:r>
        <w:t>: Accountability Indicators Output 2.4</w:t>
      </w:r>
    </w:p>
    <w:tbl>
      <w:tblPr>
        <w:tblW w:w="5000" w:type="pct"/>
        <w:tblBorders>
          <w:top w:val="single" w:sz="12" w:space="0" w:color="000000"/>
          <w:bottom w:val="single" w:sz="12" w:space="0" w:color="000000"/>
        </w:tblBorders>
        <w:tblLook w:val="04A0" w:firstRow="1" w:lastRow="0" w:firstColumn="1" w:lastColumn="0" w:noHBand="0" w:noVBand="1"/>
      </w:tblPr>
      <w:tblGrid>
        <w:gridCol w:w="5643"/>
        <w:gridCol w:w="1105"/>
        <w:gridCol w:w="1244"/>
        <w:gridCol w:w="1034"/>
      </w:tblGrid>
      <w:tr w:rsidR="001651E4" w:rsidTr="009C7D6A">
        <w:trPr>
          <w:tblHeader/>
        </w:trPr>
        <w:tc>
          <w:tcPr>
            <w:tcW w:w="3126" w:type="pct"/>
            <w:tcBorders>
              <w:top w:val="single" w:sz="12" w:space="0" w:color="000000"/>
              <w:left w:val="nil"/>
              <w:bottom w:val="single" w:sz="12" w:space="0" w:color="000000"/>
              <w:right w:val="nil"/>
            </w:tcBorders>
          </w:tcPr>
          <w:p w:rsidR="0058349F" w:rsidRDefault="0058349F">
            <w:pPr>
              <w:pStyle w:val="Heading6"/>
              <w:jc w:val="left"/>
            </w:pPr>
          </w:p>
        </w:tc>
        <w:tc>
          <w:tcPr>
            <w:tcW w:w="61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89"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7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list"/>
              <w:numPr>
                <w:ilvl w:val="0"/>
                <w:numId w:val="0"/>
              </w:numPr>
              <w:ind w:left="360" w:hanging="360"/>
              <w:rPr>
                <w:b/>
              </w:rPr>
            </w:pPr>
            <w:r>
              <w:rPr>
                <w:b/>
              </w:rPr>
              <w:t>Office for Disability</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2"/>
              </w:numPr>
            </w:pPr>
            <w:r>
              <w:t xml:space="preserve">Community engagement activities on National Disability Strategy </w:t>
            </w:r>
            <w:r>
              <w:rPr>
                <w:vertAlign w:val="superscript"/>
              </w:rPr>
              <w:t>1</w:t>
            </w:r>
          </w:p>
        </w:tc>
        <w:tc>
          <w:tcPr>
            <w:tcW w:w="612" w:type="pct"/>
            <w:tcBorders>
              <w:top w:val="nil"/>
              <w:left w:val="nil"/>
              <w:bottom w:val="nil"/>
              <w:right w:val="nil"/>
            </w:tcBorders>
            <w:vAlign w:val="center"/>
            <w:hideMark/>
          </w:tcPr>
          <w:p w:rsidR="0058349F" w:rsidRDefault="0058349F">
            <w:pPr>
              <w:pStyle w:val="BStablefigures1"/>
              <w:rPr>
                <w:b w:val="0"/>
              </w:rPr>
            </w:pPr>
            <w:r>
              <w:rPr>
                <w:b w:val="0"/>
              </w:rPr>
              <w:t>6</w:t>
            </w:r>
          </w:p>
        </w:tc>
        <w:tc>
          <w:tcPr>
            <w:tcW w:w="689" w:type="pct"/>
            <w:tcBorders>
              <w:top w:val="nil"/>
              <w:left w:val="nil"/>
              <w:bottom w:val="nil"/>
              <w:right w:val="nil"/>
            </w:tcBorders>
            <w:vAlign w:val="center"/>
            <w:hideMark/>
          </w:tcPr>
          <w:p w:rsidR="0058349F" w:rsidRDefault="0058349F">
            <w:pPr>
              <w:pStyle w:val="BStablefigures1"/>
              <w:rPr>
                <w:b w:val="0"/>
              </w:rPr>
            </w:pPr>
            <w:r>
              <w:rPr>
                <w:b w:val="0"/>
              </w:rPr>
              <w:t>6</w:t>
            </w:r>
          </w:p>
        </w:tc>
        <w:tc>
          <w:tcPr>
            <w:tcW w:w="572" w:type="pct"/>
            <w:tcBorders>
              <w:top w:val="nil"/>
              <w:left w:val="nil"/>
              <w:bottom w:val="nil"/>
              <w:right w:val="nil"/>
            </w:tcBorders>
            <w:vAlign w:val="center"/>
            <w:hideMark/>
          </w:tcPr>
          <w:p w:rsidR="0058349F" w:rsidRDefault="0058349F">
            <w:pPr>
              <w:pStyle w:val="BStablefigures1"/>
              <w:rPr>
                <w:b w:val="0"/>
              </w:rPr>
            </w:pPr>
            <w:r>
              <w:rPr>
                <w:b w:val="0"/>
              </w:rPr>
              <w:t>6</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2"/>
              </w:numPr>
            </w:pPr>
            <w:r>
              <w:t>Coordinate Connect and Participate Expo - Number of community group stallholders</w:t>
            </w:r>
            <w:r>
              <w:rPr>
                <w:vertAlign w:val="superscript"/>
              </w:rPr>
              <w:t>2</w:t>
            </w:r>
          </w:p>
        </w:tc>
        <w:tc>
          <w:tcPr>
            <w:tcW w:w="612" w:type="pct"/>
            <w:tcBorders>
              <w:top w:val="nil"/>
              <w:left w:val="nil"/>
              <w:bottom w:val="nil"/>
              <w:right w:val="nil"/>
            </w:tcBorders>
            <w:vAlign w:val="center"/>
            <w:hideMark/>
          </w:tcPr>
          <w:p w:rsidR="0058349F" w:rsidRDefault="0058349F">
            <w:pPr>
              <w:pStyle w:val="BStablefigures1"/>
              <w:rPr>
                <w:b w:val="0"/>
              </w:rPr>
            </w:pPr>
            <w:r>
              <w:rPr>
                <w:b w:val="0"/>
              </w:rPr>
              <w:t>120</w:t>
            </w:r>
          </w:p>
        </w:tc>
        <w:tc>
          <w:tcPr>
            <w:tcW w:w="689" w:type="pct"/>
            <w:tcBorders>
              <w:top w:val="nil"/>
              <w:left w:val="nil"/>
              <w:bottom w:val="nil"/>
              <w:right w:val="nil"/>
            </w:tcBorders>
            <w:vAlign w:val="center"/>
            <w:hideMark/>
          </w:tcPr>
          <w:p w:rsidR="0058349F" w:rsidRDefault="0058349F">
            <w:pPr>
              <w:pStyle w:val="BStablefigures1"/>
              <w:rPr>
                <w:b w:val="0"/>
              </w:rPr>
            </w:pPr>
            <w:r>
              <w:rPr>
                <w:b w:val="0"/>
              </w:rPr>
              <w:t>112</w:t>
            </w:r>
          </w:p>
        </w:tc>
        <w:tc>
          <w:tcPr>
            <w:tcW w:w="572" w:type="pct"/>
            <w:tcBorders>
              <w:top w:val="nil"/>
              <w:left w:val="nil"/>
              <w:bottom w:val="nil"/>
              <w:right w:val="nil"/>
            </w:tcBorders>
            <w:vAlign w:val="center"/>
            <w:hideMark/>
          </w:tcPr>
          <w:p w:rsidR="0058349F" w:rsidRDefault="0058349F">
            <w:pPr>
              <w:pStyle w:val="BStablefigures1"/>
              <w:rPr>
                <w:b w:val="0"/>
              </w:rPr>
            </w:pPr>
            <w:r>
              <w:rPr>
                <w:b w:val="0"/>
              </w:rPr>
              <w:t>120</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2"/>
              </w:numPr>
            </w:pPr>
            <w:r>
              <w:t xml:space="preserve">Coordinate Connect and Participate Expo - Number of people attending </w:t>
            </w:r>
            <w:r>
              <w:rPr>
                <w:vertAlign w:val="superscript"/>
              </w:rPr>
              <w:t>2</w:t>
            </w:r>
          </w:p>
        </w:tc>
        <w:tc>
          <w:tcPr>
            <w:tcW w:w="612" w:type="pct"/>
            <w:tcBorders>
              <w:top w:val="nil"/>
              <w:left w:val="nil"/>
              <w:bottom w:val="nil"/>
              <w:right w:val="nil"/>
            </w:tcBorders>
            <w:vAlign w:val="center"/>
            <w:hideMark/>
          </w:tcPr>
          <w:p w:rsidR="0058349F" w:rsidRDefault="009C7D6A" w:rsidP="00353D5D">
            <w:pPr>
              <w:pStyle w:val="BStablefigures1"/>
              <w:rPr>
                <w:b w:val="0"/>
              </w:rPr>
            </w:pPr>
            <w:r>
              <w:rPr>
                <w:b w:val="0"/>
              </w:rPr>
              <w:t xml:space="preserve"> 6</w:t>
            </w:r>
            <w:r w:rsidR="00353D5D">
              <w:rPr>
                <w:b w:val="0"/>
              </w:rPr>
              <w:t>,</w:t>
            </w:r>
            <w:r w:rsidR="0058349F">
              <w:rPr>
                <w:b w:val="0"/>
              </w:rPr>
              <w:t>000</w:t>
            </w:r>
          </w:p>
        </w:tc>
        <w:tc>
          <w:tcPr>
            <w:tcW w:w="689" w:type="pct"/>
            <w:tcBorders>
              <w:top w:val="nil"/>
              <w:left w:val="nil"/>
              <w:bottom w:val="nil"/>
              <w:right w:val="nil"/>
            </w:tcBorders>
            <w:vAlign w:val="center"/>
            <w:hideMark/>
          </w:tcPr>
          <w:p w:rsidR="0058349F" w:rsidRDefault="0058349F">
            <w:pPr>
              <w:pStyle w:val="BStablefigures1"/>
              <w:rPr>
                <w:b w:val="0"/>
              </w:rPr>
            </w:pPr>
            <w:r>
              <w:rPr>
                <w:b w:val="0"/>
              </w:rPr>
              <w:t>3</w:t>
            </w:r>
            <w:r w:rsidR="00353D5D">
              <w:rPr>
                <w:b w:val="0"/>
              </w:rPr>
              <w:t>,</w:t>
            </w:r>
            <w:r>
              <w:rPr>
                <w:b w:val="0"/>
              </w:rPr>
              <w:t>000</w:t>
            </w:r>
          </w:p>
        </w:tc>
        <w:tc>
          <w:tcPr>
            <w:tcW w:w="572" w:type="pct"/>
            <w:tcBorders>
              <w:top w:val="nil"/>
              <w:left w:val="nil"/>
              <w:bottom w:val="nil"/>
              <w:right w:val="nil"/>
            </w:tcBorders>
            <w:vAlign w:val="center"/>
            <w:hideMark/>
          </w:tcPr>
          <w:p w:rsidR="0058349F" w:rsidRDefault="0058349F" w:rsidP="00353D5D">
            <w:pPr>
              <w:pStyle w:val="BStablefigures1"/>
              <w:rPr>
                <w:b w:val="0"/>
              </w:rPr>
            </w:pPr>
            <w:r>
              <w:rPr>
                <w:b w:val="0"/>
              </w:rPr>
              <w:t>3</w:t>
            </w:r>
            <w:r w:rsidR="00353D5D">
              <w:rPr>
                <w:b w:val="0"/>
              </w:rPr>
              <w:t>,</w:t>
            </w:r>
            <w:r>
              <w:rPr>
                <w:b w:val="0"/>
              </w:rPr>
              <w:t>000</w:t>
            </w:r>
          </w:p>
        </w:tc>
      </w:tr>
      <w:tr w:rsidR="001651E4" w:rsidTr="009C7D6A">
        <w:trPr>
          <w:trHeight w:val="283"/>
        </w:trPr>
        <w:tc>
          <w:tcPr>
            <w:tcW w:w="3126" w:type="pct"/>
            <w:tcBorders>
              <w:top w:val="nil"/>
              <w:left w:val="nil"/>
              <w:bottom w:val="single" w:sz="12" w:space="0" w:color="000000"/>
              <w:right w:val="nil"/>
            </w:tcBorders>
            <w:hideMark/>
          </w:tcPr>
          <w:p w:rsidR="0058349F" w:rsidRDefault="0058349F" w:rsidP="0058349F">
            <w:pPr>
              <w:pStyle w:val="BStablelist"/>
              <w:numPr>
                <w:ilvl w:val="0"/>
                <w:numId w:val="32"/>
              </w:numPr>
            </w:pPr>
            <w:r>
              <w:t xml:space="preserve">Implement Companion Card Program - Number of Companion Card affiliates </w:t>
            </w:r>
            <w:r>
              <w:rPr>
                <w:vertAlign w:val="superscript"/>
              </w:rPr>
              <w:t>3</w:t>
            </w:r>
          </w:p>
        </w:tc>
        <w:tc>
          <w:tcPr>
            <w:tcW w:w="612" w:type="pct"/>
            <w:tcBorders>
              <w:top w:val="nil"/>
              <w:left w:val="nil"/>
              <w:bottom w:val="single" w:sz="12" w:space="0" w:color="000000"/>
              <w:right w:val="nil"/>
            </w:tcBorders>
            <w:vAlign w:val="center"/>
            <w:hideMark/>
          </w:tcPr>
          <w:p w:rsidR="0058349F" w:rsidRDefault="0058349F">
            <w:pPr>
              <w:pStyle w:val="BStablefigures1"/>
              <w:rPr>
                <w:b w:val="0"/>
              </w:rPr>
            </w:pPr>
            <w:r>
              <w:rPr>
                <w:b w:val="0"/>
              </w:rPr>
              <w:t>70</w:t>
            </w:r>
          </w:p>
        </w:tc>
        <w:tc>
          <w:tcPr>
            <w:tcW w:w="689" w:type="pct"/>
            <w:tcBorders>
              <w:top w:val="nil"/>
              <w:left w:val="nil"/>
              <w:bottom w:val="single" w:sz="12" w:space="0" w:color="000000"/>
              <w:right w:val="nil"/>
            </w:tcBorders>
            <w:vAlign w:val="center"/>
            <w:hideMark/>
          </w:tcPr>
          <w:p w:rsidR="0058349F" w:rsidRDefault="0058349F">
            <w:pPr>
              <w:pStyle w:val="BStablefigures1"/>
              <w:rPr>
                <w:b w:val="0"/>
              </w:rPr>
            </w:pPr>
            <w:r>
              <w:rPr>
                <w:b w:val="0"/>
              </w:rPr>
              <w:t>81</w:t>
            </w:r>
          </w:p>
        </w:tc>
        <w:tc>
          <w:tcPr>
            <w:tcW w:w="572" w:type="pct"/>
            <w:tcBorders>
              <w:top w:val="nil"/>
              <w:left w:val="nil"/>
              <w:bottom w:val="single" w:sz="12" w:space="0" w:color="000000"/>
              <w:right w:val="nil"/>
            </w:tcBorders>
            <w:vAlign w:val="center"/>
            <w:hideMark/>
          </w:tcPr>
          <w:p w:rsidR="0058349F" w:rsidRDefault="0058349F">
            <w:pPr>
              <w:pStyle w:val="BStablefigures1"/>
              <w:rPr>
                <w:b w:val="0"/>
              </w:rPr>
            </w:pPr>
            <w:r>
              <w:rPr>
                <w:b w:val="0"/>
              </w:rPr>
              <w:t>90</w:t>
            </w:r>
          </w:p>
        </w:tc>
      </w:tr>
    </w:tbl>
    <w:p w:rsidR="0058349F" w:rsidRDefault="0058349F" w:rsidP="0058349F">
      <w:pPr>
        <w:pStyle w:val="BSnote2"/>
      </w:pPr>
      <w:r>
        <w:t>Note</w:t>
      </w:r>
      <w:r w:rsidR="00F14CFA">
        <w:t>s</w:t>
      </w:r>
      <w:r>
        <w:t>:</w:t>
      </w:r>
      <w:r>
        <w:tab/>
      </w:r>
    </w:p>
    <w:p w:rsidR="0058349F" w:rsidRDefault="00257F5C" w:rsidP="00F14CFA">
      <w:pPr>
        <w:pStyle w:val="BSnoteslist2"/>
        <w:numPr>
          <w:ilvl w:val="0"/>
          <w:numId w:val="33"/>
        </w:numPr>
        <w:jc w:val="both"/>
      </w:pPr>
      <w:r>
        <w:t xml:space="preserve">This indicator </w:t>
      </w:r>
      <w:r w:rsidR="0058349F">
        <w:t xml:space="preserve">measures policy and project initiatives that engage directly with community on issues to inform </w:t>
      </w:r>
      <w:r w:rsidR="00F14CFA">
        <w:t xml:space="preserve">the </w:t>
      </w:r>
      <w:r w:rsidR="0058349F">
        <w:t xml:space="preserve">progression of outcomes against the commitment to National Disability Strategy. </w:t>
      </w:r>
    </w:p>
    <w:p w:rsidR="0058349F" w:rsidRDefault="0058349F" w:rsidP="00F14CFA">
      <w:pPr>
        <w:pStyle w:val="BSnoteslist2"/>
        <w:numPr>
          <w:ilvl w:val="0"/>
          <w:numId w:val="31"/>
        </w:numPr>
        <w:jc w:val="both"/>
        <w:rPr>
          <w:sz w:val="20"/>
        </w:rPr>
      </w:pPr>
      <w:r>
        <w:t xml:space="preserve">The Connect and Participate Expo (CAP Expo) is an inclusive community event that provides opportunities for communities to connect and directly engage people with disability. The target for indicators (c) has been reduced following the evaluation of the participant numbers for 2018 CAP Expo. </w:t>
      </w:r>
    </w:p>
    <w:p w:rsidR="0058349F" w:rsidRDefault="0058349F" w:rsidP="00F14CFA">
      <w:pPr>
        <w:pStyle w:val="BSnoteslist2"/>
        <w:numPr>
          <w:ilvl w:val="0"/>
          <w:numId w:val="31"/>
        </w:numPr>
        <w:jc w:val="both"/>
      </w:pPr>
      <w:r>
        <w:t xml:space="preserve">The ACT Companion Card Scheme enables people with disability with attendant care needs to participate at community venues and activities with support at reduced cost. The indicator measures the numbers of organisations supporting the scheme by becoming an affiliate member. </w:t>
      </w:r>
    </w:p>
    <w:p w:rsidR="009C7D6A" w:rsidRDefault="009C7D6A">
      <w:pPr>
        <w:spacing w:before="0" w:after="0"/>
        <w:rPr>
          <w:b/>
          <w:i/>
        </w:rPr>
      </w:pPr>
      <w:r>
        <w:br w:type="page"/>
      </w:r>
    </w:p>
    <w:p w:rsidR="0058349F" w:rsidRPr="009C7D6A" w:rsidRDefault="0058349F" w:rsidP="0058349F">
      <w:pPr>
        <w:pStyle w:val="Heading41"/>
      </w:pPr>
      <w:r>
        <w:t>Output 2.</w:t>
      </w:r>
      <w:r w:rsidRPr="009C7D6A">
        <w:t>5: Strategic Policy</w:t>
      </w:r>
    </w:p>
    <w:p w:rsidR="0058349F" w:rsidRDefault="009C7D6A" w:rsidP="0058349F">
      <w:pPr>
        <w:pStyle w:val="Caption1"/>
      </w:pPr>
      <w:r w:rsidRPr="009C7D6A">
        <w:t>Table 21</w:t>
      </w:r>
      <w:r w:rsidR="0058349F" w:rsidRPr="009C7D6A">
        <w:t>: Accountability Indicators Output 2.5</w:t>
      </w:r>
    </w:p>
    <w:tbl>
      <w:tblPr>
        <w:tblW w:w="5000" w:type="pct"/>
        <w:tblBorders>
          <w:top w:val="single" w:sz="12" w:space="0" w:color="000000"/>
          <w:bottom w:val="single" w:sz="12" w:space="0" w:color="000000"/>
        </w:tblBorders>
        <w:tblLook w:val="04A0" w:firstRow="1" w:lastRow="0" w:firstColumn="1" w:lastColumn="0" w:noHBand="0" w:noVBand="1"/>
      </w:tblPr>
      <w:tblGrid>
        <w:gridCol w:w="5643"/>
        <w:gridCol w:w="1105"/>
        <w:gridCol w:w="1244"/>
        <w:gridCol w:w="1034"/>
      </w:tblGrid>
      <w:tr w:rsidR="001651E4" w:rsidTr="009C7D6A">
        <w:trPr>
          <w:tblHeader/>
        </w:trPr>
        <w:tc>
          <w:tcPr>
            <w:tcW w:w="3126" w:type="pct"/>
            <w:tcBorders>
              <w:top w:val="single" w:sz="12" w:space="0" w:color="000000"/>
              <w:left w:val="nil"/>
              <w:bottom w:val="single" w:sz="12" w:space="0" w:color="000000"/>
              <w:right w:val="nil"/>
            </w:tcBorders>
          </w:tcPr>
          <w:p w:rsidR="0058349F" w:rsidRDefault="0058349F">
            <w:pPr>
              <w:pStyle w:val="Heading6"/>
              <w:jc w:val="left"/>
            </w:pPr>
          </w:p>
        </w:tc>
        <w:tc>
          <w:tcPr>
            <w:tcW w:w="61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89"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7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list"/>
              <w:numPr>
                <w:ilvl w:val="0"/>
                <w:numId w:val="0"/>
              </w:numPr>
              <w:ind w:left="360" w:hanging="360"/>
              <w:rPr>
                <w:b/>
                <w:strike/>
              </w:rPr>
            </w:pPr>
            <w:r>
              <w:rPr>
                <w:b/>
              </w:rPr>
              <w:t>Strategic Policy</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4"/>
              </w:numPr>
            </w:pPr>
            <w:r>
              <w:t xml:space="preserve">Proportion of funded services that were visited by a Relationship Manager during the financial year </w:t>
            </w:r>
            <w:r>
              <w:rPr>
                <w:vertAlign w:val="superscript"/>
              </w:rPr>
              <w:t>1</w:t>
            </w:r>
          </w:p>
        </w:tc>
        <w:tc>
          <w:tcPr>
            <w:tcW w:w="612" w:type="pct"/>
            <w:tcBorders>
              <w:top w:val="nil"/>
              <w:left w:val="nil"/>
              <w:bottom w:val="nil"/>
              <w:right w:val="nil"/>
            </w:tcBorders>
            <w:hideMark/>
          </w:tcPr>
          <w:p w:rsidR="0058349F" w:rsidRDefault="0058349F">
            <w:pPr>
              <w:pStyle w:val="BStablefigures1"/>
              <w:rPr>
                <w:b w:val="0"/>
              </w:rPr>
            </w:pPr>
            <w:r>
              <w:rPr>
                <w:b w:val="0"/>
              </w:rPr>
              <w:t>90%</w:t>
            </w:r>
          </w:p>
        </w:tc>
        <w:tc>
          <w:tcPr>
            <w:tcW w:w="689" w:type="pct"/>
            <w:tcBorders>
              <w:top w:val="nil"/>
              <w:left w:val="nil"/>
              <w:bottom w:val="nil"/>
              <w:right w:val="nil"/>
            </w:tcBorders>
            <w:hideMark/>
          </w:tcPr>
          <w:p w:rsidR="0058349F" w:rsidRDefault="0058349F">
            <w:pPr>
              <w:pStyle w:val="BStablefigures1"/>
              <w:rPr>
                <w:b w:val="0"/>
              </w:rPr>
            </w:pPr>
            <w:r>
              <w:rPr>
                <w:b w:val="0"/>
              </w:rPr>
              <w:t>80%</w:t>
            </w:r>
          </w:p>
        </w:tc>
        <w:tc>
          <w:tcPr>
            <w:tcW w:w="572" w:type="pct"/>
            <w:tcBorders>
              <w:top w:val="nil"/>
              <w:left w:val="nil"/>
              <w:bottom w:val="nil"/>
              <w:right w:val="nil"/>
            </w:tcBorders>
            <w:hideMark/>
          </w:tcPr>
          <w:p w:rsidR="0058349F" w:rsidRDefault="0058349F">
            <w:pPr>
              <w:pStyle w:val="BStablefigures1"/>
              <w:rPr>
                <w:b w:val="0"/>
              </w:rPr>
            </w:pPr>
            <w:r>
              <w:rPr>
                <w:b w:val="0"/>
              </w:rPr>
              <w:t>N/A</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4"/>
              </w:numPr>
            </w:pPr>
            <w:r>
              <w:t>Satisfaction of funded organisations with government contract administration (as measured by annual survey)</w:t>
            </w:r>
          </w:p>
        </w:tc>
        <w:tc>
          <w:tcPr>
            <w:tcW w:w="612" w:type="pct"/>
            <w:tcBorders>
              <w:top w:val="nil"/>
              <w:left w:val="nil"/>
              <w:bottom w:val="nil"/>
              <w:right w:val="nil"/>
            </w:tcBorders>
            <w:hideMark/>
          </w:tcPr>
          <w:p w:rsidR="0058349F" w:rsidRDefault="0058349F">
            <w:pPr>
              <w:pStyle w:val="BStablefigures1"/>
              <w:rPr>
                <w:b w:val="0"/>
              </w:rPr>
            </w:pPr>
            <w:r>
              <w:rPr>
                <w:b w:val="0"/>
              </w:rPr>
              <w:t>90%</w:t>
            </w:r>
          </w:p>
        </w:tc>
        <w:tc>
          <w:tcPr>
            <w:tcW w:w="689" w:type="pct"/>
            <w:tcBorders>
              <w:top w:val="nil"/>
              <w:left w:val="nil"/>
              <w:bottom w:val="nil"/>
              <w:right w:val="nil"/>
            </w:tcBorders>
            <w:hideMark/>
          </w:tcPr>
          <w:p w:rsidR="0058349F" w:rsidRDefault="0058349F">
            <w:pPr>
              <w:pStyle w:val="BStablefigures1"/>
              <w:rPr>
                <w:b w:val="0"/>
              </w:rPr>
            </w:pPr>
            <w:r>
              <w:rPr>
                <w:b w:val="0"/>
              </w:rPr>
              <w:t>90%</w:t>
            </w:r>
          </w:p>
        </w:tc>
        <w:tc>
          <w:tcPr>
            <w:tcW w:w="572" w:type="pct"/>
            <w:tcBorders>
              <w:top w:val="nil"/>
              <w:left w:val="nil"/>
              <w:bottom w:val="nil"/>
              <w:right w:val="nil"/>
            </w:tcBorders>
            <w:hideMark/>
          </w:tcPr>
          <w:p w:rsidR="0058349F" w:rsidRDefault="0058349F">
            <w:pPr>
              <w:pStyle w:val="BStablefigures1"/>
              <w:rPr>
                <w:b w:val="0"/>
              </w:rPr>
            </w:pPr>
            <w:r>
              <w:rPr>
                <w:b w:val="0"/>
              </w:rPr>
              <w:t>90%</w:t>
            </w:r>
          </w:p>
        </w:tc>
      </w:tr>
      <w:tr w:rsidR="001651E4" w:rsidTr="009C7D6A">
        <w:trPr>
          <w:trHeight w:val="283"/>
        </w:trPr>
        <w:tc>
          <w:tcPr>
            <w:tcW w:w="3126" w:type="pct"/>
            <w:tcBorders>
              <w:top w:val="nil"/>
              <w:left w:val="nil"/>
              <w:bottom w:val="nil"/>
              <w:right w:val="nil"/>
            </w:tcBorders>
            <w:hideMark/>
          </w:tcPr>
          <w:p w:rsidR="0058349F" w:rsidRDefault="0058349F" w:rsidP="0058349F">
            <w:pPr>
              <w:pStyle w:val="BStablelist"/>
              <w:numPr>
                <w:ilvl w:val="0"/>
                <w:numId w:val="34"/>
              </w:numPr>
            </w:pPr>
            <w:r>
              <w:t xml:space="preserve">Provision of strategic policy advice on human services issues to drive improved outcomes for children, young people and their families </w:t>
            </w:r>
            <w:r>
              <w:rPr>
                <w:vertAlign w:val="superscript"/>
              </w:rPr>
              <w:t>2</w:t>
            </w:r>
          </w:p>
        </w:tc>
        <w:tc>
          <w:tcPr>
            <w:tcW w:w="612" w:type="pct"/>
            <w:tcBorders>
              <w:top w:val="nil"/>
              <w:left w:val="nil"/>
              <w:bottom w:val="nil"/>
              <w:right w:val="nil"/>
            </w:tcBorders>
            <w:vAlign w:val="center"/>
            <w:hideMark/>
          </w:tcPr>
          <w:p w:rsidR="0058349F" w:rsidRDefault="0058349F">
            <w:pPr>
              <w:pStyle w:val="BStablefigures1"/>
              <w:rPr>
                <w:b w:val="0"/>
              </w:rPr>
            </w:pPr>
            <w:r>
              <w:rPr>
                <w:b w:val="0"/>
              </w:rPr>
              <w:t>2</w:t>
            </w:r>
          </w:p>
        </w:tc>
        <w:tc>
          <w:tcPr>
            <w:tcW w:w="689" w:type="pct"/>
            <w:tcBorders>
              <w:top w:val="nil"/>
              <w:left w:val="nil"/>
              <w:bottom w:val="nil"/>
              <w:right w:val="nil"/>
            </w:tcBorders>
            <w:vAlign w:val="center"/>
            <w:hideMark/>
          </w:tcPr>
          <w:p w:rsidR="0058349F" w:rsidRDefault="0058349F">
            <w:pPr>
              <w:pStyle w:val="BStablefigures1"/>
              <w:rPr>
                <w:b w:val="0"/>
              </w:rPr>
            </w:pPr>
            <w:r>
              <w:rPr>
                <w:b w:val="0"/>
              </w:rPr>
              <w:t>2</w:t>
            </w:r>
          </w:p>
        </w:tc>
        <w:tc>
          <w:tcPr>
            <w:tcW w:w="572" w:type="pct"/>
            <w:tcBorders>
              <w:top w:val="nil"/>
              <w:left w:val="nil"/>
              <w:bottom w:val="nil"/>
              <w:right w:val="nil"/>
            </w:tcBorders>
            <w:vAlign w:val="center"/>
            <w:hideMark/>
          </w:tcPr>
          <w:p w:rsidR="0058349F" w:rsidRDefault="0058349F">
            <w:pPr>
              <w:pStyle w:val="BStablefigures1"/>
              <w:rPr>
                <w:b w:val="0"/>
              </w:rPr>
            </w:pPr>
            <w:r>
              <w:rPr>
                <w:b w:val="0"/>
              </w:rPr>
              <w:t>2</w:t>
            </w:r>
          </w:p>
        </w:tc>
      </w:tr>
      <w:tr w:rsidR="001651E4" w:rsidTr="009C7D6A">
        <w:trPr>
          <w:trHeight w:val="283"/>
        </w:trPr>
        <w:tc>
          <w:tcPr>
            <w:tcW w:w="3126" w:type="pct"/>
            <w:tcBorders>
              <w:top w:val="nil"/>
              <w:left w:val="nil"/>
              <w:bottom w:val="single" w:sz="12" w:space="0" w:color="000000"/>
              <w:right w:val="nil"/>
            </w:tcBorders>
            <w:hideMark/>
          </w:tcPr>
          <w:p w:rsidR="0058349F" w:rsidRDefault="0058349F" w:rsidP="0058349F">
            <w:pPr>
              <w:pStyle w:val="BStablelist"/>
              <w:numPr>
                <w:ilvl w:val="0"/>
                <w:numId w:val="34"/>
              </w:numPr>
            </w:pPr>
            <w:r>
              <w:t xml:space="preserve">Performance improvement initiatives </w:t>
            </w:r>
            <w:r>
              <w:rPr>
                <w:vertAlign w:val="superscript"/>
              </w:rPr>
              <w:t>3</w:t>
            </w:r>
          </w:p>
        </w:tc>
        <w:tc>
          <w:tcPr>
            <w:tcW w:w="612" w:type="pct"/>
            <w:tcBorders>
              <w:top w:val="nil"/>
              <w:left w:val="nil"/>
              <w:bottom w:val="single" w:sz="12" w:space="0" w:color="000000"/>
              <w:right w:val="nil"/>
            </w:tcBorders>
            <w:hideMark/>
          </w:tcPr>
          <w:p w:rsidR="0058349F" w:rsidRDefault="0058349F">
            <w:pPr>
              <w:pStyle w:val="BStablefigures1"/>
              <w:rPr>
                <w:b w:val="0"/>
              </w:rPr>
            </w:pPr>
            <w:r>
              <w:rPr>
                <w:b w:val="0"/>
              </w:rPr>
              <w:t>3</w:t>
            </w:r>
          </w:p>
        </w:tc>
        <w:tc>
          <w:tcPr>
            <w:tcW w:w="689" w:type="pct"/>
            <w:tcBorders>
              <w:top w:val="nil"/>
              <w:left w:val="nil"/>
              <w:bottom w:val="single" w:sz="12" w:space="0" w:color="000000"/>
              <w:right w:val="nil"/>
            </w:tcBorders>
            <w:hideMark/>
          </w:tcPr>
          <w:p w:rsidR="0058349F" w:rsidRDefault="0058349F">
            <w:pPr>
              <w:pStyle w:val="BStablefigures1"/>
              <w:rPr>
                <w:b w:val="0"/>
              </w:rPr>
            </w:pPr>
            <w:r>
              <w:rPr>
                <w:b w:val="0"/>
              </w:rPr>
              <w:t>3</w:t>
            </w:r>
          </w:p>
        </w:tc>
        <w:tc>
          <w:tcPr>
            <w:tcW w:w="572" w:type="pct"/>
            <w:tcBorders>
              <w:top w:val="nil"/>
              <w:left w:val="nil"/>
              <w:bottom w:val="single" w:sz="12" w:space="0" w:color="000000"/>
              <w:right w:val="nil"/>
            </w:tcBorders>
            <w:hideMark/>
          </w:tcPr>
          <w:p w:rsidR="0058349F" w:rsidRDefault="0058349F">
            <w:pPr>
              <w:pStyle w:val="BStablefigures1"/>
              <w:rPr>
                <w:b w:val="0"/>
              </w:rPr>
            </w:pPr>
            <w:r>
              <w:rPr>
                <w:b w:val="0"/>
              </w:rPr>
              <w:t>3</w:t>
            </w:r>
          </w:p>
        </w:tc>
      </w:tr>
    </w:tbl>
    <w:p w:rsidR="0058349F" w:rsidRDefault="0058349F" w:rsidP="0058349F">
      <w:pPr>
        <w:pStyle w:val="BSnote2"/>
      </w:pPr>
      <w:r>
        <w:t>Notes:</w:t>
      </w:r>
      <w:r>
        <w:tab/>
      </w:r>
    </w:p>
    <w:p w:rsidR="0058349F" w:rsidRDefault="0058349F" w:rsidP="0058349F">
      <w:pPr>
        <w:pStyle w:val="BSnoteslist2"/>
        <w:numPr>
          <w:ilvl w:val="0"/>
          <w:numId w:val="35"/>
        </w:numPr>
      </w:pPr>
      <w:r>
        <w:t>This indicator moved to item (d) under Output 2.3 Inclusion and Participation.</w:t>
      </w:r>
    </w:p>
    <w:p w:rsidR="0058349F" w:rsidRDefault="0058349F" w:rsidP="009C7D6A">
      <w:pPr>
        <w:pStyle w:val="BSnoteslist2"/>
        <w:numPr>
          <w:ilvl w:val="0"/>
          <w:numId w:val="31"/>
        </w:numPr>
      </w:pPr>
      <w:r>
        <w:t>The two initiatives are: ‘deliver advice to Government on Early Intervention by Design’ and ‘Carers Action Plan</w:t>
      </w:r>
      <w:r>
        <w:rPr>
          <w:i/>
        </w:rPr>
        <w:t>’</w:t>
      </w:r>
      <w:r>
        <w:t xml:space="preserve">. </w:t>
      </w:r>
    </w:p>
    <w:p w:rsidR="0058349F" w:rsidRDefault="0058349F" w:rsidP="009C7D6A">
      <w:pPr>
        <w:pStyle w:val="BSnoteslist2"/>
        <w:numPr>
          <w:ilvl w:val="0"/>
          <w:numId w:val="31"/>
        </w:numPr>
      </w:pPr>
      <w:r>
        <w:t xml:space="preserve">The three initiatives are: ‘annual Report on Government Services’, ‘Australian Early Development Census program’ and ‘Community Services Directorate Strategic Plan’. </w:t>
      </w:r>
    </w:p>
    <w:p w:rsidR="0058349F" w:rsidRPr="009C7D6A" w:rsidRDefault="0058349F" w:rsidP="0058349F">
      <w:pPr>
        <w:pStyle w:val="Heading41"/>
      </w:pPr>
      <w:r>
        <w:t xml:space="preserve">Output 2.6: </w:t>
      </w:r>
      <w:r w:rsidRPr="009C7D6A">
        <w:t>Quality, Complaints and Regulation</w:t>
      </w:r>
    </w:p>
    <w:p w:rsidR="0058349F" w:rsidRDefault="009C7D6A" w:rsidP="0058349F">
      <w:pPr>
        <w:pStyle w:val="Caption1"/>
      </w:pPr>
      <w:r w:rsidRPr="009C7D6A">
        <w:t>Table 22</w:t>
      </w:r>
      <w:r w:rsidR="0058349F" w:rsidRPr="009C7D6A">
        <w:t>: Accountability Indicators Output 2.6</w:t>
      </w:r>
    </w:p>
    <w:tbl>
      <w:tblPr>
        <w:tblW w:w="5000" w:type="pct"/>
        <w:tblBorders>
          <w:top w:val="single" w:sz="12" w:space="0" w:color="000000"/>
          <w:bottom w:val="single" w:sz="12" w:space="0" w:color="000000"/>
        </w:tblBorders>
        <w:tblLook w:val="04A0" w:firstRow="1" w:lastRow="0" w:firstColumn="1" w:lastColumn="0" w:noHBand="0" w:noVBand="1"/>
      </w:tblPr>
      <w:tblGrid>
        <w:gridCol w:w="5781"/>
        <w:gridCol w:w="1020"/>
        <w:gridCol w:w="1191"/>
        <w:gridCol w:w="1034"/>
      </w:tblGrid>
      <w:tr w:rsidR="001651E4" w:rsidTr="009C7D6A">
        <w:trPr>
          <w:tblHeader/>
        </w:trPr>
        <w:tc>
          <w:tcPr>
            <w:tcW w:w="3202" w:type="pct"/>
            <w:tcBorders>
              <w:top w:val="single" w:sz="12" w:space="0" w:color="000000"/>
              <w:left w:val="nil"/>
              <w:bottom w:val="single" w:sz="12" w:space="0" w:color="000000"/>
              <w:right w:val="nil"/>
            </w:tcBorders>
          </w:tcPr>
          <w:p w:rsidR="0058349F" w:rsidRDefault="0058349F">
            <w:pPr>
              <w:pStyle w:val="Heading6"/>
              <w:jc w:val="left"/>
            </w:pPr>
          </w:p>
        </w:tc>
        <w:tc>
          <w:tcPr>
            <w:tcW w:w="565"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60"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7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list"/>
              <w:numPr>
                <w:ilvl w:val="0"/>
                <w:numId w:val="0"/>
              </w:numPr>
              <w:ind w:left="360" w:hanging="360"/>
              <w:rPr>
                <w:b/>
              </w:rPr>
            </w:pPr>
            <w:r>
              <w:rPr>
                <w:b/>
              </w:rPr>
              <w:t>Quality, Complaints and Regulation</w:t>
            </w:r>
          </w:p>
        </w:tc>
      </w:tr>
      <w:tr w:rsidR="001651E4" w:rsidTr="009C7D6A">
        <w:trPr>
          <w:trHeight w:val="283"/>
        </w:trPr>
        <w:tc>
          <w:tcPr>
            <w:tcW w:w="3202" w:type="pct"/>
            <w:tcBorders>
              <w:top w:val="nil"/>
              <w:left w:val="nil"/>
              <w:bottom w:val="nil"/>
              <w:right w:val="nil"/>
            </w:tcBorders>
            <w:hideMark/>
          </w:tcPr>
          <w:p w:rsidR="0058349F" w:rsidRDefault="0058349F" w:rsidP="0058349F">
            <w:pPr>
              <w:pStyle w:val="BStablelist"/>
              <w:numPr>
                <w:ilvl w:val="0"/>
                <w:numId w:val="36"/>
              </w:numPr>
            </w:pPr>
            <w:r>
              <w:t xml:space="preserve">Regulatory and process reform initiatives </w:t>
            </w:r>
            <w:r>
              <w:rPr>
                <w:vertAlign w:val="superscript"/>
              </w:rPr>
              <w:t>1</w:t>
            </w:r>
          </w:p>
        </w:tc>
        <w:tc>
          <w:tcPr>
            <w:tcW w:w="565" w:type="pct"/>
            <w:tcBorders>
              <w:top w:val="nil"/>
              <w:left w:val="nil"/>
              <w:bottom w:val="nil"/>
              <w:right w:val="nil"/>
            </w:tcBorders>
            <w:hideMark/>
          </w:tcPr>
          <w:p w:rsidR="0058349F" w:rsidRDefault="0058349F">
            <w:pPr>
              <w:pStyle w:val="BStablefigures1"/>
              <w:rPr>
                <w:b w:val="0"/>
              </w:rPr>
            </w:pPr>
            <w:r>
              <w:rPr>
                <w:b w:val="0"/>
              </w:rPr>
              <w:t>4</w:t>
            </w:r>
          </w:p>
        </w:tc>
        <w:tc>
          <w:tcPr>
            <w:tcW w:w="660" w:type="pct"/>
            <w:tcBorders>
              <w:top w:val="nil"/>
              <w:left w:val="nil"/>
              <w:bottom w:val="nil"/>
              <w:right w:val="nil"/>
            </w:tcBorders>
            <w:hideMark/>
          </w:tcPr>
          <w:p w:rsidR="0058349F" w:rsidRDefault="0058349F">
            <w:pPr>
              <w:pStyle w:val="BStablefigures1"/>
              <w:rPr>
                <w:b w:val="0"/>
              </w:rPr>
            </w:pPr>
            <w:r>
              <w:rPr>
                <w:b w:val="0"/>
              </w:rPr>
              <w:t>4</w:t>
            </w:r>
          </w:p>
        </w:tc>
        <w:tc>
          <w:tcPr>
            <w:tcW w:w="572" w:type="pct"/>
            <w:tcBorders>
              <w:top w:val="nil"/>
              <w:left w:val="nil"/>
              <w:bottom w:val="nil"/>
              <w:right w:val="nil"/>
            </w:tcBorders>
            <w:hideMark/>
          </w:tcPr>
          <w:p w:rsidR="0058349F" w:rsidRDefault="0058349F">
            <w:pPr>
              <w:pStyle w:val="BStablefigures1"/>
              <w:rPr>
                <w:b w:val="0"/>
              </w:rPr>
            </w:pPr>
            <w:r>
              <w:rPr>
                <w:b w:val="0"/>
              </w:rPr>
              <w:t>3</w:t>
            </w:r>
          </w:p>
        </w:tc>
      </w:tr>
      <w:tr w:rsidR="001651E4" w:rsidTr="00CF6FA3">
        <w:trPr>
          <w:trHeight w:val="283"/>
        </w:trPr>
        <w:tc>
          <w:tcPr>
            <w:tcW w:w="3202" w:type="pct"/>
            <w:tcBorders>
              <w:top w:val="nil"/>
              <w:left w:val="nil"/>
              <w:bottom w:val="single" w:sz="12" w:space="0" w:color="auto"/>
              <w:right w:val="nil"/>
            </w:tcBorders>
            <w:hideMark/>
          </w:tcPr>
          <w:p w:rsidR="0058349F" w:rsidRPr="00CF6FA3" w:rsidRDefault="0058349F" w:rsidP="0058349F">
            <w:pPr>
              <w:pStyle w:val="BStablelist"/>
              <w:numPr>
                <w:ilvl w:val="0"/>
                <w:numId w:val="36"/>
              </w:numPr>
            </w:pPr>
            <w:r w:rsidRPr="00CF6FA3">
              <w:t>Number of regulated service providers</w:t>
            </w:r>
          </w:p>
        </w:tc>
        <w:tc>
          <w:tcPr>
            <w:tcW w:w="565" w:type="pct"/>
            <w:tcBorders>
              <w:top w:val="nil"/>
              <w:left w:val="nil"/>
              <w:bottom w:val="single" w:sz="12" w:space="0" w:color="auto"/>
              <w:right w:val="nil"/>
            </w:tcBorders>
            <w:hideMark/>
          </w:tcPr>
          <w:p w:rsidR="0058349F" w:rsidRPr="00CF6FA3" w:rsidRDefault="0058349F">
            <w:pPr>
              <w:pStyle w:val="BStablefigures1"/>
              <w:rPr>
                <w:b w:val="0"/>
              </w:rPr>
            </w:pPr>
            <w:r w:rsidRPr="00CF6FA3">
              <w:rPr>
                <w:b w:val="0"/>
              </w:rPr>
              <w:t>172</w:t>
            </w:r>
          </w:p>
        </w:tc>
        <w:tc>
          <w:tcPr>
            <w:tcW w:w="660" w:type="pct"/>
            <w:tcBorders>
              <w:top w:val="nil"/>
              <w:left w:val="nil"/>
              <w:bottom w:val="single" w:sz="12" w:space="0" w:color="auto"/>
              <w:right w:val="nil"/>
            </w:tcBorders>
            <w:hideMark/>
          </w:tcPr>
          <w:p w:rsidR="0058349F" w:rsidRPr="00CF6FA3" w:rsidRDefault="0058349F">
            <w:pPr>
              <w:pStyle w:val="BStablefigures1"/>
              <w:rPr>
                <w:b w:val="0"/>
              </w:rPr>
            </w:pPr>
            <w:r w:rsidRPr="00CF6FA3">
              <w:rPr>
                <w:b w:val="0"/>
              </w:rPr>
              <w:t>195</w:t>
            </w:r>
          </w:p>
        </w:tc>
        <w:tc>
          <w:tcPr>
            <w:tcW w:w="572" w:type="pct"/>
            <w:tcBorders>
              <w:top w:val="nil"/>
              <w:left w:val="nil"/>
              <w:bottom w:val="single" w:sz="12" w:space="0" w:color="auto"/>
              <w:right w:val="nil"/>
            </w:tcBorders>
            <w:hideMark/>
          </w:tcPr>
          <w:p w:rsidR="0058349F" w:rsidRPr="00CF6FA3" w:rsidRDefault="0058349F">
            <w:pPr>
              <w:pStyle w:val="BStablefigures1"/>
              <w:rPr>
                <w:b w:val="0"/>
              </w:rPr>
            </w:pPr>
            <w:r w:rsidRPr="00CF6FA3">
              <w:rPr>
                <w:b w:val="0"/>
              </w:rPr>
              <w:t>232</w:t>
            </w:r>
          </w:p>
        </w:tc>
      </w:tr>
    </w:tbl>
    <w:p w:rsidR="0058349F" w:rsidRDefault="0058349F" w:rsidP="0058349F">
      <w:pPr>
        <w:pStyle w:val="BSnote2"/>
      </w:pPr>
      <w:r>
        <w:t>Note:</w:t>
      </w:r>
      <w:r>
        <w:tab/>
      </w:r>
    </w:p>
    <w:p w:rsidR="0058349F" w:rsidRDefault="0058349F" w:rsidP="0058349F">
      <w:pPr>
        <w:pStyle w:val="BSnoteslist2"/>
        <w:numPr>
          <w:ilvl w:val="0"/>
          <w:numId w:val="37"/>
        </w:numPr>
      </w:pPr>
      <w:r>
        <w:t>The three reform initiatives are: ‘Continuation of the establishment of the Senior Practitioner for Restrictive Practices’, ‘National approach to NDIS Worker Screening’ and ‘Child Protection Quality Assurance and Improvement Committee’.</w:t>
      </w:r>
    </w:p>
    <w:p w:rsidR="0058349F" w:rsidRDefault="0058349F" w:rsidP="0058349F">
      <w:pPr>
        <w:pStyle w:val="Heading410"/>
      </w:pPr>
      <w:r>
        <w:t xml:space="preserve">Output 2.7: </w:t>
      </w:r>
      <w:r w:rsidR="009C7D6A">
        <w:t>Safer Families</w:t>
      </w:r>
    </w:p>
    <w:p w:rsidR="0058349F" w:rsidRDefault="0058349F" w:rsidP="0058349F">
      <w:pPr>
        <w:pStyle w:val="Caption1"/>
      </w:pPr>
      <w:r>
        <w:t xml:space="preserve">Table </w:t>
      </w:r>
      <w:r w:rsidR="009C7D6A">
        <w:t>23</w:t>
      </w:r>
      <w:r>
        <w:t>: Accountability Indicators Output 2.7</w:t>
      </w:r>
    </w:p>
    <w:tbl>
      <w:tblPr>
        <w:tblW w:w="5000" w:type="pct"/>
        <w:tblBorders>
          <w:top w:val="single" w:sz="12" w:space="0" w:color="000000"/>
          <w:bottom w:val="single" w:sz="12" w:space="0" w:color="000000"/>
        </w:tblBorders>
        <w:tblLook w:val="04A0" w:firstRow="1" w:lastRow="0" w:firstColumn="1" w:lastColumn="0" w:noHBand="0" w:noVBand="1"/>
      </w:tblPr>
      <w:tblGrid>
        <w:gridCol w:w="5782"/>
        <w:gridCol w:w="1105"/>
        <w:gridCol w:w="1105"/>
        <w:gridCol w:w="1034"/>
      </w:tblGrid>
      <w:tr w:rsidR="001651E4" w:rsidTr="009C7D6A">
        <w:trPr>
          <w:tblHeader/>
        </w:trPr>
        <w:tc>
          <w:tcPr>
            <w:tcW w:w="3203" w:type="pct"/>
            <w:tcBorders>
              <w:top w:val="single" w:sz="12" w:space="0" w:color="000000"/>
              <w:left w:val="nil"/>
              <w:bottom w:val="single" w:sz="12" w:space="0" w:color="000000"/>
              <w:right w:val="nil"/>
            </w:tcBorders>
          </w:tcPr>
          <w:p w:rsidR="0058349F" w:rsidRDefault="0058349F">
            <w:pPr>
              <w:pStyle w:val="Heading6"/>
              <w:jc w:val="left"/>
            </w:pPr>
          </w:p>
        </w:tc>
        <w:tc>
          <w:tcPr>
            <w:tcW w:w="61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1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7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list"/>
              <w:numPr>
                <w:ilvl w:val="0"/>
                <w:numId w:val="0"/>
              </w:numPr>
              <w:ind w:left="360" w:hanging="360"/>
              <w:rPr>
                <w:b/>
              </w:rPr>
            </w:pPr>
            <w:r>
              <w:rPr>
                <w:b/>
              </w:rPr>
              <w:t>Safer Families</w:t>
            </w:r>
          </w:p>
        </w:tc>
      </w:tr>
      <w:tr w:rsidR="001651E4" w:rsidTr="009C7D6A">
        <w:trPr>
          <w:trHeight w:val="283"/>
        </w:trPr>
        <w:tc>
          <w:tcPr>
            <w:tcW w:w="3203" w:type="pct"/>
            <w:tcBorders>
              <w:top w:val="nil"/>
              <w:left w:val="nil"/>
              <w:bottom w:val="single" w:sz="12" w:space="0" w:color="auto"/>
              <w:right w:val="nil"/>
            </w:tcBorders>
            <w:hideMark/>
          </w:tcPr>
          <w:p w:rsidR="0058349F" w:rsidRDefault="0058349F" w:rsidP="0058349F">
            <w:pPr>
              <w:pStyle w:val="BStablelist"/>
              <w:numPr>
                <w:ilvl w:val="0"/>
                <w:numId w:val="38"/>
              </w:numPr>
            </w:pPr>
            <w:r>
              <w:t xml:space="preserve">Family Violence Statement presented to the ACT Legislative Assembly </w:t>
            </w:r>
            <w:r>
              <w:rPr>
                <w:vertAlign w:val="superscript"/>
              </w:rPr>
              <w:t>1</w:t>
            </w:r>
          </w:p>
        </w:tc>
        <w:tc>
          <w:tcPr>
            <w:tcW w:w="612" w:type="pct"/>
            <w:tcBorders>
              <w:top w:val="nil"/>
              <w:left w:val="nil"/>
              <w:bottom w:val="single" w:sz="12" w:space="0" w:color="auto"/>
              <w:right w:val="nil"/>
            </w:tcBorders>
            <w:vAlign w:val="center"/>
            <w:hideMark/>
          </w:tcPr>
          <w:p w:rsidR="0058349F" w:rsidRDefault="0058349F">
            <w:pPr>
              <w:pStyle w:val="BStablefigures1"/>
              <w:rPr>
                <w:b w:val="0"/>
              </w:rPr>
            </w:pPr>
            <w:r>
              <w:rPr>
                <w:b w:val="0"/>
              </w:rPr>
              <w:t>1</w:t>
            </w:r>
          </w:p>
        </w:tc>
        <w:tc>
          <w:tcPr>
            <w:tcW w:w="612" w:type="pct"/>
            <w:tcBorders>
              <w:top w:val="nil"/>
              <w:left w:val="nil"/>
              <w:bottom w:val="single" w:sz="12" w:space="0" w:color="auto"/>
              <w:right w:val="nil"/>
            </w:tcBorders>
            <w:vAlign w:val="center"/>
            <w:hideMark/>
          </w:tcPr>
          <w:p w:rsidR="0058349F" w:rsidRDefault="0058349F">
            <w:pPr>
              <w:pStyle w:val="BStablefigures1"/>
              <w:rPr>
                <w:b w:val="0"/>
              </w:rPr>
            </w:pPr>
            <w:r>
              <w:rPr>
                <w:b w:val="0"/>
              </w:rPr>
              <w:t>1</w:t>
            </w:r>
          </w:p>
        </w:tc>
        <w:tc>
          <w:tcPr>
            <w:tcW w:w="572" w:type="pct"/>
            <w:tcBorders>
              <w:top w:val="nil"/>
              <w:left w:val="nil"/>
              <w:bottom w:val="single" w:sz="12" w:space="0" w:color="auto"/>
              <w:right w:val="nil"/>
            </w:tcBorders>
            <w:vAlign w:val="center"/>
            <w:hideMark/>
          </w:tcPr>
          <w:p w:rsidR="0058349F" w:rsidRDefault="0058349F">
            <w:pPr>
              <w:pStyle w:val="BStablefigures1"/>
              <w:rPr>
                <w:b w:val="0"/>
              </w:rPr>
            </w:pPr>
            <w:r>
              <w:rPr>
                <w:b w:val="0"/>
              </w:rPr>
              <w:t>1</w:t>
            </w:r>
          </w:p>
        </w:tc>
      </w:tr>
    </w:tbl>
    <w:p w:rsidR="0058349F" w:rsidRDefault="0058349F" w:rsidP="0058349F">
      <w:pPr>
        <w:pStyle w:val="BSnote20"/>
      </w:pPr>
      <w:r>
        <w:t>Note:</w:t>
      </w:r>
      <w:r>
        <w:tab/>
      </w:r>
    </w:p>
    <w:p w:rsidR="0058349F" w:rsidRDefault="0058349F" w:rsidP="0058349F">
      <w:pPr>
        <w:pStyle w:val="BSnoteslist2"/>
        <w:numPr>
          <w:ilvl w:val="0"/>
          <w:numId w:val="39"/>
        </w:numPr>
      </w:pPr>
      <w:r>
        <w:t xml:space="preserve">This indicator was created in 2017-18 under Section 19D of the </w:t>
      </w:r>
      <w:r w:rsidRPr="00645BD9">
        <w:rPr>
          <w:i/>
        </w:rPr>
        <w:t xml:space="preserve">Financial Management Act 1996 </w:t>
      </w:r>
      <w:r>
        <w:t>as a result of the new Administrative Arrangements transferring Coordinator-General for Family Safety from Justice and Community Safety Directorate (JACS) to Community Services Directorate (CSD).</w:t>
      </w:r>
    </w:p>
    <w:p w:rsidR="009C7D6A" w:rsidRDefault="009C7D6A">
      <w:pPr>
        <w:spacing w:before="0" w:after="0"/>
        <w:rPr>
          <w:b/>
          <w:bCs/>
          <w:sz w:val="28"/>
          <w:szCs w:val="26"/>
        </w:rPr>
      </w:pPr>
      <w:r>
        <w:br w:type="page"/>
      </w:r>
    </w:p>
    <w:p w:rsidR="0058349F" w:rsidRPr="009C7D6A" w:rsidRDefault="0058349F" w:rsidP="0058349F">
      <w:pPr>
        <w:pStyle w:val="Heading32"/>
      </w:pPr>
      <w:bookmarkStart w:id="36" w:name="_Toc514926338"/>
      <w:r>
        <w:t>Output Class 3</w:t>
      </w:r>
      <w:r w:rsidR="00CF6FA3">
        <w:t>: Children, Youth and Families</w:t>
      </w:r>
      <w:bookmarkEnd w:id="36"/>
    </w:p>
    <w:p w:rsidR="0058349F" w:rsidRPr="009C7D6A" w:rsidRDefault="0058349F" w:rsidP="0058349F">
      <w:pPr>
        <w:pStyle w:val="Heading41"/>
      </w:pPr>
      <w:r w:rsidRPr="009C7D6A">
        <w:t>Output 3.1: Child and Family Centres</w:t>
      </w:r>
      <w:r w:rsidRPr="009C7D6A">
        <w:rPr>
          <w:lang w:eastAsia="en-AU"/>
        </w:rPr>
        <w:t xml:space="preserve"> </w:t>
      </w:r>
      <w:r w:rsidRPr="009C7D6A">
        <w:rPr>
          <w:vertAlign w:val="superscript"/>
        </w:rPr>
        <w:t>1</w:t>
      </w:r>
    </w:p>
    <w:p w:rsidR="0058349F" w:rsidRDefault="0058349F" w:rsidP="0058349F">
      <w:pPr>
        <w:pStyle w:val="Caption1"/>
        <w:rPr>
          <w:noProof/>
        </w:rPr>
      </w:pPr>
      <w:r w:rsidRPr="009C7D6A">
        <w:t xml:space="preserve">Table </w:t>
      </w:r>
      <w:r w:rsidR="009C7D6A" w:rsidRPr="009C7D6A">
        <w:t>24</w:t>
      </w:r>
      <w:r w:rsidRPr="009C7D6A">
        <w:rPr>
          <w:noProof/>
        </w:rPr>
        <w:t>:</w:t>
      </w:r>
      <w:r w:rsidRPr="009C7D6A">
        <w:t xml:space="preserve"> Accountability Indicators</w:t>
      </w:r>
      <w:r w:rsidRPr="009C7D6A">
        <w:rPr>
          <w:noProof/>
        </w:rPr>
        <w:t xml:space="preserve"> Output 3.1</w:t>
      </w:r>
    </w:p>
    <w:tbl>
      <w:tblPr>
        <w:tblW w:w="5000" w:type="pct"/>
        <w:tblBorders>
          <w:top w:val="single" w:sz="12" w:space="0" w:color="000000"/>
          <w:bottom w:val="single" w:sz="12" w:space="0" w:color="000000"/>
        </w:tblBorders>
        <w:tblLook w:val="04A0" w:firstRow="1" w:lastRow="0" w:firstColumn="1" w:lastColumn="0" w:noHBand="0" w:noVBand="1"/>
      </w:tblPr>
      <w:tblGrid>
        <w:gridCol w:w="5506"/>
        <w:gridCol w:w="1108"/>
        <w:gridCol w:w="1244"/>
        <w:gridCol w:w="1168"/>
      </w:tblGrid>
      <w:tr w:rsidR="001651E4" w:rsidTr="009C7D6A">
        <w:trPr>
          <w:tblHeader/>
        </w:trPr>
        <w:tc>
          <w:tcPr>
            <w:tcW w:w="3050" w:type="pct"/>
            <w:tcBorders>
              <w:top w:val="single" w:sz="12" w:space="0" w:color="000000"/>
              <w:left w:val="nil"/>
              <w:bottom w:val="single" w:sz="12" w:space="0" w:color="000000"/>
              <w:right w:val="nil"/>
            </w:tcBorders>
          </w:tcPr>
          <w:p w:rsidR="0058349F" w:rsidRDefault="0058349F">
            <w:pPr>
              <w:pStyle w:val="BStabletext1"/>
            </w:pPr>
          </w:p>
        </w:tc>
        <w:tc>
          <w:tcPr>
            <w:tcW w:w="614"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89"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647"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text1"/>
              <w:rPr>
                <w:rStyle w:val="Strong0"/>
                <w:b/>
                <w:bCs/>
              </w:rPr>
            </w:pPr>
            <w:r>
              <w:rPr>
                <w:rStyle w:val="Strong0"/>
                <w:b/>
              </w:rPr>
              <w:t xml:space="preserve">Child and Family Centres </w:t>
            </w:r>
          </w:p>
        </w:tc>
      </w:tr>
      <w:tr w:rsidR="001651E4" w:rsidTr="009C7D6A">
        <w:trPr>
          <w:trHeight w:val="283"/>
        </w:trPr>
        <w:tc>
          <w:tcPr>
            <w:tcW w:w="3050" w:type="pct"/>
            <w:tcBorders>
              <w:top w:val="nil"/>
              <w:left w:val="nil"/>
              <w:bottom w:val="nil"/>
              <w:right w:val="nil"/>
            </w:tcBorders>
            <w:hideMark/>
          </w:tcPr>
          <w:p w:rsidR="0058349F" w:rsidRDefault="0058349F" w:rsidP="0058349F">
            <w:pPr>
              <w:pStyle w:val="BStabletext1"/>
              <w:numPr>
                <w:ilvl w:val="0"/>
                <w:numId w:val="40"/>
              </w:numPr>
              <w:rPr>
                <w:b w:val="0"/>
              </w:rPr>
            </w:pPr>
            <w:r>
              <w:rPr>
                <w:b w:val="0"/>
              </w:rPr>
              <w:t xml:space="preserve">Number of Community Development/Education Programs </w:t>
            </w:r>
            <w:r>
              <w:rPr>
                <w:b w:val="0"/>
                <w:vertAlign w:val="superscript"/>
              </w:rPr>
              <w:t>2</w:t>
            </w:r>
          </w:p>
        </w:tc>
        <w:tc>
          <w:tcPr>
            <w:tcW w:w="614" w:type="pct"/>
            <w:tcBorders>
              <w:top w:val="nil"/>
              <w:left w:val="nil"/>
              <w:bottom w:val="nil"/>
              <w:right w:val="nil"/>
            </w:tcBorders>
            <w:vAlign w:val="center"/>
            <w:hideMark/>
          </w:tcPr>
          <w:p w:rsidR="0058349F" w:rsidRDefault="0058349F">
            <w:pPr>
              <w:pStyle w:val="BStablefigures1"/>
              <w:rPr>
                <w:b w:val="0"/>
              </w:rPr>
            </w:pPr>
            <w:r>
              <w:rPr>
                <w:b w:val="0"/>
              </w:rPr>
              <w:t>325</w:t>
            </w:r>
          </w:p>
        </w:tc>
        <w:tc>
          <w:tcPr>
            <w:tcW w:w="689" w:type="pct"/>
            <w:tcBorders>
              <w:top w:val="nil"/>
              <w:left w:val="nil"/>
              <w:bottom w:val="nil"/>
              <w:right w:val="nil"/>
            </w:tcBorders>
            <w:vAlign w:val="center"/>
            <w:hideMark/>
          </w:tcPr>
          <w:p w:rsidR="0058349F" w:rsidRDefault="0058349F">
            <w:pPr>
              <w:pStyle w:val="BStablefigures1"/>
              <w:rPr>
                <w:b w:val="0"/>
              </w:rPr>
            </w:pPr>
            <w:r>
              <w:rPr>
                <w:b w:val="0"/>
              </w:rPr>
              <w:t>400</w:t>
            </w:r>
          </w:p>
        </w:tc>
        <w:tc>
          <w:tcPr>
            <w:tcW w:w="647" w:type="pct"/>
            <w:tcBorders>
              <w:top w:val="nil"/>
              <w:left w:val="nil"/>
              <w:bottom w:val="nil"/>
              <w:right w:val="nil"/>
            </w:tcBorders>
            <w:vAlign w:val="center"/>
            <w:hideMark/>
          </w:tcPr>
          <w:p w:rsidR="0058349F" w:rsidRDefault="0058349F">
            <w:pPr>
              <w:pStyle w:val="BStablefigures1"/>
              <w:rPr>
                <w:b w:val="0"/>
              </w:rPr>
            </w:pPr>
            <w:r>
              <w:rPr>
                <w:b w:val="0"/>
              </w:rPr>
              <w:t>325</w:t>
            </w:r>
          </w:p>
        </w:tc>
      </w:tr>
      <w:tr w:rsidR="001651E4" w:rsidTr="009C7D6A">
        <w:trPr>
          <w:trHeight w:val="283"/>
        </w:trPr>
        <w:tc>
          <w:tcPr>
            <w:tcW w:w="3050" w:type="pct"/>
            <w:tcBorders>
              <w:top w:val="nil"/>
              <w:left w:val="nil"/>
              <w:bottom w:val="nil"/>
              <w:right w:val="nil"/>
            </w:tcBorders>
            <w:hideMark/>
          </w:tcPr>
          <w:p w:rsidR="0058349F" w:rsidRDefault="0058349F" w:rsidP="0058349F">
            <w:pPr>
              <w:pStyle w:val="BStabletext1"/>
              <w:numPr>
                <w:ilvl w:val="0"/>
                <w:numId w:val="40"/>
              </w:numPr>
              <w:rPr>
                <w:b w:val="0"/>
              </w:rPr>
            </w:pPr>
            <w:r>
              <w:rPr>
                <w:b w:val="0"/>
              </w:rPr>
              <w:t xml:space="preserve">Number of Parenting Assistance Sessions </w:t>
            </w:r>
            <w:r>
              <w:rPr>
                <w:b w:val="0"/>
                <w:vertAlign w:val="superscript"/>
              </w:rPr>
              <w:t>3</w:t>
            </w:r>
          </w:p>
        </w:tc>
        <w:tc>
          <w:tcPr>
            <w:tcW w:w="614" w:type="pct"/>
            <w:tcBorders>
              <w:top w:val="nil"/>
              <w:left w:val="nil"/>
              <w:bottom w:val="nil"/>
              <w:right w:val="nil"/>
            </w:tcBorders>
            <w:hideMark/>
          </w:tcPr>
          <w:p w:rsidR="0058349F" w:rsidRDefault="00353D5D" w:rsidP="00353D5D">
            <w:pPr>
              <w:pStyle w:val="BStablefigures1"/>
              <w:rPr>
                <w:b w:val="0"/>
              </w:rPr>
            </w:pPr>
            <w:r>
              <w:rPr>
                <w:b w:val="0"/>
              </w:rPr>
              <w:t>1,</w:t>
            </w:r>
            <w:r w:rsidR="0058349F">
              <w:rPr>
                <w:b w:val="0"/>
              </w:rPr>
              <w:t>250</w:t>
            </w:r>
          </w:p>
        </w:tc>
        <w:tc>
          <w:tcPr>
            <w:tcW w:w="689" w:type="pct"/>
            <w:tcBorders>
              <w:top w:val="nil"/>
              <w:left w:val="nil"/>
              <w:bottom w:val="nil"/>
              <w:right w:val="nil"/>
            </w:tcBorders>
            <w:hideMark/>
          </w:tcPr>
          <w:p w:rsidR="0058349F" w:rsidRDefault="009C7D6A" w:rsidP="00353D5D">
            <w:pPr>
              <w:pStyle w:val="BStablefigures1"/>
              <w:rPr>
                <w:b w:val="0"/>
              </w:rPr>
            </w:pPr>
            <w:r>
              <w:rPr>
                <w:b w:val="0"/>
              </w:rPr>
              <w:t>1</w:t>
            </w:r>
            <w:r w:rsidR="00353D5D">
              <w:rPr>
                <w:b w:val="0"/>
              </w:rPr>
              <w:t>,</w:t>
            </w:r>
            <w:r w:rsidR="0058349F">
              <w:rPr>
                <w:b w:val="0"/>
              </w:rPr>
              <w:t>025</w:t>
            </w:r>
          </w:p>
        </w:tc>
        <w:tc>
          <w:tcPr>
            <w:tcW w:w="647" w:type="pct"/>
            <w:tcBorders>
              <w:top w:val="nil"/>
              <w:left w:val="nil"/>
              <w:bottom w:val="nil"/>
              <w:right w:val="nil"/>
            </w:tcBorders>
            <w:hideMark/>
          </w:tcPr>
          <w:p w:rsidR="0058349F" w:rsidRDefault="009C7D6A">
            <w:pPr>
              <w:pStyle w:val="BStablefigures1"/>
              <w:rPr>
                <w:b w:val="0"/>
              </w:rPr>
            </w:pPr>
            <w:r>
              <w:rPr>
                <w:b w:val="0"/>
              </w:rPr>
              <w:t>1</w:t>
            </w:r>
            <w:r w:rsidR="00353D5D">
              <w:rPr>
                <w:b w:val="0"/>
              </w:rPr>
              <w:t>,</w:t>
            </w:r>
            <w:r w:rsidR="0058349F">
              <w:rPr>
                <w:b w:val="0"/>
              </w:rPr>
              <w:t>125</w:t>
            </w:r>
          </w:p>
        </w:tc>
      </w:tr>
      <w:tr w:rsidR="001651E4" w:rsidTr="009C7D6A">
        <w:trPr>
          <w:trHeight w:val="283"/>
        </w:trPr>
        <w:tc>
          <w:tcPr>
            <w:tcW w:w="3050" w:type="pct"/>
            <w:tcBorders>
              <w:top w:val="nil"/>
              <w:left w:val="nil"/>
              <w:bottom w:val="single" w:sz="12" w:space="0" w:color="000000"/>
              <w:right w:val="nil"/>
            </w:tcBorders>
            <w:hideMark/>
          </w:tcPr>
          <w:p w:rsidR="0058349F" w:rsidRDefault="0058349F" w:rsidP="0058349F">
            <w:pPr>
              <w:pStyle w:val="BStabletext1"/>
              <w:numPr>
                <w:ilvl w:val="0"/>
                <w:numId w:val="40"/>
              </w:numPr>
              <w:rPr>
                <w:b w:val="0"/>
              </w:rPr>
            </w:pPr>
            <w:r>
              <w:rPr>
                <w:b w:val="0"/>
              </w:rPr>
              <w:t>Client satisfaction with services</w:t>
            </w:r>
          </w:p>
        </w:tc>
        <w:tc>
          <w:tcPr>
            <w:tcW w:w="614" w:type="pct"/>
            <w:tcBorders>
              <w:top w:val="nil"/>
              <w:left w:val="nil"/>
              <w:bottom w:val="single" w:sz="12" w:space="0" w:color="000000"/>
              <w:right w:val="nil"/>
            </w:tcBorders>
            <w:hideMark/>
          </w:tcPr>
          <w:p w:rsidR="0058349F" w:rsidRDefault="0058349F">
            <w:pPr>
              <w:pStyle w:val="BStablefigures1"/>
              <w:rPr>
                <w:b w:val="0"/>
              </w:rPr>
            </w:pPr>
            <w:r>
              <w:rPr>
                <w:b w:val="0"/>
              </w:rPr>
              <w:t>90%</w:t>
            </w:r>
          </w:p>
        </w:tc>
        <w:tc>
          <w:tcPr>
            <w:tcW w:w="689" w:type="pct"/>
            <w:tcBorders>
              <w:top w:val="nil"/>
              <w:left w:val="nil"/>
              <w:bottom w:val="single" w:sz="12" w:space="0" w:color="000000"/>
              <w:right w:val="nil"/>
            </w:tcBorders>
            <w:hideMark/>
          </w:tcPr>
          <w:p w:rsidR="0058349F" w:rsidRDefault="0058349F">
            <w:pPr>
              <w:pStyle w:val="BStablefigures1"/>
              <w:rPr>
                <w:b w:val="0"/>
              </w:rPr>
            </w:pPr>
            <w:r>
              <w:rPr>
                <w:b w:val="0"/>
              </w:rPr>
              <w:t>90%</w:t>
            </w:r>
          </w:p>
        </w:tc>
        <w:tc>
          <w:tcPr>
            <w:tcW w:w="647" w:type="pct"/>
            <w:tcBorders>
              <w:top w:val="nil"/>
              <w:left w:val="nil"/>
              <w:bottom w:val="single" w:sz="12" w:space="0" w:color="000000"/>
              <w:right w:val="nil"/>
            </w:tcBorders>
            <w:hideMark/>
          </w:tcPr>
          <w:p w:rsidR="0058349F" w:rsidRDefault="0058349F">
            <w:pPr>
              <w:pStyle w:val="BStablefigures1"/>
              <w:rPr>
                <w:b w:val="0"/>
              </w:rPr>
            </w:pPr>
            <w:r>
              <w:rPr>
                <w:b w:val="0"/>
              </w:rPr>
              <w:t>90%</w:t>
            </w:r>
          </w:p>
        </w:tc>
      </w:tr>
    </w:tbl>
    <w:p w:rsidR="0058349F" w:rsidRDefault="0058349F" w:rsidP="0058349F">
      <w:pPr>
        <w:pStyle w:val="BSnote20"/>
      </w:pPr>
      <w:r>
        <w:t>Notes:</w:t>
      </w:r>
    </w:p>
    <w:p w:rsidR="0058349F" w:rsidRDefault="0058349F" w:rsidP="00F14CFA">
      <w:pPr>
        <w:pStyle w:val="BSnoteslist2"/>
        <w:numPr>
          <w:ilvl w:val="0"/>
          <w:numId w:val="41"/>
        </w:numPr>
        <w:jc w:val="both"/>
      </w:pPr>
      <w:r>
        <w:t>This Output was transferred from Output 2.1 Early Intervention Services.</w:t>
      </w:r>
    </w:p>
    <w:p w:rsidR="0058349F" w:rsidRDefault="00257F5C" w:rsidP="00F14CFA">
      <w:pPr>
        <w:pStyle w:val="BSnoteslist2"/>
        <w:numPr>
          <w:ilvl w:val="0"/>
          <w:numId w:val="41"/>
        </w:numPr>
        <w:jc w:val="both"/>
      </w:pPr>
      <w:r>
        <w:t>The 2017-</w:t>
      </w:r>
      <w:r w:rsidR="0058349F">
        <w:t>18 Estimated Outcome reflects an increase in the number of Community Development/Education Programs being run from the Child and Family Centres. These respond to the needs of local communities, including a range of programs tailored to the needs of Aboriginal and Torres Strait Islander families.</w:t>
      </w:r>
    </w:p>
    <w:p w:rsidR="0058349F" w:rsidRDefault="0058349F" w:rsidP="00F14CFA">
      <w:pPr>
        <w:pStyle w:val="BSnoteslist2"/>
        <w:numPr>
          <w:ilvl w:val="0"/>
          <w:numId w:val="41"/>
        </w:numPr>
        <w:jc w:val="both"/>
      </w:pPr>
      <w:r>
        <w:t>As Child and Family Centre programs respond to the needs of local communities, resources can be moved to suit pr</w:t>
      </w:r>
      <w:r w:rsidR="00257F5C">
        <w:t>iorities and demand. The 2017-</w:t>
      </w:r>
      <w:r>
        <w:t xml:space="preserve">18 Estimated Outcomes reflects a shift from Individual </w:t>
      </w:r>
      <w:r>
        <w:rPr>
          <w:i/>
          <w:iCs/>
        </w:rPr>
        <w:t>Parent as Teachers</w:t>
      </w:r>
      <w:r>
        <w:t xml:space="preserve"> sessions to a corresponding uptake of targeted more parenting programs, such as </w:t>
      </w:r>
      <w:r>
        <w:rPr>
          <w:i/>
          <w:iCs/>
        </w:rPr>
        <w:t xml:space="preserve">Circles of Security, </w:t>
      </w:r>
      <w:r>
        <w:t xml:space="preserve">which is delivered through individual and group sessions. </w:t>
      </w:r>
      <w:r w:rsidR="00257F5C" w:rsidRPr="00827E69">
        <w:t>The reduced target for 2018-19 reflects this trend.</w:t>
      </w:r>
    </w:p>
    <w:p w:rsidR="0058349F" w:rsidRPr="009C7D6A" w:rsidRDefault="0058349F" w:rsidP="0058349F">
      <w:pPr>
        <w:pStyle w:val="Heading41"/>
      </w:pPr>
      <w:r>
        <w:t xml:space="preserve">Output 3.2: </w:t>
      </w:r>
      <w:r w:rsidRPr="009C7D6A">
        <w:t>Child Development Services</w:t>
      </w:r>
      <w:r w:rsidRPr="009C7D6A">
        <w:rPr>
          <w:lang w:eastAsia="en-AU"/>
        </w:rPr>
        <w:t xml:space="preserve"> </w:t>
      </w:r>
      <w:r w:rsidRPr="009C7D6A">
        <w:rPr>
          <w:vertAlign w:val="superscript"/>
        </w:rPr>
        <w:t>1</w:t>
      </w:r>
    </w:p>
    <w:p w:rsidR="0058349F" w:rsidRDefault="0058349F" w:rsidP="0058349F">
      <w:pPr>
        <w:pStyle w:val="Caption1"/>
        <w:rPr>
          <w:noProof/>
        </w:rPr>
      </w:pPr>
      <w:r w:rsidRPr="009C7D6A">
        <w:t xml:space="preserve">Table </w:t>
      </w:r>
      <w:r w:rsidR="009C7D6A" w:rsidRPr="009C7D6A">
        <w:t>25</w:t>
      </w:r>
      <w:r w:rsidRPr="009C7D6A">
        <w:rPr>
          <w:noProof/>
        </w:rPr>
        <w:t>:</w:t>
      </w:r>
      <w:r w:rsidRPr="009C7D6A">
        <w:t xml:space="preserve"> Accountability Indicators</w:t>
      </w:r>
      <w:r w:rsidRPr="009C7D6A">
        <w:rPr>
          <w:noProof/>
        </w:rPr>
        <w:t xml:space="preserve"> Output 3.2</w:t>
      </w:r>
    </w:p>
    <w:tbl>
      <w:tblPr>
        <w:tblW w:w="5000" w:type="pct"/>
        <w:tblBorders>
          <w:top w:val="single" w:sz="12" w:space="0" w:color="000000"/>
          <w:bottom w:val="single" w:sz="12" w:space="0" w:color="000000"/>
        </w:tblBorders>
        <w:tblLook w:val="04A0" w:firstRow="1" w:lastRow="0" w:firstColumn="1" w:lastColumn="0" w:noHBand="0" w:noVBand="1"/>
      </w:tblPr>
      <w:tblGrid>
        <w:gridCol w:w="5783"/>
        <w:gridCol w:w="1108"/>
        <w:gridCol w:w="1108"/>
        <w:gridCol w:w="1027"/>
      </w:tblGrid>
      <w:tr w:rsidR="001651E4" w:rsidTr="009C7D6A">
        <w:trPr>
          <w:tblHeader/>
        </w:trPr>
        <w:tc>
          <w:tcPr>
            <w:tcW w:w="3203" w:type="pct"/>
            <w:tcBorders>
              <w:top w:val="single" w:sz="12" w:space="0" w:color="000000"/>
              <w:left w:val="nil"/>
              <w:bottom w:val="single" w:sz="12" w:space="0" w:color="000000"/>
              <w:right w:val="nil"/>
            </w:tcBorders>
          </w:tcPr>
          <w:p w:rsidR="0058349F" w:rsidRDefault="0058349F">
            <w:pPr>
              <w:pStyle w:val="Heading6"/>
              <w:jc w:val="left"/>
            </w:pPr>
          </w:p>
        </w:tc>
        <w:tc>
          <w:tcPr>
            <w:tcW w:w="614"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614"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70"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list"/>
              <w:numPr>
                <w:ilvl w:val="0"/>
                <w:numId w:val="0"/>
              </w:numPr>
              <w:ind w:left="360" w:hanging="360"/>
              <w:rPr>
                <w:b/>
              </w:rPr>
            </w:pPr>
            <w:r>
              <w:rPr>
                <w:b/>
              </w:rPr>
              <w:t>Child Development Services</w:t>
            </w:r>
          </w:p>
        </w:tc>
      </w:tr>
      <w:tr w:rsidR="001651E4" w:rsidTr="009C7D6A">
        <w:trPr>
          <w:trHeight w:val="283"/>
        </w:trPr>
        <w:tc>
          <w:tcPr>
            <w:tcW w:w="3203" w:type="pct"/>
            <w:tcBorders>
              <w:top w:val="nil"/>
              <w:left w:val="nil"/>
              <w:bottom w:val="single" w:sz="12" w:space="0" w:color="000000"/>
              <w:right w:val="nil"/>
            </w:tcBorders>
            <w:hideMark/>
          </w:tcPr>
          <w:p w:rsidR="0058349F" w:rsidRDefault="0058349F" w:rsidP="0058349F">
            <w:pPr>
              <w:pStyle w:val="BStablelist"/>
              <w:numPr>
                <w:ilvl w:val="0"/>
                <w:numId w:val="42"/>
              </w:numPr>
            </w:pPr>
            <w:r>
              <w:t>Hours of service provided to the clients of the Child Development Services</w:t>
            </w:r>
          </w:p>
        </w:tc>
        <w:tc>
          <w:tcPr>
            <w:tcW w:w="614" w:type="pct"/>
            <w:tcBorders>
              <w:top w:val="nil"/>
              <w:left w:val="nil"/>
              <w:bottom w:val="single" w:sz="12" w:space="0" w:color="000000"/>
              <w:right w:val="nil"/>
            </w:tcBorders>
            <w:vAlign w:val="center"/>
            <w:hideMark/>
          </w:tcPr>
          <w:p w:rsidR="0058349F" w:rsidRDefault="009C7D6A" w:rsidP="00353D5D">
            <w:pPr>
              <w:pStyle w:val="BStablefigures1"/>
              <w:rPr>
                <w:b w:val="0"/>
              </w:rPr>
            </w:pPr>
            <w:r>
              <w:rPr>
                <w:b w:val="0"/>
              </w:rPr>
              <w:t>21</w:t>
            </w:r>
            <w:r w:rsidR="00353D5D">
              <w:rPr>
                <w:b w:val="0"/>
              </w:rPr>
              <w:t>,</w:t>
            </w:r>
            <w:r w:rsidR="0058349F">
              <w:rPr>
                <w:b w:val="0"/>
              </w:rPr>
              <w:t>125</w:t>
            </w:r>
          </w:p>
        </w:tc>
        <w:tc>
          <w:tcPr>
            <w:tcW w:w="614" w:type="pct"/>
            <w:tcBorders>
              <w:top w:val="nil"/>
              <w:left w:val="nil"/>
              <w:bottom w:val="single" w:sz="12" w:space="0" w:color="000000"/>
              <w:right w:val="nil"/>
            </w:tcBorders>
            <w:vAlign w:val="center"/>
            <w:hideMark/>
          </w:tcPr>
          <w:p w:rsidR="0058349F" w:rsidRDefault="009C7D6A" w:rsidP="00353D5D">
            <w:pPr>
              <w:pStyle w:val="BStablefigures1"/>
              <w:rPr>
                <w:b w:val="0"/>
              </w:rPr>
            </w:pPr>
            <w:r>
              <w:rPr>
                <w:b w:val="0"/>
              </w:rPr>
              <w:t>20</w:t>
            </w:r>
            <w:r w:rsidR="00353D5D">
              <w:rPr>
                <w:b w:val="0"/>
              </w:rPr>
              <w:t>,</w:t>
            </w:r>
            <w:r w:rsidR="0058349F">
              <w:rPr>
                <w:b w:val="0"/>
              </w:rPr>
              <w:t>000</w:t>
            </w:r>
          </w:p>
        </w:tc>
        <w:tc>
          <w:tcPr>
            <w:tcW w:w="570" w:type="pct"/>
            <w:tcBorders>
              <w:top w:val="nil"/>
              <w:left w:val="nil"/>
              <w:bottom w:val="single" w:sz="12" w:space="0" w:color="000000"/>
              <w:right w:val="nil"/>
            </w:tcBorders>
            <w:vAlign w:val="center"/>
            <w:hideMark/>
          </w:tcPr>
          <w:p w:rsidR="0058349F" w:rsidRDefault="009C7D6A">
            <w:pPr>
              <w:pStyle w:val="BStablefigures1"/>
              <w:rPr>
                <w:b w:val="0"/>
              </w:rPr>
            </w:pPr>
            <w:r>
              <w:rPr>
                <w:b w:val="0"/>
              </w:rPr>
              <w:t>2</w:t>
            </w:r>
            <w:r w:rsidR="00353D5D">
              <w:rPr>
                <w:b w:val="0"/>
              </w:rPr>
              <w:t>1,</w:t>
            </w:r>
            <w:r w:rsidR="0058349F">
              <w:rPr>
                <w:b w:val="0"/>
              </w:rPr>
              <w:t>125</w:t>
            </w:r>
          </w:p>
        </w:tc>
      </w:tr>
    </w:tbl>
    <w:p w:rsidR="0058349F" w:rsidRDefault="0058349F" w:rsidP="0058349F">
      <w:pPr>
        <w:pStyle w:val="BSnote20"/>
      </w:pPr>
      <w:r>
        <w:t>Note:</w:t>
      </w:r>
    </w:p>
    <w:p w:rsidR="0058349F" w:rsidRDefault="0058349F" w:rsidP="0058349F">
      <w:pPr>
        <w:pStyle w:val="BSnoteslist2"/>
        <w:numPr>
          <w:ilvl w:val="0"/>
          <w:numId w:val="43"/>
        </w:numPr>
      </w:pPr>
      <w:r>
        <w:t>This Output was transferred from Output 2.2 Child Development Services.</w:t>
      </w:r>
    </w:p>
    <w:p w:rsidR="009C7D6A" w:rsidRDefault="009C7D6A">
      <w:pPr>
        <w:spacing w:before="0" w:after="0"/>
        <w:rPr>
          <w:b/>
          <w:i/>
        </w:rPr>
      </w:pPr>
      <w:r>
        <w:br w:type="page"/>
      </w:r>
    </w:p>
    <w:p w:rsidR="0058349F" w:rsidRPr="009C7D6A" w:rsidRDefault="0058349F" w:rsidP="0058349F">
      <w:pPr>
        <w:pStyle w:val="Heading41"/>
      </w:pPr>
      <w:r>
        <w:t>Output 3.3</w:t>
      </w:r>
      <w:r w:rsidRPr="009C7D6A">
        <w:t>: Child and Youth Protection Services</w:t>
      </w:r>
      <w:r w:rsidRPr="009C7D6A">
        <w:rPr>
          <w:lang w:eastAsia="en-AU"/>
        </w:rPr>
        <w:t xml:space="preserve"> </w:t>
      </w:r>
    </w:p>
    <w:p w:rsidR="0058349F" w:rsidRDefault="0058349F" w:rsidP="0058349F">
      <w:pPr>
        <w:pStyle w:val="Caption1"/>
        <w:rPr>
          <w:noProof/>
        </w:rPr>
      </w:pPr>
      <w:r w:rsidRPr="009C7D6A">
        <w:t xml:space="preserve">Table </w:t>
      </w:r>
      <w:r w:rsidR="009C7D6A">
        <w:t>26</w:t>
      </w:r>
      <w:r w:rsidRPr="009C7D6A">
        <w:rPr>
          <w:noProof/>
        </w:rPr>
        <w:t>:</w:t>
      </w:r>
      <w:r w:rsidRPr="009C7D6A">
        <w:t xml:space="preserve"> Accountability Indicators</w:t>
      </w:r>
      <w:r w:rsidRPr="009C7D6A">
        <w:rPr>
          <w:noProof/>
        </w:rPr>
        <w:t xml:space="preserve"> Output 3.3</w:t>
      </w:r>
    </w:p>
    <w:tbl>
      <w:tblPr>
        <w:tblW w:w="5000" w:type="pct"/>
        <w:tblBorders>
          <w:top w:val="single" w:sz="12" w:space="0" w:color="000000"/>
          <w:bottom w:val="single" w:sz="12" w:space="0" w:color="000000"/>
        </w:tblBorders>
        <w:tblLook w:val="04A0" w:firstRow="1" w:lastRow="0" w:firstColumn="1" w:lastColumn="0" w:noHBand="0" w:noVBand="1"/>
      </w:tblPr>
      <w:tblGrid>
        <w:gridCol w:w="6058"/>
        <w:gridCol w:w="935"/>
        <w:gridCol w:w="1051"/>
        <w:gridCol w:w="982"/>
      </w:tblGrid>
      <w:tr w:rsidR="001651E4" w:rsidTr="009C7D6A">
        <w:trPr>
          <w:tblHeader/>
        </w:trPr>
        <w:tc>
          <w:tcPr>
            <w:tcW w:w="3356" w:type="pct"/>
            <w:tcBorders>
              <w:top w:val="single" w:sz="12" w:space="0" w:color="000000"/>
              <w:left w:val="nil"/>
              <w:bottom w:val="single" w:sz="12" w:space="0" w:color="000000"/>
              <w:right w:val="nil"/>
            </w:tcBorders>
          </w:tcPr>
          <w:p w:rsidR="0058349F" w:rsidRDefault="0058349F">
            <w:pPr>
              <w:pStyle w:val="Heading6"/>
              <w:jc w:val="left"/>
            </w:pPr>
          </w:p>
        </w:tc>
        <w:tc>
          <w:tcPr>
            <w:tcW w:w="518"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Targets</w:t>
            </w:r>
          </w:p>
        </w:tc>
        <w:tc>
          <w:tcPr>
            <w:tcW w:w="582"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2017-18</w:t>
            </w:r>
          </w:p>
          <w:p w:rsidR="0058349F" w:rsidRDefault="0058349F">
            <w:pPr>
              <w:pStyle w:val="BStableheading11"/>
              <w:framePr w:wrap="auto" w:vAnchor="margin" w:yAlign="inline"/>
            </w:pPr>
            <w:r>
              <w:t>Estimated Outcome</w:t>
            </w:r>
          </w:p>
        </w:tc>
        <w:tc>
          <w:tcPr>
            <w:tcW w:w="544" w:type="pct"/>
            <w:tcBorders>
              <w:top w:val="single" w:sz="12" w:space="0" w:color="000000"/>
              <w:left w:val="nil"/>
              <w:bottom w:val="single" w:sz="12" w:space="0" w:color="000000"/>
              <w:right w:val="nil"/>
            </w:tcBorders>
            <w:hideMark/>
          </w:tcPr>
          <w:p w:rsidR="0058349F" w:rsidRDefault="0058349F">
            <w:pPr>
              <w:pStyle w:val="BStableheading11"/>
              <w:framePr w:wrap="auto" w:vAnchor="margin" w:yAlign="inline"/>
            </w:pPr>
            <w:r>
              <w:t>2018-19</w:t>
            </w:r>
          </w:p>
          <w:p w:rsidR="0058349F" w:rsidRDefault="0058349F">
            <w:pPr>
              <w:pStyle w:val="BStableheading11"/>
              <w:framePr w:wrap="auto" w:vAnchor="margin" w:yAlign="inline"/>
            </w:pPr>
            <w:r>
              <w:t>Targets</w:t>
            </w:r>
          </w:p>
        </w:tc>
      </w:tr>
      <w:tr w:rsidR="001651E4" w:rsidTr="009C7D6A">
        <w:tc>
          <w:tcPr>
            <w:tcW w:w="5000" w:type="pct"/>
            <w:gridSpan w:val="4"/>
            <w:tcBorders>
              <w:top w:val="single" w:sz="12" w:space="0" w:color="000000"/>
              <w:left w:val="nil"/>
              <w:bottom w:val="nil"/>
              <w:right w:val="nil"/>
            </w:tcBorders>
            <w:hideMark/>
          </w:tcPr>
          <w:p w:rsidR="0058349F" w:rsidRDefault="0058349F">
            <w:pPr>
              <w:pStyle w:val="BStabletextbold0"/>
              <w:rPr>
                <w:rStyle w:val="Strong0"/>
              </w:rPr>
            </w:pPr>
            <w:r>
              <w:t>Child and Youth Protection Services</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rPr>
                <w:color w:val="000000"/>
              </w:rPr>
            </w:pPr>
            <w:r>
              <w:t xml:space="preserve">Number of custody days used annually </w:t>
            </w:r>
            <w:r>
              <w:rPr>
                <w:vertAlign w:val="superscript"/>
              </w:rPr>
              <w:t>1</w:t>
            </w:r>
          </w:p>
        </w:tc>
        <w:tc>
          <w:tcPr>
            <w:tcW w:w="518" w:type="pct"/>
            <w:tcBorders>
              <w:top w:val="nil"/>
              <w:left w:val="nil"/>
              <w:bottom w:val="nil"/>
              <w:right w:val="nil"/>
            </w:tcBorders>
            <w:vAlign w:val="center"/>
            <w:hideMark/>
          </w:tcPr>
          <w:p w:rsidR="0058349F" w:rsidRDefault="0058349F" w:rsidP="009C7D6A">
            <w:pPr>
              <w:pStyle w:val="BStablefigures1"/>
              <w:rPr>
                <w:b w:val="0"/>
              </w:rPr>
            </w:pPr>
            <w:r>
              <w:rPr>
                <w:b w:val="0"/>
              </w:rPr>
              <w:t>5</w:t>
            </w:r>
            <w:r w:rsidR="00353D5D">
              <w:rPr>
                <w:b w:val="0"/>
              </w:rPr>
              <w:t>,</w:t>
            </w:r>
            <w:r>
              <w:rPr>
                <w:b w:val="0"/>
              </w:rPr>
              <w:t>000</w:t>
            </w:r>
          </w:p>
        </w:tc>
        <w:tc>
          <w:tcPr>
            <w:tcW w:w="582" w:type="pct"/>
            <w:tcBorders>
              <w:top w:val="nil"/>
              <w:left w:val="nil"/>
              <w:bottom w:val="nil"/>
              <w:right w:val="nil"/>
            </w:tcBorders>
            <w:vAlign w:val="center"/>
            <w:hideMark/>
          </w:tcPr>
          <w:p w:rsidR="0058349F" w:rsidRDefault="0058349F" w:rsidP="009C7D6A">
            <w:pPr>
              <w:pStyle w:val="BStablefigures1"/>
              <w:rPr>
                <w:b w:val="0"/>
              </w:rPr>
            </w:pPr>
            <w:r>
              <w:rPr>
                <w:b w:val="0"/>
              </w:rPr>
              <w:t>5</w:t>
            </w:r>
            <w:r w:rsidR="00353D5D">
              <w:rPr>
                <w:b w:val="0"/>
              </w:rPr>
              <w:t>,</w:t>
            </w:r>
            <w:r>
              <w:rPr>
                <w:b w:val="0"/>
              </w:rPr>
              <w:t>900</w:t>
            </w:r>
          </w:p>
        </w:tc>
        <w:tc>
          <w:tcPr>
            <w:tcW w:w="544" w:type="pct"/>
            <w:tcBorders>
              <w:top w:val="nil"/>
              <w:left w:val="nil"/>
              <w:bottom w:val="nil"/>
              <w:right w:val="nil"/>
            </w:tcBorders>
            <w:vAlign w:val="center"/>
            <w:hideMark/>
          </w:tcPr>
          <w:p w:rsidR="0058349F" w:rsidRDefault="0058349F" w:rsidP="009C7D6A">
            <w:pPr>
              <w:pStyle w:val="BStablefigures1"/>
              <w:rPr>
                <w:b w:val="0"/>
              </w:rPr>
            </w:pPr>
            <w:r>
              <w:rPr>
                <w:b w:val="0"/>
              </w:rPr>
              <w:t>5</w:t>
            </w:r>
            <w:r w:rsidR="00353D5D">
              <w:rPr>
                <w:b w:val="0"/>
              </w:rPr>
              <w:t>,</w:t>
            </w:r>
            <w:r>
              <w:rPr>
                <w:b w:val="0"/>
              </w:rPr>
              <w:t>000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Youth Justice Case Plans completed</w:t>
            </w:r>
          </w:p>
        </w:tc>
        <w:tc>
          <w:tcPr>
            <w:tcW w:w="518" w:type="pct"/>
            <w:tcBorders>
              <w:top w:val="nil"/>
              <w:left w:val="nil"/>
              <w:bottom w:val="nil"/>
              <w:right w:val="nil"/>
            </w:tcBorders>
            <w:vAlign w:val="center"/>
            <w:hideMark/>
          </w:tcPr>
          <w:p w:rsidR="0058349F" w:rsidRDefault="0058349F">
            <w:pPr>
              <w:pStyle w:val="BStablefigures1"/>
              <w:rPr>
                <w:b w:val="0"/>
              </w:rPr>
            </w:pPr>
            <w:r>
              <w:rPr>
                <w:b w:val="0"/>
              </w:rPr>
              <w:t>90%</w:t>
            </w:r>
          </w:p>
        </w:tc>
        <w:tc>
          <w:tcPr>
            <w:tcW w:w="582" w:type="pct"/>
            <w:tcBorders>
              <w:top w:val="nil"/>
              <w:left w:val="nil"/>
              <w:bottom w:val="nil"/>
              <w:right w:val="nil"/>
            </w:tcBorders>
            <w:vAlign w:val="center"/>
            <w:hideMark/>
          </w:tcPr>
          <w:p w:rsidR="0058349F" w:rsidRDefault="0058349F">
            <w:pPr>
              <w:pStyle w:val="BStablefigures1"/>
              <w:rPr>
                <w:b w:val="0"/>
              </w:rPr>
            </w:pPr>
            <w:r>
              <w:rPr>
                <w:b w:val="0"/>
              </w:rPr>
              <w:t>90%</w:t>
            </w:r>
          </w:p>
        </w:tc>
        <w:tc>
          <w:tcPr>
            <w:tcW w:w="544" w:type="pct"/>
            <w:tcBorders>
              <w:top w:val="nil"/>
              <w:left w:val="nil"/>
              <w:bottom w:val="nil"/>
              <w:right w:val="nil"/>
            </w:tcBorders>
            <w:vAlign w:val="center"/>
            <w:hideMark/>
          </w:tcPr>
          <w:p w:rsidR="0058349F" w:rsidRDefault="0058349F">
            <w:pPr>
              <w:pStyle w:val="BStablefigures1"/>
              <w:rPr>
                <w:b w:val="0"/>
              </w:rPr>
            </w:pPr>
            <w:r>
              <w:rPr>
                <w:b w:val="0"/>
              </w:rPr>
              <w:t>90%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rPr>
                <w:color w:val="000000"/>
              </w:rPr>
            </w:pPr>
            <w:r>
              <w:t xml:space="preserve">Child Protection Reports and Child Concern Reports about children and young people </w:t>
            </w:r>
            <w:r>
              <w:rPr>
                <w:vertAlign w:val="superscript"/>
              </w:rPr>
              <w:t>2</w:t>
            </w:r>
          </w:p>
        </w:tc>
        <w:tc>
          <w:tcPr>
            <w:tcW w:w="518" w:type="pct"/>
            <w:tcBorders>
              <w:top w:val="nil"/>
              <w:left w:val="nil"/>
              <w:bottom w:val="nil"/>
              <w:right w:val="nil"/>
            </w:tcBorders>
            <w:vAlign w:val="center"/>
            <w:hideMark/>
          </w:tcPr>
          <w:p w:rsidR="0058349F" w:rsidRDefault="00353D5D">
            <w:pPr>
              <w:pStyle w:val="BStablefigures1"/>
              <w:rPr>
                <w:b w:val="0"/>
              </w:rPr>
            </w:pPr>
            <w:r>
              <w:rPr>
                <w:b w:val="0"/>
              </w:rPr>
              <w:t>18,</w:t>
            </w:r>
            <w:r w:rsidR="0058349F">
              <w:rPr>
                <w:b w:val="0"/>
              </w:rPr>
              <w:t>000</w:t>
            </w:r>
          </w:p>
        </w:tc>
        <w:tc>
          <w:tcPr>
            <w:tcW w:w="582" w:type="pct"/>
            <w:tcBorders>
              <w:top w:val="nil"/>
              <w:left w:val="nil"/>
              <w:bottom w:val="nil"/>
              <w:right w:val="nil"/>
            </w:tcBorders>
            <w:vAlign w:val="center"/>
            <w:hideMark/>
          </w:tcPr>
          <w:p w:rsidR="0058349F" w:rsidRDefault="009C7D6A" w:rsidP="00353D5D">
            <w:pPr>
              <w:pStyle w:val="BStablefigures1"/>
              <w:rPr>
                <w:b w:val="0"/>
              </w:rPr>
            </w:pPr>
            <w:r>
              <w:rPr>
                <w:b w:val="0"/>
              </w:rPr>
              <w:t>15</w:t>
            </w:r>
            <w:r w:rsidR="00353D5D">
              <w:rPr>
                <w:b w:val="0"/>
              </w:rPr>
              <w:t>,</w:t>
            </w:r>
            <w:r w:rsidR="0058349F">
              <w:rPr>
                <w:b w:val="0"/>
              </w:rPr>
              <w:t>350</w:t>
            </w:r>
          </w:p>
        </w:tc>
        <w:tc>
          <w:tcPr>
            <w:tcW w:w="544" w:type="pct"/>
            <w:tcBorders>
              <w:top w:val="nil"/>
              <w:left w:val="nil"/>
              <w:bottom w:val="nil"/>
              <w:right w:val="nil"/>
            </w:tcBorders>
            <w:vAlign w:val="center"/>
            <w:hideMark/>
          </w:tcPr>
          <w:p w:rsidR="0058349F" w:rsidRDefault="009C7D6A" w:rsidP="00353D5D">
            <w:pPr>
              <w:pStyle w:val="BStablefigures1"/>
              <w:rPr>
                <w:b w:val="0"/>
              </w:rPr>
            </w:pPr>
            <w:r>
              <w:rPr>
                <w:b w:val="0"/>
              </w:rPr>
              <w:t>17</w:t>
            </w:r>
            <w:r w:rsidR="00353D5D">
              <w:rPr>
                <w:b w:val="0"/>
              </w:rPr>
              <w:t>,</w:t>
            </w:r>
            <w:r w:rsidR="0058349F">
              <w:rPr>
                <w:b w:val="0"/>
              </w:rPr>
              <w:t>000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 xml:space="preserve">Child Protection Reports requiring appraisal </w:t>
            </w:r>
            <w:r>
              <w:rPr>
                <w:vertAlign w:val="superscript"/>
              </w:rPr>
              <w:t>3</w:t>
            </w:r>
          </w:p>
        </w:tc>
        <w:tc>
          <w:tcPr>
            <w:tcW w:w="518" w:type="pct"/>
            <w:tcBorders>
              <w:top w:val="nil"/>
              <w:left w:val="nil"/>
              <w:bottom w:val="nil"/>
              <w:right w:val="nil"/>
            </w:tcBorders>
            <w:vAlign w:val="center"/>
            <w:hideMark/>
          </w:tcPr>
          <w:p w:rsidR="0058349F" w:rsidRDefault="009C7D6A" w:rsidP="00353D5D">
            <w:pPr>
              <w:pStyle w:val="BStablefigures1"/>
              <w:rPr>
                <w:b w:val="0"/>
              </w:rPr>
            </w:pPr>
            <w:r>
              <w:rPr>
                <w:b w:val="0"/>
              </w:rPr>
              <w:t>3</w:t>
            </w:r>
            <w:r w:rsidR="00353D5D">
              <w:rPr>
                <w:b w:val="0"/>
              </w:rPr>
              <w:t>,</w:t>
            </w:r>
            <w:r w:rsidR="0058349F">
              <w:rPr>
                <w:b w:val="0"/>
              </w:rPr>
              <w:t>500</w:t>
            </w:r>
          </w:p>
        </w:tc>
        <w:tc>
          <w:tcPr>
            <w:tcW w:w="582" w:type="pct"/>
            <w:tcBorders>
              <w:top w:val="nil"/>
              <w:left w:val="nil"/>
              <w:bottom w:val="nil"/>
              <w:right w:val="nil"/>
            </w:tcBorders>
            <w:vAlign w:val="center"/>
            <w:hideMark/>
          </w:tcPr>
          <w:p w:rsidR="0058349F" w:rsidRDefault="009C7D6A">
            <w:pPr>
              <w:pStyle w:val="BStablefigures1"/>
              <w:rPr>
                <w:b w:val="0"/>
              </w:rPr>
            </w:pPr>
            <w:r>
              <w:rPr>
                <w:b w:val="0"/>
              </w:rPr>
              <w:t>2</w:t>
            </w:r>
            <w:r w:rsidR="00353D5D">
              <w:rPr>
                <w:b w:val="0"/>
              </w:rPr>
              <w:t>,</w:t>
            </w:r>
            <w:r w:rsidR="0058349F">
              <w:rPr>
                <w:b w:val="0"/>
              </w:rPr>
              <w:t>100</w:t>
            </w:r>
          </w:p>
        </w:tc>
        <w:tc>
          <w:tcPr>
            <w:tcW w:w="544" w:type="pct"/>
            <w:tcBorders>
              <w:top w:val="nil"/>
              <w:left w:val="nil"/>
              <w:bottom w:val="nil"/>
              <w:right w:val="nil"/>
            </w:tcBorders>
            <w:vAlign w:val="center"/>
            <w:hideMark/>
          </w:tcPr>
          <w:p w:rsidR="0058349F" w:rsidRDefault="009C7D6A" w:rsidP="00353D5D">
            <w:pPr>
              <w:pStyle w:val="BStablefigures1"/>
              <w:rPr>
                <w:b w:val="0"/>
              </w:rPr>
            </w:pPr>
            <w:r>
              <w:rPr>
                <w:b w:val="0"/>
              </w:rPr>
              <w:t>3</w:t>
            </w:r>
            <w:r w:rsidR="00353D5D">
              <w:rPr>
                <w:b w:val="0"/>
              </w:rPr>
              <w:t>,</w:t>
            </w:r>
            <w:r w:rsidR="0058349F">
              <w:rPr>
                <w:b w:val="0"/>
              </w:rPr>
              <w:t>000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 xml:space="preserve">Number of child protection reports received and proceeding to appraisal that were substantiated </w:t>
            </w:r>
            <w:r>
              <w:rPr>
                <w:vertAlign w:val="superscript"/>
              </w:rPr>
              <w:t>4</w:t>
            </w:r>
          </w:p>
        </w:tc>
        <w:tc>
          <w:tcPr>
            <w:tcW w:w="518" w:type="pct"/>
            <w:tcBorders>
              <w:top w:val="nil"/>
              <w:left w:val="nil"/>
              <w:bottom w:val="nil"/>
              <w:right w:val="nil"/>
            </w:tcBorders>
            <w:vAlign w:val="center"/>
            <w:hideMark/>
          </w:tcPr>
          <w:p w:rsidR="0058349F" w:rsidRDefault="0058349F">
            <w:pPr>
              <w:pStyle w:val="BStablefigures1"/>
              <w:rPr>
                <w:b w:val="0"/>
              </w:rPr>
            </w:pPr>
            <w:r>
              <w:rPr>
                <w:b w:val="0"/>
              </w:rPr>
              <w:t>600</w:t>
            </w:r>
          </w:p>
        </w:tc>
        <w:tc>
          <w:tcPr>
            <w:tcW w:w="582" w:type="pct"/>
            <w:tcBorders>
              <w:top w:val="nil"/>
              <w:left w:val="nil"/>
              <w:bottom w:val="nil"/>
              <w:right w:val="nil"/>
            </w:tcBorders>
            <w:vAlign w:val="center"/>
            <w:hideMark/>
          </w:tcPr>
          <w:p w:rsidR="0058349F" w:rsidRDefault="0058349F">
            <w:pPr>
              <w:pStyle w:val="BStablefigures1"/>
              <w:rPr>
                <w:b w:val="0"/>
              </w:rPr>
            </w:pPr>
            <w:r>
              <w:rPr>
                <w:b w:val="0"/>
              </w:rPr>
              <w:t>350</w:t>
            </w:r>
          </w:p>
        </w:tc>
        <w:tc>
          <w:tcPr>
            <w:tcW w:w="544" w:type="pct"/>
            <w:tcBorders>
              <w:top w:val="nil"/>
              <w:left w:val="nil"/>
              <w:bottom w:val="nil"/>
              <w:right w:val="nil"/>
            </w:tcBorders>
            <w:vAlign w:val="center"/>
            <w:hideMark/>
          </w:tcPr>
          <w:p w:rsidR="0058349F" w:rsidRDefault="0058349F">
            <w:pPr>
              <w:pStyle w:val="BStablefigures1"/>
              <w:rPr>
                <w:b w:val="0"/>
              </w:rPr>
            </w:pPr>
            <w:r>
              <w:rPr>
                <w:b w:val="0"/>
              </w:rPr>
              <w:t>500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 xml:space="preserve">Number of children and young people receiving a service during the year </w:t>
            </w:r>
            <w:r>
              <w:rPr>
                <w:vertAlign w:val="superscript"/>
              </w:rPr>
              <w:t>5</w:t>
            </w:r>
          </w:p>
        </w:tc>
        <w:tc>
          <w:tcPr>
            <w:tcW w:w="518" w:type="pct"/>
            <w:tcBorders>
              <w:top w:val="nil"/>
              <w:left w:val="nil"/>
              <w:bottom w:val="nil"/>
              <w:right w:val="nil"/>
            </w:tcBorders>
            <w:vAlign w:val="center"/>
            <w:hideMark/>
          </w:tcPr>
          <w:p w:rsidR="0058349F" w:rsidRDefault="009C7D6A" w:rsidP="00353D5D">
            <w:pPr>
              <w:pStyle w:val="BStablefigures1"/>
              <w:rPr>
                <w:b w:val="0"/>
              </w:rPr>
            </w:pPr>
            <w:r>
              <w:rPr>
                <w:b w:val="0"/>
              </w:rPr>
              <w:t>3</w:t>
            </w:r>
            <w:r w:rsidR="00353D5D">
              <w:rPr>
                <w:b w:val="0"/>
              </w:rPr>
              <w:t>,</w:t>
            </w:r>
            <w:r w:rsidR="0058349F">
              <w:rPr>
                <w:b w:val="0"/>
              </w:rPr>
              <w:t>000</w:t>
            </w:r>
          </w:p>
        </w:tc>
        <w:tc>
          <w:tcPr>
            <w:tcW w:w="582" w:type="pct"/>
            <w:tcBorders>
              <w:top w:val="nil"/>
              <w:left w:val="nil"/>
              <w:bottom w:val="nil"/>
              <w:right w:val="nil"/>
            </w:tcBorders>
            <w:vAlign w:val="center"/>
            <w:hideMark/>
          </w:tcPr>
          <w:p w:rsidR="0058349F" w:rsidRDefault="009C7D6A" w:rsidP="00353D5D">
            <w:pPr>
              <w:pStyle w:val="BStablefigures1"/>
              <w:rPr>
                <w:b w:val="0"/>
              </w:rPr>
            </w:pPr>
            <w:r>
              <w:rPr>
                <w:b w:val="0"/>
              </w:rPr>
              <w:t>3</w:t>
            </w:r>
            <w:r w:rsidR="00353D5D">
              <w:rPr>
                <w:b w:val="0"/>
              </w:rPr>
              <w:t>,</w:t>
            </w:r>
            <w:r w:rsidR="0058349F">
              <w:rPr>
                <w:b w:val="0"/>
              </w:rPr>
              <w:t>140</w:t>
            </w:r>
          </w:p>
        </w:tc>
        <w:tc>
          <w:tcPr>
            <w:tcW w:w="544" w:type="pct"/>
            <w:tcBorders>
              <w:top w:val="nil"/>
              <w:left w:val="nil"/>
              <w:bottom w:val="nil"/>
              <w:right w:val="nil"/>
            </w:tcBorders>
            <w:vAlign w:val="center"/>
            <w:hideMark/>
          </w:tcPr>
          <w:p w:rsidR="0058349F" w:rsidRDefault="009C7D6A" w:rsidP="00353D5D">
            <w:pPr>
              <w:pStyle w:val="BStablefigures1"/>
              <w:rPr>
                <w:b w:val="0"/>
              </w:rPr>
            </w:pPr>
            <w:r>
              <w:rPr>
                <w:b w:val="0"/>
              </w:rPr>
              <w:t>3</w:t>
            </w:r>
            <w:r w:rsidR="00353D5D">
              <w:rPr>
                <w:b w:val="0"/>
              </w:rPr>
              <w:t>,</w:t>
            </w:r>
            <w:r w:rsidR="0058349F">
              <w:rPr>
                <w:b w:val="0"/>
              </w:rPr>
              <w:t>000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 xml:space="preserve">Number of Aboriginal and Torres Strait Islander children and young people receiving support during the year </w:t>
            </w:r>
            <w:r>
              <w:rPr>
                <w:vertAlign w:val="superscript"/>
              </w:rPr>
              <w:t>6</w:t>
            </w:r>
          </w:p>
        </w:tc>
        <w:tc>
          <w:tcPr>
            <w:tcW w:w="518" w:type="pct"/>
            <w:tcBorders>
              <w:top w:val="nil"/>
              <w:left w:val="nil"/>
              <w:bottom w:val="nil"/>
              <w:right w:val="nil"/>
            </w:tcBorders>
            <w:vAlign w:val="center"/>
            <w:hideMark/>
          </w:tcPr>
          <w:p w:rsidR="0058349F" w:rsidRDefault="0058349F">
            <w:pPr>
              <w:pStyle w:val="BStablefigures1"/>
              <w:rPr>
                <w:b w:val="0"/>
              </w:rPr>
            </w:pPr>
            <w:r>
              <w:rPr>
                <w:b w:val="0"/>
              </w:rPr>
              <w:t>650</w:t>
            </w:r>
          </w:p>
        </w:tc>
        <w:tc>
          <w:tcPr>
            <w:tcW w:w="582" w:type="pct"/>
            <w:tcBorders>
              <w:top w:val="nil"/>
              <w:left w:val="nil"/>
              <w:bottom w:val="nil"/>
              <w:right w:val="nil"/>
            </w:tcBorders>
            <w:vAlign w:val="center"/>
            <w:hideMark/>
          </w:tcPr>
          <w:p w:rsidR="0058349F" w:rsidRDefault="0058349F">
            <w:pPr>
              <w:pStyle w:val="BStablefigures1"/>
              <w:rPr>
                <w:b w:val="0"/>
              </w:rPr>
            </w:pPr>
            <w:r>
              <w:rPr>
                <w:b w:val="0"/>
              </w:rPr>
              <w:t>715</w:t>
            </w:r>
          </w:p>
        </w:tc>
        <w:tc>
          <w:tcPr>
            <w:tcW w:w="544" w:type="pct"/>
            <w:tcBorders>
              <w:top w:val="nil"/>
              <w:left w:val="nil"/>
              <w:bottom w:val="nil"/>
              <w:right w:val="nil"/>
            </w:tcBorders>
            <w:vAlign w:val="center"/>
            <w:hideMark/>
          </w:tcPr>
          <w:p w:rsidR="0058349F" w:rsidRDefault="0058349F">
            <w:pPr>
              <w:pStyle w:val="BStablefigures1"/>
              <w:rPr>
                <w:b w:val="0"/>
              </w:rPr>
            </w:pPr>
            <w:r>
              <w:rPr>
                <w:b w:val="0"/>
              </w:rPr>
              <w:t>650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 xml:space="preserve">Total number of children and young people for whom the Director-General has parental responsibility </w:t>
            </w:r>
            <w:r>
              <w:rPr>
                <w:vertAlign w:val="superscript"/>
              </w:rPr>
              <w:t>7</w:t>
            </w:r>
          </w:p>
        </w:tc>
        <w:tc>
          <w:tcPr>
            <w:tcW w:w="518" w:type="pct"/>
            <w:tcBorders>
              <w:top w:val="nil"/>
              <w:left w:val="nil"/>
              <w:bottom w:val="nil"/>
              <w:right w:val="nil"/>
            </w:tcBorders>
            <w:vAlign w:val="center"/>
            <w:hideMark/>
          </w:tcPr>
          <w:p w:rsidR="0058349F" w:rsidRDefault="0058349F">
            <w:pPr>
              <w:pStyle w:val="BStablefigures1"/>
              <w:rPr>
                <w:b w:val="0"/>
              </w:rPr>
            </w:pPr>
            <w:r>
              <w:rPr>
                <w:b w:val="0"/>
              </w:rPr>
              <w:t>810</w:t>
            </w:r>
          </w:p>
        </w:tc>
        <w:tc>
          <w:tcPr>
            <w:tcW w:w="582" w:type="pct"/>
            <w:tcBorders>
              <w:top w:val="nil"/>
              <w:left w:val="nil"/>
              <w:bottom w:val="nil"/>
              <w:right w:val="nil"/>
            </w:tcBorders>
            <w:vAlign w:val="center"/>
            <w:hideMark/>
          </w:tcPr>
          <w:p w:rsidR="0058349F" w:rsidRDefault="0058349F">
            <w:pPr>
              <w:pStyle w:val="BStablefigures1"/>
              <w:rPr>
                <w:b w:val="0"/>
              </w:rPr>
            </w:pPr>
            <w:r>
              <w:rPr>
                <w:b w:val="0"/>
              </w:rPr>
              <w:t>800</w:t>
            </w:r>
          </w:p>
        </w:tc>
        <w:tc>
          <w:tcPr>
            <w:tcW w:w="544" w:type="pct"/>
            <w:tcBorders>
              <w:top w:val="nil"/>
              <w:left w:val="nil"/>
              <w:bottom w:val="nil"/>
              <w:right w:val="nil"/>
            </w:tcBorders>
            <w:vAlign w:val="center"/>
            <w:hideMark/>
          </w:tcPr>
          <w:p w:rsidR="0058349F" w:rsidRDefault="0058349F">
            <w:pPr>
              <w:pStyle w:val="BStablefigures1"/>
              <w:rPr>
                <w:b w:val="0"/>
              </w:rPr>
            </w:pPr>
            <w:r>
              <w:rPr>
                <w:b w:val="0"/>
              </w:rPr>
              <w:t>820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Total out-of-home care days used annually</w:t>
            </w:r>
          </w:p>
        </w:tc>
        <w:tc>
          <w:tcPr>
            <w:tcW w:w="518" w:type="pct"/>
            <w:tcBorders>
              <w:top w:val="nil"/>
              <w:left w:val="nil"/>
              <w:bottom w:val="nil"/>
              <w:right w:val="nil"/>
            </w:tcBorders>
            <w:vAlign w:val="center"/>
            <w:hideMark/>
          </w:tcPr>
          <w:p w:rsidR="0058349F" w:rsidRDefault="009C7D6A" w:rsidP="00353D5D">
            <w:pPr>
              <w:pStyle w:val="BStablefigures1"/>
              <w:rPr>
                <w:b w:val="0"/>
              </w:rPr>
            </w:pPr>
            <w:r>
              <w:rPr>
                <w:b w:val="0"/>
              </w:rPr>
              <w:t>300</w:t>
            </w:r>
            <w:r w:rsidR="00353D5D">
              <w:rPr>
                <w:b w:val="0"/>
              </w:rPr>
              <w:t>,</w:t>
            </w:r>
            <w:r w:rsidR="0058349F">
              <w:rPr>
                <w:b w:val="0"/>
              </w:rPr>
              <w:t>300</w:t>
            </w:r>
          </w:p>
        </w:tc>
        <w:tc>
          <w:tcPr>
            <w:tcW w:w="582" w:type="pct"/>
            <w:tcBorders>
              <w:top w:val="nil"/>
              <w:left w:val="nil"/>
              <w:bottom w:val="nil"/>
              <w:right w:val="nil"/>
            </w:tcBorders>
            <w:vAlign w:val="center"/>
            <w:hideMark/>
          </w:tcPr>
          <w:p w:rsidR="0058349F" w:rsidRDefault="009C7D6A" w:rsidP="00353D5D">
            <w:pPr>
              <w:pStyle w:val="BStablefigures1"/>
              <w:rPr>
                <w:b w:val="0"/>
              </w:rPr>
            </w:pPr>
            <w:r>
              <w:rPr>
                <w:b w:val="0"/>
              </w:rPr>
              <w:t>300</w:t>
            </w:r>
            <w:r w:rsidR="00353D5D">
              <w:rPr>
                <w:b w:val="0"/>
              </w:rPr>
              <w:t>,</w:t>
            </w:r>
            <w:r w:rsidR="0058349F">
              <w:rPr>
                <w:b w:val="0"/>
              </w:rPr>
              <w:t xml:space="preserve">000   </w:t>
            </w:r>
          </w:p>
        </w:tc>
        <w:tc>
          <w:tcPr>
            <w:tcW w:w="544" w:type="pct"/>
            <w:tcBorders>
              <w:top w:val="nil"/>
              <w:left w:val="nil"/>
              <w:bottom w:val="nil"/>
              <w:right w:val="nil"/>
            </w:tcBorders>
            <w:vAlign w:val="center"/>
            <w:hideMark/>
          </w:tcPr>
          <w:p w:rsidR="0058349F" w:rsidRDefault="009C7D6A" w:rsidP="00353D5D">
            <w:pPr>
              <w:pStyle w:val="BStablefigures1"/>
              <w:rPr>
                <w:b w:val="0"/>
              </w:rPr>
            </w:pPr>
            <w:r>
              <w:rPr>
                <w:b w:val="0"/>
              </w:rPr>
              <w:t>300</w:t>
            </w:r>
            <w:r w:rsidR="00353D5D">
              <w:rPr>
                <w:b w:val="0"/>
              </w:rPr>
              <w:t>,</w:t>
            </w:r>
            <w:r w:rsidR="0058349F">
              <w:rPr>
                <w:b w:val="0"/>
              </w:rPr>
              <w:t>000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 xml:space="preserve">Number of out-of-home care days used by Aboriginal and Torres Strait Islander children and young people </w:t>
            </w:r>
            <w:r>
              <w:rPr>
                <w:vertAlign w:val="superscript"/>
              </w:rPr>
              <w:t>8</w:t>
            </w:r>
          </w:p>
        </w:tc>
        <w:tc>
          <w:tcPr>
            <w:tcW w:w="518" w:type="pct"/>
            <w:tcBorders>
              <w:top w:val="nil"/>
              <w:left w:val="nil"/>
              <w:bottom w:val="nil"/>
              <w:right w:val="nil"/>
            </w:tcBorders>
            <w:vAlign w:val="center"/>
            <w:hideMark/>
          </w:tcPr>
          <w:p w:rsidR="0058349F" w:rsidRDefault="009C7D6A" w:rsidP="00353D5D">
            <w:pPr>
              <w:pStyle w:val="BStablefigures1"/>
              <w:rPr>
                <w:b w:val="0"/>
              </w:rPr>
            </w:pPr>
            <w:r>
              <w:rPr>
                <w:b w:val="0"/>
              </w:rPr>
              <w:t>78</w:t>
            </w:r>
            <w:r w:rsidR="00353D5D">
              <w:rPr>
                <w:b w:val="0"/>
              </w:rPr>
              <w:t>,</w:t>
            </w:r>
            <w:r w:rsidR="0058349F">
              <w:rPr>
                <w:b w:val="0"/>
              </w:rPr>
              <w:t>750</w:t>
            </w:r>
          </w:p>
        </w:tc>
        <w:tc>
          <w:tcPr>
            <w:tcW w:w="582" w:type="pct"/>
            <w:tcBorders>
              <w:top w:val="nil"/>
              <w:left w:val="nil"/>
              <w:bottom w:val="nil"/>
              <w:right w:val="nil"/>
            </w:tcBorders>
            <w:vAlign w:val="center"/>
            <w:hideMark/>
          </w:tcPr>
          <w:p w:rsidR="0058349F" w:rsidRDefault="009C7D6A" w:rsidP="00353D5D">
            <w:pPr>
              <w:pStyle w:val="BStablefigures1"/>
              <w:rPr>
                <w:b w:val="0"/>
              </w:rPr>
            </w:pPr>
            <w:r>
              <w:rPr>
                <w:b w:val="0"/>
              </w:rPr>
              <w:t>88</w:t>
            </w:r>
            <w:r w:rsidR="00353D5D">
              <w:rPr>
                <w:b w:val="0"/>
              </w:rPr>
              <w:t>,</w:t>
            </w:r>
            <w:r w:rsidR="0058349F">
              <w:rPr>
                <w:b w:val="0"/>
              </w:rPr>
              <w:t>000</w:t>
            </w:r>
          </w:p>
        </w:tc>
        <w:tc>
          <w:tcPr>
            <w:tcW w:w="544" w:type="pct"/>
            <w:tcBorders>
              <w:top w:val="nil"/>
              <w:left w:val="nil"/>
              <w:bottom w:val="nil"/>
              <w:right w:val="nil"/>
            </w:tcBorders>
            <w:vAlign w:val="center"/>
            <w:hideMark/>
          </w:tcPr>
          <w:p w:rsidR="0058349F" w:rsidRDefault="009C7D6A" w:rsidP="00353D5D">
            <w:pPr>
              <w:pStyle w:val="BStablefigures1"/>
              <w:rPr>
                <w:b w:val="0"/>
              </w:rPr>
            </w:pPr>
            <w:r>
              <w:rPr>
                <w:b w:val="0"/>
              </w:rPr>
              <w:t>78</w:t>
            </w:r>
            <w:r w:rsidR="00353D5D">
              <w:rPr>
                <w:b w:val="0"/>
              </w:rPr>
              <w:t>,</w:t>
            </w:r>
            <w:r w:rsidR="0058349F">
              <w:rPr>
                <w:b w:val="0"/>
              </w:rPr>
              <w:t>750</w:t>
            </w:r>
          </w:p>
        </w:tc>
      </w:tr>
      <w:tr w:rsidR="001651E4" w:rsidTr="009C7D6A">
        <w:trPr>
          <w:trHeight w:val="454"/>
        </w:trPr>
        <w:tc>
          <w:tcPr>
            <w:tcW w:w="3356" w:type="pct"/>
            <w:tcBorders>
              <w:top w:val="nil"/>
              <w:left w:val="nil"/>
              <w:bottom w:val="nil"/>
              <w:right w:val="nil"/>
            </w:tcBorders>
            <w:vAlign w:val="center"/>
            <w:hideMark/>
          </w:tcPr>
          <w:p w:rsidR="0058349F" w:rsidRDefault="0058349F" w:rsidP="0058349F">
            <w:pPr>
              <w:pStyle w:val="BStablelist"/>
              <w:numPr>
                <w:ilvl w:val="0"/>
                <w:numId w:val="44"/>
              </w:numPr>
            </w:pPr>
            <w:r>
              <w:t xml:space="preserve">Average investment per out-of-home care day </w:t>
            </w:r>
            <w:r>
              <w:rPr>
                <w:vertAlign w:val="superscript"/>
              </w:rPr>
              <w:t>9</w:t>
            </w:r>
          </w:p>
        </w:tc>
        <w:tc>
          <w:tcPr>
            <w:tcW w:w="518" w:type="pct"/>
            <w:tcBorders>
              <w:top w:val="nil"/>
              <w:left w:val="nil"/>
              <w:bottom w:val="nil"/>
              <w:right w:val="nil"/>
            </w:tcBorders>
            <w:vAlign w:val="center"/>
            <w:hideMark/>
          </w:tcPr>
          <w:p w:rsidR="0058349F" w:rsidRDefault="0058349F">
            <w:pPr>
              <w:pStyle w:val="BStablefigures1"/>
              <w:rPr>
                <w:b w:val="0"/>
              </w:rPr>
            </w:pPr>
            <w:r>
              <w:rPr>
                <w:b w:val="0"/>
              </w:rPr>
              <w:t>$133</w:t>
            </w:r>
          </w:p>
        </w:tc>
        <w:tc>
          <w:tcPr>
            <w:tcW w:w="582" w:type="pct"/>
            <w:tcBorders>
              <w:top w:val="nil"/>
              <w:left w:val="nil"/>
              <w:bottom w:val="nil"/>
              <w:right w:val="nil"/>
            </w:tcBorders>
            <w:vAlign w:val="center"/>
            <w:hideMark/>
          </w:tcPr>
          <w:p w:rsidR="0058349F" w:rsidRDefault="0058349F">
            <w:pPr>
              <w:pStyle w:val="BStablefigures1"/>
              <w:rPr>
                <w:b w:val="0"/>
              </w:rPr>
            </w:pPr>
            <w:r>
              <w:rPr>
                <w:b w:val="0"/>
              </w:rPr>
              <w:t>$144</w:t>
            </w:r>
          </w:p>
        </w:tc>
        <w:tc>
          <w:tcPr>
            <w:tcW w:w="544" w:type="pct"/>
            <w:tcBorders>
              <w:top w:val="nil"/>
              <w:left w:val="nil"/>
              <w:bottom w:val="nil"/>
              <w:right w:val="nil"/>
            </w:tcBorders>
            <w:vAlign w:val="center"/>
            <w:hideMark/>
          </w:tcPr>
          <w:p w:rsidR="0058349F" w:rsidRDefault="0058349F">
            <w:pPr>
              <w:pStyle w:val="BStablefigures1"/>
              <w:rPr>
                <w:b w:val="0"/>
              </w:rPr>
            </w:pPr>
            <w:r>
              <w:rPr>
                <w:b w:val="0"/>
              </w:rPr>
              <w:t>$147</w:t>
            </w:r>
          </w:p>
        </w:tc>
      </w:tr>
      <w:tr w:rsidR="001651E4" w:rsidTr="009C7D6A">
        <w:trPr>
          <w:trHeight w:val="454"/>
        </w:trPr>
        <w:tc>
          <w:tcPr>
            <w:tcW w:w="3356" w:type="pct"/>
            <w:tcBorders>
              <w:top w:val="nil"/>
              <w:left w:val="nil"/>
              <w:bottom w:val="single" w:sz="12" w:space="0" w:color="auto"/>
              <w:right w:val="nil"/>
            </w:tcBorders>
            <w:vAlign w:val="center"/>
            <w:hideMark/>
          </w:tcPr>
          <w:p w:rsidR="0058349F" w:rsidRDefault="0058349F" w:rsidP="0058349F">
            <w:pPr>
              <w:pStyle w:val="BStablelist"/>
              <w:numPr>
                <w:ilvl w:val="0"/>
                <w:numId w:val="44"/>
              </w:numPr>
            </w:pPr>
            <w:r>
              <w:t xml:space="preserve">Number of permanency placements </w:t>
            </w:r>
            <w:r>
              <w:rPr>
                <w:vertAlign w:val="superscript"/>
              </w:rPr>
              <w:t>10</w:t>
            </w:r>
          </w:p>
        </w:tc>
        <w:tc>
          <w:tcPr>
            <w:tcW w:w="518" w:type="pct"/>
            <w:tcBorders>
              <w:top w:val="nil"/>
              <w:left w:val="nil"/>
              <w:bottom w:val="single" w:sz="12" w:space="0" w:color="auto"/>
              <w:right w:val="nil"/>
            </w:tcBorders>
            <w:vAlign w:val="center"/>
            <w:hideMark/>
          </w:tcPr>
          <w:p w:rsidR="0058349F" w:rsidRDefault="0058349F">
            <w:pPr>
              <w:pStyle w:val="BStablefigures1"/>
              <w:rPr>
                <w:b w:val="0"/>
              </w:rPr>
            </w:pPr>
            <w:r>
              <w:rPr>
                <w:b w:val="0"/>
              </w:rPr>
              <w:t>25</w:t>
            </w:r>
          </w:p>
        </w:tc>
        <w:tc>
          <w:tcPr>
            <w:tcW w:w="582" w:type="pct"/>
            <w:tcBorders>
              <w:top w:val="nil"/>
              <w:left w:val="nil"/>
              <w:bottom w:val="single" w:sz="12" w:space="0" w:color="auto"/>
              <w:right w:val="nil"/>
            </w:tcBorders>
            <w:vAlign w:val="center"/>
            <w:hideMark/>
          </w:tcPr>
          <w:p w:rsidR="0058349F" w:rsidRDefault="0058349F">
            <w:pPr>
              <w:pStyle w:val="BStablefigures1"/>
              <w:rPr>
                <w:b w:val="0"/>
              </w:rPr>
            </w:pPr>
            <w:r>
              <w:rPr>
                <w:b w:val="0"/>
              </w:rPr>
              <w:t>10</w:t>
            </w:r>
          </w:p>
        </w:tc>
        <w:tc>
          <w:tcPr>
            <w:tcW w:w="544" w:type="pct"/>
            <w:tcBorders>
              <w:top w:val="nil"/>
              <w:left w:val="nil"/>
              <w:bottom w:val="single" w:sz="12" w:space="0" w:color="auto"/>
              <w:right w:val="nil"/>
            </w:tcBorders>
            <w:vAlign w:val="center"/>
            <w:hideMark/>
          </w:tcPr>
          <w:p w:rsidR="0058349F" w:rsidRDefault="0058349F">
            <w:pPr>
              <w:pStyle w:val="BStablefigures1"/>
              <w:rPr>
                <w:b w:val="0"/>
              </w:rPr>
            </w:pPr>
            <w:r>
              <w:rPr>
                <w:b w:val="0"/>
              </w:rPr>
              <w:t>25</w:t>
            </w:r>
          </w:p>
        </w:tc>
      </w:tr>
    </w:tbl>
    <w:p w:rsidR="0058349F" w:rsidRDefault="0058349F" w:rsidP="0058349F">
      <w:pPr>
        <w:pStyle w:val="BSnote20"/>
      </w:pPr>
      <w:r>
        <w:t>Notes:</w:t>
      </w:r>
    </w:p>
    <w:p w:rsidR="0058349F" w:rsidRDefault="0058349F" w:rsidP="00F14CFA">
      <w:pPr>
        <w:pStyle w:val="BSnoteslist2"/>
        <w:numPr>
          <w:ilvl w:val="0"/>
          <w:numId w:val="45"/>
        </w:numPr>
        <w:jc w:val="both"/>
      </w:pPr>
      <w:r>
        <w:t xml:space="preserve">This ‘target’ is a benchmark by which CYPS measures the utilisation of </w:t>
      </w:r>
      <w:proofErr w:type="spellStart"/>
      <w:r>
        <w:t>Bimberi</w:t>
      </w:r>
      <w:proofErr w:type="spellEnd"/>
      <w:r>
        <w:t xml:space="preserve"> Youth Justice Centre against the historical average of 7,500 custody days. Since 2011 the impact of reforms have significantly reduced the actual result as fewer young people come into detention; highlighting the continued success of reforms lead by the </w:t>
      </w:r>
      <w:r w:rsidRPr="009A776E">
        <w:rPr>
          <w:i/>
        </w:rPr>
        <w:t>Blueprint for Youth Justice in the ACT 2012-22.</w:t>
      </w:r>
    </w:p>
    <w:p w:rsidR="0058349F" w:rsidRDefault="0058349F" w:rsidP="00F14CFA">
      <w:pPr>
        <w:pStyle w:val="BSnoteslist2"/>
        <w:numPr>
          <w:ilvl w:val="0"/>
          <w:numId w:val="41"/>
        </w:numPr>
        <w:jc w:val="both"/>
        <w:rPr>
          <w:bCs/>
        </w:rPr>
      </w:pPr>
      <w:r>
        <w:t>Reports are initiated by the community contacting Child and Youth Protection Services (CYPS). The number of reports received can fluctuate depending on a range of factors, including but not limited to publicity about child abuse and neglect.</w:t>
      </w:r>
    </w:p>
    <w:p w:rsidR="0058349F" w:rsidRDefault="0058349F" w:rsidP="00F14CFA">
      <w:pPr>
        <w:pStyle w:val="BSnoteslist2"/>
        <w:numPr>
          <w:ilvl w:val="0"/>
          <w:numId w:val="41"/>
        </w:numPr>
        <w:jc w:val="both"/>
      </w:pPr>
      <w:r>
        <w:t>The number of reports proceeding to appraisal can fluctuate depending on the number of reports received.</w:t>
      </w:r>
    </w:p>
    <w:p w:rsidR="0058349F" w:rsidRDefault="0058349F" w:rsidP="00F14CFA">
      <w:pPr>
        <w:pStyle w:val="BSnoteslist2"/>
        <w:numPr>
          <w:ilvl w:val="0"/>
          <w:numId w:val="41"/>
        </w:numPr>
        <w:jc w:val="both"/>
      </w:pPr>
      <w:r>
        <w:t>The number of substantiated reports can fluctuate depending on the results of appraisals for each child or young person.</w:t>
      </w:r>
    </w:p>
    <w:p w:rsidR="0058349F" w:rsidRDefault="0058349F" w:rsidP="00F14CFA">
      <w:pPr>
        <w:pStyle w:val="BSnoteslist2"/>
        <w:numPr>
          <w:ilvl w:val="0"/>
          <w:numId w:val="41"/>
        </w:numPr>
        <w:jc w:val="both"/>
      </w:pPr>
      <w:r>
        <w:t>This indicator is related to the number of child protection appraisals undertaken, the increase in the number of children requiring longer term care and the increase in young people subject to youth justice supervision.</w:t>
      </w:r>
    </w:p>
    <w:p w:rsidR="0058349F" w:rsidRDefault="0058349F" w:rsidP="00F14CFA">
      <w:pPr>
        <w:pStyle w:val="BSnoteslist2"/>
        <w:numPr>
          <w:ilvl w:val="0"/>
          <w:numId w:val="41"/>
        </w:numPr>
        <w:jc w:val="both"/>
      </w:pPr>
      <w:r>
        <w:t>This indicator is a sub-set of the indicator above and is impacted by the same drivers.</w:t>
      </w:r>
    </w:p>
    <w:p w:rsidR="0058349F" w:rsidRDefault="0058349F" w:rsidP="00F14CFA">
      <w:pPr>
        <w:pStyle w:val="BSnoteslist2"/>
        <w:numPr>
          <w:ilvl w:val="0"/>
          <w:numId w:val="41"/>
        </w:numPr>
        <w:jc w:val="both"/>
      </w:pPr>
      <w:r>
        <w:t xml:space="preserve">This is a point in time measure (as at 30 June). The number of children in care of the Director-General can fluctuate on a daily basis, depending on factors such as orders or agreements expiring or commencing. The growth-rate in the number of children in the care of the Director-General is expected to slow under </w:t>
      </w:r>
      <w:r>
        <w:rPr>
          <w:i/>
        </w:rPr>
        <w:t>A Step Up for Our Kids</w:t>
      </w:r>
      <w:r>
        <w:t xml:space="preserve"> reforms as more children are maintained safely at home due to preservation efforts, or come into care and then return home under restoration efforts or exit care through permanency options such as Enduring Parental Responsibility or Adoptions.</w:t>
      </w:r>
    </w:p>
    <w:p w:rsidR="0058349F" w:rsidRDefault="00EB52D4" w:rsidP="00F14CFA">
      <w:pPr>
        <w:pStyle w:val="BSnoteslist2"/>
        <w:numPr>
          <w:ilvl w:val="0"/>
          <w:numId w:val="41"/>
        </w:numPr>
        <w:jc w:val="both"/>
      </w:pPr>
      <w:r>
        <w:t xml:space="preserve">The 2017-18 </w:t>
      </w:r>
      <w:proofErr w:type="spellStart"/>
      <w:r>
        <w:t>estiamted</w:t>
      </w:r>
      <w:proofErr w:type="spellEnd"/>
      <w:r>
        <w:t xml:space="preserve"> outcome</w:t>
      </w:r>
      <w:r w:rsidR="0058349F">
        <w:t xml:space="preserve"> is over target due to a continuing increase in the number of Aboriginal and Torres Strait Islander children and young people requiring long term out of home care.</w:t>
      </w:r>
    </w:p>
    <w:p w:rsidR="0058349F" w:rsidRDefault="0058349F" w:rsidP="00F14CFA">
      <w:pPr>
        <w:pStyle w:val="BSnoteslist2"/>
        <w:numPr>
          <w:ilvl w:val="0"/>
          <w:numId w:val="41"/>
        </w:numPr>
        <w:jc w:val="both"/>
        <w:rPr>
          <w:color w:val="FF0000"/>
        </w:rPr>
      </w:pPr>
      <w:r>
        <w:rPr>
          <w:bCs/>
        </w:rPr>
        <w:t xml:space="preserve">The higher than budgeted result is due to increased costs associated with the transfer of services to </w:t>
      </w:r>
      <w:r>
        <w:rPr>
          <w:bCs/>
          <w:i/>
        </w:rPr>
        <w:t xml:space="preserve">A Step Up for Our Kids </w:t>
      </w:r>
      <w:r>
        <w:rPr>
          <w:bCs/>
        </w:rPr>
        <w:t xml:space="preserve">Strategy. </w:t>
      </w:r>
    </w:p>
    <w:p w:rsidR="0058349F" w:rsidRPr="00645BD9" w:rsidRDefault="0058349F" w:rsidP="0058349F">
      <w:pPr>
        <w:pStyle w:val="BSnoteslist2"/>
        <w:numPr>
          <w:ilvl w:val="0"/>
          <w:numId w:val="41"/>
        </w:numPr>
        <w:jc w:val="both"/>
      </w:pPr>
      <w:r>
        <w:t xml:space="preserve">The number of adoptions or Enduring Parental Responsibility Orders finalised in a given timeframe can fluctuate depending on a range of factors, including court processes. The below target result might have been affected by prioritising child safety and wellbeing work due to a significant increase in child concern reports in the previous two years impacting on the finalisation of permanency placements. </w:t>
      </w:r>
    </w:p>
    <w:p w:rsidR="0058349F" w:rsidRDefault="0058349F" w:rsidP="0058349F">
      <w:pPr>
        <w:pStyle w:val="Heading2"/>
        <w:pageBreakBefore/>
        <w:pBdr>
          <w:top w:val="nil"/>
          <w:left w:val="nil"/>
          <w:bottom w:val="nil"/>
          <w:right w:val="nil"/>
          <w:between w:val="nil"/>
          <w:bar w:val="nil"/>
        </w:pBdr>
        <w:rPr>
          <w:bdr w:val="nil"/>
        </w:rPr>
      </w:pPr>
      <w:bookmarkStart w:id="37" w:name="_Toc452467801"/>
      <w:bookmarkStart w:id="38" w:name="_Toc514925176"/>
      <w:bookmarkStart w:id="39" w:name="_Toc514926339"/>
      <w:r>
        <w:rPr>
          <w:bdr w:val="nil"/>
        </w:rPr>
        <w:t>Changes to Appropriation</w:t>
      </w:r>
      <w:bookmarkEnd w:id="37"/>
      <w:bookmarkEnd w:id="38"/>
      <w:bookmarkEnd w:id="39"/>
    </w:p>
    <w:p w:rsidR="0058349F" w:rsidRDefault="0058349F" w:rsidP="0058349F">
      <w:pPr>
        <w:pStyle w:val="Caption"/>
        <w:pBdr>
          <w:top w:val="nil"/>
          <w:left w:val="nil"/>
          <w:bottom w:val="nil"/>
          <w:right w:val="nil"/>
          <w:between w:val="nil"/>
          <w:bar w:val="nil"/>
        </w:pBdr>
        <w:rPr>
          <w:bdr w:val="nil"/>
        </w:rPr>
      </w:pPr>
      <w:r w:rsidRPr="00F0682D">
        <w:rPr>
          <w:bdr w:val="nil"/>
        </w:rPr>
        <w:t xml:space="preserve">Table </w:t>
      </w:r>
      <w:r w:rsidR="009C7D6A">
        <w:rPr>
          <w:bdr w:val="nil"/>
        </w:rPr>
        <w:t>27</w:t>
      </w:r>
      <w:r w:rsidRPr="00F0682D">
        <w:rPr>
          <w:bdr w:val="nil"/>
        </w:rPr>
        <w:t>: Changes to appropriation –</w:t>
      </w:r>
      <w:r w:rsidRPr="00F0682D">
        <w:rPr>
          <w:szCs w:val="20"/>
          <w:bdr w:val="nil"/>
        </w:rPr>
        <w:t xml:space="preserve"> </w:t>
      </w:r>
      <w:r w:rsidRPr="00F0682D">
        <w:rPr>
          <w:bdr w:val="nil"/>
        </w:rPr>
        <w:t>Controlled Recurrent Payments</w:t>
      </w:r>
    </w:p>
    <w:tbl>
      <w:tblPr>
        <w:tblStyle w:val="CDMRange1"/>
        <w:tblW w:w="9782" w:type="dxa"/>
        <w:tblInd w:w="-284" w:type="dxa"/>
        <w:tblLayout w:type="fixed"/>
        <w:tblLook w:val="04A0" w:firstRow="1" w:lastRow="0" w:firstColumn="1" w:lastColumn="0" w:noHBand="0" w:noVBand="1"/>
      </w:tblPr>
      <w:tblGrid>
        <w:gridCol w:w="4962"/>
        <w:gridCol w:w="992"/>
        <w:gridCol w:w="851"/>
        <w:gridCol w:w="992"/>
        <w:gridCol w:w="992"/>
        <w:gridCol w:w="993"/>
      </w:tblGrid>
      <w:tr w:rsidR="00FC72EA" w:rsidTr="00121BA9">
        <w:trPr>
          <w:trHeight w:val="990"/>
        </w:trPr>
        <w:tc>
          <w:tcPr>
            <w:tcW w:w="4962" w:type="dxa"/>
            <w:tcBorders>
              <w:top w:val="single" w:sz="4" w:space="0" w:color="auto"/>
              <w:bottom w:val="single" w:sz="4" w:space="0" w:color="auto"/>
            </w:tcBorders>
            <w:noWrap/>
          </w:tcPr>
          <w:p w:rsidR="00FC72EA" w:rsidRDefault="00FC72EA" w:rsidP="00FC72EA">
            <w:pPr>
              <w:spacing w:before="0" w:after="0"/>
              <w:rPr>
                <w:rFonts w:eastAsia="Calibri" w:cs="Calibri"/>
                <w:color w:val="000000"/>
                <w:sz w:val="18"/>
              </w:rPr>
            </w:pPr>
            <w:bookmarkStart w:id="40" w:name="OLE_LINK1"/>
          </w:p>
        </w:tc>
        <w:tc>
          <w:tcPr>
            <w:tcW w:w="992" w:type="dxa"/>
            <w:tcBorders>
              <w:top w:val="single" w:sz="4" w:space="0" w:color="auto"/>
              <w:bottom w:val="single" w:sz="4" w:space="0" w:color="auto"/>
            </w:tcBorders>
          </w:tcPr>
          <w:p w:rsidR="00FC72EA" w:rsidRDefault="00FC72EA" w:rsidP="00FC72EA">
            <w:pPr>
              <w:spacing w:before="0" w:after="0"/>
              <w:jc w:val="right"/>
              <w:rPr>
                <w:rFonts w:eastAsia="Calibri" w:cs="Calibri"/>
                <w:b/>
                <w:color w:val="000000"/>
                <w:sz w:val="18"/>
              </w:rPr>
            </w:pPr>
            <w:r>
              <w:rPr>
                <w:rFonts w:eastAsia="Calibri" w:cs="Calibri"/>
                <w:b/>
                <w:color w:val="000000"/>
                <w:sz w:val="18"/>
              </w:rPr>
              <w:t>2017-18 Estimated Outcome</w:t>
            </w:r>
          </w:p>
          <w:p w:rsidR="00FC72EA" w:rsidRDefault="00FC72EA" w:rsidP="00FC72EA">
            <w:pPr>
              <w:spacing w:before="0" w:after="0"/>
              <w:jc w:val="right"/>
              <w:rPr>
                <w:rFonts w:eastAsia="Calibri" w:cs="Calibri"/>
                <w:b/>
                <w:color w:val="000000"/>
                <w:sz w:val="18"/>
              </w:rPr>
            </w:pPr>
            <w:r>
              <w:rPr>
                <w:rFonts w:eastAsia="Calibri" w:cs="Calibri"/>
                <w:b/>
                <w:color w:val="000000"/>
                <w:sz w:val="18"/>
              </w:rPr>
              <w:t>$'000</w:t>
            </w:r>
          </w:p>
        </w:tc>
        <w:tc>
          <w:tcPr>
            <w:tcW w:w="851" w:type="dxa"/>
            <w:tcBorders>
              <w:top w:val="single" w:sz="4" w:space="0" w:color="auto"/>
              <w:bottom w:val="single" w:sz="4" w:space="0" w:color="auto"/>
            </w:tcBorders>
          </w:tcPr>
          <w:p w:rsidR="00FC72EA" w:rsidRDefault="00FC72EA" w:rsidP="00FC72EA">
            <w:pPr>
              <w:spacing w:before="0" w:after="0"/>
              <w:jc w:val="right"/>
              <w:rPr>
                <w:rFonts w:eastAsia="Calibri" w:cs="Calibri"/>
                <w:b/>
                <w:color w:val="000000"/>
                <w:sz w:val="18"/>
              </w:rPr>
            </w:pPr>
            <w:r>
              <w:rPr>
                <w:rFonts w:eastAsia="Calibri" w:cs="Calibri"/>
                <w:b/>
                <w:color w:val="000000"/>
                <w:sz w:val="18"/>
              </w:rPr>
              <w:t>2018-19 Budget</w:t>
            </w:r>
          </w:p>
          <w:p w:rsidR="00FC72EA" w:rsidRDefault="00FC72EA" w:rsidP="00FC72EA">
            <w:pPr>
              <w:spacing w:before="0" w:after="0"/>
              <w:jc w:val="right"/>
              <w:rPr>
                <w:rFonts w:eastAsia="Calibri" w:cs="Calibri"/>
                <w:b/>
                <w:color w:val="000000"/>
                <w:sz w:val="18"/>
              </w:rPr>
            </w:pPr>
          </w:p>
          <w:p w:rsidR="00FC72EA" w:rsidRDefault="00FC72EA" w:rsidP="00FC72EA">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auto"/>
              <w:bottom w:val="single" w:sz="4" w:space="0" w:color="auto"/>
            </w:tcBorders>
          </w:tcPr>
          <w:p w:rsidR="00FC72EA" w:rsidRDefault="00FC72EA" w:rsidP="00FC72EA">
            <w:pPr>
              <w:spacing w:before="0" w:after="0"/>
              <w:jc w:val="right"/>
              <w:rPr>
                <w:rFonts w:eastAsia="Calibri" w:cs="Calibri"/>
                <w:b/>
                <w:color w:val="000000"/>
                <w:sz w:val="18"/>
              </w:rPr>
            </w:pPr>
            <w:r>
              <w:rPr>
                <w:rFonts w:eastAsia="Calibri" w:cs="Calibri"/>
                <w:b/>
                <w:color w:val="000000"/>
                <w:sz w:val="18"/>
              </w:rPr>
              <w:t>2019-20 Estimate</w:t>
            </w:r>
          </w:p>
          <w:p w:rsidR="00FC72EA" w:rsidRDefault="00FC72EA" w:rsidP="00FC72EA">
            <w:pPr>
              <w:spacing w:before="0" w:after="0"/>
              <w:jc w:val="right"/>
              <w:rPr>
                <w:rFonts w:eastAsia="Calibri" w:cs="Calibri"/>
                <w:b/>
                <w:color w:val="000000"/>
                <w:sz w:val="18"/>
              </w:rPr>
            </w:pPr>
          </w:p>
          <w:p w:rsidR="00FC72EA" w:rsidRDefault="00FC72EA" w:rsidP="00FC72EA">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auto"/>
              <w:bottom w:val="single" w:sz="4" w:space="0" w:color="auto"/>
            </w:tcBorders>
          </w:tcPr>
          <w:p w:rsidR="00FC72EA" w:rsidRDefault="00FC72EA" w:rsidP="00FC72EA">
            <w:pPr>
              <w:spacing w:before="0" w:after="0"/>
              <w:jc w:val="right"/>
              <w:rPr>
                <w:rFonts w:eastAsia="Calibri" w:cs="Calibri"/>
                <w:b/>
                <w:color w:val="000000"/>
                <w:sz w:val="18"/>
              </w:rPr>
            </w:pPr>
            <w:r>
              <w:rPr>
                <w:rFonts w:eastAsia="Calibri" w:cs="Calibri"/>
                <w:b/>
                <w:color w:val="000000"/>
                <w:sz w:val="18"/>
              </w:rPr>
              <w:t>2020-21 Estimate</w:t>
            </w:r>
          </w:p>
          <w:p w:rsidR="00FC72EA" w:rsidRDefault="00FC72EA" w:rsidP="00FC72EA">
            <w:pPr>
              <w:spacing w:before="0" w:after="0"/>
              <w:jc w:val="right"/>
              <w:rPr>
                <w:rFonts w:eastAsia="Calibri" w:cs="Calibri"/>
                <w:b/>
                <w:color w:val="000000"/>
                <w:sz w:val="18"/>
              </w:rPr>
            </w:pPr>
          </w:p>
          <w:p w:rsidR="00FC72EA" w:rsidRDefault="00FC72EA" w:rsidP="00FC72EA">
            <w:pPr>
              <w:spacing w:before="0" w:after="0"/>
              <w:jc w:val="right"/>
              <w:rPr>
                <w:rFonts w:eastAsia="Calibri" w:cs="Calibri"/>
                <w:b/>
                <w:color w:val="000000"/>
                <w:sz w:val="18"/>
              </w:rPr>
            </w:pPr>
            <w:r>
              <w:rPr>
                <w:rFonts w:eastAsia="Calibri" w:cs="Calibri"/>
                <w:b/>
                <w:color w:val="000000"/>
                <w:sz w:val="18"/>
              </w:rPr>
              <w:t>$'000</w:t>
            </w:r>
          </w:p>
        </w:tc>
        <w:tc>
          <w:tcPr>
            <w:tcW w:w="993" w:type="dxa"/>
            <w:tcBorders>
              <w:top w:val="single" w:sz="4" w:space="0" w:color="auto"/>
              <w:bottom w:val="single" w:sz="4" w:space="0" w:color="auto"/>
            </w:tcBorders>
          </w:tcPr>
          <w:p w:rsidR="00FC72EA" w:rsidRDefault="00FC72EA" w:rsidP="00FC72EA">
            <w:pPr>
              <w:spacing w:before="0" w:after="0"/>
              <w:jc w:val="right"/>
              <w:rPr>
                <w:rFonts w:eastAsia="Calibri" w:cs="Calibri"/>
                <w:b/>
                <w:color w:val="000000"/>
                <w:sz w:val="18"/>
              </w:rPr>
            </w:pPr>
            <w:r>
              <w:rPr>
                <w:rFonts w:eastAsia="Calibri" w:cs="Calibri"/>
                <w:b/>
                <w:color w:val="000000"/>
                <w:sz w:val="18"/>
              </w:rPr>
              <w:t>2021-22 Estimate</w:t>
            </w:r>
          </w:p>
          <w:p w:rsidR="00FC72EA" w:rsidRDefault="00FC72EA" w:rsidP="00FC72EA">
            <w:pPr>
              <w:spacing w:before="0" w:after="0"/>
              <w:jc w:val="right"/>
              <w:rPr>
                <w:rFonts w:eastAsia="Calibri" w:cs="Calibri"/>
                <w:b/>
                <w:color w:val="000000"/>
                <w:sz w:val="18"/>
              </w:rPr>
            </w:pPr>
          </w:p>
          <w:p w:rsidR="00FC72EA" w:rsidRDefault="00FC72EA" w:rsidP="00FC72EA">
            <w:pPr>
              <w:spacing w:before="0" w:after="0"/>
              <w:jc w:val="right"/>
              <w:rPr>
                <w:rFonts w:eastAsia="Calibri" w:cs="Calibri"/>
                <w:b/>
                <w:color w:val="000000"/>
                <w:sz w:val="18"/>
              </w:rPr>
            </w:pPr>
            <w:r>
              <w:rPr>
                <w:rFonts w:eastAsia="Calibri" w:cs="Calibri"/>
                <w:b/>
                <w:color w:val="000000"/>
                <w:sz w:val="18"/>
              </w:rPr>
              <w:t>$'000</w:t>
            </w:r>
          </w:p>
        </w:tc>
      </w:tr>
      <w:tr w:rsidR="00FC72EA" w:rsidTr="00121BA9">
        <w:trPr>
          <w:trHeight w:hRule="exact" w:val="255"/>
        </w:trPr>
        <w:tc>
          <w:tcPr>
            <w:tcW w:w="4962" w:type="dxa"/>
            <w:tcBorders>
              <w:top w:val="single" w:sz="4" w:space="0" w:color="auto"/>
            </w:tcBorders>
            <w:noWrap/>
          </w:tcPr>
          <w:p w:rsidR="00FC72EA" w:rsidRDefault="00FC72EA" w:rsidP="00FC72EA">
            <w:pPr>
              <w:spacing w:before="0" w:after="0"/>
              <w:rPr>
                <w:rFonts w:eastAsia="Calibri" w:cs="Calibri"/>
                <w:color w:val="000000"/>
                <w:sz w:val="18"/>
              </w:rPr>
            </w:pPr>
          </w:p>
        </w:tc>
        <w:tc>
          <w:tcPr>
            <w:tcW w:w="992" w:type="dxa"/>
            <w:tcBorders>
              <w:top w:val="single" w:sz="4" w:space="0" w:color="auto"/>
            </w:tcBorders>
            <w:noWrap/>
          </w:tcPr>
          <w:p w:rsidR="00FC72EA" w:rsidRDefault="00FC72EA" w:rsidP="00FC72EA">
            <w:pPr>
              <w:spacing w:before="0" w:after="0"/>
              <w:rPr>
                <w:rFonts w:eastAsia="Calibri" w:cs="Calibri"/>
                <w:color w:val="000000"/>
                <w:sz w:val="18"/>
              </w:rPr>
            </w:pPr>
          </w:p>
        </w:tc>
        <w:tc>
          <w:tcPr>
            <w:tcW w:w="851" w:type="dxa"/>
            <w:tcBorders>
              <w:top w:val="single" w:sz="4" w:space="0" w:color="auto"/>
            </w:tcBorders>
            <w:noWrap/>
          </w:tcPr>
          <w:p w:rsidR="00FC72EA" w:rsidRDefault="00FC72EA" w:rsidP="00FC72EA">
            <w:pPr>
              <w:spacing w:before="0" w:after="0"/>
              <w:rPr>
                <w:rFonts w:eastAsia="Calibri" w:cs="Calibri"/>
                <w:color w:val="000000"/>
                <w:sz w:val="18"/>
              </w:rPr>
            </w:pPr>
          </w:p>
        </w:tc>
        <w:tc>
          <w:tcPr>
            <w:tcW w:w="992" w:type="dxa"/>
            <w:tcBorders>
              <w:top w:val="single" w:sz="4" w:space="0" w:color="auto"/>
            </w:tcBorders>
            <w:noWrap/>
          </w:tcPr>
          <w:p w:rsidR="00FC72EA" w:rsidRDefault="00FC72EA" w:rsidP="00FC72EA">
            <w:pPr>
              <w:spacing w:before="0" w:after="0"/>
              <w:rPr>
                <w:rFonts w:eastAsia="Calibri" w:cs="Calibri"/>
                <w:color w:val="000000"/>
                <w:sz w:val="18"/>
              </w:rPr>
            </w:pPr>
          </w:p>
        </w:tc>
        <w:tc>
          <w:tcPr>
            <w:tcW w:w="992" w:type="dxa"/>
            <w:tcBorders>
              <w:top w:val="single" w:sz="4" w:space="0" w:color="auto"/>
            </w:tcBorders>
            <w:noWrap/>
          </w:tcPr>
          <w:p w:rsidR="00FC72EA" w:rsidRDefault="00FC72EA" w:rsidP="00FC72EA">
            <w:pPr>
              <w:spacing w:before="0" w:after="0"/>
              <w:rPr>
                <w:rFonts w:eastAsia="Calibri" w:cs="Calibri"/>
                <w:color w:val="000000"/>
                <w:sz w:val="18"/>
              </w:rPr>
            </w:pPr>
          </w:p>
        </w:tc>
        <w:tc>
          <w:tcPr>
            <w:tcW w:w="993" w:type="dxa"/>
            <w:tcBorders>
              <w:top w:val="single" w:sz="4" w:space="0" w:color="auto"/>
            </w:tcBorders>
            <w:noWrap/>
          </w:tcPr>
          <w:p w:rsidR="00FC72EA" w:rsidRDefault="00FC72EA" w:rsidP="00FC72EA">
            <w:pPr>
              <w:spacing w:before="0" w:after="0"/>
              <w:rPr>
                <w:rFonts w:eastAsia="Calibri" w:cs="Calibri"/>
                <w:color w:val="000000"/>
                <w:sz w:val="18"/>
              </w:rPr>
            </w:pPr>
          </w:p>
        </w:tc>
      </w:tr>
      <w:tr w:rsidR="00FC72EA" w:rsidTr="00DE3A7C">
        <w:trPr>
          <w:trHeight w:hRule="exact" w:val="240"/>
        </w:trPr>
        <w:tc>
          <w:tcPr>
            <w:tcW w:w="4962"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851"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993" w:type="dxa"/>
            <w:noWrap/>
          </w:tcPr>
          <w:p w:rsidR="00FC72EA" w:rsidRDefault="00FC72EA" w:rsidP="00FC72EA">
            <w:pPr>
              <w:spacing w:before="0" w:after="0"/>
              <w:rPr>
                <w:rFonts w:eastAsia="Calibri" w:cs="Calibri"/>
                <w:color w:val="000000"/>
                <w:sz w:val="18"/>
              </w:rPr>
            </w:pPr>
          </w:p>
        </w:tc>
      </w:tr>
      <w:tr w:rsidR="00FC72EA" w:rsidTr="00DE3A7C">
        <w:trPr>
          <w:trHeight w:hRule="exact" w:val="240"/>
        </w:trPr>
        <w:tc>
          <w:tcPr>
            <w:tcW w:w="4962" w:type="dxa"/>
            <w:noWrap/>
          </w:tcPr>
          <w:p w:rsidR="00FC72EA" w:rsidRDefault="00FC72EA" w:rsidP="00FC72EA">
            <w:pPr>
              <w:spacing w:before="0" w:after="0"/>
              <w:rPr>
                <w:rFonts w:eastAsia="Calibri" w:cs="Calibri"/>
                <w:b/>
                <w:color w:val="000000"/>
                <w:sz w:val="18"/>
              </w:rPr>
            </w:pPr>
            <w:r>
              <w:rPr>
                <w:rFonts w:eastAsia="Calibri" w:cs="Calibri"/>
                <w:b/>
                <w:color w:val="000000"/>
                <w:sz w:val="18"/>
              </w:rPr>
              <w:t>2017-18 Budget</w:t>
            </w:r>
          </w:p>
        </w:tc>
        <w:tc>
          <w:tcPr>
            <w:tcW w:w="992" w:type="dxa"/>
            <w:noWrap/>
          </w:tcPr>
          <w:p w:rsidR="00FC72EA" w:rsidRPr="003D3B48" w:rsidRDefault="00FC72EA" w:rsidP="00FC72EA">
            <w:pPr>
              <w:spacing w:before="0" w:after="0"/>
              <w:jc w:val="right"/>
              <w:rPr>
                <w:rFonts w:eastAsia="Calibri" w:cs="Calibri"/>
                <w:b/>
                <w:color w:val="000000"/>
                <w:sz w:val="18"/>
              </w:rPr>
            </w:pPr>
            <w:r w:rsidRPr="003D3B48">
              <w:rPr>
                <w:rFonts w:eastAsia="Calibri" w:cs="Calibri"/>
                <w:b/>
                <w:color w:val="000000"/>
                <w:sz w:val="18"/>
              </w:rPr>
              <w:t>252</w:t>
            </w:r>
            <w:r>
              <w:rPr>
                <w:rFonts w:eastAsia="Calibri" w:cs="Calibri"/>
                <w:b/>
                <w:color w:val="000000"/>
                <w:sz w:val="18"/>
              </w:rPr>
              <w:t>,</w:t>
            </w:r>
            <w:r w:rsidRPr="003D3B48">
              <w:rPr>
                <w:rFonts w:eastAsia="Calibri" w:cs="Calibri"/>
                <w:b/>
                <w:color w:val="000000"/>
                <w:sz w:val="18"/>
              </w:rPr>
              <w:t>585</w:t>
            </w:r>
          </w:p>
        </w:tc>
        <w:tc>
          <w:tcPr>
            <w:tcW w:w="851" w:type="dxa"/>
            <w:noWrap/>
          </w:tcPr>
          <w:p w:rsidR="00FC72EA" w:rsidRPr="003D3B48" w:rsidRDefault="00FC72EA" w:rsidP="00FC72EA">
            <w:pPr>
              <w:spacing w:before="0" w:after="0"/>
              <w:jc w:val="right"/>
              <w:rPr>
                <w:rFonts w:eastAsia="Calibri" w:cs="Calibri"/>
                <w:b/>
                <w:color w:val="000000"/>
                <w:sz w:val="18"/>
              </w:rPr>
            </w:pPr>
            <w:r w:rsidRPr="003D3B48">
              <w:rPr>
                <w:rFonts w:eastAsia="Calibri" w:cs="Calibri"/>
                <w:b/>
                <w:color w:val="000000"/>
                <w:sz w:val="18"/>
              </w:rPr>
              <w:t>257</w:t>
            </w:r>
            <w:r>
              <w:rPr>
                <w:rFonts w:eastAsia="Calibri" w:cs="Calibri"/>
                <w:b/>
                <w:color w:val="000000"/>
                <w:sz w:val="18"/>
              </w:rPr>
              <w:t>,</w:t>
            </w:r>
            <w:r w:rsidRPr="003D3B48">
              <w:rPr>
                <w:rFonts w:eastAsia="Calibri" w:cs="Calibri"/>
                <w:b/>
                <w:color w:val="000000"/>
                <w:sz w:val="18"/>
              </w:rPr>
              <w:t>391</w:t>
            </w:r>
          </w:p>
        </w:tc>
        <w:tc>
          <w:tcPr>
            <w:tcW w:w="992" w:type="dxa"/>
            <w:noWrap/>
          </w:tcPr>
          <w:p w:rsidR="00FC72EA" w:rsidRPr="003D3B48" w:rsidRDefault="00FC72EA" w:rsidP="00FC72EA">
            <w:pPr>
              <w:spacing w:before="0" w:after="0"/>
              <w:jc w:val="right"/>
              <w:rPr>
                <w:rFonts w:eastAsia="Calibri" w:cs="Calibri"/>
                <w:b/>
                <w:color w:val="000000"/>
                <w:sz w:val="18"/>
              </w:rPr>
            </w:pPr>
            <w:r w:rsidRPr="003D3B48">
              <w:rPr>
                <w:rFonts w:eastAsia="Calibri" w:cs="Calibri"/>
                <w:b/>
                <w:color w:val="000000"/>
                <w:sz w:val="18"/>
              </w:rPr>
              <w:t>286</w:t>
            </w:r>
            <w:r>
              <w:rPr>
                <w:rFonts w:eastAsia="Calibri" w:cs="Calibri"/>
                <w:b/>
                <w:color w:val="000000"/>
                <w:sz w:val="18"/>
              </w:rPr>
              <w:t>,</w:t>
            </w:r>
            <w:r w:rsidRPr="003D3B48">
              <w:rPr>
                <w:rFonts w:eastAsia="Calibri" w:cs="Calibri"/>
                <w:b/>
                <w:color w:val="000000"/>
                <w:sz w:val="18"/>
              </w:rPr>
              <w:t>375</w:t>
            </w:r>
          </w:p>
        </w:tc>
        <w:tc>
          <w:tcPr>
            <w:tcW w:w="992" w:type="dxa"/>
            <w:noWrap/>
          </w:tcPr>
          <w:p w:rsidR="00FC72EA" w:rsidRPr="003D3B48" w:rsidRDefault="00FC72EA" w:rsidP="00FC72EA">
            <w:pPr>
              <w:spacing w:before="0" w:after="0"/>
              <w:jc w:val="right"/>
              <w:rPr>
                <w:rFonts w:eastAsia="Calibri" w:cs="Calibri"/>
                <w:b/>
                <w:color w:val="000000"/>
                <w:sz w:val="18"/>
              </w:rPr>
            </w:pPr>
            <w:r w:rsidRPr="003D3B48">
              <w:rPr>
                <w:rFonts w:eastAsia="Calibri" w:cs="Calibri"/>
                <w:b/>
                <w:color w:val="000000"/>
                <w:sz w:val="18"/>
              </w:rPr>
              <w:t>294</w:t>
            </w:r>
            <w:r>
              <w:rPr>
                <w:rFonts w:eastAsia="Calibri" w:cs="Calibri"/>
                <w:b/>
                <w:color w:val="000000"/>
                <w:sz w:val="18"/>
              </w:rPr>
              <w:t>,</w:t>
            </w:r>
            <w:r w:rsidRPr="003D3B48">
              <w:rPr>
                <w:rFonts w:eastAsia="Calibri" w:cs="Calibri"/>
                <w:b/>
                <w:color w:val="000000"/>
                <w:sz w:val="18"/>
              </w:rPr>
              <w:t>553</w:t>
            </w:r>
          </w:p>
        </w:tc>
        <w:tc>
          <w:tcPr>
            <w:tcW w:w="993" w:type="dxa"/>
            <w:noWrap/>
          </w:tcPr>
          <w:p w:rsidR="00FC72EA" w:rsidRPr="003D3B48" w:rsidRDefault="00FC72EA" w:rsidP="00FC72EA">
            <w:pPr>
              <w:spacing w:before="0" w:after="0"/>
              <w:jc w:val="right"/>
              <w:rPr>
                <w:rFonts w:eastAsia="Calibri" w:cs="Calibri"/>
                <w:b/>
                <w:color w:val="000000"/>
                <w:sz w:val="18"/>
              </w:rPr>
            </w:pPr>
            <w:r w:rsidRPr="003D3B48">
              <w:rPr>
                <w:rFonts w:eastAsia="Calibri" w:cs="Calibri"/>
                <w:b/>
                <w:color w:val="000000"/>
                <w:sz w:val="18"/>
              </w:rPr>
              <w:t>294</w:t>
            </w:r>
            <w:r>
              <w:rPr>
                <w:rFonts w:eastAsia="Calibri" w:cs="Calibri"/>
                <w:b/>
                <w:color w:val="000000"/>
                <w:sz w:val="18"/>
              </w:rPr>
              <w:t>,</w:t>
            </w:r>
            <w:r w:rsidRPr="003D3B48">
              <w:rPr>
                <w:rFonts w:eastAsia="Calibri" w:cs="Calibri"/>
                <w:b/>
                <w:color w:val="000000"/>
                <w:sz w:val="18"/>
              </w:rPr>
              <w:t>553</w:t>
            </w:r>
          </w:p>
        </w:tc>
      </w:tr>
      <w:tr w:rsidR="00FC72EA" w:rsidTr="00DE3A7C">
        <w:trPr>
          <w:trHeight w:hRule="exact" w:val="240"/>
        </w:trPr>
        <w:tc>
          <w:tcPr>
            <w:tcW w:w="4962"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851"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993" w:type="dxa"/>
            <w:noWrap/>
          </w:tcPr>
          <w:p w:rsidR="00FC72EA" w:rsidRDefault="00FC72EA" w:rsidP="00FC72EA">
            <w:pPr>
              <w:spacing w:before="0" w:after="0"/>
              <w:rPr>
                <w:rFonts w:eastAsia="Calibri" w:cs="Calibri"/>
                <w:color w:val="000000"/>
                <w:sz w:val="18"/>
              </w:rPr>
            </w:pPr>
          </w:p>
        </w:tc>
      </w:tr>
      <w:tr w:rsidR="00FC72EA" w:rsidTr="00DE3A7C">
        <w:trPr>
          <w:trHeight w:val="240"/>
        </w:trPr>
        <w:tc>
          <w:tcPr>
            <w:tcW w:w="4962" w:type="dxa"/>
          </w:tcPr>
          <w:p w:rsidR="00FC72EA" w:rsidRDefault="00FC72EA" w:rsidP="00FC72EA">
            <w:pPr>
              <w:spacing w:before="0" w:after="0"/>
              <w:rPr>
                <w:rFonts w:eastAsia="Calibri" w:cs="Calibri"/>
                <w:b/>
                <w:color w:val="000000"/>
                <w:sz w:val="18"/>
              </w:rPr>
            </w:pPr>
            <w:r>
              <w:rPr>
                <w:rFonts w:eastAsia="Calibri" w:cs="Calibri"/>
                <w:b/>
                <w:color w:val="000000"/>
                <w:sz w:val="18"/>
              </w:rPr>
              <w:t>2nd Appropriation</w:t>
            </w:r>
          </w:p>
        </w:tc>
        <w:tc>
          <w:tcPr>
            <w:tcW w:w="992" w:type="dxa"/>
            <w:noWrap/>
          </w:tcPr>
          <w:p w:rsidR="00FC72EA" w:rsidRDefault="00FC72EA" w:rsidP="00FC72EA">
            <w:pPr>
              <w:spacing w:before="0" w:after="0"/>
              <w:rPr>
                <w:rFonts w:eastAsia="Calibri" w:cs="Calibri"/>
                <w:color w:val="FFFFFF"/>
                <w:sz w:val="18"/>
              </w:rPr>
            </w:pPr>
          </w:p>
        </w:tc>
        <w:tc>
          <w:tcPr>
            <w:tcW w:w="851"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3" w:type="dxa"/>
            <w:noWrap/>
          </w:tcPr>
          <w:p w:rsidR="00FC72EA" w:rsidRDefault="00FC72EA" w:rsidP="00FC72EA">
            <w:pPr>
              <w:spacing w:before="0" w:after="0"/>
              <w:rPr>
                <w:rFonts w:eastAsia="Calibri" w:cs="Calibri"/>
                <w:color w:val="FFFFFF"/>
                <w:sz w:val="18"/>
              </w:rPr>
            </w:pPr>
          </w:p>
        </w:tc>
      </w:tr>
      <w:tr w:rsidR="00FC72EA" w:rsidTr="00DE3A7C">
        <w:trPr>
          <w:trHeight w:val="240"/>
        </w:trPr>
        <w:tc>
          <w:tcPr>
            <w:tcW w:w="4962" w:type="dxa"/>
          </w:tcPr>
          <w:p w:rsidR="00FC72EA" w:rsidRDefault="00FC72EA" w:rsidP="00FC72EA">
            <w:pPr>
              <w:spacing w:before="0" w:after="0"/>
              <w:rPr>
                <w:rFonts w:eastAsia="Calibri" w:cs="Calibri"/>
                <w:b/>
                <w:color w:val="000000"/>
                <w:sz w:val="18"/>
              </w:rPr>
            </w:pPr>
            <w:r>
              <w:rPr>
                <w:rFonts w:eastAsia="Calibri" w:cs="Calibri"/>
                <w:color w:val="000000"/>
                <w:sz w:val="18"/>
              </w:rPr>
              <w:t>Better support when it matters</w:t>
            </w:r>
            <w:r w:rsidR="004C56A7">
              <w:rPr>
                <w:rFonts w:eastAsia="Calibri" w:cs="Calibri"/>
                <w:color w:val="000000"/>
                <w:sz w:val="18"/>
              </w:rPr>
              <w:t>:</w:t>
            </w:r>
          </w:p>
        </w:tc>
        <w:tc>
          <w:tcPr>
            <w:tcW w:w="992" w:type="dxa"/>
            <w:noWrap/>
          </w:tcPr>
          <w:p w:rsidR="00FC72EA" w:rsidRDefault="00FC72EA" w:rsidP="00FC72EA">
            <w:pPr>
              <w:spacing w:before="0" w:after="0"/>
              <w:rPr>
                <w:rFonts w:eastAsia="Calibri" w:cs="Calibri"/>
                <w:color w:val="FFFFFF"/>
                <w:sz w:val="18"/>
              </w:rPr>
            </w:pPr>
          </w:p>
        </w:tc>
        <w:tc>
          <w:tcPr>
            <w:tcW w:w="851"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3" w:type="dxa"/>
            <w:noWrap/>
          </w:tcPr>
          <w:p w:rsidR="00FC72EA" w:rsidRDefault="00FC72EA" w:rsidP="00FC72EA">
            <w:pPr>
              <w:spacing w:before="0" w:after="0"/>
              <w:rPr>
                <w:rFonts w:eastAsia="Calibri" w:cs="Calibri"/>
                <w:color w:val="FFFFFF"/>
                <w:sz w:val="18"/>
              </w:rPr>
            </w:pPr>
          </w:p>
        </w:tc>
      </w:tr>
      <w:tr w:rsidR="00FC72EA" w:rsidTr="00DE3A7C">
        <w:trPr>
          <w:trHeight w:val="238"/>
        </w:trPr>
        <w:tc>
          <w:tcPr>
            <w:tcW w:w="4962" w:type="dxa"/>
          </w:tcPr>
          <w:p w:rsidR="00FC72EA" w:rsidRPr="009C7D6A" w:rsidRDefault="00FC72EA" w:rsidP="00FC72EA">
            <w:pPr>
              <w:pStyle w:val="ListParagraph"/>
              <w:numPr>
                <w:ilvl w:val="0"/>
                <w:numId w:val="54"/>
              </w:numPr>
              <w:spacing w:before="0"/>
              <w:rPr>
                <w:rFonts w:eastAsia="Calibri" w:cs="Calibri"/>
                <w:color w:val="000000"/>
                <w:sz w:val="18"/>
              </w:rPr>
            </w:pPr>
            <w:r w:rsidRPr="009C7D6A">
              <w:rPr>
                <w:rFonts w:eastAsia="Calibri" w:cs="Calibri"/>
                <w:color w:val="000000"/>
                <w:sz w:val="18"/>
              </w:rPr>
              <w:t>Drug and Alcohol Court establishment</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37</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r>
      <w:tr w:rsidR="00FC72EA" w:rsidTr="00DE3A7C">
        <w:trPr>
          <w:trHeight w:val="454"/>
        </w:trPr>
        <w:tc>
          <w:tcPr>
            <w:tcW w:w="4962" w:type="dxa"/>
          </w:tcPr>
          <w:p w:rsidR="00FC72EA" w:rsidRPr="009C7D6A" w:rsidRDefault="00FC72EA" w:rsidP="00FC72EA">
            <w:pPr>
              <w:pStyle w:val="ListParagraph"/>
              <w:numPr>
                <w:ilvl w:val="0"/>
                <w:numId w:val="54"/>
              </w:numPr>
              <w:spacing w:before="0"/>
              <w:rPr>
                <w:rFonts w:eastAsia="Calibri" w:cs="Calibri"/>
                <w:color w:val="000000"/>
                <w:sz w:val="18"/>
              </w:rPr>
            </w:pPr>
            <w:r w:rsidRPr="009C7D6A">
              <w:rPr>
                <w:rFonts w:eastAsia="Calibri" w:cs="Calibri"/>
                <w:color w:val="000000"/>
                <w:sz w:val="18"/>
              </w:rPr>
              <w:t>Early intervention for vulnerable children and their families – Phase 1</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907</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620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r>
      <w:tr w:rsidR="00FC72EA" w:rsidTr="00DE3A7C">
        <w:trPr>
          <w:trHeight w:val="238"/>
        </w:trPr>
        <w:tc>
          <w:tcPr>
            <w:tcW w:w="4962" w:type="dxa"/>
          </w:tcPr>
          <w:p w:rsidR="00FC72EA" w:rsidRPr="009C7D6A" w:rsidRDefault="00FC72EA" w:rsidP="00FC72EA">
            <w:pPr>
              <w:pStyle w:val="ListParagraph"/>
              <w:numPr>
                <w:ilvl w:val="0"/>
                <w:numId w:val="54"/>
              </w:numPr>
              <w:spacing w:before="0"/>
              <w:rPr>
                <w:rFonts w:eastAsia="Calibri" w:cs="Calibri"/>
                <w:color w:val="000000"/>
                <w:sz w:val="18"/>
              </w:rPr>
            </w:pPr>
            <w:r w:rsidRPr="009C7D6A">
              <w:rPr>
                <w:rFonts w:eastAsia="Calibri" w:cs="Calibri"/>
                <w:color w:val="000000"/>
                <w:sz w:val="18"/>
              </w:rPr>
              <w:t xml:space="preserve">Reconciliation Day </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200</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r>
      <w:tr w:rsidR="00FC72EA" w:rsidTr="00DE3A7C">
        <w:trPr>
          <w:trHeight w:val="238"/>
        </w:trPr>
        <w:tc>
          <w:tcPr>
            <w:tcW w:w="4962" w:type="dxa"/>
          </w:tcPr>
          <w:p w:rsidR="00FC72EA" w:rsidRPr="009C7D6A" w:rsidRDefault="00FC72EA" w:rsidP="00FC72EA">
            <w:pPr>
              <w:pStyle w:val="ListParagraph"/>
              <w:numPr>
                <w:ilvl w:val="0"/>
                <w:numId w:val="54"/>
              </w:numPr>
              <w:spacing w:before="0"/>
              <w:rPr>
                <w:rFonts w:eastAsia="Calibri" w:cs="Calibri"/>
                <w:color w:val="000000"/>
                <w:sz w:val="18"/>
              </w:rPr>
            </w:pPr>
            <w:r w:rsidRPr="009C7D6A">
              <w:rPr>
                <w:rFonts w:eastAsia="Calibri" w:cs="Calibri"/>
                <w:color w:val="000000"/>
                <w:sz w:val="18"/>
              </w:rPr>
              <w:t>Strengthening the National Multicultural Festival</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255</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r>
      <w:tr w:rsidR="00FC72EA" w:rsidTr="00DE3A7C">
        <w:trPr>
          <w:trHeight w:val="238"/>
        </w:trPr>
        <w:tc>
          <w:tcPr>
            <w:tcW w:w="4962" w:type="dxa"/>
          </w:tcPr>
          <w:p w:rsidR="00FC72EA" w:rsidRPr="009C7D6A" w:rsidRDefault="00FC72EA" w:rsidP="00FC72EA">
            <w:pPr>
              <w:pStyle w:val="ListParagraph"/>
              <w:numPr>
                <w:ilvl w:val="0"/>
                <w:numId w:val="54"/>
              </w:numPr>
              <w:spacing w:before="0"/>
              <w:rPr>
                <w:rFonts w:eastAsia="Calibri" w:cs="Calibri"/>
                <w:color w:val="000000"/>
                <w:sz w:val="18"/>
              </w:rPr>
            </w:pPr>
            <w:r w:rsidRPr="009C7D6A">
              <w:rPr>
                <w:rFonts w:eastAsia="Calibri" w:cs="Calibri"/>
                <w:color w:val="000000"/>
                <w:sz w:val="18"/>
              </w:rPr>
              <w:t>Veterans' Support Centre</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60</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r>
      <w:tr w:rsidR="00FC72EA" w:rsidTr="00DE3A7C">
        <w:trPr>
          <w:trHeight w:val="240"/>
        </w:trPr>
        <w:tc>
          <w:tcPr>
            <w:tcW w:w="4962" w:type="dxa"/>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851"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992" w:type="dxa"/>
            <w:noWrap/>
          </w:tcPr>
          <w:p w:rsidR="00FC72EA" w:rsidRDefault="00FC72EA" w:rsidP="00FC72EA">
            <w:pPr>
              <w:spacing w:before="0" w:after="0"/>
              <w:rPr>
                <w:rFonts w:eastAsia="Calibri" w:cs="Calibri"/>
                <w:color w:val="000000"/>
                <w:sz w:val="18"/>
              </w:rPr>
            </w:pPr>
          </w:p>
        </w:tc>
        <w:tc>
          <w:tcPr>
            <w:tcW w:w="993" w:type="dxa"/>
            <w:noWrap/>
          </w:tcPr>
          <w:p w:rsidR="00FC72EA" w:rsidRDefault="00FC72EA" w:rsidP="00FC72EA">
            <w:pPr>
              <w:spacing w:before="0" w:after="0"/>
              <w:rPr>
                <w:rFonts w:eastAsia="Calibri" w:cs="Calibri"/>
                <w:color w:val="000000"/>
                <w:sz w:val="18"/>
              </w:rPr>
            </w:pPr>
          </w:p>
        </w:tc>
      </w:tr>
      <w:tr w:rsidR="00FC72EA" w:rsidTr="00DE3A7C">
        <w:trPr>
          <w:trHeight w:val="240"/>
        </w:trPr>
        <w:tc>
          <w:tcPr>
            <w:tcW w:w="4962" w:type="dxa"/>
          </w:tcPr>
          <w:p w:rsidR="00FC72EA" w:rsidRDefault="00FC72EA" w:rsidP="00FC72EA">
            <w:pPr>
              <w:spacing w:before="0" w:after="0"/>
              <w:rPr>
                <w:rFonts w:eastAsia="Calibri" w:cs="Calibri"/>
                <w:b/>
                <w:color w:val="000000"/>
                <w:sz w:val="18"/>
              </w:rPr>
            </w:pPr>
            <w:r>
              <w:rPr>
                <w:rFonts w:eastAsia="Calibri" w:cs="Calibri"/>
                <w:b/>
                <w:color w:val="000000"/>
                <w:sz w:val="18"/>
              </w:rPr>
              <w:t>2018-19 Budget Policy Decisions</w:t>
            </w:r>
          </w:p>
        </w:tc>
        <w:tc>
          <w:tcPr>
            <w:tcW w:w="992" w:type="dxa"/>
            <w:noWrap/>
          </w:tcPr>
          <w:p w:rsidR="00FC72EA" w:rsidRDefault="00FC72EA" w:rsidP="00FC72EA">
            <w:pPr>
              <w:spacing w:before="0" w:after="0"/>
              <w:rPr>
                <w:rFonts w:eastAsia="Calibri" w:cs="Calibri"/>
                <w:color w:val="FFFFFF"/>
                <w:sz w:val="18"/>
              </w:rPr>
            </w:pPr>
          </w:p>
        </w:tc>
        <w:tc>
          <w:tcPr>
            <w:tcW w:w="851"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3" w:type="dxa"/>
            <w:noWrap/>
          </w:tcPr>
          <w:p w:rsidR="00FC72EA" w:rsidRDefault="00FC72EA" w:rsidP="00FC72EA">
            <w:pPr>
              <w:spacing w:before="0" w:after="0"/>
              <w:rPr>
                <w:rFonts w:eastAsia="Calibri" w:cs="Calibri"/>
                <w:color w:val="FFFFFF"/>
                <w:sz w:val="18"/>
              </w:rPr>
            </w:pPr>
          </w:p>
        </w:tc>
      </w:tr>
      <w:tr w:rsidR="00FC72EA" w:rsidTr="0022624C">
        <w:trPr>
          <w:trHeight w:val="284"/>
        </w:trPr>
        <w:tc>
          <w:tcPr>
            <w:tcW w:w="4962" w:type="dxa"/>
          </w:tcPr>
          <w:p w:rsidR="00FC72EA" w:rsidRDefault="00FC72EA" w:rsidP="00FC72EA">
            <w:pPr>
              <w:spacing w:before="0" w:after="0"/>
              <w:rPr>
                <w:rFonts w:eastAsia="Calibri" w:cs="Calibri"/>
                <w:b/>
                <w:color w:val="000000"/>
                <w:sz w:val="18"/>
              </w:rPr>
            </w:pPr>
            <w:r>
              <w:rPr>
                <w:rFonts w:eastAsia="Calibri" w:cs="Calibri"/>
                <w:color w:val="000000"/>
                <w:sz w:val="18"/>
              </w:rPr>
              <w:t>Better Government</w:t>
            </w:r>
            <w:r w:rsidR="004C56A7">
              <w:rPr>
                <w:rFonts w:eastAsia="Calibri" w:cs="Calibri"/>
                <w:color w:val="000000"/>
                <w:sz w:val="18"/>
              </w:rPr>
              <w:t>:</w:t>
            </w:r>
          </w:p>
        </w:tc>
        <w:tc>
          <w:tcPr>
            <w:tcW w:w="992" w:type="dxa"/>
            <w:noWrap/>
          </w:tcPr>
          <w:p w:rsidR="00FC72EA" w:rsidRDefault="00FC72EA" w:rsidP="00FC72EA">
            <w:pPr>
              <w:spacing w:before="0" w:after="0"/>
              <w:rPr>
                <w:rFonts w:eastAsia="Calibri" w:cs="Calibri"/>
                <w:color w:val="FFFFFF"/>
                <w:sz w:val="18"/>
              </w:rPr>
            </w:pPr>
          </w:p>
        </w:tc>
        <w:tc>
          <w:tcPr>
            <w:tcW w:w="851"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2" w:type="dxa"/>
            <w:noWrap/>
          </w:tcPr>
          <w:p w:rsidR="00FC72EA" w:rsidRDefault="00FC72EA" w:rsidP="00FC72EA">
            <w:pPr>
              <w:spacing w:before="0" w:after="0"/>
              <w:rPr>
                <w:rFonts w:eastAsia="Calibri" w:cs="Calibri"/>
                <w:color w:val="FFFFFF"/>
                <w:sz w:val="18"/>
              </w:rPr>
            </w:pPr>
          </w:p>
        </w:tc>
        <w:tc>
          <w:tcPr>
            <w:tcW w:w="993" w:type="dxa"/>
            <w:noWrap/>
          </w:tcPr>
          <w:p w:rsidR="00FC72EA" w:rsidRDefault="00FC72EA" w:rsidP="00FC72EA">
            <w:pPr>
              <w:spacing w:before="0" w:after="0"/>
              <w:rPr>
                <w:rFonts w:eastAsia="Calibri" w:cs="Calibri"/>
                <w:color w:val="FFFFFF"/>
                <w:sz w:val="18"/>
              </w:rPr>
            </w:pPr>
          </w:p>
        </w:tc>
      </w:tr>
      <w:tr w:rsidR="00FC72EA" w:rsidTr="0022624C">
        <w:trPr>
          <w:trHeight w:val="284"/>
        </w:trPr>
        <w:tc>
          <w:tcPr>
            <w:tcW w:w="4962" w:type="dxa"/>
          </w:tcPr>
          <w:p w:rsidR="00FC72EA" w:rsidRPr="00CD0DE0" w:rsidRDefault="00FC72EA" w:rsidP="00FC72EA">
            <w:pPr>
              <w:pStyle w:val="ListParagraph"/>
              <w:numPr>
                <w:ilvl w:val="0"/>
                <w:numId w:val="55"/>
              </w:numPr>
              <w:spacing w:before="0"/>
              <w:rPr>
                <w:rFonts w:eastAsia="Calibri" w:cs="Calibri"/>
                <w:color w:val="000000"/>
                <w:sz w:val="18"/>
              </w:rPr>
            </w:pPr>
            <w:r w:rsidRPr="00CD0DE0">
              <w:rPr>
                <w:rFonts w:eastAsia="Calibri" w:cs="Calibri"/>
                <w:color w:val="000000"/>
                <w:sz w:val="18"/>
              </w:rPr>
              <w:t>Digitising Government records</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698</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1,080</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798</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-202</w:t>
            </w:r>
          </w:p>
        </w:tc>
      </w:tr>
      <w:tr w:rsidR="00FC72EA" w:rsidTr="0022624C">
        <w:trPr>
          <w:trHeight w:val="284"/>
        </w:trPr>
        <w:tc>
          <w:tcPr>
            <w:tcW w:w="4962" w:type="dxa"/>
          </w:tcPr>
          <w:p w:rsidR="00FC72EA" w:rsidRPr="00CD0DE0" w:rsidRDefault="00FC72EA" w:rsidP="00FC72EA">
            <w:pPr>
              <w:pStyle w:val="ListParagraph"/>
              <w:numPr>
                <w:ilvl w:val="0"/>
                <w:numId w:val="55"/>
              </w:numPr>
              <w:spacing w:before="0"/>
              <w:rPr>
                <w:rFonts w:eastAsia="Calibri" w:cs="Calibri"/>
                <w:color w:val="000000"/>
                <w:sz w:val="18"/>
              </w:rPr>
            </w:pPr>
            <w:r w:rsidRPr="00CD0DE0">
              <w:rPr>
                <w:rFonts w:eastAsia="Calibri" w:cs="Calibri"/>
                <w:color w:val="000000"/>
                <w:sz w:val="18"/>
              </w:rPr>
              <w:t>Stronger oversight of human services delivery</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751</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767</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519</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532</w:t>
            </w:r>
          </w:p>
        </w:tc>
      </w:tr>
      <w:tr w:rsidR="00FC72EA" w:rsidTr="00DE3A7C">
        <w:trPr>
          <w:trHeight w:val="238"/>
        </w:trPr>
        <w:tc>
          <w:tcPr>
            <w:tcW w:w="4962" w:type="dxa"/>
          </w:tcPr>
          <w:p w:rsidR="00FC72EA" w:rsidRPr="00CD0DE0" w:rsidRDefault="00FC72EA" w:rsidP="00FC72EA">
            <w:pPr>
              <w:pStyle w:val="ListParagraph"/>
              <w:spacing w:before="0"/>
              <w:ind w:left="720" w:firstLine="0"/>
              <w:rPr>
                <w:rFonts w:eastAsia="Calibri" w:cs="Calibri"/>
                <w:color w:val="000000"/>
                <w:sz w:val="18"/>
              </w:rPr>
            </w:pPr>
          </w:p>
        </w:tc>
        <w:tc>
          <w:tcPr>
            <w:tcW w:w="992" w:type="dxa"/>
            <w:noWrap/>
          </w:tcPr>
          <w:p w:rsidR="00FC72EA" w:rsidRDefault="00FC72EA" w:rsidP="00FC72EA">
            <w:pPr>
              <w:spacing w:before="0" w:after="0"/>
              <w:jc w:val="right"/>
              <w:rPr>
                <w:rFonts w:eastAsia="Calibri" w:cs="Calibri"/>
                <w:color w:val="000000"/>
                <w:sz w:val="18"/>
              </w:rPr>
            </w:pPr>
          </w:p>
        </w:tc>
        <w:tc>
          <w:tcPr>
            <w:tcW w:w="851" w:type="dxa"/>
            <w:noWrap/>
          </w:tcPr>
          <w:p w:rsidR="00FC72EA" w:rsidRDefault="00FC72EA" w:rsidP="00FC72EA">
            <w:pPr>
              <w:spacing w:before="0" w:after="0"/>
              <w:jc w:val="right"/>
              <w:rPr>
                <w:rFonts w:eastAsia="Calibri" w:cs="Calibri"/>
                <w:color w:val="000000"/>
                <w:sz w:val="18"/>
              </w:rPr>
            </w:pPr>
          </w:p>
        </w:tc>
        <w:tc>
          <w:tcPr>
            <w:tcW w:w="992" w:type="dxa"/>
            <w:noWrap/>
          </w:tcPr>
          <w:p w:rsidR="00FC72EA" w:rsidRDefault="00FC72EA" w:rsidP="00FC72EA">
            <w:pPr>
              <w:spacing w:before="0" w:after="0"/>
              <w:jc w:val="right"/>
              <w:rPr>
                <w:rFonts w:eastAsia="Calibri" w:cs="Calibri"/>
                <w:color w:val="000000"/>
                <w:sz w:val="18"/>
              </w:rPr>
            </w:pPr>
          </w:p>
        </w:tc>
        <w:tc>
          <w:tcPr>
            <w:tcW w:w="992" w:type="dxa"/>
            <w:noWrap/>
          </w:tcPr>
          <w:p w:rsidR="00FC72EA" w:rsidRDefault="00FC72EA" w:rsidP="00FC72EA">
            <w:pPr>
              <w:spacing w:before="0" w:after="0"/>
              <w:jc w:val="right"/>
              <w:rPr>
                <w:rFonts w:eastAsia="Calibri" w:cs="Calibri"/>
                <w:color w:val="000000"/>
                <w:sz w:val="18"/>
              </w:rPr>
            </w:pPr>
          </w:p>
        </w:tc>
        <w:tc>
          <w:tcPr>
            <w:tcW w:w="993" w:type="dxa"/>
            <w:noWrap/>
          </w:tcPr>
          <w:p w:rsidR="00FC72EA" w:rsidRDefault="00FC72EA" w:rsidP="00FC72EA">
            <w:pPr>
              <w:spacing w:before="0" w:after="0"/>
              <w:jc w:val="right"/>
              <w:rPr>
                <w:rFonts w:eastAsia="Calibri" w:cs="Calibri"/>
                <w:color w:val="000000"/>
                <w:sz w:val="18"/>
              </w:rPr>
            </w:pPr>
          </w:p>
        </w:tc>
      </w:tr>
      <w:tr w:rsidR="007D5696" w:rsidTr="00DE3A7C">
        <w:trPr>
          <w:trHeight w:val="238"/>
        </w:trPr>
        <w:tc>
          <w:tcPr>
            <w:tcW w:w="4962" w:type="dxa"/>
          </w:tcPr>
          <w:p w:rsidR="007D5696" w:rsidRPr="007D5696" w:rsidRDefault="007D5696" w:rsidP="007D5696">
            <w:pPr>
              <w:pStyle w:val="ListParagraph"/>
              <w:spacing w:before="0"/>
              <w:ind w:left="0" w:firstLine="0"/>
              <w:rPr>
                <w:rFonts w:eastAsia="Calibri" w:cs="Calibri"/>
                <w:color w:val="000000"/>
                <w:sz w:val="18"/>
                <w:szCs w:val="18"/>
              </w:rPr>
            </w:pPr>
            <w:r>
              <w:rPr>
                <w:rFonts w:eastAsia="Calibri" w:cs="Calibri"/>
                <w:color w:val="000000"/>
                <w:sz w:val="18"/>
                <w:szCs w:val="18"/>
              </w:rPr>
              <w:t>More support for families and inclusion</w:t>
            </w:r>
            <w:r w:rsidR="004C56A7">
              <w:rPr>
                <w:rFonts w:eastAsia="Calibri" w:cs="Calibri"/>
                <w:color w:val="000000"/>
                <w:sz w:val="18"/>
                <w:szCs w:val="18"/>
              </w:rPr>
              <w:t>:</w:t>
            </w:r>
          </w:p>
        </w:tc>
        <w:tc>
          <w:tcPr>
            <w:tcW w:w="992" w:type="dxa"/>
            <w:noWrap/>
          </w:tcPr>
          <w:p w:rsidR="007D5696" w:rsidRDefault="007D5696" w:rsidP="00FC72EA">
            <w:pPr>
              <w:spacing w:before="0" w:after="0"/>
              <w:jc w:val="right"/>
              <w:rPr>
                <w:rFonts w:eastAsia="Calibri" w:cs="Calibri"/>
                <w:color w:val="000000"/>
                <w:sz w:val="18"/>
              </w:rPr>
            </w:pPr>
          </w:p>
        </w:tc>
        <w:tc>
          <w:tcPr>
            <w:tcW w:w="851" w:type="dxa"/>
            <w:noWrap/>
          </w:tcPr>
          <w:p w:rsidR="007D5696" w:rsidRDefault="007D5696" w:rsidP="00FC72EA">
            <w:pPr>
              <w:spacing w:before="0" w:after="0"/>
              <w:jc w:val="right"/>
              <w:rPr>
                <w:rFonts w:eastAsia="Calibri" w:cs="Calibri"/>
                <w:color w:val="000000"/>
                <w:sz w:val="18"/>
              </w:rPr>
            </w:pPr>
          </w:p>
        </w:tc>
        <w:tc>
          <w:tcPr>
            <w:tcW w:w="992" w:type="dxa"/>
            <w:noWrap/>
          </w:tcPr>
          <w:p w:rsidR="007D5696" w:rsidRDefault="007D5696" w:rsidP="00FC72EA">
            <w:pPr>
              <w:spacing w:before="0" w:after="0"/>
              <w:jc w:val="right"/>
              <w:rPr>
                <w:rFonts w:eastAsia="Calibri" w:cs="Calibri"/>
                <w:color w:val="000000"/>
                <w:sz w:val="18"/>
              </w:rPr>
            </w:pPr>
          </w:p>
        </w:tc>
        <w:tc>
          <w:tcPr>
            <w:tcW w:w="992" w:type="dxa"/>
            <w:noWrap/>
          </w:tcPr>
          <w:p w:rsidR="007D5696" w:rsidRDefault="007D5696" w:rsidP="00FC72EA">
            <w:pPr>
              <w:spacing w:before="0" w:after="0"/>
              <w:jc w:val="right"/>
              <w:rPr>
                <w:rFonts w:eastAsia="Calibri" w:cs="Calibri"/>
                <w:color w:val="000000"/>
                <w:sz w:val="18"/>
              </w:rPr>
            </w:pPr>
          </w:p>
        </w:tc>
        <w:tc>
          <w:tcPr>
            <w:tcW w:w="993" w:type="dxa"/>
            <w:noWrap/>
          </w:tcPr>
          <w:p w:rsidR="007D5696" w:rsidRDefault="007D5696" w:rsidP="00FC72EA">
            <w:pPr>
              <w:spacing w:before="0" w:after="0"/>
              <w:jc w:val="right"/>
              <w:rPr>
                <w:rFonts w:eastAsia="Calibri" w:cs="Calibri"/>
                <w:color w:val="000000"/>
                <w:sz w:val="18"/>
              </w:rPr>
            </w:pPr>
          </w:p>
        </w:tc>
      </w:tr>
      <w:tr w:rsidR="00FC72EA" w:rsidTr="0022624C">
        <w:trPr>
          <w:trHeight w:val="284"/>
        </w:trPr>
        <w:tc>
          <w:tcPr>
            <w:tcW w:w="4962" w:type="dxa"/>
          </w:tcPr>
          <w:p w:rsidR="00FC72EA" w:rsidRPr="007D5696" w:rsidRDefault="00FC72EA" w:rsidP="002E184F">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 xml:space="preserve">Adoptions and </w:t>
            </w:r>
            <w:r w:rsidR="002E184F" w:rsidRPr="007D5696">
              <w:rPr>
                <w:rFonts w:eastAsia="Calibri" w:cs="Calibri"/>
                <w:color w:val="000000"/>
                <w:sz w:val="18"/>
                <w:szCs w:val="18"/>
              </w:rPr>
              <w:t>p</w:t>
            </w:r>
            <w:r w:rsidRPr="007D5696">
              <w:rPr>
                <w:rFonts w:eastAsia="Calibri" w:cs="Calibri"/>
                <w:color w:val="000000"/>
                <w:sz w:val="18"/>
                <w:szCs w:val="18"/>
              </w:rPr>
              <w:t>ermanency</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851"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376</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635</w:t>
            </w:r>
          </w:p>
        </w:tc>
        <w:tc>
          <w:tcPr>
            <w:tcW w:w="992"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651</w:t>
            </w:r>
          </w:p>
        </w:tc>
        <w:tc>
          <w:tcPr>
            <w:tcW w:w="993" w:type="dxa"/>
            <w:noWrap/>
          </w:tcPr>
          <w:p w:rsidR="00FC72EA" w:rsidRDefault="00FC72EA" w:rsidP="00FC72EA">
            <w:pPr>
              <w:spacing w:before="0" w:after="0"/>
              <w:jc w:val="right"/>
              <w:rPr>
                <w:rFonts w:eastAsia="Calibri" w:cs="Calibri"/>
                <w:color w:val="000000"/>
                <w:sz w:val="18"/>
              </w:rPr>
            </w:pPr>
            <w:r>
              <w:rPr>
                <w:rFonts w:eastAsia="Calibri" w:cs="Calibri"/>
                <w:color w:val="000000"/>
                <w:sz w:val="18"/>
              </w:rPr>
              <w:t>667</w:t>
            </w:r>
          </w:p>
        </w:tc>
      </w:tr>
      <w:tr w:rsidR="00FC72EA" w:rsidTr="0022624C">
        <w:trPr>
          <w:trHeight w:val="284"/>
        </w:trPr>
        <w:tc>
          <w:tcPr>
            <w:tcW w:w="4962" w:type="dxa"/>
          </w:tcPr>
          <w:p w:rsidR="00FC72EA" w:rsidRPr="007D5696" w:rsidRDefault="00FC72EA" w:rsidP="00FC72EA">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Building connections for early intervention and prevention</w:t>
            </w:r>
          </w:p>
        </w:tc>
        <w:tc>
          <w:tcPr>
            <w:tcW w:w="992" w:type="dxa"/>
            <w:noWrap/>
            <w:vAlign w:val="center"/>
          </w:tcPr>
          <w:p w:rsidR="00FC72EA" w:rsidRDefault="00FC72EA" w:rsidP="00FC72EA">
            <w:pPr>
              <w:spacing w:before="0" w:after="0"/>
              <w:jc w:val="right"/>
              <w:rPr>
                <w:rFonts w:eastAsia="Calibri" w:cs="Calibri"/>
                <w:color w:val="000000"/>
                <w:sz w:val="18"/>
              </w:rPr>
            </w:pPr>
            <w:r>
              <w:rPr>
                <w:rFonts w:eastAsia="Calibri" w:cs="Calibri"/>
                <w:color w:val="000000"/>
                <w:sz w:val="18"/>
              </w:rPr>
              <w:t>0</w:t>
            </w:r>
          </w:p>
        </w:tc>
        <w:tc>
          <w:tcPr>
            <w:tcW w:w="851" w:type="dxa"/>
            <w:noWrap/>
            <w:vAlign w:val="center"/>
          </w:tcPr>
          <w:p w:rsidR="00FC72EA" w:rsidRDefault="00FC72EA" w:rsidP="00FC72EA">
            <w:pPr>
              <w:spacing w:before="0" w:after="0"/>
              <w:jc w:val="right"/>
              <w:rPr>
                <w:rFonts w:eastAsia="Calibri" w:cs="Calibri"/>
                <w:color w:val="000000"/>
                <w:sz w:val="18"/>
              </w:rPr>
            </w:pPr>
            <w:r>
              <w:rPr>
                <w:rFonts w:eastAsia="Calibri" w:cs="Calibri"/>
                <w:color w:val="000000"/>
                <w:sz w:val="18"/>
              </w:rPr>
              <w:t>183</w:t>
            </w:r>
          </w:p>
        </w:tc>
        <w:tc>
          <w:tcPr>
            <w:tcW w:w="992" w:type="dxa"/>
            <w:noWrap/>
            <w:vAlign w:val="center"/>
          </w:tcPr>
          <w:p w:rsidR="00FC72EA" w:rsidRDefault="00FC72EA" w:rsidP="00FC72EA">
            <w:pPr>
              <w:spacing w:before="0" w:after="0"/>
              <w:jc w:val="right"/>
              <w:rPr>
                <w:rFonts w:eastAsia="Calibri" w:cs="Calibri"/>
                <w:color w:val="000000"/>
                <w:sz w:val="18"/>
              </w:rPr>
            </w:pPr>
            <w:r>
              <w:rPr>
                <w:rFonts w:eastAsia="Calibri" w:cs="Calibri"/>
                <w:color w:val="000000"/>
                <w:sz w:val="18"/>
              </w:rPr>
              <w:t>204</w:t>
            </w:r>
          </w:p>
        </w:tc>
        <w:tc>
          <w:tcPr>
            <w:tcW w:w="992" w:type="dxa"/>
            <w:noWrap/>
            <w:vAlign w:val="center"/>
          </w:tcPr>
          <w:p w:rsidR="00FC72EA" w:rsidRDefault="00FC72EA" w:rsidP="00FC72EA">
            <w:pPr>
              <w:spacing w:before="0" w:after="0"/>
              <w:jc w:val="right"/>
              <w:rPr>
                <w:rFonts w:eastAsia="Calibri" w:cs="Calibri"/>
                <w:color w:val="000000"/>
                <w:sz w:val="18"/>
              </w:rPr>
            </w:pPr>
            <w:r>
              <w:rPr>
                <w:rFonts w:eastAsia="Calibri" w:cs="Calibri"/>
                <w:color w:val="000000"/>
                <w:sz w:val="18"/>
              </w:rPr>
              <w:t>204</w:t>
            </w:r>
          </w:p>
        </w:tc>
        <w:tc>
          <w:tcPr>
            <w:tcW w:w="993" w:type="dxa"/>
            <w:noWrap/>
            <w:vAlign w:val="center"/>
          </w:tcPr>
          <w:p w:rsidR="00FC72EA" w:rsidRDefault="00FC72EA" w:rsidP="00FC72EA">
            <w:pPr>
              <w:spacing w:before="0" w:after="0"/>
              <w:jc w:val="right"/>
              <w:rPr>
                <w:rFonts w:eastAsia="Calibri" w:cs="Calibri"/>
                <w:color w:val="000000"/>
                <w:sz w:val="18"/>
              </w:rPr>
            </w:pPr>
            <w:r>
              <w:rPr>
                <w:rFonts w:eastAsia="Calibri" w:cs="Calibri"/>
                <w:color w:val="000000"/>
                <w:sz w:val="18"/>
              </w:rPr>
              <w:t>204</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Child and Youth Protection Quality Assurance and Improvement Committee</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171</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174</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Delivering the ACT Women’s Plan 2016-26</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97</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197</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200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202</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Delivering the Family Safety Innovation Hub</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-859</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60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-46</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845</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Disability Justice Strategy</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152</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Family Group Conferencing</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348</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356</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365</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374</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Growing the Disability Inclusion Grants program</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50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50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50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50</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Growing the Reconciliation Day Public Holiday</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200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200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200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200</w:t>
            </w:r>
          </w:p>
        </w:tc>
      </w:tr>
      <w:tr w:rsidR="00EB52D4" w:rsidTr="00DE3A7C">
        <w:trPr>
          <w:trHeight w:val="45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proofErr w:type="spellStart"/>
            <w:r w:rsidRPr="007D5696">
              <w:rPr>
                <w:rFonts w:eastAsia="Calibri" w:cs="Calibri"/>
                <w:color w:val="000000"/>
                <w:sz w:val="18"/>
                <w:szCs w:val="18"/>
              </w:rPr>
              <w:t>Gugan</w:t>
            </w:r>
            <w:proofErr w:type="spellEnd"/>
            <w:r w:rsidRPr="007D5696">
              <w:rPr>
                <w:rFonts w:eastAsia="Calibri" w:cs="Calibri"/>
                <w:color w:val="000000"/>
                <w:sz w:val="18"/>
                <w:szCs w:val="18"/>
              </w:rPr>
              <w:t xml:space="preserve"> </w:t>
            </w:r>
            <w:proofErr w:type="spellStart"/>
            <w:r w:rsidRPr="007D5696">
              <w:rPr>
                <w:rFonts w:eastAsia="Calibri" w:cs="Calibri"/>
                <w:color w:val="000000"/>
                <w:sz w:val="18"/>
                <w:szCs w:val="18"/>
              </w:rPr>
              <w:t>Gulwan</w:t>
            </w:r>
            <w:proofErr w:type="spellEnd"/>
            <w:r w:rsidRPr="007D5696">
              <w:rPr>
                <w:rFonts w:eastAsia="Calibri" w:cs="Calibri"/>
                <w:color w:val="000000"/>
                <w:sz w:val="18"/>
                <w:szCs w:val="18"/>
              </w:rPr>
              <w:t xml:space="preserve"> Youth Aboriginal Corporation accommodation</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150</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DE3A7C">
        <w:trPr>
          <w:trHeight w:val="45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Implementing the Commonwealth Redress Scheme for Institutional Child and Sexual Abuse</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582</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491</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More frontline domestic violence and rape crisis services</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vAlign w:val="center"/>
          </w:tcPr>
          <w:p w:rsidR="00EB52D4" w:rsidRPr="006E09C8" w:rsidRDefault="00EB52D4" w:rsidP="00EB52D4">
            <w:pPr>
              <w:spacing w:before="0" w:after="0"/>
              <w:jc w:val="right"/>
              <w:rPr>
                <w:rFonts w:eastAsia="Calibri" w:cs="Calibri"/>
                <w:color w:val="000000"/>
                <w:sz w:val="18"/>
              </w:rPr>
            </w:pPr>
            <w:r w:rsidRPr="006E09C8">
              <w:rPr>
                <w:rFonts w:eastAsia="Calibri" w:cs="Calibri"/>
                <w:color w:val="000000"/>
                <w:sz w:val="18"/>
              </w:rPr>
              <w:t>420</w:t>
            </w:r>
          </w:p>
        </w:tc>
        <w:tc>
          <w:tcPr>
            <w:tcW w:w="992" w:type="dxa"/>
            <w:noWrap/>
            <w:vAlign w:val="center"/>
          </w:tcPr>
          <w:p w:rsidR="00EB52D4" w:rsidRPr="006E09C8" w:rsidRDefault="00EB52D4" w:rsidP="00EB52D4">
            <w:pPr>
              <w:spacing w:before="0" w:after="0"/>
              <w:jc w:val="right"/>
              <w:rPr>
                <w:rFonts w:eastAsia="Calibri" w:cs="Calibri"/>
                <w:color w:val="000000"/>
                <w:sz w:val="18"/>
              </w:rPr>
            </w:pPr>
            <w:r w:rsidRPr="006E09C8">
              <w:rPr>
                <w:rFonts w:eastAsia="Calibri" w:cs="Calibri"/>
                <w:color w:val="000000"/>
                <w:sz w:val="18"/>
              </w:rPr>
              <w:t>420</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EB52D4">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NDIS Transition Integrated Service Response</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1,598</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200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Review of Aboriginal and Torres Strait Islander children and young people involved with Child and Youth Protection</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1,371</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672</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Strengthening the National Multicultural Festival</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250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100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100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100</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sidRPr="007D5696">
              <w:rPr>
                <w:rFonts w:eastAsia="Calibri" w:cs="Calibri"/>
                <w:color w:val="000000"/>
                <w:sz w:val="18"/>
                <w:szCs w:val="18"/>
              </w:rPr>
              <w:t>Supporting SHOUT</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107</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113</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121</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128</w:t>
            </w:r>
          </w:p>
        </w:tc>
      </w:tr>
      <w:tr w:rsidR="00EB52D4" w:rsidTr="0022624C">
        <w:trPr>
          <w:trHeight w:val="284"/>
        </w:trPr>
        <w:tc>
          <w:tcPr>
            <w:tcW w:w="4962" w:type="dxa"/>
          </w:tcPr>
          <w:p w:rsidR="00EB52D4" w:rsidRPr="007D5696" w:rsidRDefault="00EB52D4" w:rsidP="00EB52D4">
            <w:pPr>
              <w:pStyle w:val="ListParagraph"/>
              <w:numPr>
                <w:ilvl w:val="0"/>
                <w:numId w:val="56"/>
              </w:numPr>
              <w:spacing w:before="0"/>
              <w:rPr>
                <w:rFonts w:eastAsia="Calibri" w:cs="Calibri"/>
                <w:color w:val="000000"/>
                <w:sz w:val="18"/>
                <w:szCs w:val="18"/>
              </w:rPr>
            </w:pPr>
            <w:r>
              <w:rPr>
                <w:rFonts w:eastAsia="Calibri" w:cs="Calibri"/>
                <w:color w:val="000000"/>
                <w:sz w:val="18"/>
                <w:szCs w:val="18"/>
              </w:rPr>
              <w:t>Supporting veterans and s</w:t>
            </w:r>
            <w:r w:rsidRPr="007D5696">
              <w:rPr>
                <w:rFonts w:eastAsia="Calibri" w:cs="Calibri"/>
                <w:color w:val="000000"/>
                <w:sz w:val="18"/>
                <w:szCs w:val="18"/>
              </w:rPr>
              <w:t>eniors</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176</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424</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433</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441</w:t>
            </w:r>
          </w:p>
        </w:tc>
      </w:tr>
      <w:tr w:rsidR="00EB52D4" w:rsidTr="00DE3A7C">
        <w:trPr>
          <w:trHeight w:val="240"/>
        </w:trPr>
        <w:tc>
          <w:tcPr>
            <w:tcW w:w="4962" w:type="dxa"/>
          </w:tcPr>
          <w:p w:rsidR="00EB52D4" w:rsidRDefault="00EB52D4" w:rsidP="00EB52D4">
            <w:pPr>
              <w:spacing w:before="0" w:after="0"/>
              <w:rPr>
                <w:rFonts w:eastAsia="Calibri" w:cs="Calibri"/>
                <w:color w:val="000000"/>
                <w:sz w:val="18"/>
              </w:rPr>
            </w:pPr>
          </w:p>
        </w:tc>
        <w:tc>
          <w:tcPr>
            <w:tcW w:w="992" w:type="dxa"/>
            <w:noWrap/>
          </w:tcPr>
          <w:p w:rsidR="00EB52D4" w:rsidRDefault="00EB52D4" w:rsidP="00EB52D4">
            <w:pPr>
              <w:spacing w:before="0" w:after="0"/>
              <w:rPr>
                <w:rFonts w:eastAsia="Calibri" w:cs="Calibri"/>
                <w:color w:val="000000"/>
                <w:sz w:val="18"/>
              </w:rPr>
            </w:pPr>
          </w:p>
        </w:tc>
        <w:tc>
          <w:tcPr>
            <w:tcW w:w="851" w:type="dxa"/>
            <w:noWrap/>
          </w:tcPr>
          <w:p w:rsidR="00EB52D4" w:rsidRDefault="00EB52D4" w:rsidP="00EB52D4">
            <w:pPr>
              <w:spacing w:before="0" w:after="0"/>
              <w:rPr>
                <w:rFonts w:eastAsia="Calibri" w:cs="Calibri"/>
                <w:color w:val="000000"/>
                <w:sz w:val="18"/>
              </w:rPr>
            </w:pPr>
          </w:p>
        </w:tc>
        <w:tc>
          <w:tcPr>
            <w:tcW w:w="992" w:type="dxa"/>
            <w:noWrap/>
          </w:tcPr>
          <w:p w:rsidR="00EB52D4" w:rsidRDefault="00EB52D4" w:rsidP="00EB52D4">
            <w:pPr>
              <w:spacing w:before="0" w:after="0"/>
              <w:rPr>
                <w:rFonts w:eastAsia="Calibri" w:cs="Calibri"/>
                <w:color w:val="000000"/>
                <w:sz w:val="18"/>
              </w:rPr>
            </w:pPr>
          </w:p>
        </w:tc>
        <w:tc>
          <w:tcPr>
            <w:tcW w:w="992" w:type="dxa"/>
            <w:noWrap/>
          </w:tcPr>
          <w:p w:rsidR="00EB52D4" w:rsidRDefault="00EB52D4" w:rsidP="00EB52D4">
            <w:pPr>
              <w:spacing w:before="0" w:after="0"/>
              <w:rPr>
                <w:rFonts w:eastAsia="Calibri" w:cs="Calibri"/>
                <w:color w:val="000000"/>
                <w:sz w:val="18"/>
              </w:rPr>
            </w:pPr>
          </w:p>
        </w:tc>
        <w:tc>
          <w:tcPr>
            <w:tcW w:w="993" w:type="dxa"/>
            <w:noWrap/>
          </w:tcPr>
          <w:p w:rsidR="00EB52D4" w:rsidRDefault="00EB52D4" w:rsidP="00EB52D4">
            <w:pPr>
              <w:spacing w:before="0" w:after="0"/>
              <w:rPr>
                <w:rFonts w:eastAsia="Calibri" w:cs="Calibri"/>
                <w:color w:val="000000"/>
                <w:sz w:val="18"/>
              </w:rPr>
            </w:pPr>
          </w:p>
        </w:tc>
      </w:tr>
      <w:tr w:rsidR="00EB52D4" w:rsidTr="00DE3A7C">
        <w:trPr>
          <w:trHeight w:val="240"/>
        </w:trPr>
        <w:tc>
          <w:tcPr>
            <w:tcW w:w="4962" w:type="dxa"/>
          </w:tcPr>
          <w:p w:rsidR="00EB52D4" w:rsidRDefault="00EB52D4" w:rsidP="00EB52D4">
            <w:pPr>
              <w:spacing w:before="0" w:after="0"/>
              <w:rPr>
                <w:rFonts w:eastAsia="Calibri" w:cs="Calibri"/>
                <w:b/>
                <w:color w:val="000000"/>
                <w:sz w:val="18"/>
              </w:rPr>
            </w:pPr>
            <w:r>
              <w:rPr>
                <w:rFonts w:eastAsia="Calibri" w:cs="Calibri"/>
                <w:b/>
                <w:color w:val="000000"/>
                <w:sz w:val="18"/>
              </w:rPr>
              <w:t>2018-19 Budget Technical Adjustments</w:t>
            </w:r>
          </w:p>
        </w:tc>
        <w:tc>
          <w:tcPr>
            <w:tcW w:w="992" w:type="dxa"/>
            <w:noWrap/>
          </w:tcPr>
          <w:p w:rsidR="00EB52D4" w:rsidRDefault="00EB52D4" w:rsidP="00EB52D4">
            <w:pPr>
              <w:spacing w:before="0" w:after="0"/>
              <w:rPr>
                <w:rFonts w:eastAsia="Calibri" w:cs="Calibri"/>
                <w:color w:val="FFFFFF"/>
                <w:sz w:val="18"/>
              </w:rPr>
            </w:pPr>
          </w:p>
        </w:tc>
        <w:tc>
          <w:tcPr>
            <w:tcW w:w="851" w:type="dxa"/>
            <w:noWrap/>
          </w:tcPr>
          <w:p w:rsidR="00EB52D4" w:rsidRDefault="00EB52D4" w:rsidP="00EB52D4">
            <w:pPr>
              <w:spacing w:before="0" w:after="0"/>
              <w:rPr>
                <w:rFonts w:eastAsia="Calibri" w:cs="Calibri"/>
                <w:color w:val="FFFFFF"/>
                <w:sz w:val="18"/>
              </w:rPr>
            </w:pPr>
          </w:p>
        </w:tc>
        <w:tc>
          <w:tcPr>
            <w:tcW w:w="992" w:type="dxa"/>
            <w:noWrap/>
          </w:tcPr>
          <w:p w:rsidR="00EB52D4" w:rsidRDefault="00EB52D4" w:rsidP="00EB52D4">
            <w:pPr>
              <w:spacing w:before="0" w:after="0"/>
              <w:rPr>
                <w:rFonts w:eastAsia="Calibri" w:cs="Calibri"/>
                <w:color w:val="FFFFFF"/>
                <w:sz w:val="18"/>
              </w:rPr>
            </w:pPr>
          </w:p>
        </w:tc>
        <w:tc>
          <w:tcPr>
            <w:tcW w:w="992" w:type="dxa"/>
            <w:noWrap/>
          </w:tcPr>
          <w:p w:rsidR="00EB52D4" w:rsidRDefault="00EB52D4" w:rsidP="00EB52D4">
            <w:pPr>
              <w:spacing w:before="0" w:after="0"/>
              <w:rPr>
                <w:rFonts w:eastAsia="Calibri" w:cs="Calibri"/>
                <w:color w:val="FFFFFF"/>
                <w:sz w:val="18"/>
              </w:rPr>
            </w:pPr>
          </w:p>
        </w:tc>
        <w:tc>
          <w:tcPr>
            <w:tcW w:w="993" w:type="dxa"/>
            <w:noWrap/>
          </w:tcPr>
          <w:p w:rsidR="00EB52D4" w:rsidRDefault="00EB52D4" w:rsidP="00EB52D4">
            <w:pPr>
              <w:spacing w:before="0" w:after="0"/>
              <w:rPr>
                <w:rFonts w:eastAsia="Calibri" w:cs="Calibri"/>
                <w:color w:val="FFFFFF"/>
                <w:sz w:val="18"/>
              </w:rPr>
            </w:pPr>
          </w:p>
        </w:tc>
      </w:tr>
      <w:tr w:rsidR="00EB52D4" w:rsidTr="00DE3A7C">
        <w:trPr>
          <w:trHeight w:val="201"/>
        </w:trPr>
        <w:tc>
          <w:tcPr>
            <w:tcW w:w="4962" w:type="dxa"/>
          </w:tcPr>
          <w:p w:rsidR="00EB52D4" w:rsidRDefault="00EB52D4" w:rsidP="00EB52D4">
            <w:pPr>
              <w:spacing w:before="0" w:after="0"/>
              <w:rPr>
                <w:rFonts w:eastAsia="Calibri" w:cs="Calibri"/>
                <w:color w:val="000000"/>
                <w:sz w:val="18"/>
              </w:rPr>
            </w:pPr>
            <w:r>
              <w:rPr>
                <w:rFonts w:eastAsia="Calibri" w:cs="Calibri"/>
                <w:color w:val="000000"/>
                <w:sz w:val="18"/>
              </w:rPr>
              <w:t>Revised Indexation Parameters</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6,538</w:t>
            </w:r>
          </w:p>
        </w:tc>
      </w:tr>
      <w:tr w:rsidR="00EB52D4" w:rsidTr="00DE3A7C">
        <w:trPr>
          <w:trHeight w:val="261"/>
        </w:trPr>
        <w:tc>
          <w:tcPr>
            <w:tcW w:w="4962" w:type="dxa"/>
          </w:tcPr>
          <w:p w:rsidR="00EB52D4" w:rsidRDefault="00EB52D4" w:rsidP="00EB52D4">
            <w:pPr>
              <w:spacing w:before="0" w:after="0"/>
              <w:rPr>
                <w:rFonts w:eastAsia="Calibri" w:cs="Calibri"/>
                <w:color w:val="000000"/>
                <w:sz w:val="18"/>
              </w:rPr>
            </w:pPr>
            <w:r>
              <w:rPr>
                <w:rFonts w:eastAsia="Calibri" w:cs="Calibri"/>
                <w:color w:val="000000"/>
                <w:sz w:val="18"/>
              </w:rPr>
              <w:t>Revised Superannuation Parameters</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-746</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-4</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628</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1,036</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1,256</w:t>
            </w:r>
          </w:p>
        </w:tc>
      </w:tr>
      <w:tr w:rsidR="00EB52D4" w:rsidTr="00DE3A7C">
        <w:trPr>
          <w:trHeight w:val="151"/>
        </w:trPr>
        <w:tc>
          <w:tcPr>
            <w:tcW w:w="4962" w:type="dxa"/>
          </w:tcPr>
          <w:p w:rsidR="00EB52D4" w:rsidRDefault="00EB52D4" w:rsidP="00EB52D4">
            <w:pPr>
              <w:spacing w:before="0" w:after="0"/>
              <w:rPr>
                <w:rFonts w:eastAsia="Calibri" w:cs="Calibri"/>
                <w:color w:val="000000"/>
                <w:sz w:val="18"/>
              </w:rPr>
            </w:pPr>
            <w:r>
              <w:rPr>
                <w:rFonts w:eastAsia="Calibri" w:cs="Calibri"/>
                <w:color w:val="000000"/>
                <w:sz w:val="18"/>
              </w:rPr>
              <w:t>Revised Wage Parameters</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995</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2,124</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3,443</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4,503</w:t>
            </w:r>
          </w:p>
        </w:tc>
      </w:tr>
      <w:tr w:rsidR="00EB52D4" w:rsidTr="00DE3A7C">
        <w:trPr>
          <w:trHeight w:val="74"/>
        </w:trPr>
        <w:tc>
          <w:tcPr>
            <w:tcW w:w="4962" w:type="dxa"/>
          </w:tcPr>
          <w:p w:rsidR="00EB52D4" w:rsidRDefault="00EB52D4" w:rsidP="00EB52D4">
            <w:pPr>
              <w:spacing w:before="0" w:after="0"/>
              <w:rPr>
                <w:rFonts w:eastAsia="Calibri" w:cs="Calibri"/>
                <w:color w:val="000000"/>
                <w:sz w:val="18"/>
              </w:rPr>
            </w:pPr>
            <w:r w:rsidRPr="005718C9">
              <w:rPr>
                <w:rFonts w:eastAsia="Calibri" w:cs="Calibri"/>
                <w:color w:val="000000"/>
                <w:sz w:val="18"/>
              </w:rPr>
              <w:t>Pay equity for the social and community services sector - ACT Government contribution</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90</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232</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271</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307</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-1,638</w:t>
            </w:r>
          </w:p>
        </w:tc>
      </w:tr>
      <w:tr w:rsidR="00EB52D4" w:rsidTr="007D5696">
        <w:trPr>
          <w:trHeight w:val="238"/>
        </w:trPr>
        <w:tc>
          <w:tcPr>
            <w:tcW w:w="4962" w:type="dxa"/>
            <w:tcBorders>
              <w:bottom w:val="single" w:sz="4" w:space="0" w:color="auto"/>
            </w:tcBorders>
          </w:tcPr>
          <w:p w:rsidR="00EB52D4" w:rsidRDefault="00EB52D4" w:rsidP="00EB52D4">
            <w:pPr>
              <w:spacing w:before="0" w:after="0"/>
              <w:rPr>
                <w:rFonts w:eastAsia="Calibri" w:cs="Calibri"/>
                <w:color w:val="000000"/>
                <w:sz w:val="18"/>
              </w:rPr>
            </w:pPr>
          </w:p>
        </w:tc>
        <w:tc>
          <w:tcPr>
            <w:tcW w:w="992" w:type="dxa"/>
            <w:tcBorders>
              <w:bottom w:val="single" w:sz="4" w:space="0" w:color="auto"/>
            </w:tcBorders>
            <w:noWrap/>
          </w:tcPr>
          <w:p w:rsidR="00EB52D4" w:rsidRDefault="00EB52D4" w:rsidP="00EB52D4">
            <w:pPr>
              <w:spacing w:before="0" w:after="0"/>
              <w:jc w:val="right"/>
              <w:rPr>
                <w:rFonts w:eastAsia="Calibri" w:cs="Calibri"/>
                <w:color w:val="000000"/>
                <w:sz w:val="18"/>
              </w:rPr>
            </w:pPr>
          </w:p>
        </w:tc>
        <w:tc>
          <w:tcPr>
            <w:tcW w:w="851" w:type="dxa"/>
            <w:tcBorders>
              <w:bottom w:val="single" w:sz="4" w:space="0" w:color="auto"/>
            </w:tcBorders>
            <w:noWrap/>
          </w:tcPr>
          <w:p w:rsidR="00EB52D4" w:rsidRDefault="00EB52D4" w:rsidP="00EB52D4">
            <w:pPr>
              <w:spacing w:before="0" w:after="0"/>
              <w:jc w:val="right"/>
              <w:rPr>
                <w:rFonts w:eastAsia="Calibri" w:cs="Calibri"/>
                <w:color w:val="000000"/>
                <w:sz w:val="18"/>
              </w:rPr>
            </w:pPr>
          </w:p>
        </w:tc>
        <w:tc>
          <w:tcPr>
            <w:tcW w:w="992" w:type="dxa"/>
            <w:tcBorders>
              <w:bottom w:val="single" w:sz="4" w:space="0" w:color="auto"/>
            </w:tcBorders>
            <w:noWrap/>
          </w:tcPr>
          <w:p w:rsidR="00EB52D4" w:rsidRDefault="00EB52D4" w:rsidP="00EB52D4">
            <w:pPr>
              <w:spacing w:before="0" w:after="0"/>
              <w:jc w:val="right"/>
              <w:rPr>
                <w:rFonts w:eastAsia="Calibri" w:cs="Calibri"/>
                <w:color w:val="000000"/>
                <w:sz w:val="18"/>
              </w:rPr>
            </w:pPr>
          </w:p>
        </w:tc>
        <w:tc>
          <w:tcPr>
            <w:tcW w:w="992" w:type="dxa"/>
            <w:tcBorders>
              <w:bottom w:val="single" w:sz="4" w:space="0" w:color="auto"/>
            </w:tcBorders>
            <w:noWrap/>
          </w:tcPr>
          <w:p w:rsidR="00EB52D4" w:rsidRDefault="00EB52D4" w:rsidP="00EB52D4">
            <w:pPr>
              <w:spacing w:before="0" w:after="0"/>
              <w:jc w:val="right"/>
              <w:rPr>
                <w:rFonts w:eastAsia="Calibri" w:cs="Calibri"/>
                <w:color w:val="000000"/>
                <w:sz w:val="18"/>
              </w:rPr>
            </w:pPr>
          </w:p>
        </w:tc>
        <w:tc>
          <w:tcPr>
            <w:tcW w:w="993" w:type="dxa"/>
            <w:tcBorders>
              <w:bottom w:val="single" w:sz="4" w:space="0" w:color="auto"/>
            </w:tcBorders>
            <w:noWrap/>
          </w:tcPr>
          <w:p w:rsidR="00EB52D4" w:rsidRDefault="00EB52D4" w:rsidP="00EB52D4">
            <w:pPr>
              <w:spacing w:before="0" w:after="0"/>
              <w:jc w:val="right"/>
              <w:rPr>
                <w:rFonts w:eastAsia="Calibri" w:cs="Calibri"/>
                <w:color w:val="000000"/>
                <w:sz w:val="18"/>
              </w:rPr>
            </w:pPr>
          </w:p>
        </w:tc>
      </w:tr>
      <w:tr w:rsidR="00EB52D4" w:rsidTr="007D5696">
        <w:trPr>
          <w:trHeight w:val="238"/>
        </w:trPr>
        <w:tc>
          <w:tcPr>
            <w:tcW w:w="4962" w:type="dxa"/>
            <w:tcBorders>
              <w:top w:val="single" w:sz="4" w:space="0" w:color="auto"/>
              <w:bottom w:val="single" w:sz="4" w:space="0" w:color="auto"/>
            </w:tcBorders>
          </w:tcPr>
          <w:p w:rsidR="00EB52D4" w:rsidRDefault="00EB52D4" w:rsidP="00EB52D4">
            <w:pPr>
              <w:spacing w:before="0" w:after="0"/>
              <w:rPr>
                <w:rFonts w:eastAsia="Calibri" w:cs="Calibri"/>
                <w:color w:val="000000"/>
                <w:sz w:val="18"/>
              </w:rPr>
            </w:pPr>
          </w:p>
        </w:tc>
        <w:tc>
          <w:tcPr>
            <w:tcW w:w="992"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2017-18 Estimated Outcome</w:t>
            </w:r>
          </w:p>
          <w:p w:rsidR="00EB52D4" w:rsidRDefault="00EB52D4" w:rsidP="00EB52D4">
            <w:pPr>
              <w:spacing w:before="0" w:after="0"/>
              <w:jc w:val="right"/>
              <w:rPr>
                <w:rFonts w:eastAsia="Calibri" w:cs="Calibri"/>
                <w:b/>
                <w:color w:val="000000"/>
                <w:sz w:val="18"/>
              </w:rPr>
            </w:pPr>
            <w:r>
              <w:rPr>
                <w:rFonts w:eastAsia="Calibri" w:cs="Calibri"/>
                <w:b/>
                <w:color w:val="000000"/>
                <w:sz w:val="18"/>
              </w:rPr>
              <w:t>$'000</w:t>
            </w:r>
          </w:p>
        </w:tc>
        <w:tc>
          <w:tcPr>
            <w:tcW w:w="851"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2018-19 Budget</w:t>
            </w:r>
          </w:p>
          <w:p w:rsidR="00EB52D4" w:rsidRDefault="00EB52D4" w:rsidP="00EB52D4">
            <w:pPr>
              <w:spacing w:before="0" w:after="0"/>
              <w:jc w:val="right"/>
              <w:rPr>
                <w:rFonts w:eastAsia="Calibri" w:cs="Calibri"/>
                <w:b/>
                <w:color w:val="000000"/>
                <w:sz w:val="18"/>
              </w:rPr>
            </w:pPr>
          </w:p>
          <w:p w:rsidR="00EB52D4" w:rsidRDefault="00EB52D4" w:rsidP="00EB52D4">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2019-20 Estimate</w:t>
            </w:r>
          </w:p>
          <w:p w:rsidR="00EB52D4" w:rsidRDefault="00EB52D4" w:rsidP="00EB52D4">
            <w:pPr>
              <w:spacing w:before="0" w:after="0"/>
              <w:jc w:val="right"/>
              <w:rPr>
                <w:rFonts w:eastAsia="Calibri" w:cs="Calibri"/>
                <w:b/>
                <w:color w:val="000000"/>
                <w:sz w:val="18"/>
              </w:rPr>
            </w:pPr>
          </w:p>
          <w:p w:rsidR="00EB52D4" w:rsidRDefault="00EB52D4" w:rsidP="00EB52D4">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2020-21 Estimate</w:t>
            </w:r>
          </w:p>
          <w:p w:rsidR="00EB52D4" w:rsidRDefault="00EB52D4" w:rsidP="00EB52D4">
            <w:pPr>
              <w:spacing w:before="0" w:after="0"/>
              <w:jc w:val="right"/>
              <w:rPr>
                <w:rFonts w:eastAsia="Calibri" w:cs="Calibri"/>
                <w:b/>
                <w:color w:val="000000"/>
                <w:sz w:val="18"/>
              </w:rPr>
            </w:pPr>
          </w:p>
          <w:p w:rsidR="00EB52D4" w:rsidRDefault="00EB52D4" w:rsidP="00EB52D4">
            <w:pPr>
              <w:spacing w:before="0" w:after="0"/>
              <w:jc w:val="right"/>
              <w:rPr>
                <w:rFonts w:eastAsia="Calibri" w:cs="Calibri"/>
                <w:b/>
                <w:color w:val="000000"/>
                <w:sz w:val="18"/>
              </w:rPr>
            </w:pPr>
            <w:r>
              <w:rPr>
                <w:rFonts w:eastAsia="Calibri" w:cs="Calibri"/>
                <w:b/>
                <w:color w:val="000000"/>
                <w:sz w:val="18"/>
              </w:rPr>
              <w:t>$'000</w:t>
            </w:r>
          </w:p>
        </w:tc>
        <w:tc>
          <w:tcPr>
            <w:tcW w:w="993"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2021-22 Estimate</w:t>
            </w:r>
          </w:p>
          <w:p w:rsidR="00EB52D4" w:rsidRDefault="00EB52D4" w:rsidP="00EB52D4">
            <w:pPr>
              <w:spacing w:before="0" w:after="0"/>
              <w:jc w:val="right"/>
              <w:rPr>
                <w:rFonts w:eastAsia="Calibri" w:cs="Calibri"/>
                <w:b/>
                <w:color w:val="000000"/>
                <w:sz w:val="18"/>
              </w:rPr>
            </w:pPr>
          </w:p>
          <w:p w:rsidR="00EB52D4" w:rsidRDefault="00EB52D4" w:rsidP="00EB52D4">
            <w:pPr>
              <w:spacing w:before="0" w:after="0"/>
              <w:jc w:val="right"/>
              <w:rPr>
                <w:rFonts w:eastAsia="Calibri" w:cs="Calibri"/>
                <w:b/>
                <w:color w:val="000000"/>
                <w:sz w:val="18"/>
              </w:rPr>
            </w:pPr>
            <w:r>
              <w:rPr>
                <w:rFonts w:eastAsia="Calibri" w:cs="Calibri"/>
                <w:b/>
                <w:color w:val="000000"/>
                <w:sz w:val="18"/>
              </w:rPr>
              <w:t>$'000</w:t>
            </w:r>
          </w:p>
        </w:tc>
      </w:tr>
      <w:tr w:rsidR="00EB52D4" w:rsidTr="007D5696">
        <w:trPr>
          <w:trHeight w:val="238"/>
        </w:trPr>
        <w:tc>
          <w:tcPr>
            <w:tcW w:w="4962" w:type="dxa"/>
            <w:tcBorders>
              <w:top w:val="single" w:sz="4" w:space="0" w:color="auto"/>
            </w:tcBorders>
          </w:tcPr>
          <w:p w:rsidR="00EB52D4" w:rsidRDefault="00EB52D4" w:rsidP="00EB52D4">
            <w:pPr>
              <w:spacing w:before="0" w:after="0"/>
              <w:rPr>
                <w:rFonts w:eastAsia="Calibri" w:cs="Calibri"/>
                <w:color w:val="000000"/>
                <w:sz w:val="18"/>
              </w:rPr>
            </w:pPr>
            <w:r>
              <w:rPr>
                <w:rFonts w:eastAsia="Calibri" w:cs="Calibri"/>
                <w:color w:val="000000"/>
                <w:sz w:val="18"/>
              </w:rPr>
              <w:t>Transfers:</w:t>
            </w:r>
          </w:p>
        </w:tc>
        <w:tc>
          <w:tcPr>
            <w:tcW w:w="992" w:type="dxa"/>
            <w:tcBorders>
              <w:top w:val="single" w:sz="4" w:space="0" w:color="auto"/>
            </w:tcBorders>
            <w:noWrap/>
          </w:tcPr>
          <w:p w:rsidR="00EB52D4" w:rsidRDefault="00EB52D4" w:rsidP="00EB52D4">
            <w:pPr>
              <w:spacing w:before="0" w:after="0"/>
              <w:jc w:val="right"/>
              <w:rPr>
                <w:rFonts w:eastAsia="Calibri" w:cs="Calibri"/>
                <w:color w:val="000000"/>
                <w:sz w:val="18"/>
              </w:rPr>
            </w:pPr>
          </w:p>
        </w:tc>
        <w:tc>
          <w:tcPr>
            <w:tcW w:w="851" w:type="dxa"/>
            <w:tcBorders>
              <w:top w:val="single" w:sz="4" w:space="0" w:color="auto"/>
            </w:tcBorders>
            <w:noWrap/>
          </w:tcPr>
          <w:p w:rsidR="00EB52D4" w:rsidRDefault="00EB52D4" w:rsidP="00EB52D4">
            <w:pPr>
              <w:spacing w:before="0" w:after="0"/>
              <w:jc w:val="right"/>
              <w:rPr>
                <w:rFonts w:eastAsia="Calibri" w:cs="Calibri"/>
                <w:color w:val="000000"/>
                <w:sz w:val="18"/>
              </w:rPr>
            </w:pPr>
          </w:p>
        </w:tc>
        <w:tc>
          <w:tcPr>
            <w:tcW w:w="992" w:type="dxa"/>
            <w:tcBorders>
              <w:top w:val="single" w:sz="4" w:space="0" w:color="auto"/>
            </w:tcBorders>
            <w:noWrap/>
          </w:tcPr>
          <w:p w:rsidR="00EB52D4" w:rsidRDefault="00EB52D4" w:rsidP="00EB52D4">
            <w:pPr>
              <w:spacing w:before="0" w:after="0"/>
              <w:jc w:val="right"/>
              <w:rPr>
                <w:rFonts w:eastAsia="Calibri" w:cs="Calibri"/>
                <w:color w:val="000000"/>
                <w:sz w:val="18"/>
              </w:rPr>
            </w:pPr>
          </w:p>
        </w:tc>
        <w:tc>
          <w:tcPr>
            <w:tcW w:w="992" w:type="dxa"/>
            <w:tcBorders>
              <w:top w:val="single" w:sz="4" w:space="0" w:color="auto"/>
            </w:tcBorders>
            <w:noWrap/>
          </w:tcPr>
          <w:p w:rsidR="00EB52D4" w:rsidRDefault="00EB52D4" w:rsidP="00EB52D4">
            <w:pPr>
              <w:spacing w:before="0" w:after="0"/>
              <w:jc w:val="right"/>
              <w:rPr>
                <w:rFonts w:eastAsia="Calibri" w:cs="Calibri"/>
                <w:color w:val="000000"/>
                <w:sz w:val="18"/>
              </w:rPr>
            </w:pPr>
          </w:p>
        </w:tc>
        <w:tc>
          <w:tcPr>
            <w:tcW w:w="993" w:type="dxa"/>
            <w:tcBorders>
              <w:top w:val="single" w:sz="4" w:space="0" w:color="auto"/>
            </w:tcBorders>
            <w:noWrap/>
          </w:tcPr>
          <w:p w:rsidR="00EB52D4" w:rsidRDefault="00EB52D4" w:rsidP="00EB52D4">
            <w:pPr>
              <w:spacing w:before="0" w:after="0"/>
              <w:jc w:val="right"/>
              <w:rPr>
                <w:rFonts w:eastAsia="Calibri" w:cs="Calibri"/>
                <w:color w:val="000000"/>
                <w:sz w:val="18"/>
              </w:rPr>
            </w:pPr>
          </w:p>
        </w:tc>
      </w:tr>
      <w:tr w:rsidR="00EB52D4" w:rsidTr="0022624C">
        <w:trPr>
          <w:trHeight w:val="284"/>
        </w:trPr>
        <w:tc>
          <w:tcPr>
            <w:tcW w:w="4962" w:type="dxa"/>
          </w:tcPr>
          <w:p w:rsidR="00EB52D4" w:rsidRDefault="00EB52D4" w:rsidP="00EB52D4">
            <w:pPr>
              <w:pStyle w:val="ListParagraph"/>
              <w:numPr>
                <w:ilvl w:val="0"/>
                <w:numId w:val="58"/>
              </w:numPr>
              <w:spacing w:before="0"/>
              <w:rPr>
                <w:rFonts w:eastAsia="Calibri" w:cs="Calibri"/>
                <w:color w:val="000000"/>
                <w:sz w:val="18"/>
              </w:rPr>
            </w:pPr>
            <w:r w:rsidRPr="001E007C">
              <w:rPr>
                <w:rFonts w:eastAsia="Calibri" w:cs="Calibri"/>
                <w:color w:val="000000"/>
                <w:sz w:val="18"/>
              </w:rPr>
              <w:t>LGBTIQ Grants Program Funding from CSD to CMTEDD</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-117</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-120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-123</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-126</w:t>
            </w:r>
          </w:p>
        </w:tc>
      </w:tr>
      <w:tr w:rsidR="00EB52D4" w:rsidTr="00DE3A7C">
        <w:trPr>
          <w:trHeight w:val="238"/>
        </w:trPr>
        <w:tc>
          <w:tcPr>
            <w:tcW w:w="4962" w:type="dxa"/>
          </w:tcPr>
          <w:p w:rsidR="00EB52D4" w:rsidRDefault="00EB52D4" w:rsidP="00EB52D4">
            <w:pPr>
              <w:pStyle w:val="ListParagraph"/>
              <w:numPr>
                <w:ilvl w:val="0"/>
                <w:numId w:val="58"/>
              </w:numPr>
              <w:spacing w:before="0"/>
              <w:rPr>
                <w:rFonts w:eastAsia="Calibri" w:cs="Calibri"/>
                <w:color w:val="000000"/>
                <w:sz w:val="18"/>
              </w:rPr>
            </w:pPr>
            <w:r w:rsidRPr="001E007C">
              <w:rPr>
                <w:rFonts w:eastAsia="Calibri" w:cs="Calibri"/>
                <w:color w:val="000000"/>
                <w:sz w:val="18"/>
              </w:rPr>
              <w:t>Aboriginal and Torres Strait Islander Arts Officer</w:t>
            </w:r>
            <w:r>
              <w:rPr>
                <w:rFonts w:eastAsia="Calibri" w:cs="Calibri"/>
                <w:color w:val="000000"/>
                <w:sz w:val="18"/>
              </w:rPr>
              <w:t xml:space="preserve"> to CMTEDD</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-30</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-37</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-37</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-38</w:t>
            </w:r>
          </w:p>
        </w:tc>
      </w:tr>
      <w:tr w:rsidR="00EB52D4" w:rsidTr="0022624C">
        <w:trPr>
          <w:trHeight w:val="284"/>
        </w:trPr>
        <w:tc>
          <w:tcPr>
            <w:tcW w:w="4962" w:type="dxa"/>
          </w:tcPr>
          <w:p w:rsidR="00EB52D4" w:rsidRPr="00121BA9" w:rsidRDefault="00EB52D4" w:rsidP="00EB52D4">
            <w:pPr>
              <w:pStyle w:val="ListParagraph"/>
              <w:numPr>
                <w:ilvl w:val="0"/>
                <w:numId w:val="58"/>
              </w:numPr>
              <w:spacing w:before="0"/>
              <w:rPr>
                <w:sz w:val="22"/>
                <w:szCs w:val="20"/>
              </w:rPr>
            </w:pPr>
            <w:r w:rsidRPr="00EB52D4">
              <w:rPr>
                <w:rFonts w:eastAsia="Calibri" w:cs="Calibri"/>
                <w:color w:val="000000"/>
                <w:sz w:val="18"/>
              </w:rPr>
              <w:t>Safer Families (Enhancing access to justice for non-English speakers) from JACS to CSD</w:t>
            </w:r>
          </w:p>
        </w:tc>
        <w:tc>
          <w:tcPr>
            <w:tcW w:w="992" w:type="dxa"/>
            <w:noWrap/>
            <w:vAlign w:val="center"/>
          </w:tcPr>
          <w:p w:rsidR="00EB52D4" w:rsidRPr="00316847" w:rsidRDefault="00EB52D4" w:rsidP="00EB52D4">
            <w:pPr>
              <w:spacing w:before="0" w:after="0"/>
              <w:jc w:val="right"/>
              <w:rPr>
                <w:rFonts w:eastAsia="Calibri" w:cs="Calibri"/>
                <w:color w:val="000000"/>
                <w:sz w:val="18"/>
              </w:rPr>
            </w:pPr>
            <w:r w:rsidRPr="00316847">
              <w:rPr>
                <w:rFonts w:eastAsia="Calibri" w:cs="Calibri"/>
                <w:color w:val="000000"/>
                <w:sz w:val="18"/>
              </w:rPr>
              <w:t>0</w:t>
            </w:r>
          </w:p>
        </w:tc>
        <w:tc>
          <w:tcPr>
            <w:tcW w:w="851" w:type="dxa"/>
            <w:noWrap/>
            <w:vAlign w:val="center"/>
          </w:tcPr>
          <w:p w:rsidR="00EB52D4" w:rsidRPr="00316847" w:rsidRDefault="00EB52D4" w:rsidP="00EB52D4">
            <w:pPr>
              <w:spacing w:before="0" w:after="0"/>
              <w:jc w:val="right"/>
              <w:rPr>
                <w:rFonts w:eastAsia="Calibri" w:cs="Calibri"/>
                <w:color w:val="000000"/>
                <w:sz w:val="18"/>
              </w:rPr>
            </w:pPr>
            <w:r w:rsidRPr="00316847">
              <w:rPr>
                <w:rFonts w:eastAsia="Calibri" w:cs="Calibri"/>
                <w:color w:val="000000"/>
                <w:sz w:val="18"/>
              </w:rPr>
              <w:t>115</w:t>
            </w:r>
          </w:p>
        </w:tc>
        <w:tc>
          <w:tcPr>
            <w:tcW w:w="992" w:type="dxa"/>
            <w:noWrap/>
            <w:vAlign w:val="center"/>
          </w:tcPr>
          <w:p w:rsidR="00EB52D4" w:rsidRPr="00316847" w:rsidRDefault="00EB52D4" w:rsidP="00EB52D4">
            <w:pPr>
              <w:spacing w:before="0" w:after="0"/>
              <w:jc w:val="right"/>
              <w:rPr>
                <w:rFonts w:eastAsia="Calibri" w:cs="Calibri"/>
                <w:color w:val="000000"/>
                <w:sz w:val="18"/>
              </w:rPr>
            </w:pPr>
            <w:r w:rsidRPr="00316847">
              <w:rPr>
                <w:rFonts w:eastAsia="Calibri" w:cs="Calibri"/>
                <w:color w:val="000000"/>
                <w:sz w:val="18"/>
              </w:rPr>
              <w:t>115</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22624C">
        <w:trPr>
          <w:trHeight w:val="284"/>
        </w:trPr>
        <w:tc>
          <w:tcPr>
            <w:tcW w:w="4962" w:type="dxa"/>
          </w:tcPr>
          <w:p w:rsidR="00EB52D4" w:rsidRDefault="00EB52D4" w:rsidP="00EB52D4">
            <w:pPr>
              <w:pStyle w:val="ListParagraph"/>
              <w:numPr>
                <w:ilvl w:val="0"/>
                <w:numId w:val="58"/>
              </w:numPr>
              <w:spacing w:before="0"/>
              <w:rPr>
                <w:rFonts w:eastAsia="Calibri" w:cs="Calibri"/>
                <w:color w:val="000000"/>
                <w:sz w:val="18"/>
              </w:rPr>
            </w:pPr>
            <w:r w:rsidRPr="001E007C">
              <w:rPr>
                <w:rFonts w:eastAsia="Calibri" w:cs="Calibri"/>
                <w:color w:val="000000"/>
                <w:sz w:val="18"/>
              </w:rPr>
              <w:t>Safer Families Team from JACS to CSD</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177</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DE3A7C">
        <w:trPr>
          <w:trHeight w:val="238"/>
        </w:trPr>
        <w:tc>
          <w:tcPr>
            <w:tcW w:w="4962" w:type="dxa"/>
          </w:tcPr>
          <w:p w:rsidR="00EB52D4" w:rsidRDefault="00EB52D4" w:rsidP="00EB52D4">
            <w:pPr>
              <w:pStyle w:val="ListParagraph"/>
              <w:numPr>
                <w:ilvl w:val="0"/>
                <w:numId w:val="58"/>
              </w:numPr>
              <w:spacing w:before="0"/>
              <w:rPr>
                <w:rFonts w:eastAsia="Calibri" w:cs="Calibri"/>
                <w:color w:val="000000"/>
                <w:sz w:val="18"/>
              </w:rPr>
            </w:pPr>
            <w:r w:rsidRPr="001E007C">
              <w:rPr>
                <w:rFonts w:eastAsia="Calibri" w:cs="Calibri"/>
                <w:color w:val="000000"/>
                <w:sz w:val="18"/>
              </w:rPr>
              <w:t>Office of Coordinator General Family Safety budget from JACS to CSD</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1,343</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1,363</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1,536</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1,557</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1,586</w:t>
            </w:r>
          </w:p>
        </w:tc>
      </w:tr>
      <w:tr w:rsidR="00EB52D4" w:rsidTr="00DE3A7C">
        <w:trPr>
          <w:trHeight w:val="238"/>
        </w:trPr>
        <w:tc>
          <w:tcPr>
            <w:tcW w:w="4962" w:type="dxa"/>
          </w:tcPr>
          <w:p w:rsidR="00EB52D4" w:rsidRDefault="00EB52D4" w:rsidP="00EB52D4">
            <w:pPr>
              <w:spacing w:before="0" w:after="0"/>
              <w:rPr>
                <w:rFonts w:eastAsia="Calibri" w:cs="Calibri"/>
                <w:color w:val="000000"/>
                <w:sz w:val="18"/>
              </w:rPr>
            </w:pPr>
            <w:r>
              <w:rPr>
                <w:rFonts w:eastAsia="Calibri" w:cs="Calibri"/>
                <w:color w:val="000000"/>
                <w:sz w:val="18"/>
              </w:rPr>
              <w:t>Revised Funding Profile :</w:t>
            </w:r>
          </w:p>
        </w:tc>
        <w:tc>
          <w:tcPr>
            <w:tcW w:w="992" w:type="dxa"/>
            <w:noWrap/>
          </w:tcPr>
          <w:p w:rsidR="00EB52D4" w:rsidRDefault="00EB52D4" w:rsidP="00EB52D4">
            <w:pPr>
              <w:spacing w:before="0" w:after="0"/>
              <w:jc w:val="right"/>
              <w:rPr>
                <w:rFonts w:eastAsia="Calibri" w:cs="Calibri"/>
                <w:color w:val="000000"/>
                <w:sz w:val="18"/>
              </w:rPr>
            </w:pPr>
          </w:p>
        </w:tc>
        <w:tc>
          <w:tcPr>
            <w:tcW w:w="851" w:type="dxa"/>
            <w:noWrap/>
          </w:tcPr>
          <w:p w:rsidR="00EB52D4" w:rsidRDefault="00EB52D4" w:rsidP="00EB52D4">
            <w:pPr>
              <w:spacing w:before="0" w:after="0"/>
              <w:jc w:val="right"/>
              <w:rPr>
                <w:rFonts w:eastAsia="Calibri" w:cs="Calibri"/>
                <w:color w:val="000000"/>
                <w:sz w:val="18"/>
              </w:rPr>
            </w:pPr>
          </w:p>
        </w:tc>
        <w:tc>
          <w:tcPr>
            <w:tcW w:w="992" w:type="dxa"/>
            <w:noWrap/>
          </w:tcPr>
          <w:p w:rsidR="00EB52D4" w:rsidRDefault="00EB52D4" w:rsidP="00EB52D4">
            <w:pPr>
              <w:spacing w:before="0" w:after="0"/>
              <w:jc w:val="right"/>
              <w:rPr>
                <w:rFonts w:eastAsia="Calibri" w:cs="Calibri"/>
                <w:color w:val="000000"/>
                <w:sz w:val="18"/>
              </w:rPr>
            </w:pPr>
          </w:p>
        </w:tc>
        <w:tc>
          <w:tcPr>
            <w:tcW w:w="992" w:type="dxa"/>
            <w:noWrap/>
          </w:tcPr>
          <w:p w:rsidR="00EB52D4" w:rsidRDefault="00EB52D4" w:rsidP="00EB52D4">
            <w:pPr>
              <w:spacing w:before="0" w:after="0"/>
              <w:jc w:val="right"/>
              <w:rPr>
                <w:rFonts w:eastAsia="Calibri" w:cs="Calibri"/>
                <w:color w:val="000000"/>
                <w:sz w:val="18"/>
              </w:rPr>
            </w:pPr>
          </w:p>
        </w:tc>
        <w:tc>
          <w:tcPr>
            <w:tcW w:w="993" w:type="dxa"/>
            <w:noWrap/>
          </w:tcPr>
          <w:p w:rsidR="00EB52D4" w:rsidRDefault="00EB52D4" w:rsidP="00EB52D4">
            <w:pPr>
              <w:spacing w:before="0" w:after="0"/>
              <w:jc w:val="right"/>
              <w:rPr>
                <w:rFonts w:eastAsia="Calibri" w:cs="Calibri"/>
                <w:color w:val="000000"/>
                <w:sz w:val="18"/>
              </w:rPr>
            </w:pPr>
          </w:p>
        </w:tc>
      </w:tr>
      <w:tr w:rsidR="00EB52D4" w:rsidTr="0022624C">
        <w:trPr>
          <w:trHeight w:val="284"/>
        </w:trPr>
        <w:tc>
          <w:tcPr>
            <w:tcW w:w="4962" w:type="dxa"/>
          </w:tcPr>
          <w:p w:rsidR="00EB52D4" w:rsidRPr="001E007C" w:rsidRDefault="00EB52D4" w:rsidP="00EB52D4">
            <w:pPr>
              <w:pStyle w:val="ListParagraph"/>
              <w:numPr>
                <w:ilvl w:val="0"/>
                <w:numId w:val="57"/>
              </w:numPr>
              <w:spacing w:before="0"/>
              <w:rPr>
                <w:rFonts w:eastAsia="Calibri" w:cs="Calibri"/>
                <w:color w:val="000000"/>
                <w:sz w:val="18"/>
              </w:rPr>
            </w:pPr>
            <w:r w:rsidRPr="001E007C">
              <w:rPr>
                <w:rFonts w:eastAsia="Calibri" w:cs="Calibri"/>
                <w:color w:val="000000"/>
                <w:sz w:val="18"/>
              </w:rPr>
              <w:t>Safer Families Integrated case management</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-1,027</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1,027</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DE3A7C">
        <w:trPr>
          <w:trHeight w:val="238"/>
        </w:trPr>
        <w:tc>
          <w:tcPr>
            <w:tcW w:w="4962" w:type="dxa"/>
          </w:tcPr>
          <w:p w:rsidR="00EB52D4" w:rsidRPr="001E007C" w:rsidRDefault="00EB52D4" w:rsidP="00EB52D4">
            <w:pPr>
              <w:pStyle w:val="ListParagraph"/>
              <w:numPr>
                <w:ilvl w:val="0"/>
                <w:numId w:val="57"/>
              </w:numPr>
              <w:spacing w:before="0"/>
              <w:rPr>
                <w:rFonts w:eastAsia="Calibri" w:cs="Calibri"/>
                <w:color w:val="000000"/>
                <w:sz w:val="18"/>
              </w:rPr>
            </w:pPr>
            <w:r>
              <w:rPr>
                <w:rFonts w:eastAsia="Calibri" w:cs="Calibri"/>
                <w:color w:val="000000"/>
                <w:sz w:val="18"/>
              </w:rPr>
              <w:t>S</w:t>
            </w:r>
            <w:r w:rsidRPr="001E007C">
              <w:rPr>
                <w:rFonts w:eastAsia="Calibri" w:cs="Calibri"/>
                <w:color w:val="000000"/>
                <w:sz w:val="18"/>
              </w:rPr>
              <w:t>afer Families Training in</w:t>
            </w:r>
            <w:r>
              <w:rPr>
                <w:rFonts w:eastAsia="Calibri" w:cs="Calibri"/>
                <w:color w:val="000000"/>
                <w:sz w:val="18"/>
              </w:rPr>
              <w:t xml:space="preserve"> domestic violence for frontline workers</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-507</w:t>
            </w:r>
          </w:p>
        </w:tc>
        <w:tc>
          <w:tcPr>
            <w:tcW w:w="851"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507</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vAlign w:val="center"/>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DE3A7C">
        <w:trPr>
          <w:trHeight w:val="156"/>
        </w:trPr>
        <w:tc>
          <w:tcPr>
            <w:tcW w:w="4962" w:type="dxa"/>
          </w:tcPr>
          <w:p w:rsidR="00EB52D4" w:rsidRPr="000D3324" w:rsidRDefault="00EB52D4" w:rsidP="00EB52D4">
            <w:pPr>
              <w:spacing w:before="0"/>
              <w:rPr>
                <w:rFonts w:eastAsia="Calibri" w:cs="Calibri"/>
                <w:color w:val="000000"/>
                <w:sz w:val="18"/>
              </w:rPr>
            </w:pPr>
            <w:r w:rsidRPr="000D3324">
              <w:rPr>
                <w:rFonts w:eastAsia="Calibri" w:cs="Calibri"/>
                <w:color w:val="000000"/>
                <w:sz w:val="18"/>
              </w:rPr>
              <w:t>Commonwealth grants – Specialist disability services</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855</w:t>
            </w:r>
          </w:p>
        </w:tc>
        <w:tc>
          <w:tcPr>
            <w:tcW w:w="851"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2"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c>
          <w:tcPr>
            <w:tcW w:w="993" w:type="dxa"/>
            <w:noWrap/>
          </w:tcPr>
          <w:p w:rsidR="00EB52D4" w:rsidRDefault="00EB52D4" w:rsidP="00EB52D4">
            <w:pPr>
              <w:spacing w:before="0" w:after="0"/>
              <w:jc w:val="right"/>
              <w:rPr>
                <w:rFonts w:eastAsia="Calibri" w:cs="Calibri"/>
                <w:color w:val="000000"/>
                <w:sz w:val="18"/>
              </w:rPr>
            </w:pPr>
            <w:r>
              <w:rPr>
                <w:rFonts w:eastAsia="Calibri" w:cs="Calibri"/>
                <w:color w:val="000000"/>
                <w:sz w:val="18"/>
              </w:rPr>
              <w:t>0</w:t>
            </w:r>
          </w:p>
        </w:tc>
      </w:tr>
      <w:tr w:rsidR="00EB52D4" w:rsidTr="00DE3A7C">
        <w:trPr>
          <w:trHeight w:hRule="exact" w:val="255"/>
        </w:trPr>
        <w:tc>
          <w:tcPr>
            <w:tcW w:w="4962" w:type="dxa"/>
            <w:tcBorders>
              <w:bottom w:val="single" w:sz="4" w:space="0" w:color="auto"/>
            </w:tcBorders>
            <w:noWrap/>
          </w:tcPr>
          <w:p w:rsidR="00EB52D4" w:rsidRDefault="00EB52D4" w:rsidP="00EB52D4">
            <w:pPr>
              <w:spacing w:before="0" w:after="0"/>
              <w:rPr>
                <w:rFonts w:eastAsia="Calibri" w:cs="Calibri"/>
                <w:color w:val="000000"/>
                <w:sz w:val="18"/>
              </w:rPr>
            </w:pPr>
          </w:p>
        </w:tc>
        <w:tc>
          <w:tcPr>
            <w:tcW w:w="992" w:type="dxa"/>
            <w:tcBorders>
              <w:bottom w:val="single" w:sz="4" w:space="0" w:color="auto"/>
            </w:tcBorders>
            <w:noWrap/>
          </w:tcPr>
          <w:p w:rsidR="00EB52D4" w:rsidRDefault="00EB52D4" w:rsidP="00EB52D4">
            <w:pPr>
              <w:spacing w:before="0" w:after="0"/>
              <w:rPr>
                <w:rFonts w:eastAsia="Calibri" w:cs="Calibri"/>
                <w:color w:val="000000"/>
                <w:sz w:val="18"/>
              </w:rPr>
            </w:pPr>
          </w:p>
        </w:tc>
        <w:tc>
          <w:tcPr>
            <w:tcW w:w="851" w:type="dxa"/>
            <w:tcBorders>
              <w:bottom w:val="single" w:sz="4" w:space="0" w:color="auto"/>
            </w:tcBorders>
            <w:noWrap/>
          </w:tcPr>
          <w:p w:rsidR="00EB52D4" w:rsidRDefault="00EB52D4" w:rsidP="00EB52D4">
            <w:pPr>
              <w:spacing w:before="0" w:after="0"/>
              <w:rPr>
                <w:rFonts w:eastAsia="Calibri" w:cs="Calibri"/>
                <w:color w:val="000000"/>
                <w:sz w:val="18"/>
              </w:rPr>
            </w:pPr>
          </w:p>
        </w:tc>
        <w:tc>
          <w:tcPr>
            <w:tcW w:w="992" w:type="dxa"/>
            <w:tcBorders>
              <w:bottom w:val="single" w:sz="4" w:space="0" w:color="auto"/>
            </w:tcBorders>
            <w:noWrap/>
          </w:tcPr>
          <w:p w:rsidR="00EB52D4" w:rsidRDefault="00EB52D4" w:rsidP="00EB52D4">
            <w:pPr>
              <w:spacing w:before="0" w:after="0"/>
              <w:rPr>
                <w:rFonts w:eastAsia="Calibri" w:cs="Calibri"/>
                <w:color w:val="000000"/>
                <w:sz w:val="18"/>
              </w:rPr>
            </w:pPr>
          </w:p>
        </w:tc>
        <w:tc>
          <w:tcPr>
            <w:tcW w:w="992" w:type="dxa"/>
            <w:tcBorders>
              <w:bottom w:val="single" w:sz="4" w:space="0" w:color="auto"/>
            </w:tcBorders>
            <w:noWrap/>
          </w:tcPr>
          <w:p w:rsidR="00EB52D4" w:rsidRDefault="00EB52D4" w:rsidP="00EB52D4">
            <w:pPr>
              <w:spacing w:before="0" w:after="0"/>
              <w:rPr>
                <w:rFonts w:eastAsia="Calibri" w:cs="Calibri"/>
                <w:color w:val="000000"/>
                <w:sz w:val="18"/>
              </w:rPr>
            </w:pPr>
          </w:p>
        </w:tc>
        <w:tc>
          <w:tcPr>
            <w:tcW w:w="993" w:type="dxa"/>
            <w:tcBorders>
              <w:bottom w:val="single" w:sz="4" w:space="0" w:color="auto"/>
            </w:tcBorders>
            <w:noWrap/>
          </w:tcPr>
          <w:p w:rsidR="00EB52D4" w:rsidRDefault="00EB52D4" w:rsidP="00EB52D4">
            <w:pPr>
              <w:spacing w:before="0" w:after="0"/>
              <w:rPr>
                <w:rFonts w:eastAsia="Calibri" w:cs="Calibri"/>
                <w:color w:val="000000"/>
                <w:sz w:val="18"/>
              </w:rPr>
            </w:pPr>
          </w:p>
        </w:tc>
      </w:tr>
      <w:tr w:rsidR="00EB52D4" w:rsidTr="00DE3A7C">
        <w:trPr>
          <w:trHeight w:hRule="exact" w:val="255"/>
        </w:trPr>
        <w:tc>
          <w:tcPr>
            <w:tcW w:w="4962" w:type="dxa"/>
            <w:tcBorders>
              <w:top w:val="single" w:sz="4" w:space="0" w:color="auto"/>
              <w:bottom w:val="single" w:sz="4" w:space="0" w:color="auto"/>
            </w:tcBorders>
            <w:noWrap/>
          </w:tcPr>
          <w:p w:rsidR="00EB52D4" w:rsidRDefault="00EB52D4" w:rsidP="00EB52D4">
            <w:pPr>
              <w:spacing w:before="0" w:after="0"/>
              <w:rPr>
                <w:rFonts w:eastAsia="Calibri" w:cs="Calibri"/>
                <w:b/>
                <w:color w:val="000000"/>
                <w:sz w:val="18"/>
              </w:rPr>
            </w:pPr>
            <w:r>
              <w:rPr>
                <w:rFonts w:eastAsia="Calibri" w:cs="Calibri"/>
                <w:b/>
                <w:color w:val="000000"/>
                <w:sz w:val="18"/>
              </w:rPr>
              <w:t>2018-19 Budget</w:t>
            </w:r>
          </w:p>
        </w:tc>
        <w:tc>
          <w:tcPr>
            <w:tcW w:w="992"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254,052</w:t>
            </w:r>
          </w:p>
        </w:tc>
        <w:tc>
          <w:tcPr>
            <w:tcW w:w="851"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269,097</w:t>
            </w:r>
          </w:p>
        </w:tc>
        <w:tc>
          <w:tcPr>
            <w:tcW w:w="992"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297,035</w:t>
            </w:r>
          </w:p>
        </w:tc>
        <w:tc>
          <w:tcPr>
            <w:tcW w:w="992"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304,331</w:t>
            </w:r>
          </w:p>
        </w:tc>
        <w:tc>
          <w:tcPr>
            <w:tcW w:w="993" w:type="dxa"/>
            <w:tcBorders>
              <w:top w:val="single" w:sz="4" w:space="0" w:color="auto"/>
              <w:bottom w:val="single" w:sz="4" w:space="0" w:color="auto"/>
            </w:tcBorders>
            <w:noWrap/>
          </w:tcPr>
          <w:p w:rsidR="00EB52D4" w:rsidRDefault="00EB52D4" w:rsidP="00EB52D4">
            <w:pPr>
              <w:spacing w:before="0" w:after="0"/>
              <w:jc w:val="right"/>
              <w:rPr>
                <w:rFonts w:eastAsia="Calibri" w:cs="Calibri"/>
                <w:b/>
                <w:color w:val="000000"/>
                <w:sz w:val="18"/>
              </w:rPr>
            </w:pPr>
            <w:r>
              <w:rPr>
                <w:rFonts w:eastAsia="Calibri" w:cs="Calibri"/>
                <w:b/>
                <w:color w:val="000000"/>
                <w:sz w:val="18"/>
              </w:rPr>
              <w:t>310,175</w:t>
            </w:r>
          </w:p>
        </w:tc>
      </w:tr>
    </w:tbl>
    <w:bookmarkEnd w:id="40"/>
    <w:p w:rsidR="0058349F" w:rsidRPr="00D227CE" w:rsidRDefault="0058349F" w:rsidP="0058349F">
      <w:pPr>
        <w:pStyle w:val="Caption"/>
        <w:pageBreakBefore/>
        <w:pBdr>
          <w:top w:val="nil"/>
          <w:left w:val="nil"/>
          <w:bottom w:val="nil"/>
          <w:right w:val="nil"/>
          <w:between w:val="nil"/>
          <w:bar w:val="nil"/>
        </w:pBdr>
        <w:rPr>
          <w:bdr w:val="nil"/>
        </w:rPr>
      </w:pPr>
      <w:r w:rsidRPr="006A7A83">
        <w:rPr>
          <w:bdr w:val="nil"/>
        </w:rPr>
        <w:t xml:space="preserve">Table </w:t>
      </w:r>
      <w:r w:rsidR="00EC6641" w:rsidRPr="006A7A83">
        <w:rPr>
          <w:bdr w:val="nil"/>
        </w:rPr>
        <w:t>28</w:t>
      </w:r>
      <w:r w:rsidRPr="006A7A83">
        <w:rPr>
          <w:bdr w:val="nil"/>
        </w:rPr>
        <w:t>: Changes to</w:t>
      </w:r>
      <w:r w:rsidRPr="00D227CE">
        <w:rPr>
          <w:bdr w:val="nil"/>
        </w:rPr>
        <w:t xml:space="preserve"> appropriation – Capital Injections, Controlled</w:t>
      </w:r>
    </w:p>
    <w:tbl>
      <w:tblPr>
        <w:tblStyle w:val="CDMRange2"/>
        <w:tblW w:w="9734" w:type="dxa"/>
        <w:tblInd w:w="-142" w:type="dxa"/>
        <w:tblLayout w:type="fixed"/>
        <w:tblLook w:val="0600" w:firstRow="0" w:lastRow="0" w:firstColumn="0" w:lastColumn="0" w:noHBand="1" w:noVBand="1"/>
      </w:tblPr>
      <w:tblGrid>
        <w:gridCol w:w="4678"/>
        <w:gridCol w:w="1033"/>
        <w:gridCol w:w="989"/>
        <w:gridCol w:w="989"/>
        <w:gridCol w:w="989"/>
        <w:gridCol w:w="1056"/>
      </w:tblGrid>
      <w:tr w:rsidR="001651E4" w:rsidTr="00EB52D4">
        <w:trPr>
          <w:trHeight w:val="986"/>
        </w:trPr>
        <w:tc>
          <w:tcPr>
            <w:tcW w:w="4678"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1033"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89"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2018-19 Budget</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89"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2019-20 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89"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2020-21 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1056" w:type="dxa"/>
            <w:tcBorders>
              <w:top w:val="single" w:sz="4" w:space="0" w:color="auto"/>
              <w:left w:val="nil"/>
              <w:bottom w:val="single" w:sz="4" w:space="0" w:color="auto"/>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2021-22 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$'000</w:t>
            </w:r>
          </w:p>
        </w:tc>
      </w:tr>
      <w:tr w:rsidR="001651E4" w:rsidTr="00EB52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4"/>
        </w:trPr>
        <w:tc>
          <w:tcPr>
            <w:tcW w:w="4678"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1033"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1056"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r>
      <w:tr w:rsidR="001651E4"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678"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r>
      <w:tr w:rsidR="001651E4"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678" w:type="dxa"/>
            <w:tcBorders>
              <w:top w:val="nil"/>
              <w:left w:val="nil"/>
              <w:bottom w:val="nil"/>
              <w:right w:val="nil"/>
              <w:tl2br w:val="nil"/>
              <w:tr2bl w:val="nil"/>
            </w:tcBorders>
            <w:shd w:val="clear" w:color="auto" w:fill="auto"/>
            <w:noWrap/>
            <w:tcMar>
              <w:left w:w="101" w:type="dxa"/>
              <w:right w:w="101" w:type="dxa"/>
            </w:tcMar>
            <w:vAlign w:val="bottom"/>
          </w:tcPr>
          <w:p w:rsidR="001651E4" w:rsidRDefault="0058349F">
            <w:pPr>
              <w:spacing w:before="0" w:after="0"/>
              <w:rPr>
                <w:rFonts w:eastAsia="Calibri" w:cs="Calibri"/>
                <w:b/>
                <w:color w:val="000000"/>
                <w:sz w:val="18"/>
              </w:rPr>
            </w:pPr>
            <w:r>
              <w:rPr>
                <w:rFonts w:eastAsia="Calibri" w:cs="Calibri"/>
                <w:b/>
                <w:color w:val="000000"/>
                <w:sz w:val="18"/>
              </w:rPr>
              <w:t>2017-18 Budget</w:t>
            </w:r>
          </w:p>
        </w:tc>
        <w:tc>
          <w:tcPr>
            <w:tcW w:w="1033" w:type="dxa"/>
            <w:tcBorders>
              <w:top w:val="nil"/>
              <w:left w:val="nil"/>
              <w:bottom w:val="nil"/>
              <w:right w:val="nil"/>
              <w:tl2br w:val="nil"/>
              <w:tr2bl w:val="nil"/>
            </w:tcBorders>
            <w:shd w:val="clear" w:color="auto" w:fill="auto"/>
            <w:noWrap/>
            <w:tcMar>
              <w:left w:w="101" w:type="dxa"/>
              <w:right w:w="101" w:type="dxa"/>
            </w:tcMar>
            <w:vAlign w:val="bottom"/>
          </w:tcPr>
          <w:p w:rsidR="001651E4" w:rsidRPr="006A7A83" w:rsidRDefault="00FC72EA">
            <w:pPr>
              <w:spacing w:before="0" w:after="0"/>
              <w:jc w:val="right"/>
              <w:rPr>
                <w:rFonts w:eastAsia="Calibri" w:cs="Calibri"/>
                <w:b/>
                <w:color w:val="000000"/>
                <w:sz w:val="18"/>
              </w:rPr>
            </w:pPr>
            <w:r>
              <w:rPr>
                <w:rFonts w:eastAsia="Calibri" w:cs="Calibri"/>
                <w:b/>
                <w:color w:val="000000"/>
                <w:sz w:val="18"/>
              </w:rPr>
              <w:t>4,</w:t>
            </w:r>
            <w:r w:rsidR="0058349F" w:rsidRPr="006A7A83">
              <w:rPr>
                <w:rFonts w:eastAsia="Calibri" w:cs="Calibri"/>
                <w:b/>
                <w:color w:val="000000"/>
                <w:sz w:val="18"/>
              </w:rPr>
              <w:t>941</w:t>
            </w:r>
          </w:p>
        </w:tc>
        <w:tc>
          <w:tcPr>
            <w:tcW w:w="989" w:type="dxa"/>
            <w:tcBorders>
              <w:top w:val="nil"/>
              <w:left w:val="nil"/>
              <w:bottom w:val="nil"/>
              <w:right w:val="nil"/>
              <w:tl2br w:val="nil"/>
              <w:tr2bl w:val="nil"/>
            </w:tcBorders>
            <w:shd w:val="clear" w:color="auto" w:fill="auto"/>
            <w:noWrap/>
            <w:tcMar>
              <w:left w:w="101" w:type="dxa"/>
              <w:right w:w="101" w:type="dxa"/>
            </w:tcMar>
            <w:vAlign w:val="bottom"/>
          </w:tcPr>
          <w:p w:rsidR="001651E4" w:rsidRPr="006A7A83" w:rsidRDefault="0058349F">
            <w:pPr>
              <w:spacing w:before="0" w:after="0"/>
              <w:jc w:val="right"/>
              <w:rPr>
                <w:rFonts w:eastAsia="Calibri" w:cs="Calibri"/>
                <w:b/>
                <w:color w:val="000000"/>
                <w:sz w:val="18"/>
              </w:rPr>
            </w:pPr>
            <w:r w:rsidRPr="006A7A83">
              <w:rPr>
                <w:rFonts w:eastAsia="Calibri" w:cs="Calibri"/>
                <w:b/>
                <w:color w:val="000000"/>
                <w:sz w:val="18"/>
              </w:rPr>
              <w:t>405</w:t>
            </w:r>
          </w:p>
        </w:tc>
        <w:tc>
          <w:tcPr>
            <w:tcW w:w="989" w:type="dxa"/>
            <w:tcBorders>
              <w:top w:val="nil"/>
              <w:left w:val="nil"/>
              <w:bottom w:val="nil"/>
              <w:right w:val="nil"/>
              <w:tl2br w:val="nil"/>
              <w:tr2bl w:val="nil"/>
            </w:tcBorders>
            <w:shd w:val="clear" w:color="auto" w:fill="auto"/>
            <w:noWrap/>
            <w:tcMar>
              <w:left w:w="101" w:type="dxa"/>
              <w:right w:w="101" w:type="dxa"/>
            </w:tcMar>
            <w:vAlign w:val="bottom"/>
          </w:tcPr>
          <w:p w:rsidR="001651E4" w:rsidRPr="006A7A83" w:rsidRDefault="0058349F">
            <w:pPr>
              <w:spacing w:before="0" w:after="0"/>
              <w:jc w:val="right"/>
              <w:rPr>
                <w:rFonts w:eastAsia="Calibri" w:cs="Calibri"/>
                <w:b/>
                <w:color w:val="000000"/>
                <w:sz w:val="18"/>
              </w:rPr>
            </w:pPr>
            <w:r w:rsidRPr="006A7A83">
              <w:rPr>
                <w:rFonts w:eastAsia="Calibri" w:cs="Calibri"/>
                <w:b/>
                <w:color w:val="000000"/>
                <w:sz w:val="18"/>
              </w:rPr>
              <w:t>415</w:t>
            </w:r>
          </w:p>
        </w:tc>
        <w:tc>
          <w:tcPr>
            <w:tcW w:w="989" w:type="dxa"/>
            <w:tcBorders>
              <w:top w:val="nil"/>
              <w:left w:val="nil"/>
              <w:bottom w:val="nil"/>
              <w:right w:val="nil"/>
              <w:tl2br w:val="nil"/>
              <w:tr2bl w:val="nil"/>
            </w:tcBorders>
            <w:shd w:val="clear" w:color="auto" w:fill="auto"/>
            <w:noWrap/>
            <w:tcMar>
              <w:left w:w="101" w:type="dxa"/>
              <w:right w:w="101" w:type="dxa"/>
            </w:tcMar>
            <w:vAlign w:val="bottom"/>
          </w:tcPr>
          <w:p w:rsidR="001651E4" w:rsidRPr="006A7A83" w:rsidRDefault="0058349F">
            <w:pPr>
              <w:spacing w:before="0" w:after="0"/>
              <w:jc w:val="right"/>
              <w:rPr>
                <w:rFonts w:eastAsia="Calibri" w:cs="Calibri"/>
                <w:b/>
                <w:color w:val="000000"/>
                <w:sz w:val="18"/>
              </w:rPr>
            </w:pPr>
            <w:r w:rsidRPr="006A7A83">
              <w:rPr>
                <w:rFonts w:eastAsia="Calibri" w:cs="Calibri"/>
                <w:b/>
                <w:color w:val="000000"/>
                <w:sz w:val="18"/>
              </w:rPr>
              <w:t>426</w:t>
            </w:r>
          </w:p>
        </w:tc>
        <w:tc>
          <w:tcPr>
            <w:tcW w:w="1056" w:type="dxa"/>
            <w:tcBorders>
              <w:top w:val="nil"/>
              <w:left w:val="nil"/>
              <w:bottom w:val="nil"/>
              <w:right w:val="nil"/>
              <w:tl2br w:val="nil"/>
              <w:tr2bl w:val="nil"/>
            </w:tcBorders>
            <w:shd w:val="clear" w:color="auto" w:fill="auto"/>
            <w:noWrap/>
            <w:tcMar>
              <w:left w:w="101" w:type="dxa"/>
              <w:right w:w="101" w:type="dxa"/>
            </w:tcMar>
            <w:vAlign w:val="bottom"/>
          </w:tcPr>
          <w:p w:rsidR="001651E4" w:rsidRPr="006A7A83" w:rsidRDefault="0058349F">
            <w:pPr>
              <w:spacing w:before="0" w:after="0"/>
              <w:jc w:val="right"/>
              <w:rPr>
                <w:rFonts w:eastAsia="Calibri" w:cs="Calibri"/>
                <w:b/>
                <w:color w:val="000000"/>
                <w:sz w:val="18"/>
              </w:rPr>
            </w:pPr>
            <w:r w:rsidRPr="006A7A83">
              <w:rPr>
                <w:rFonts w:eastAsia="Calibri" w:cs="Calibri"/>
                <w:b/>
                <w:color w:val="000000"/>
                <w:sz w:val="18"/>
              </w:rPr>
              <w:t>426</w:t>
            </w:r>
          </w:p>
        </w:tc>
      </w:tr>
      <w:tr w:rsidR="001651E4"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4678"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000000"/>
                <w:sz w:val="18"/>
              </w:rPr>
            </w:pPr>
          </w:p>
        </w:tc>
      </w:tr>
      <w:tr w:rsidR="001651E4"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101" w:type="dxa"/>
              <w:right w:w="101" w:type="dxa"/>
            </w:tcMar>
            <w:vAlign w:val="bottom"/>
          </w:tcPr>
          <w:p w:rsidR="001651E4" w:rsidRDefault="0058349F">
            <w:pPr>
              <w:spacing w:before="0" w:after="0"/>
              <w:rPr>
                <w:rFonts w:eastAsia="Calibri" w:cs="Calibri"/>
                <w:b/>
                <w:color w:val="000000"/>
                <w:sz w:val="18"/>
              </w:rPr>
            </w:pPr>
            <w:r>
              <w:rPr>
                <w:rFonts w:eastAsia="Calibri" w:cs="Calibri"/>
                <w:b/>
                <w:color w:val="000000"/>
                <w:sz w:val="18"/>
              </w:rPr>
              <w:t>2nd Appropriation</w:t>
            </w: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FFFFFF"/>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1651E4" w:rsidRDefault="001651E4">
            <w:pPr>
              <w:spacing w:before="0" w:after="0"/>
              <w:rPr>
                <w:rFonts w:eastAsia="Calibri" w:cs="Calibri"/>
                <w:color w:val="FFFFFF"/>
                <w:sz w:val="18"/>
              </w:rPr>
            </w:pP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101" w:type="dxa"/>
              <w:right w:w="101" w:type="dxa"/>
            </w:tcMar>
            <w:vAlign w:val="bottom"/>
          </w:tcPr>
          <w:p w:rsidR="006A7A83" w:rsidRDefault="006A7A83">
            <w:pPr>
              <w:spacing w:before="0" w:after="0"/>
              <w:rPr>
                <w:rFonts w:eastAsia="Calibri" w:cs="Calibri"/>
                <w:b/>
                <w:color w:val="000000"/>
                <w:sz w:val="18"/>
              </w:rPr>
            </w:pPr>
            <w:r>
              <w:rPr>
                <w:rFonts w:eastAsia="Calibri" w:cs="Calibri"/>
                <w:color w:val="000000"/>
                <w:sz w:val="18"/>
              </w:rPr>
              <w:t>Better support when it matters</w:t>
            </w:r>
            <w:r w:rsidR="00E23CA9">
              <w:rPr>
                <w:rFonts w:eastAsia="Calibri" w:cs="Calibri"/>
                <w:color w:val="000000"/>
                <w:sz w:val="18"/>
              </w:rPr>
              <w:t>:</w:t>
            </w: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pPr>
              <w:spacing w:before="0" w:after="0"/>
              <w:rPr>
                <w:rFonts w:eastAsia="Calibri" w:cs="Calibri"/>
                <w:color w:val="FFFFFF"/>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pPr>
              <w:spacing w:before="0" w:after="0"/>
              <w:rPr>
                <w:rFonts w:eastAsia="Calibri" w:cs="Calibri"/>
                <w:color w:val="FFFFFF"/>
                <w:sz w:val="18"/>
              </w:rPr>
            </w:pPr>
          </w:p>
        </w:tc>
      </w:tr>
      <w:tr w:rsidR="001651E4"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4678" w:type="dxa"/>
            <w:tcBorders>
              <w:top w:val="nil"/>
              <w:left w:val="nil"/>
              <w:bottom w:val="nil"/>
              <w:right w:val="nil"/>
              <w:tl2br w:val="nil"/>
              <w:tr2bl w:val="nil"/>
            </w:tcBorders>
            <w:shd w:val="clear" w:color="auto" w:fill="auto"/>
            <w:tcMar>
              <w:left w:w="101" w:type="dxa"/>
              <w:right w:w="101" w:type="dxa"/>
            </w:tcMar>
          </w:tcPr>
          <w:p w:rsidR="001651E4" w:rsidRPr="006A7A83" w:rsidRDefault="0058349F" w:rsidP="00362887">
            <w:pPr>
              <w:pStyle w:val="ListParagraph"/>
              <w:numPr>
                <w:ilvl w:val="0"/>
                <w:numId w:val="58"/>
              </w:numPr>
              <w:spacing w:before="0"/>
              <w:rPr>
                <w:rFonts w:eastAsia="Calibri" w:cs="Calibri"/>
                <w:color w:val="000000"/>
                <w:sz w:val="18"/>
              </w:rPr>
            </w:pPr>
            <w:proofErr w:type="spellStart"/>
            <w:r w:rsidRPr="006A7A83">
              <w:rPr>
                <w:rFonts w:eastAsia="Calibri" w:cs="Calibri"/>
                <w:color w:val="000000"/>
                <w:sz w:val="18"/>
              </w:rPr>
              <w:t>Bimberi</w:t>
            </w:r>
            <w:proofErr w:type="spellEnd"/>
            <w:r w:rsidRPr="006A7A83">
              <w:rPr>
                <w:rFonts w:eastAsia="Calibri" w:cs="Calibri"/>
                <w:color w:val="000000"/>
                <w:sz w:val="18"/>
              </w:rPr>
              <w:t xml:space="preserve"> Youth Justice Centre – Infrastructure upgrades</w:t>
            </w:r>
          </w:p>
        </w:tc>
        <w:tc>
          <w:tcPr>
            <w:tcW w:w="1033" w:type="dxa"/>
            <w:tcBorders>
              <w:top w:val="nil"/>
              <w:left w:val="nil"/>
              <w:bottom w:val="nil"/>
              <w:right w:val="nil"/>
              <w:tl2br w:val="nil"/>
              <w:tr2bl w:val="nil"/>
            </w:tcBorders>
            <w:shd w:val="clear" w:color="auto" w:fill="auto"/>
            <w:noWrap/>
            <w:tcMar>
              <w:left w:w="101" w:type="dxa"/>
              <w:right w:w="101" w:type="dxa"/>
            </w:tcMar>
            <w:vAlign w:val="center"/>
          </w:tcPr>
          <w:p w:rsidR="001651E4" w:rsidRDefault="00FC72EA">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044</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145</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1056"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0</w:t>
            </w: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0" w:type="dxa"/>
              <w:right w:w="0" w:type="dxa"/>
            </w:tcMar>
            <w:vAlign w:val="bottom"/>
          </w:tcPr>
          <w:p w:rsidR="006A7A83" w:rsidRDefault="006A7A83" w:rsidP="006A7A83">
            <w:pPr>
              <w:spacing w:before="0" w:after="0"/>
              <w:rPr>
                <w:rFonts w:eastAsia="Calibri" w:cs="Calibri"/>
                <w:color w:val="000000"/>
                <w:sz w:val="18"/>
              </w:rPr>
            </w:pP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101" w:type="dxa"/>
              <w:right w:w="101" w:type="dxa"/>
            </w:tcMar>
            <w:vAlign w:val="bottom"/>
          </w:tcPr>
          <w:p w:rsidR="006A7A83" w:rsidRDefault="006A7A83" w:rsidP="006A7A83">
            <w:pPr>
              <w:spacing w:before="0" w:after="0"/>
              <w:rPr>
                <w:rFonts w:eastAsia="Calibri" w:cs="Calibri"/>
                <w:b/>
                <w:color w:val="000000"/>
                <w:sz w:val="18"/>
              </w:rPr>
            </w:pPr>
            <w:r>
              <w:rPr>
                <w:rFonts w:eastAsia="Calibri" w:cs="Calibri"/>
                <w:b/>
                <w:color w:val="000000"/>
                <w:sz w:val="18"/>
              </w:rPr>
              <w:t>2018-19 Budget Policy Decisions</w:t>
            </w: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101" w:type="dxa"/>
              <w:right w:w="101" w:type="dxa"/>
            </w:tcMar>
            <w:vAlign w:val="bottom"/>
          </w:tcPr>
          <w:p w:rsidR="006A7A83" w:rsidRDefault="006A7A83" w:rsidP="006A7A83">
            <w:pPr>
              <w:spacing w:before="0" w:after="0"/>
              <w:rPr>
                <w:rFonts w:eastAsia="Calibri" w:cs="Calibri"/>
                <w:b/>
                <w:color w:val="000000"/>
                <w:sz w:val="18"/>
              </w:rPr>
            </w:pPr>
            <w:r>
              <w:rPr>
                <w:rFonts w:eastAsia="Calibri" w:cs="Calibri"/>
                <w:color w:val="000000"/>
                <w:sz w:val="18"/>
              </w:rPr>
              <w:t>More support for families and inclusion</w:t>
            </w:r>
            <w:r w:rsidR="00E23CA9">
              <w:rPr>
                <w:rFonts w:eastAsia="Calibri" w:cs="Calibri"/>
                <w:color w:val="000000"/>
                <w:sz w:val="18"/>
              </w:rPr>
              <w:t>:</w:t>
            </w: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4678" w:type="dxa"/>
            <w:tcBorders>
              <w:top w:val="nil"/>
              <w:left w:val="nil"/>
              <w:bottom w:val="nil"/>
              <w:right w:val="nil"/>
              <w:tl2br w:val="nil"/>
              <w:tr2bl w:val="nil"/>
            </w:tcBorders>
            <w:shd w:val="clear" w:color="auto" w:fill="auto"/>
            <w:tcMar>
              <w:left w:w="101" w:type="dxa"/>
              <w:right w:w="101" w:type="dxa"/>
            </w:tcMar>
          </w:tcPr>
          <w:p w:rsidR="006A7A83" w:rsidRPr="006A7A83" w:rsidRDefault="006A7A83" w:rsidP="00362887">
            <w:pPr>
              <w:pStyle w:val="ListParagraph"/>
              <w:numPr>
                <w:ilvl w:val="0"/>
                <w:numId w:val="58"/>
              </w:numPr>
              <w:spacing w:before="0"/>
              <w:rPr>
                <w:rFonts w:eastAsia="Calibri" w:cs="Calibri"/>
                <w:color w:val="000000"/>
                <w:sz w:val="18"/>
              </w:rPr>
            </w:pPr>
            <w:r w:rsidRPr="006A7A83">
              <w:rPr>
                <w:rFonts w:eastAsia="Calibri" w:cs="Calibri"/>
                <w:color w:val="000000"/>
                <w:sz w:val="18"/>
              </w:rPr>
              <w:t>Building connections for early intervention and prevention</w:t>
            </w:r>
          </w:p>
        </w:tc>
        <w:tc>
          <w:tcPr>
            <w:tcW w:w="1033"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FC72EA" w:rsidP="006A7A83">
            <w:pPr>
              <w:spacing w:before="0" w:after="0"/>
              <w:jc w:val="right"/>
              <w:rPr>
                <w:rFonts w:eastAsia="Calibri" w:cs="Calibri"/>
                <w:color w:val="000000"/>
                <w:sz w:val="18"/>
              </w:rPr>
            </w:pPr>
            <w:r>
              <w:rPr>
                <w:rFonts w:eastAsia="Calibri" w:cs="Calibri"/>
                <w:color w:val="000000"/>
                <w:sz w:val="18"/>
              </w:rPr>
              <w:t>1,</w:t>
            </w:r>
            <w:r w:rsidR="006A7A83">
              <w:rPr>
                <w:rFonts w:eastAsia="Calibri" w:cs="Calibri"/>
                <w:color w:val="000000"/>
                <w:sz w:val="18"/>
              </w:rPr>
              <w:t>934</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1056"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0" w:type="dxa"/>
              <w:right w:w="0" w:type="dxa"/>
            </w:tcMar>
            <w:vAlign w:val="bottom"/>
          </w:tcPr>
          <w:p w:rsidR="006A7A83" w:rsidRDefault="006A7A83" w:rsidP="006A7A83">
            <w:pPr>
              <w:spacing w:before="0" w:after="0"/>
              <w:rPr>
                <w:rFonts w:eastAsia="Calibri" w:cs="Calibri"/>
                <w:color w:val="000000"/>
                <w:sz w:val="18"/>
              </w:rPr>
            </w:pP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101" w:type="dxa"/>
              <w:right w:w="101" w:type="dxa"/>
            </w:tcMar>
            <w:vAlign w:val="bottom"/>
          </w:tcPr>
          <w:p w:rsidR="006A7A83" w:rsidRDefault="006A7A83" w:rsidP="006A7A83">
            <w:pPr>
              <w:spacing w:before="0" w:after="0"/>
              <w:rPr>
                <w:rFonts w:eastAsia="Calibri" w:cs="Calibri"/>
                <w:b/>
                <w:color w:val="000000"/>
                <w:sz w:val="18"/>
              </w:rPr>
            </w:pPr>
            <w:r>
              <w:rPr>
                <w:rFonts w:eastAsia="Calibri" w:cs="Calibri"/>
                <w:b/>
                <w:color w:val="000000"/>
                <w:sz w:val="18"/>
              </w:rPr>
              <w:t>2018-19 Budget Technical Adjustments</w:t>
            </w:r>
          </w:p>
        </w:tc>
        <w:tc>
          <w:tcPr>
            <w:tcW w:w="1033"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989"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c>
          <w:tcPr>
            <w:tcW w:w="1056" w:type="dxa"/>
            <w:tcBorders>
              <w:top w:val="nil"/>
              <w:left w:val="nil"/>
              <w:bottom w:val="nil"/>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FFFFFF"/>
                <w:sz w:val="18"/>
              </w:rPr>
            </w:pP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101" w:type="dxa"/>
              <w:right w:w="101" w:type="dxa"/>
            </w:tcMar>
          </w:tcPr>
          <w:p w:rsidR="006A7A83" w:rsidRDefault="006A7A83" w:rsidP="006A7A83">
            <w:pPr>
              <w:spacing w:before="0" w:after="0"/>
              <w:rPr>
                <w:rFonts w:eastAsia="Calibri" w:cs="Calibri"/>
                <w:color w:val="000000"/>
                <w:sz w:val="18"/>
              </w:rPr>
            </w:pPr>
            <w:r>
              <w:rPr>
                <w:rFonts w:eastAsia="Calibri" w:cs="Calibri"/>
                <w:color w:val="000000"/>
                <w:sz w:val="18"/>
              </w:rPr>
              <w:t>Revised Indexation for Better Infrastructure Fund</w:t>
            </w:r>
          </w:p>
        </w:tc>
        <w:tc>
          <w:tcPr>
            <w:tcW w:w="1033"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1056"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11</w:t>
            </w: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678" w:type="dxa"/>
            <w:tcBorders>
              <w:top w:val="nil"/>
              <w:left w:val="nil"/>
              <w:bottom w:val="nil"/>
              <w:right w:val="nil"/>
              <w:tl2br w:val="nil"/>
              <w:tr2bl w:val="nil"/>
            </w:tcBorders>
            <w:shd w:val="clear" w:color="auto" w:fill="auto"/>
            <w:tcMar>
              <w:left w:w="101" w:type="dxa"/>
              <w:right w:w="101" w:type="dxa"/>
            </w:tcMar>
          </w:tcPr>
          <w:p w:rsidR="006A7A83" w:rsidRDefault="006A7A83" w:rsidP="006A7A83">
            <w:pPr>
              <w:spacing w:before="0" w:after="0"/>
              <w:rPr>
                <w:rFonts w:eastAsia="Calibri" w:cs="Calibri"/>
                <w:color w:val="000000"/>
                <w:sz w:val="18"/>
              </w:rPr>
            </w:pPr>
            <w:r>
              <w:rPr>
                <w:rFonts w:eastAsia="Calibri" w:cs="Calibri"/>
                <w:color w:val="000000"/>
                <w:sz w:val="18"/>
              </w:rPr>
              <w:t>Revised Wage Parameters</w:t>
            </w:r>
          </w:p>
        </w:tc>
        <w:tc>
          <w:tcPr>
            <w:tcW w:w="1033"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301</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1056"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678" w:type="dxa"/>
            <w:tcBorders>
              <w:top w:val="nil"/>
              <w:left w:val="nil"/>
              <w:bottom w:val="nil"/>
              <w:right w:val="nil"/>
              <w:tl2br w:val="nil"/>
              <w:tr2bl w:val="nil"/>
            </w:tcBorders>
            <w:shd w:val="clear" w:color="auto" w:fill="auto"/>
            <w:tcMar>
              <w:left w:w="101" w:type="dxa"/>
              <w:right w:w="101" w:type="dxa"/>
            </w:tcMar>
          </w:tcPr>
          <w:p w:rsidR="006A7A83" w:rsidRDefault="006A7A83" w:rsidP="006A7A83">
            <w:pPr>
              <w:spacing w:before="0" w:after="0"/>
              <w:rPr>
                <w:rFonts w:eastAsia="Calibri" w:cs="Calibri"/>
                <w:color w:val="000000"/>
                <w:sz w:val="18"/>
              </w:rPr>
            </w:pPr>
            <w:r>
              <w:rPr>
                <w:rFonts w:eastAsia="Calibri" w:cs="Calibri"/>
                <w:color w:val="000000"/>
                <w:sz w:val="18"/>
              </w:rPr>
              <w:t>Revised Funding Profile</w:t>
            </w:r>
            <w:r w:rsidR="00E23CA9">
              <w:rPr>
                <w:rFonts w:eastAsia="Calibri" w:cs="Calibri"/>
                <w:color w:val="000000"/>
                <w:sz w:val="18"/>
              </w:rPr>
              <w:t>:</w:t>
            </w:r>
          </w:p>
        </w:tc>
        <w:tc>
          <w:tcPr>
            <w:tcW w:w="1033"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p>
        </w:tc>
        <w:tc>
          <w:tcPr>
            <w:tcW w:w="1056"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678" w:type="dxa"/>
            <w:tcBorders>
              <w:top w:val="nil"/>
              <w:left w:val="nil"/>
              <w:bottom w:val="nil"/>
              <w:right w:val="nil"/>
              <w:tl2br w:val="nil"/>
              <w:tr2bl w:val="nil"/>
            </w:tcBorders>
            <w:shd w:val="clear" w:color="auto" w:fill="auto"/>
            <w:tcMar>
              <w:left w:w="101" w:type="dxa"/>
              <w:right w:w="101" w:type="dxa"/>
            </w:tcMar>
          </w:tcPr>
          <w:p w:rsidR="006A7A83" w:rsidRDefault="006A7A83" w:rsidP="00362887">
            <w:pPr>
              <w:pStyle w:val="ListParagraph"/>
              <w:numPr>
                <w:ilvl w:val="0"/>
                <w:numId w:val="59"/>
              </w:numPr>
              <w:spacing w:before="0"/>
              <w:rPr>
                <w:rFonts w:eastAsia="Calibri" w:cs="Calibri"/>
                <w:color w:val="000000"/>
                <w:sz w:val="18"/>
              </w:rPr>
            </w:pPr>
            <w:proofErr w:type="spellStart"/>
            <w:r>
              <w:rPr>
                <w:rFonts w:eastAsia="Calibri" w:cs="Calibri"/>
                <w:color w:val="000000"/>
                <w:sz w:val="18"/>
              </w:rPr>
              <w:t>Bimberi</w:t>
            </w:r>
            <w:proofErr w:type="spellEnd"/>
            <w:r>
              <w:rPr>
                <w:rFonts w:eastAsia="Calibri" w:cs="Calibri"/>
                <w:color w:val="000000"/>
                <w:sz w:val="18"/>
              </w:rPr>
              <w:t xml:space="preserve"> Youth Justice Centre communication</w:t>
            </w:r>
          </w:p>
        </w:tc>
        <w:tc>
          <w:tcPr>
            <w:tcW w:w="1033"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-20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20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1056" w:type="dxa"/>
            <w:tcBorders>
              <w:top w:val="nil"/>
              <w:left w:val="nil"/>
              <w:bottom w:val="nil"/>
              <w:right w:val="nil"/>
              <w:tl2br w:val="nil"/>
              <w:tr2bl w:val="nil"/>
            </w:tcBorders>
            <w:shd w:val="clear" w:color="auto" w:fill="auto"/>
            <w:noWrap/>
            <w:tcMar>
              <w:left w:w="101" w:type="dxa"/>
              <w:right w:w="101" w:type="dxa"/>
            </w:tcMa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4678" w:type="dxa"/>
            <w:tcBorders>
              <w:top w:val="nil"/>
              <w:left w:val="nil"/>
              <w:bottom w:val="nil"/>
              <w:right w:val="nil"/>
              <w:tl2br w:val="nil"/>
              <w:tr2bl w:val="nil"/>
            </w:tcBorders>
            <w:shd w:val="clear" w:color="auto" w:fill="auto"/>
            <w:tcMar>
              <w:left w:w="101" w:type="dxa"/>
              <w:right w:w="101" w:type="dxa"/>
            </w:tcMar>
          </w:tcPr>
          <w:p w:rsidR="006A7A83" w:rsidRDefault="006A7A83" w:rsidP="00362887">
            <w:pPr>
              <w:pStyle w:val="ListParagraph"/>
              <w:numPr>
                <w:ilvl w:val="0"/>
                <w:numId w:val="59"/>
              </w:numPr>
              <w:spacing w:before="0"/>
              <w:rPr>
                <w:rFonts w:eastAsia="Calibri" w:cs="Calibri"/>
                <w:color w:val="000000"/>
                <w:sz w:val="18"/>
              </w:rPr>
            </w:pPr>
            <w:r>
              <w:rPr>
                <w:rFonts w:eastAsia="Calibri" w:cs="Calibri"/>
                <w:color w:val="000000"/>
                <w:sz w:val="18"/>
              </w:rPr>
              <w:t>C</w:t>
            </w:r>
            <w:r w:rsidRPr="00EC6641">
              <w:rPr>
                <w:rFonts w:eastAsia="Calibri" w:cs="Calibri"/>
                <w:color w:val="000000"/>
                <w:sz w:val="18"/>
              </w:rPr>
              <w:t>hild and Youth Protection system Critical Information Migration</w:t>
            </w:r>
          </w:p>
        </w:tc>
        <w:tc>
          <w:tcPr>
            <w:tcW w:w="1033"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-324</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324</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1056"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r>
      <w:tr w:rsidR="006A7A83" w:rsidTr="0031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4678" w:type="dxa"/>
            <w:tcBorders>
              <w:top w:val="nil"/>
              <w:left w:val="nil"/>
              <w:bottom w:val="nil"/>
              <w:right w:val="nil"/>
              <w:tl2br w:val="nil"/>
              <w:tr2bl w:val="nil"/>
            </w:tcBorders>
            <w:shd w:val="clear" w:color="auto" w:fill="auto"/>
            <w:tcMar>
              <w:left w:w="101" w:type="dxa"/>
              <w:right w:w="101" w:type="dxa"/>
            </w:tcMar>
          </w:tcPr>
          <w:p w:rsidR="006A7A83" w:rsidRDefault="006A7A83" w:rsidP="00362887">
            <w:pPr>
              <w:pStyle w:val="ListParagraph"/>
              <w:numPr>
                <w:ilvl w:val="0"/>
                <w:numId w:val="59"/>
              </w:numPr>
              <w:spacing w:before="0"/>
              <w:rPr>
                <w:rFonts w:eastAsia="Calibri" w:cs="Calibri"/>
                <w:color w:val="000000"/>
                <w:sz w:val="18"/>
              </w:rPr>
            </w:pPr>
            <w:r>
              <w:rPr>
                <w:rFonts w:eastAsia="Calibri" w:cs="Calibri"/>
                <w:color w:val="000000"/>
                <w:sz w:val="18"/>
              </w:rPr>
              <w:t>Client Management System for Child and Youth Protection Services</w:t>
            </w:r>
          </w:p>
        </w:tc>
        <w:tc>
          <w:tcPr>
            <w:tcW w:w="1033"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-831</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5751D9">
            <w:pPr>
              <w:spacing w:before="0" w:after="0"/>
              <w:jc w:val="right"/>
              <w:rPr>
                <w:rFonts w:eastAsia="Calibri" w:cs="Calibri"/>
                <w:color w:val="000000"/>
                <w:sz w:val="18"/>
              </w:rPr>
            </w:pPr>
            <w:r>
              <w:rPr>
                <w:rFonts w:eastAsia="Calibri" w:cs="Calibri"/>
                <w:color w:val="000000"/>
                <w:sz w:val="18"/>
              </w:rPr>
              <w:t>8</w:t>
            </w:r>
            <w:r w:rsidR="005751D9">
              <w:rPr>
                <w:rFonts w:eastAsia="Calibri" w:cs="Calibri"/>
                <w:color w:val="000000"/>
                <w:sz w:val="18"/>
              </w:rPr>
              <w:t>50</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989"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c>
          <w:tcPr>
            <w:tcW w:w="1056" w:type="dxa"/>
            <w:tcBorders>
              <w:top w:val="nil"/>
              <w:left w:val="nil"/>
              <w:bottom w:val="nil"/>
              <w:right w:val="nil"/>
              <w:tl2br w:val="nil"/>
              <w:tr2bl w:val="nil"/>
            </w:tcBorders>
            <w:shd w:val="clear" w:color="auto" w:fill="auto"/>
            <w:noWrap/>
            <w:tcMar>
              <w:left w:w="101" w:type="dxa"/>
              <w:right w:w="101" w:type="dxa"/>
            </w:tcMar>
            <w:vAlign w:val="center"/>
          </w:tcPr>
          <w:p w:rsidR="006A7A83" w:rsidRDefault="006A7A83" w:rsidP="006A7A83">
            <w:pPr>
              <w:spacing w:before="0" w:after="0"/>
              <w:jc w:val="right"/>
              <w:rPr>
                <w:rFonts w:eastAsia="Calibri" w:cs="Calibri"/>
                <w:color w:val="000000"/>
                <w:sz w:val="18"/>
              </w:rPr>
            </w:pPr>
            <w:r>
              <w:rPr>
                <w:rFonts w:eastAsia="Calibri" w:cs="Calibri"/>
                <w:color w:val="000000"/>
                <w:sz w:val="18"/>
              </w:rPr>
              <w:t>0</w:t>
            </w:r>
          </w:p>
        </w:tc>
      </w:tr>
      <w:tr w:rsidR="006A7A83" w:rsidTr="00763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4"/>
        </w:trPr>
        <w:tc>
          <w:tcPr>
            <w:tcW w:w="4678"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1033"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989"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c>
          <w:tcPr>
            <w:tcW w:w="1056"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6A7A83" w:rsidRDefault="006A7A83" w:rsidP="006A7A83">
            <w:pPr>
              <w:spacing w:before="0" w:after="0"/>
              <w:rPr>
                <w:rFonts w:eastAsia="Calibri" w:cs="Calibri"/>
                <w:color w:val="000000"/>
                <w:sz w:val="18"/>
              </w:rPr>
            </w:pPr>
          </w:p>
        </w:tc>
      </w:tr>
      <w:tr w:rsidR="006A7A83" w:rsidTr="00763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4"/>
        </w:trPr>
        <w:tc>
          <w:tcPr>
            <w:tcW w:w="4678" w:type="dxa"/>
            <w:tcBorders>
              <w:top w:val="single" w:sz="4" w:space="0" w:color="auto"/>
              <w:left w:val="nil"/>
              <w:bottom w:val="single" w:sz="4" w:space="0" w:color="auto"/>
              <w:right w:val="nil"/>
              <w:tl2br w:val="nil"/>
              <w:tr2bl w:val="nil"/>
            </w:tcBorders>
            <w:shd w:val="clear" w:color="auto" w:fill="auto"/>
            <w:noWrap/>
            <w:tcMar>
              <w:left w:w="101" w:type="dxa"/>
              <w:right w:w="101" w:type="dxa"/>
            </w:tcMar>
            <w:vAlign w:val="bottom"/>
          </w:tcPr>
          <w:p w:rsidR="006A7A83" w:rsidRDefault="006A7A83" w:rsidP="006A7A83">
            <w:pPr>
              <w:spacing w:before="0" w:after="0"/>
              <w:rPr>
                <w:rFonts w:eastAsia="Calibri" w:cs="Calibri"/>
                <w:b/>
                <w:color w:val="000000"/>
                <w:sz w:val="18"/>
              </w:rPr>
            </w:pPr>
            <w:r>
              <w:rPr>
                <w:rFonts w:eastAsia="Calibri" w:cs="Calibri"/>
                <w:b/>
                <w:color w:val="000000"/>
                <w:sz w:val="18"/>
              </w:rPr>
              <w:t>2018-19 Budget</w:t>
            </w:r>
          </w:p>
        </w:tc>
        <w:tc>
          <w:tcPr>
            <w:tcW w:w="1033" w:type="dxa"/>
            <w:tcBorders>
              <w:top w:val="single" w:sz="4" w:space="0" w:color="auto"/>
              <w:left w:val="nil"/>
              <w:bottom w:val="single" w:sz="4" w:space="0" w:color="auto"/>
              <w:right w:val="nil"/>
              <w:tl2br w:val="nil"/>
              <w:tr2bl w:val="nil"/>
            </w:tcBorders>
            <w:shd w:val="clear" w:color="auto" w:fill="auto"/>
            <w:noWrap/>
            <w:tcMar>
              <w:left w:w="101" w:type="dxa"/>
              <w:right w:w="101" w:type="dxa"/>
            </w:tcMar>
            <w:vAlign w:val="bottom"/>
          </w:tcPr>
          <w:p w:rsidR="006A7A83" w:rsidRDefault="005751D9" w:rsidP="006A7A83">
            <w:pPr>
              <w:spacing w:before="0" w:after="0"/>
              <w:jc w:val="right"/>
              <w:rPr>
                <w:rFonts w:eastAsia="Calibri" w:cs="Calibri"/>
                <w:b/>
                <w:color w:val="000000"/>
                <w:sz w:val="18"/>
              </w:rPr>
            </w:pPr>
            <w:r>
              <w:rPr>
                <w:rFonts w:eastAsia="Calibri" w:cs="Calibri"/>
                <w:b/>
                <w:color w:val="000000"/>
                <w:sz w:val="18"/>
              </w:rPr>
              <w:t>4,</w:t>
            </w:r>
            <w:r w:rsidR="006A7A83">
              <w:rPr>
                <w:rFonts w:eastAsia="Calibri" w:cs="Calibri"/>
                <w:b/>
                <w:color w:val="000000"/>
                <w:sz w:val="18"/>
              </w:rPr>
              <w:t>810</w:t>
            </w:r>
          </w:p>
        </w:tc>
        <w:tc>
          <w:tcPr>
            <w:tcW w:w="989" w:type="dxa"/>
            <w:tcBorders>
              <w:top w:val="single" w:sz="4" w:space="0" w:color="auto"/>
              <w:left w:val="nil"/>
              <w:bottom w:val="single" w:sz="4" w:space="0" w:color="auto"/>
              <w:right w:val="nil"/>
              <w:tl2br w:val="nil"/>
              <w:tr2bl w:val="nil"/>
            </w:tcBorders>
            <w:shd w:val="clear" w:color="auto" w:fill="auto"/>
            <w:noWrap/>
            <w:tcMar>
              <w:left w:w="101" w:type="dxa"/>
              <w:right w:w="101" w:type="dxa"/>
            </w:tcMar>
            <w:vAlign w:val="bottom"/>
          </w:tcPr>
          <w:p w:rsidR="006A7A83" w:rsidRDefault="005751D9" w:rsidP="006A7A83">
            <w:pPr>
              <w:spacing w:before="0" w:after="0"/>
              <w:jc w:val="right"/>
              <w:rPr>
                <w:rFonts w:eastAsia="Calibri" w:cs="Calibri"/>
                <w:b/>
                <w:color w:val="000000"/>
                <w:sz w:val="18"/>
              </w:rPr>
            </w:pPr>
            <w:r>
              <w:rPr>
                <w:rFonts w:eastAsia="Calibri" w:cs="Calibri"/>
                <w:b/>
                <w:color w:val="000000"/>
                <w:sz w:val="18"/>
              </w:rPr>
              <w:t>3,</w:t>
            </w:r>
            <w:r w:rsidR="006A7A83">
              <w:rPr>
                <w:rFonts w:eastAsia="Calibri" w:cs="Calibri"/>
                <w:b/>
                <w:color w:val="000000"/>
                <w:sz w:val="18"/>
              </w:rPr>
              <w:t>979</w:t>
            </w:r>
          </w:p>
        </w:tc>
        <w:tc>
          <w:tcPr>
            <w:tcW w:w="989" w:type="dxa"/>
            <w:tcBorders>
              <w:top w:val="single" w:sz="4" w:space="0" w:color="auto"/>
              <w:left w:val="nil"/>
              <w:bottom w:val="single" w:sz="4" w:space="0" w:color="auto"/>
              <w:right w:val="nil"/>
              <w:tl2br w:val="nil"/>
              <w:tr2bl w:val="nil"/>
            </w:tcBorders>
            <w:shd w:val="clear" w:color="auto" w:fill="auto"/>
            <w:noWrap/>
            <w:tcMar>
              <w:left w:w="101" w:type="dxa"/>
              <w:right w:w="101" w:type="dxa"/>
            </w:tcMar>
            <w:vAlign w:val="bottom"/>
          </w:tcPr>
          <w:p w:rsidR="006A7A83" w:rsidRDefault="006A7A83" w:rsidP="006A7A83">
            <w:pPr>
              <w:spacing w:before="0" w:after="0"/>
              <w:jc w:val="right"/>
              <w:rPr>
                <w:rFonts w:eastAsia="Calibri" w:cs="Calibri"/>
                <w:b/>
                <w:color w:val="000000"/>
                <w:sz w:val="18"/>
              </w:rPr>
            </w:pPr>
            <w:r>
              <w:rPr>
                <w:rFonts w:eastAsia="Calibri" w:cs="Calibri"/>
                <w:b/>
                <w:color w:val="000000"/>
                <w:sz w:val="18"/>
              </w:rPr>
              <w:t>415</w:t>
            </w:r>
          </w:p>
        </w:tc>
        <w:tc>
          <w:tcPr>
            <w:tcW w:w="989" w:type="dxa"/>
            <w:tcBorders>
              <w:top w:val="single" w:sz="4" w:space="0" w:color="auto"/>
              <w:left w:val="nil"/>
              <w:bottom w:val="single" w:sz="4" w:space="0" w:color="auto"/>
              <w:right w:val="nil"/>
              <w:tl2br w:val="nil"/>
              <w:tr2bl w:val="nil"/>
            </w:tcBorders>
            <w:shd w:val="clear" w:color="auto" w:fill="auto"/>
            <w:noWrap/>
            <w:tcMar>
              <w:left w:w="101" w:type="dxa"/>
              <w:right w:w="101" w:type="dxa"/>
            </w:tcMar>
            <w:vAlign w:val="bottom"/>
          </w:tcPr>
          <w:p w:rsidR="006A7A83" w:rsidRDefault="006A7A83" w:rsidP="006A7A83">
            <w:pPr>
              <w:spacing w:before="0" w:after="0"/>
              <w:jc w:val="right"/>
              <w:rPr>
                <w:rFonts w:eastAsia="Calibri" w:cs="Calibri"/>
                <w:b/>
                <w:color w:val="000000"/>
                <w:sz w:val="18"/>
              </w:rPr>
            </w:pPr>
            <w:r>
              <w:rPr>
                <w:rFonts w:eastAsia="Calibri" w:cs="Calibri"/>
                <w:b/>
                <w:color w:val="000000"/>
                <w:sz w:val="18"/>
              </w:rPr>
              <w:t>426</w:t>
            </w:r>
          </w:p>
        </w:tc>
        <w:tc>
          <w:tcPr>
            <w:tcW w:w="1056" w:type="dxa"/>
            <w:tcBorders>
              <w:top w:val="single" w:sz="4" w:space="0" w:color="auto"/>
              <w:left w:val="nil"/>
              <w:bottom w:val="single" w:sz="4" w:space="0" w:color="auto"/>
              <w:right w:val="nil"/>
              <w:tl2br w:val="nil"/>
              <w:tr2bl w:val="nil"/>
            </w:tcBorders>
            <w:shd w:val="clear" w:color="auto" w:fill="auto"/>
            <w:noWrap/>
            <w:tcMar>
              <w:left w:w="101" w:type="dxa"/>
              <w:right w:w="101" w:type="dxa"/>
            </w:tcMar>
            <w:vAlign w:val="bottom"/>
          </w:tcPr>
          <w:p w:rsidR="006A7A83" w:rsidRDefault="006A7A83" w:rsidP="006A7A83">
            <w:pPr>
              <w:spacing w:before="0" w:after="0"/>
              <w:jc w:val="right"/>
              <w:rPr>
                <w:rFonts w:eastAsia="Calibri" w:cs="Calibri"/>
                <w:b/>
                <w:color w:val="000000"/>
                <w:sz w:val="18"/>
              </w:rPr>
            </w:pPr>
            <w:r>
              <w:rPr>
                <w:rFonts w:eastAsia="Calibri" w:cs="Calibri"/>
                <w:b/>
                <w:color w:val="000000"/>
                <w:sz w:val="18"/>
              </w:rPr>
              <w:t>437</w:t>
            </w:r>
          </w:p>
        </w:tc>
      </w:tr>
    </w:tbl>
    <w:p w:rsidR="0058349F" w:rsidRDefault="0058349F" w:rsidP="0058349F">
      <w:pPr>
        <w:pStyle w:val="Heading2"/>
        <w:pageBreakBefore/>
        <w:pBdr>
          <w:top w:val="nil"/>
          <w:left w:val="nil"/>
          <w:bottom w:val="nil"/>
          <w:right w:val="nil"/>
          <w:between w:val="nil"/>
          <w:bar w:val="nil"/>
        </w:pBdr>
        <w:ind w:left="-426" w:firstLine="426"/>
        <w:rPr>
          <w:bdr w:val="nil"/>
        </w:rPr>
      </w:pPr>
      <w:bookmarkStart w:id="41" w:name="_Toc452467803"/>
      <w:bookmarkStart w:id="42" w:name="_Toc514925177"/>
      <w:bookmarkStart w:id="43" w:name="_Toc514926340"/>
      <w:r>
        <w:rPr>
          <w:bdr w:val="nil"/>
        </w:rPr>
        <w:t>Financial Statements</w:t>
      </w:r>
      <w:bookmarkEnd w:id="41"/>
      <w:r>
        <w:rPr>
          <w:bdr w:val="nil"/>
        </w:rPr>
        <w:t xml:space="preserve"> – Controlled (GGS)</w:t>
      </w:r>
      <w:bookmarkEnd w:id="42"/>
      <w:bookmarkEnd w:id="43"/>
    </w:p>
    <w:p w:rsidR="0058349F" w:rsidRPr="00625775" w:rsidRDefault="0058349F" w:rsidP="0058349F">
      <w:pPr>
        <w:pStyle w:val="Caption"/>
        <w:pBdr>
          <w:top w:val="nil"/>
          <w:left w:val="nil"/>
          <w:bottom w:val="nil"/>
          <w:right w:val="nil"/>
          <w:between w:val="nil"/>
          <w:bar w:val="nil"/>
        </w:pBdr>
        <w:rPr>
          <w:bdr w:val="nil"/>
        </w:rPr>
      </w:pPr>
      <w:r>
        <w:rPr>
          <w:bdr w:val="nil"/>
        </w:rPr>
        <w:t xml:space="preserve">Table </w:t>
      </w:r>
      <w:r w:rsidR="00BD264F">
        <w:rPr>
          <w:bdr w:val="nil"/>
        </w:rPr>
        <w:t>29</w:t>
      </w:r>
      <w:r>
        <w:rPr>
          <w:bdr w:val="nil"/>
        </w:rPr>
        <w:t xml:space="preserve">: Community Services Directorate: Operating Statement </w:t>
      </w:r>
    </w:p>
    <w:tbl>
      <w:tblPr>
        <w:tblStyle w:val="CDMRange1"/>
        <w:tblW w:w="9356" w:type="dxa"/>
        <w:tblInd w:w="-142" w:type="dxa"/>
        <w:tblLayout w:type="fixed"/>
        <w:tblLook w:val="0600" w:firstRow="0" w:lastRow="0" w:firstColumn="0" w:lastColumn="0" w:noHBand="1" w:noVBand="1"/>
      </w:tblPr>
      <w:tblGrid>
        <w:gridCol w:w="1177"/>
        <w:gridCol w:w="2793"/>
        <w:gridCol w:w="992"/>
        <w:gridCol w:w="850"/>
        <w:gridCol w:w="567"/>
        <w:gridCol w:w="993"/>
        <w:gridCol w:w="992"/>
        <w:gridCol w:w="992"/>
      </w:tblGrid>
      <w:tr w:rsidR="001651E4" w:rsidTr="00244C2C">
        <w:trPr>
          <w:trHeight w:val="1005"/>
        </w:trPr>
        <w:tc>
          <w:tcPr>
            <w:tcW w:w="117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2017-18 Budget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2793"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 $'000</w:t>
            </w:r>
          </w:p>
        </w:tc>
        <w:tc>
          <w:tcPr>
            <w:tcW w:w="85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2018-19 Budget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56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1651E4" w:rsidRDefault="0058349F">
            <w:pPr>
              <w:spacing w:before="0" w:after="0"/>
              <w:jc w:val="right"/>
              <w:rPr>
                <w:rFonts w:eastAsia="Calibri" w:cs="Calibri"/>
                <w:b/>
                <w:color w:val="000000"/>
                <w:sz w:val="18"/>
              </w:rPr>
            </w:pPr>
            <w:r>
              <w:rPr>
                <w:rFonts w:eastAsia="Calibri" w:cs="Calibri"/>
                <w:b/>
                <w:color w:val="000000"/>
                <w:sz w:val="18"/>
              </w:rPr>
              <w:t>%</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2019-20 Estimate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2020-21 Estimate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2021-22 Estimate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793"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850"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Income</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Revenue</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252,</w:t>
            </w:r>
            <w:r w:rsidR="0058349F">
              <w:rPr>
                <w:rFonts w:eastAsia="Calibri" w:cs="Calibri"/>
                <w:color w:val="000000"/>
                <w:sz w:val="18"/>
              </w:rPr>
              <w:t>585</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Controlled Recurrent Payments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254</w:t>
            </w:r>
            <w:r w:rsidR="005751D9">
              <w:rPr>
                <w:rFonts w:eastAsia="Calibri" w:cs="Calibri"/>
                <w:color w:val="000000"/>
                <w:sz w:val="18"/>
              </w:rPr>
              <w:t>,</w:t>
            </w:r>
            <w:r>
              <w:rPr>
                <w:rFonts w:eastAsia="Calibri" w:cs="Calibri"/>
                <w:color w:val="000000"/>
                <w:sz w:val="18"/>
              </w:rPr>
              <w:t>052</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269</w:t>
            </w:r>
            <w:r w:rsidR="005751D9">
              <w:rPr>
                <w:rFonts w:eastAsia="Calibri" w:cs="Calibri"/>
                <w:color w:val="000000"/>
                <w:sz w:val="18"/>
              </w:rPr>
              <w:t>,</w:t>
            </w:r>
            <w:r>
              <w:rPr>
                <w:rFonts w:eastAsia="Calibri" w:cs="Calibri"/>
                <w:color w:val="000000"/>
                <w:sz w:val="18"/>
              </w:rPr>
              <w:t>097</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6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297,</w:t>
            </w:r>
            <w:r w:rsidR="0058349F">
              <w:rPr>
                <w:rFonts w:eastAsia="Calibri" w:cs="Calibri"/>
                <w:color w:val="000000"/>
                <w:sz w:val="18"/>
              </w:rPr>
              <w:t>035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304,</w:t>
            </w:r>
            <w:r w:rsidR="0058349F">
              <w:rPr>
                <w:rFonts w:eastAsia="Calibri" w:cs="Calibri"/>
                <w:color w:val="000000"/>
                <w:sz w:val="18"/>
              </w:rPr>
              <w:t>331</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310,</w:t>
            </w:r>
            <w:r w:rsidR="0058349F">
              <w:rPr>
                <w:rFonts w:eastAsia="Calibri" w:cs="Calibri"/>
                <w:color w:val="000000"/>
                <w:sz w:val="18"/>
              </w:rPr>
              <w:t>175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705</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User Charges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705</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705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705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705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705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Resources Received Free of Charge</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Revenue</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691</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-14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254</w:t>
            </w:r>
            <w:r w:rsidR="005751D9">
              <w:rPr>
                <w:rFonts w:eastAsia="Calibri" w:cs="Calibri"/>
                <w:b/>
                <w:color w:val="000000"/>
                <w:sz w:val="18"/>
              </w:rPr>
              <w:t>,</w:t>
            </w:r>
            <w:r>
              <w:rPr>
                <w:rFonts w:eastAsia="Calibri" w:cs="Calibri"/>
                <w:b/>
                <w:color w:val="000000"/>
                <w:sz w:val="18"/>
              </w:rPr>
              <w:t>341</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Revenue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255</w:t>
            </w:r>
            <w:r w:rsidR="005751D9">
              <w:rPr>
                <w:rFonts w:eastAsia="Calibri" w:cs="Calibri"/>
                <w:b/>
                <w:color w:val="000000"/>
                <w:sz w:val="18"/>
              </w:rPr>
              <w:t>,</w:t>
            </w:r>
            <w:r>
              <w:rPr>
                <w:rFonts w:eastAsia="Calibri" w:cs="Calibri"/>
                <w:b/>
                <w:color w:val="000000"/>
                <w:sz w:val="18"/>
              </w:rPr>
              <w:t>908</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270</w:t>
            </w:r>
            <w:r w:rsidR="005751D9">
              <w:rPr>
                <w:rFonts w:eastAsia="Calibri" w:cs="Calibri"/>
                <w:b/>
                <w:color w:val="000000"/>
                <w:sz w:val="18"/>
              </w:rPr>
              <w:t>,</w:t>
            </w:r>
            <w:r>
              <w:rPr>
                <w:rFonts w:eastAsia="Calibri" w:cs="Calibri"/>
                <w:b/>
                <w:color w:val="000000"/>
                <w:sz w:val="18"/>
              </w:rPr>
              <w:t>853</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298</w:t>
            </w:r>
            <w:r w:rsidR="005751D9">
              <w:rPr>
                <w:rFonts w:eastAsia="Calibri" w:cs="Calibri"/>
                <w:b/>
                <w:color w:val="000000"/>
                <w:sz w:val="18"/>
              </w:rPr>
              <w:t>,</w:t>
            </w:r>
            <w:r>
              <w:rPr>
                <w:rFonts w:eastAsia="Calibri" w:cs="Calibri"/>
                <w:b/>
                <w:color w:val="000000"/>
                <w:sz w:val="18"/>
              </w:rPr>
              <w:t>791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306</w:t>
            </w:r>
            <w:r w:rsidR="005751D9">
              <w:rPr>
                <w:rFonts w:eastAsia="Calibri" w:cs="Calibri"/>
                <w:b/>
                <w:color w:val="000000"/>
                <w:sz w:val="18"/>
              </w:rPr>
              <w:t>,</w:t>
            </w:r>
            <w:r>
              <w:rPr>
                <w:rFonts w:eastAsia="Calibri" w:cs="Calibri"/>
                <w:b/>
                <w:color w:val="000000"/>
                <w:sz w:val="18"/>
              </w:rPr>
              <w:t>087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3</w:t>
            </w:r>
            <w:r w:rsidR="005751D9">
              <w:rPr>
                <w:rFonts w:eastAsia="Calibri" w:cs="Calibri"/>
                <w:b/>
                <w:color w:val="000000"/>
                <w:sz w:val="18"/>
              </w:rPr>
              <w:t>11,</w:t>
            </w:r>
            <w:r>
              <w:rPr>
                <w:rFonts w:eastAsia="Calibri" w:cs="Calibri"/>
                <w:b/>
                <w:color w:val="000000"/>
                <w:sz w:val="18"/>
              </w:rPr>
              <w:t>931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Gains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620</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Gains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203</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520</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-31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w:t>
            </w:r>
            <w:r w:rsidR="005751D9">
              <w:rPr>
                <w:rFonts w:eastAsia="Calibri" w:cs="Calibri"/>
                <w:color w:val="000000"/>
                <w:sz w:val="18"/>
              </w:rPr>
              <w:t>,</w:t>
            </w:r>
            <w:r>
              <w:rPr>
                <w:rFonts w:eastAsia="Calibri" w:cs="Calibri"/>
                <w:color w:val="000000"/>
                <w:sz w:val="18"/>
              </w:rPr>
              <w:t>620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w:t>
            </w:r>
            <w:r w:rsidR="005751D9">
              <w:rPr>
                <w:rFonts w:eastAsia="Calibri" w:cs="Calibri"/>
                <w:color w:val="000000"/>
                <w:sz w:val="18"/>
              </w:rPr>
              <w:t>,</w:t>
            </w:r>
            <w:r>
              <w:rPr>
                <w:rFonts w:eastAsia="Calibri" w:cs="Calibri"/>
                <w:color w:val="000000"/>
                <w:sz w:val="18"/>
              </w:rPr>
              <w:t>620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w:t>
            </w:r>
            <w:r w:rsidR="005751D9">
              <w:rPr>
                <w:rFonts w:eastAsia="Calibri" w:cs="Calibri"/>
                <w:color w:val="000000"/>
                <w:sz w:val="18"/>
              </w:rPr>
              <w:t>,</w:t>
            </w:r>
            <w:r>
              <w:rPr>
                <w:rFonts w:eastAsia="Calibri" w:cs="Calibri"/>
                <w:color w:val="000000"/>
                <w:sz w:val="18"/>
              </w:rPr>
              <w:t>620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620</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Gains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w:t>
            </w:r>
            <w:r w:rsidR="005751D9">
              <w:rPr>
                <w:rFonts w:eastAsia="Calibri" w:cs="Calibri"/>
                <w:b/>
                <w:color w:val="000000"/>
                <w:sz w:val="18"/>
              </w:rPr>
              <w:t>,</w:t>
            </w:r>
            <w:r>
              <w:rPr>
                <w:rFonts w:eastAsia="Calibri" w:cs="Calibri"/>
                <w:b/>
                <w:color w:val="000000"/>
                <w:sz w:val="18"/>
              </w:rPr>
              <w:t>203</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1</w:t>
            </w:r>
            <w:r w:rsidR="005751D9">
              <w:rPr>
                <w:rFonts w:eastAsia="Calibri" w:cs="Calibri"/>
                <w:b/>
                <w:color w:val="000000"/>
                <w:sz w:val="18"/>
              </w:rPr>
              <w:t>,</w:t>
            </w:r>
            <w:r>
              <w:rPr>
                <w:rFonts w:eastAsia="Calibri" w:cs="Calibri"/>
                <w:b/>
                <w:color w:val="000000"/>
                <w:sz w:val="18"/>
              </w:rPr>
              <w:t>520</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-31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1</w:t>
            </w:r>
            <w:r w:rsidR="005751D9">
              <w:rPr>
                <w:rFonts w:eastAsia="Calibri" w:cs="Calibri"/>
                <w:b/>
                <w:color w:val="000000"/>
                <w:sz w:val="18"/>
              </w:rPr>
              <w:t>,</w:t>
            </w:r>
            <w:r>
              <w:rPr>
                <w:rFonts w:eastAsia="Calibri" w:cs="Calibri"/>
                <w:b/>
                <w:color w:val="000000"/>
                <w:sz w:val="18"/>
              </w:rPr>
              <w:t>620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1</w:t>
            </w:r>
            <w:r w:rsidR="005751D9">
              <w:rPr>
                <w:rFonts w:eastAsia="Calibri" w:cs="Calibri"/>
                <w:b/>
                <w:color w:val="000000"/>
                <w:sz w:val="18"/>
              </w:rPr>
              <w:t>,</w:t>
            </w:r>
            <w:r>
              <w:rPr>
                <w:rFonts w:eastAsia="Calibri" w:cs="Calibri"/>
                <w:b/>
                <w:color w:val="000000"/>
                <w:sz w:val="18"/>
              </w:rPr>
              <w:t>620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620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25</w:t>
            </w:r>
            <w:r w:rsidR="005751D9">
              <w:rPr>
                <w:rFonts w:eastAsia="Calibri" w:cs="Calibri"/>
                <w:b/>
                <w:color w:val="000000"/>
                <w:sz w:val="18"/>
              </w:rPr>
              <w:t>5,</w:t>
            </w:r>
            <w:r>
              <w:rPr>
                <w:rFonts w:eastAsia="Calibri" w:cs="Calibri"/>
                <w:b/>
                <w:color w:val="000000"/>
                <w:sz w:val="18"/>
              </w:rPr>
              <w:t>961</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Income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258</w:t>
            </w:r>
            <w:r w:rsidR="005751D9">
              <w:rPr>
                <w:rFonts w:eastAsia="Calibri" w:cs="Calibri"/>
                <w:b/>
                <w:color w:val="000000"/>
                <w:sz w:val="18"/>
              </w:rPr>
              <w:t>,</w:t>
            </w:r>
            <w:r>
              <w:rPr>
                <w:rFonts w:eastAsia="Calibri" w:cs="Calibri"/>
                <w:b/>
                <w:color w:val="000000"/>
                <w:sz w:val="18"/>
              </w:rPr>
              <w:t>111</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272</w:t>
            </w:r>
            <w:r w:rsidR="005751D9">
              <w:rPr>
                <w:rFonts w:eastAsia="Calibri" w:cs="Calibri"/>
                <w:b/>
                <w:color w:val="000000"/>
                <w:sz w:val="18"/>
              </w:rPr>
              <w:t>,</w:t>
            </w:r>
            <w:r>
              <w:rPr>
                <w:rFonts w:eastAsia="Calibri" w:cs="Calibri"/>
                <w:b/>
                <w:color w:val="000000"/>
                <w:sz w:val="18"/>
              </w:rPr>
              <w:t>373</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300</w:t>
            </w:r>
            <w:r w:rsidR="005751D9">
              <w:rPr>
                <w:rFonts w:eastAsia="Calibri" w:cs="Calibri"/>
                <w:b/>
                <w:color w:val="000000"/>
                <w:sz w:val="18"/>
              </w:rPr>
              <w:t>,</w:t>
            </w:r>
            <w:r>
              <w:rPr>
                <w:rFonts w:eastAsia="Calibri" w:cs="Calibri"/>
                <w:b/>
                <w:color w:val="000000"/>
                <w:sz w:val="18"/>
              </w:rPr>
              <w:t>411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3</w:t>
            </w:r>
            <w:r w:rsidR="005751D9">
              <w:rPr>
                <w:rFonts w:eastAsia="Calibri" w:cs="Calibri"/>
                <w:b/>
                <w:color w:val="000000"/>
                <w:sz w:val="18"/>
              </w:rPr>
              <w:t>07,</w:t>
            </w:r>
            <w:r>
              <w:rPr>
                <w:rFonts w:eastAsia="Calibri" w:cs="Calibri"/>
                <w:b/>
                <w:color w:val="000000"/>
                <w:sz w:val="18"/>
              </w:rPr>
              <w:t>707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313,</w:t>
            </w:r>
            <w:r w:rsidR="0058349F">
              <w:rPr>
                <w:rFonts w:eastAsia="Calibri" w:cs="Calibri"/>
                <w:b/>
                <w:color w:val="000000"/>
                <w:sz w:val="18"/>
              </w:rPr>
              <w:t>551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 xml:space="preserve">Expenses  </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60</w:t>
            </w:r>
            <w:r w:rsidR="005751D9">
              <w:rPr>
                <w:rFonts w:eastAsia="Calibri" w:cs="Calibri"/>
                <w:color w:val="000000"/>
                <w:sz w:val="18"/>
              </w:rPr>
              <w:t>,</w:t>
            </w:r>
            <w:r>
              <w:rPr>
                <w:rFonts w:eastAsia="Calibri" w:cs="Calibri"/>
                <w:color w:val="000000"/>
                <w:sz w:val="18"/>
              </w:rPr>
              <w:t>853</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Employee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62,</w:t>
            </w:r>
            <w:r w:rsidR="0058349F">
              <w:rPr>
                <w:rFonts w:eastAsia="Calibri" w:cs="Calibri"/>
                <w:color w:val="000000"/>
                <w:sz w:val="18"/>
              </w:rPr>
              <w:t>585</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66</w:t>
            </w:r>
            <w:r w:rsidR="005751D9">
              <w:rPr>
                <w:rFonts w:eastAsia="Calibri" w:cs="Calibri"/>
                <w:color w:val="000000"/>
                <w:sz w:val="18"/>
              </w:rPr>
              <w:t>,</w:t>
            </w:r>
            <w:r>
              <w:rPr>
                <w:rFonts w:eastAsia="Calibri" w:cs="Calibri"/>
                <w:color w:val="000000"/>
                <w:sz w:val="18"/>
              </w:rPr>
              <w:t>253</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66</w:t>
            </w:r>
            <w:r w:rsidR="005751D9">
              <w:rPr>
                <w:rFonts w:eastAsia="Calibri" w:cs="Calibri"/>
                <w:color w:val="000000"/>
                <w:sz w:val="18"/>
              </w:rPr>
              <w:t>,</w:t>
            </w:r>
            <w:r>
              <w:rPr>
                <w:rFonts w:eastAsia="Calibri" w:cs="Calibri"/>
                <w:color w:val="000000"/>
                <w:sz w:val="18"/>
              </w:rPr>
              <w:t>833</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67</w:t>
            </w:r>
            <w:r w:rsidR="005751D9">
              <w:rPr>
                <w:rFonts w:eastAsia="Calibri" w:cs="Calibri"/>
                <w:color w:val="000000"/>
                <w:sz w:val="18"/>
              </w:rPr>
              <w:t>,</w:t>
            </w:r>
            <w:r>
              <w:rPr>
                <w:rFonts w:eastAsia="Calibri" w:cs="Calibri"/>
                <w:color w:val="000000"/>
                <w:sz w:val="18"/>
              </w:rPr>
              <w:t>361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w:t>
            </w:r>
            <w:r w:rsidR="005751D9">
              <w:rPr>
                <w:rFonts w:eastAsia="Calibri" w:cs="Calibri"/>
                <w:color w:val="000000"/>
                <w:sz w:val="18"/>
              </w:rPr>
              <w:t>8,</w:t>
            </w:r>
            <w:r>
              <w:rPr>
                <w:rFonts w:eastAsia="Calibri" w:cs="Calibri"/>
                <w:color w:val="000000"/>
                <w:sz w:val="18"/>
              </w:rPr>
              <w:t>940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9,</w:t>
            </w:r>
            <w:r w:rsidR="0058349F">
              <w:rPr>
                <w:rFonts w:eastAsia="Calibri" w:cs="Calibri"/>
                <w:color w:val="000000"/>
                <w:sz w:val="18"/>
              </w:rPr>
              <w:t>520</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Superannuation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8</w:t>
            </w:r>
            <w:r w:rsidR="005751D9">
              <w:rPr>
                <w:rFonts w:eastAsia="Calibri" w:cs="Calibri"/>
                <w:color w:val="000000"/>
                <w:sz w:val="18"/>
              </w:rPr>
              <w:t>,</w:t>
            </w:r>
            <w:r>
              <w:rPr>
                <w:rFonts w:eastAsia="Calibri" w:cs="Calibri"/>
                <w:color w:val="000000"/>
                <w:sz w:val="18"/>
              </w:rPr>
              <w:t>928</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9</w:t>
            </w:r>
            <w:r w:rsidR="005751D9">
              <w:rPr>
                <w:rFonts w:eastAsia="Calibri" w:cs="Calibri"/>
                <w:color w:val="000000"/>
                <w:sz w:val="18"/>
              </w:rPr>
              <w:t>,</w:t>
            </w:r>
            <w:r>
              <w:rPr>
                <w:rFonts w:eastAsia="Calibri" w:cs="Calibri"/>
                <w:color w:val="000000"/>
                <w:sz w:val="18"/>
              </w:rPr>
              <w:t>908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11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10</w:t>
            </w:r>
            <w:r w:rsidR="005751D9">
              <w:rPr>
                <w:rFonts w:eastAsia="Calibri" w:cs="Calibri"/>
                <w:color w:val="000000"/>
                <w:sz w:val="18"/>
              </w:rPr>
              <w:t>,</w:t>
            </w:r>
            <w:r>
              <w:rPr>
                <w:rFonts w:eastAsia="Calibri" w:cs="Calibri"/>
                <w:color w:val="000000"/>
                <w:sz w:val="18"/>
              </w:rPr>
              <w:t>411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11</w:t>
            </w:r>
            <w:r w:rsidR="005751D9">
              <w:rPr>
                <w:rFonts w:eastAsia="Calibri" w:cs="Calibri"/>
                <w:color w:val="000000"/>
                <w:sz w:val="18"/>
              </w:rPr>
              <w:t>,</w:t>
            </w:r>
            <w:r>
              <w:rPr>
                <w:rFonts w:eastAsia="Calibri" w:cs="Calibri"/>
                <w:color w:val="000000"/>
                <w:sz w:val="18"/>
              </w:rPr>
              <w:t>030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w:t>
            </w:r>
            <w:r w:rsidR="005751D9">
              <w:rPr>
                <w:rFonts w:eastAsia="Calibri" w:cs="Calibri"/>
                <w:color w:val="000000"/>
                <w:sz w:val="18"/>
              </w:rPr>
              <w:t>1,</w:t>
            </w:r>
            <w:r>
              <w:rPr>
                <w:rFonts w:eastAsia="Calibri" w:cs="Calibri"/>
                <w:color w:val="000000"/>
                <w:sz w:val="18"/>
              </w:rPr>
              <w:t>502</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19</w:t>
            </w:r>
            <w:r w:rsidR="005751D9">
              <w:rPr>
                <w:rFonts w:eastAsia="Calibri" w:cs="Calibri"/>
                <w:color w:val="000000"/>
                <w:sz w:val="18"/>
              </w:rPr>
              <w:t>,</w:t>
            </w:r>
            <w:r>
              <w:rPr>
                <w:rFonts w:eastAsia="Calibri" w:cs="Calibri"/>
                <w:color w:val="000000"/>
                <w:sz w:val="18"/>
              </w:rPr>
              <w:t>794</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Supplies and Services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21</w:t>
            </w:r>
            <w:r w:rsidR="005751D9">
              <w:rPr>
                <w:rFonts w:eastAsia="Calibri" w:cs="Calibri"/>
                <w:color w:val="000000"/>
                <w:sz w:val="18"/>
              </w:rPr>
              <w:t>,</w:t>
            </w:r>
            <w:r>
              <w:rPr>
                <w:rFonts w:eastAsia="Calibri" w:cs="Calibri"/>
                <w:color w:val="000000"/>
                <w:sz w:val="18"/>
              </w:rPr>
              <w:t>273</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w:t>
            </w:r>
            <w:r w:rsidR="005751D9">
              <w:rPr>
                <w:rFonts w:eastAsia="Calibri" w:cs="Calibri"/>
                <w:color w:val="000000"/>
                <w:sz w:val="18"/>
              </w:rPr>
              <w:t>4,</w:t>
            </w:r>
            <w:r>
              <w:rPr>
                <w:rFonts w:eastAsia="Calibri" w:cs="Calibri"/>
                <w:color w:val="000000"/>
                <w:sz w:val="18"/>
              </w:rPr>
              <w:t>753</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29</w:t>
            </w:r>
            <w:r w:rsidR="005751D9">
              <w:rPr>
                <w:rFonts w:eastAsia="Calibri" w:cs="Calibri"/>
                <w:color w:val="000000"/>
                <w:sz w:val="18"/>
              </w:rPr>
              <w:t>,</w:t>
            </w:r>
            <w:r>
              <w:rPr>
                <w:rFonts w:eastAsia="Calibri" w:cs="Calibri"/>
                <w:color w:val="000000"/>
                <w:sz w:val="18"/>
              </w:rPr>
              <w:t>686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w:t>
            </w:r>
            <w:r w:rsidR="005751D9">
              <w:rPr>
                <w:rFonts w:eastAsia="Calibri" w:cs="Calibri"/>
                <w:color w:val="000000"/>
                <w:sz w:val="18"/>
              </w:rPr>
              <w:t>9,</w:t>
            </w:r>
            <w:r>
              <w:rPr>
                <w:rFonts w:eastAsia="Calibri" w:cs="Calibri"/>
                <w:color w:val="000000"/>
                <w:sz w:val="18"/>
              </w:rPr>
              <w:t>307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30,</w:t>
            </w:r>
            <w:r w:rsidR="0058349F">
              <w:rPr>
                <w:rFonts w:eastAsia="Calibri" w:cs="Calibri"/>
                <w:color w:val="000000"/>
                <w:sz w:val="18"/>
              </w:rPr>
              <w:t>076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w:t>
            </w:r>
            <w:r w:rsidR="005751D9">
              <w:rPr>
                <w:rFonts w:eastAsia="Calibri" w:cs="Calibri"/>
                <w:color w:val="000000"/>
                <w:sz w:val="18"/>
              </w:rPr>
              <w:t>,</w:t>
            </w:r>
            <w:r>
              <w:rPr>
                <w:rFonts w:eastAsia="Calibri" w:cs="Calibri"/>
                <w:color w:val="000000"/>
                <w:sz w:val="18"/>
              </w:rPr>
              <w:t>899</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Depreciation and Amortisation</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w:t>
            </w:r>
            <w:r w:rsidR="005751D9">
              <w:rPr>
                <w:rFonts w:eastAsia="Calibri" w:cs="Calibri"/>
                <w:color w:val="000000"/>
                <w:sz w:val="18"/>
              </w:rPr>
              <w:t>,</w:t>
            </w:r>
            <w:r>
              <w:rPr>
                <w:rFonts w:eastAsia="Calibri" w:cs="Calibri"/>
                <w:color w:val="000000"/>
                <w:sz w:val="18"/>
              </w:rPr>
              <w:t>899</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2</w:t>
            </w:r>
            <w:r w:rsidR="005751D9">
              <w:rPr>
                <w:rFonts w:eastAsia="Calibri" w:cs="Calibri"/>
                <w:color w:val="000000"/>
                <w:sz w:val="18"/>
              </w:rPr>
              <w:t>,</w:t>
            </w:r>
            <w:r>
              <w:rPr>
                <w:rFonts w:eastAsia="Calibri" w:cs="Calibri"/>
                <w:color w:val="000000"/>
                <w:sz w:val="18"/>
              </w:rPr>
              <w:t>589</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36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2</w:t>
            </w:r>
            <w:r w:rsidR="005751D9">
              <w:rPr>
                <w:rFonts w:eastAsia="Calibri" w:cs="Calibri"/>
                <w:color w:val="000000"/>
                <w:sz w:val="18"/>
              </w:rPr>
              <w:t>,</w:t>
            </w:r>
            <w:r>
              <w:rPr>
                <w:rFonts w:eastAsia="Calibri" w:cs="Calibri"/>
                <w:color w:val="000000"/>
                <w:sz w:val="18"/>
              </w:rPr>
              <w:t>816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w:t>
            </w:r>
            <w:r w:rsidR="005751D9">
              <w:rPr>
                <w:rFonts w:eastAsia="Calibri" w:cs="Calibri"/>
                <w:color w:val="000000"/>
                <w:sz w:val="18"/>
              </w:rPr>
              <w:t>,</w:t>
            </w:r>
            <w:r>
              <w:rPr>
                <w:rFonts w:eastAsia="Calibri" w:cs="Calibri"/>
                <w:color w:val="000000"/>
                <w:sz w:val="18"/>
              </w:rPr>
              <w:t>816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818</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164,</w:t>
            </w:r>
            <w:r w:rsidR="0058349F">
              <w:rPr>
                <w:rFonts w:eastAsia="Calibri" w:cs="Calibri"/>
                <w:color w:val="000000"/>
                <w:sz w:val="18"/>
              </w:rPr>
              <w:t>809</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164</w:t>
            </w:r>
            <w:r w:rsidR="005751D9">
              <w:rPr>
                <w:rFonts w:eastAsia="Calibri" w:cs="Calibri"/>
                <w:color w:val="000000"/>
                <w:sz w:val="18"/>
              </w:rPr>
              <w:t>,</w:t>
            </w:r>
            <w:r>
              <w:rPr>
                <w:rFonts w:eastAsia="Calibri" w:cs="Calibri"/>
                <w:color w:val="000000"/>
                <w:sz w:val="18"/>
              </w:rPr>
              <w:t>270</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170</w:t>
            </w:r>
            <w:r w:rsidR="005751D9">
              <w:rPr>
                <w:rFonts w:eastAsia="Calibri" w:cs="Calibri"/>
                <w:color w:val="000000"/>
                <w:sz w:val="18"/>
              </w:rPr>
              <w:t>,</w:t>
            </w:r>
            <w:r>
              <w:rPr>
                <w:rFonts w:eastAsia="Calibri" w:cs="Calibri"/>
                <w:color w:val="000000"/>
                <w:sz w:val="18"/>
              </w:rPr>
              <w:t>819</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192</w:t>
            </w:r>
            <w:r w:rsidR="005751D9">
              <w:rPr>
                <w:rFonts w:eastAsia="Calibri" w:cs="Calibri"/>
                <w:color w:val="000000"/>
                <w:sz w:val="18"/>
              </w:rPr>
              <w:t>,</w:t>
            </w:r>
            <w:r>
              <w:rPr>
                <w:rFonts w:eastAsia="Calibri" w:cs="Calibri"/>
                <w:color w:val="000000"/>
                <w:sz w:val="18"/>
              </w:rPr>
              <w:t>767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199</w:t>
            </w:r>
            <w:r w:rsidR="005751D9">
              <w:rPr>
                <w:rFonts w:eastAsia="Calibri" w:cs="Calibri"/>
                <w:color w:val="000000"/>
                <w:sz w:val="18"/>
              </w:rPr>
              <w:t>,</w:t>
            </w:r>
            <w:r>
              <w:rPr>
                <w:rFonts w:eastAsia="Calibri" w:cs="Calibri"/>
                <w:color w:val="000000"/>
                <w:sz w:val="18"/>
              </w:rPr>
              <w:t>352</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w:t>
            </w:r>
            <w:r w:rsidR="005751D9">
              <w:rPr>
                <w:rFonts w:eastAsia="Calibri" w:cs="Calibri"/>
                <w:color w:val="000000"/>
                <w:sz w:val="18"/>
              </w:rPr>
              <w:t>02,</w:t>
            </w:r>
            <w:r>
              <w:rPr>
                <w:rFonts w:eastAsia="Calibri" w:cs="Calibri"/>
                <w:color w:val="000000"/>
                <w:sz w:val="18"/>
              </w:rPr>
              <w:t>433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83</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83</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83</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83</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83</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85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256,</w:t>
            </w:r>
            <w:r w:rsidR="0058349F">
              <w:rPr>
                <w:rFonts w:eastAsia="Calibri" w:cs="Calibri"/>
                <w:b/>
                <w:color w:val="000000"/>
                <w:sz w:val="18"/>
              </w:rPr>
              <w:t>958</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259</w:t>
            </w:r>
            <w:r w:rsidR="005751D9">
              <w:rPr>
                <w:rFonts w:eastAsia="Calibri" w:cs="Calibri"/>
                <w:b/>
                <w:color w:val="000000"/>
                <w:sz w:val="18"/>
              </w:rPr>
              <w:t>,</w:t>
            </w:r>
            <w:r>
              <w:rPr>
                <w:rFonts w:eastAsia="Calibri" w:cs="Calibri"/>
                <w:b/>
                <w:color w:val="000000"/>
                <w:sz w:val="18"/>
              </w:rPr>
              <w:t>038</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274</w:t>
            </w:r>
            <w:r w:rsidR="005751D9">
              <w:rPr>
                <w:rFonts w:eastAsia="Calibri" w:cs="Calibri"/>
                <w:b/>
                <w:color w:val="000000"/>
                <w:sz w:val="18"/>
              </w:rPr>
              <w:t>,</w:t>
            </w:r>
            <w:r>
              <w:rPr>
                <w:rFonts w:eastAsia="Calibri" w:cs="Calibri"/>
                <w:b/>
                <w:color w:val="000000"/>
                <w:sz w:val="18"/>
              </w:rPr>
              <w:t>405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302</w:t>
            </w:r>
            <w:r w:rsidR="005751D9">
              <w:rPr>
                <w:rFonts w:eastAsia="Calibri" w:cs="Calibri"/>
                <w:b/>
                <w:color w:val="000000"/>
                <w:sz w:val="18"/>
              </w:rPr>
              <w:t>,</w:t>
            </w:r>
            <w:r>
              <w:rPr>
                <w:rFonts w:eastAsia="Calibri" w:cs="Calibri"/>
                <w:b/>
                <w:color w:val="000000"/>
                <w:sz w:val="18"/>
              </w:rPr>
              <w:t>596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309</w:t>
            </w:r>
            <w:r w:rsidR="005751D9">
              <w:rPr>
                <w:rFonts w:eastAsia="Calibri" w:cs="Calibri"/>
                <w:b/>
                <w:color w:val="000000"/>
                <w:sz w:val="18"/>
              </w:rPr>
              <w:t>,</w:t>
            </w:r>
            <w:r>
              <w:rPr>
                <w:rFonts w:eastAsia="Calibri" w:cs="Calibri"/>
                <w:b/>
                <w:color w:val="000000"/>
                <w:sz w:val="18"/>
              </w:rPr>
              <w:t>949</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3</w:t>
            </w:r>
            <w:r w:rsidR="005751D9">
              <w:rPr>
                <w:rFonts w:eastAsia="Calibri" w:cs="Calibri"/>
                <w:b/>
                <w:color w:val="000000"/>
                <w:sz w:val="18"/>
              </w:rPr>
              <w:t>15,</w:t>
            </w:r>
            <w:r>
              <w:rPr>
                <w:rFonts w:eastAsia="Calibri" w:cs="Calibri"/>
                <w:b/>
                <w:color w:val="000000"/>
                <w:sz w:val="18"/>
              </w:rPr>
              <w:t>854</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-997</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Operating Result</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-927</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w:t>
            </w:r>
            <w:r w:rsidR="005751D9">
              <w:rPr>
                <w:rFonts w:eastAsia="Calibri" w:cs="Calibri"/>
                <w:b/>
                <w:color w:val="000000"/>
                <w:sz w:val="18"/>
              </w:rPr>
              <w:t>,</w:t>
            </w:r>
            <w:r>
              <w:rPr>
                <w:rFonts w:eastAsia="Calibri" w:cs="Calibri"/>
                <w:b/>
                <w:color w:val="000000"/>
                <w:sz w:val="18"/>
              </w:rPr>
              <w:t>032</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-119</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w:t>
            </w:r>
            <w:r w:rsidR="005751D9">
              <w:rPr>
                <w:rFonts w:eastAsia="Calibri" w:cs="Calibri"/>
                <w:b/>
                <w:color w:val="000000"/>
                <w:sz w:val="18"/>
              </w:rPr>
              <w:t>,</w:t>
            </w:r>
            <w:r>
              <w:rPr>
                <w:rFonts w:eastAsia="Calibri" w:cs="Calibri"/>
                <w:b/>
                <w:color w:val="000000"/>
                <w:sz w:val="18"/>
              </w:rPr>
              <w:t>185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w:t>
            </w:r>
            <w:r w:rsidR="005751D9">
              <w:rPr>
                <w:rFonts w:eastAsia="Calibri" w:cs="Calibri"/>
                <w:b/>
                <w:color w:val="000000"/>
                <w:sz w:val="18"/>
              </w:rPr>
              <w:t>2,</w:t>
            </w:r>
            <w:r>
              <w:rPr>
                <w:rFonts w:eastAsia="Calibri" w:cs="Calibri"/>
                <w:b/>
                <w:color w:val="000000"/>
                <w:sz w:val="18"/>
              </w:rPr>
              <w:t>242</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303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662</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Net Effect of a Change in Accounting Policy</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-521</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Movements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-541</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-616</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-593</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-593</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-593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141</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Other Comprehensive Income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-210</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-285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-36</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-262</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-262</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-262</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27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7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-856</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Comprehensive Income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137</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w:t>
            </w:r>
            <w:r w:rsidR="005751D9">
              <w:rPr>
                <w:rFonts w:eastAsia="Calibri" w:cs="Calibri"/>
                <w:b/>
                <w:color w:val="000000"/>
                <w:sz w:val="18"/>
              </w:rPr>
              <w:t>,</w:t>
            </w:r>
            <w:r>
              <w:rPr>
                <w:rFonts w:eastAsia="Calibri" w:cs="Calibri"/>
                <w:b/>
                <w:color w:val="000000"/>
                <w:sz w:val="18"/>
              </w:rPr>
              <w:t>317</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-104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b/>
                <w:color w:val="000000"/>
                <w:sz w:val="18"/>
              </w:rPr>
            </w:pPr>
            <w:r>
              <w:rPr>
                <w:rFonts w:eastAsia="Calibri" w:cs="Calibri"/>
                <w:b/>
                <w:color w:val="000000"/>
                <w:sz w:val="18"/>
              </w:rPr>
              <w:t>-2</w:t>
            </w:r>
            <w:r w:rsidR="005751D9">
              <w:rPr>
                <w:rFonts w:eastAsia="Calibri" w:cs="Calibri"/>
                <w:b/>
                <w:color w:val="000000"/>
                <w:sz w:val="18"/>
              </w:rPr>
              <w:t>,</w:t>
            </w:r>
            <w:r>
              <w:rPr>
                <w:rFonts w:eastAsia="Calibri" w:cs="Calibri"/>
                <w:b/>
                <w:color w:val="000000"/>
                <w:sz w:val="18"/>
              </w:rPr>
              <w:t>447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w:t>
            </w:r>
            <w:r w:rsidR="005751D9">
              <w:rPr>
                <w:rFonts w:eastAsia="Calibri" w:cs="Calibri"/>
                <w:b/>
                <w:color w:val="000000"/>
                <w:sz w:val="18"/>
              </w:rPr>
              <w:t>2,</w:t>
            </w:r>
            <w:r>
              <w:rPr>
                <w:rFonts w:eastAsia="Calibri" w:cs="Calibri"/>
                <w:b/>
                <w:color w:val="000000"/>
                <w:sz w:val="18"/>
              </w:rPr>
              <w:t>504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565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177"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bl>
    <w:p w:rsidR="0058349F" w:rsidRDefault="0058349F" w:rsidP="0058349F">
      <w:pPr>
        <w:pStyle w:val="Caption"/>
        <w:pageBreakBefore/>
        <w:pBdr>
          <w:top w:val="nil"/>
          <w:left w:val="nil"/>
          <w:bottom w:val="nil"/>
          <w:right w:val="nil"/>
          <w:between w:val="nil"/>
          <w:bar w:val="nil"/>
        </w:pBdr>
        <w:outlineLvl w:val="0"/>
        <w:rPr>
          <w:bdr w:val="nil"/>
        </w:rPr>
      </w:pPr>
      <w:bookmarkStart w:id="44" w:name="_Toc514926341"/>
      <w:r w:rsidRPr="00362887">
        <w:rPr>
          <w:bdr w:val="nil"/>
        </w:rPr>
        <w:t xml:space="preserve">Table </w:t>
      </w:r>
      <w:r w:rsidR="00BD264F" w:rsidRPr="00362887">
        <w:rPr>
          <w:bdr w:val="nil"/>
        </w:rPr>
        <w:t>30</w:t>
      </w:r>
      <w:r w:rsidRPr="00362887">
        <w:rPr>
          <w:bdr w:val="nil"/>
        </w:rPr>
        <w:t>: Community Services</w:t>
      </w:r>
      <w:r>
        <w:rPr>
          <w:bdr w:val="nil"/>
        </w:rPr>
        <w:t xml:space="preserve"> Directorate: Balance Sheet</w:t>
      </w:r>
      <w:bookmarkEnd w:id="44"/>
      <w:r>
        <w:rPr>
          <w:bdr w:val="nil"/>
        </w:rPr>
        <w:t xml:space="preserve"> </w:t>
      </w:r>
    </w:p>
    <w:tbl>
      <w:tblPr>
        <w:tblStyle w:val="CDMRange2"/>
        <w:tblW w:w="9214" w:type="dxa"/>
        <w:tblLayout w:type="fixed"/>
        <w:tblLook w:val="0600" w:firstRow="0" w:lastRow="0" w:firstColumn="0" w:lastColumn="0" w:noHBand="1" w:noVBand="1"/>
      </w:tblPr>
      <w:tblGrid>
        <w:gridCol w:w="1035"/>
        <w:gridCol w:w="2651"/>
        <w:gridCol w:w="992"/>
        <w:gridCol w:w="992"/>
        <w:gridCol w:w="567"/>
        <w:gridCol w:w="993"/>
        <w:gridCol w:w="992"/>
        <w:gridCol w:w="992"/>
      </w:tblGrid>
      <w:tr w:rsidR="001651E4" w:rsidTr="00244C2C">
        <w:trPr>
          <w:trHeight w:val="945"/>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Budget</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30/6/18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2651"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Budget</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30/6/19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56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1651E4" w:rsidRDefault="0058349F">
            <w:pPr>
              <w:spacing w:before="0" w:after="0"/>
              <w:jc w:val="right"/>
              <w:rPr>
                <w:rFonts w:eastAsia="Calibri" w:cs="Calibri"/>
                <w:b/>
                <w:color w:val="000000"/>
                <w:sz w:val="18"/>
              </w:rPr>
            </w:pPr>
            <w:r>
              <w:rPr>
                <w:rFonts w:eastAsia="Calibri" w:cs="Calibri"/>
                <w:b/>
                <w:color w:val="000000"/>
                <w:sz w:val="18"/>
              </w:rPr>
              <w:t>%</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30/6/20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30/6/21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30/6/22 </w:t>
            </w:r>
          </w:p>
          <w:p w:rsidR="001651E4" w:rsidRDefault="0058349F">
            <w:pPr>
              <w:spacing w:before="0" w:after="0"/>
              <w:jc w:val="right"/>
              <w:rPr>
                <w:rFonts w:eastAsia="Calibri" w:cs="Calibri"/>
                <w:b/>
                <w:color w:val="000000"/>
                <w:sz w:val="18"/>
              </w:rPr>
            </w:pPr>
            <w:r>
              <w:rPr>
                <w:rFonts w:eastAsia="Calibri" w:cs="Calibri"/>
                <w:b/>
                <w:color w:val="000000"/>
                <w:sz w:val="18"/>
              </w:rPr>
              <w:t>$'000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651"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Current Assets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1</w:t>
            </w:r>
            <w:r w:rsidR="005751D9">
              <w:rPr>
                <w:rFonts w:eastAsia="Calibri" w:cs="Calibri"/>
                <w:color w:val="000000"/>
                <w:sz w:val="18"/>
              </w:rPr>
              <w:t>,</w:t>
            </w:r>
            <w:r>
              <w:rPr>
                <w:rFonts w:eastAsia="Calibri" w:cs="Calibri"/>
                <w:color w:val="000000"/>
                <w:sz w:val="18"/>
              </w:rPr>
              <w:t>285</w:t>
            </w:r>
          </w:p>
        </w:tc>
        <w:tc>
          <w:tcPr>
            <w:tcW w:w="2651"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Cash and Cash Equivalents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6</w:t>
            </w:r>
            <w:r w:rsidR="005751D9">
              <w:rPr>
                <w:rFonts w:eastAsia="Calibri" w:cs="Calibri"/>
                <w:color w:val="000000"/>
                <w:sz w:val="18"/>
              </w:rPr>
              <w:t>,</w:t>
            </w:r>
            <w:r>
              <w:rPr>
                <w:rFonts w:eastAsia="Calibri" w:cs="Calibri"/>
                <w:color w:val="000000"/>
                <w:sz w:val="18"/>
              </w:rPr>
              <w:t>452</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w:t>
            </w:r>
            <w:r w:rsidR="005751D9">
              <w:rPr>
                <w:rFonts w:eastAsia="Calibri" w:cs="Calibri"/>
                <w:color w:val="000000"/>
                <w:sz w:val="18"/>
              </w:rPr>
              <w:t>,</w:t>
            </w:r>
            <w:r>
              <w:rPr>
                <w:rFonts w:eastAsia="Calibri" w:cs="Calibri"/>
                <w:color w:val="000000"/>
                <w:sz w:val="18"/>
              </w:rPr>
              <w:t>144</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-5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w:t>
            </w:r>
            <w:r w:rsidR="0058349F">
              <w:rPr>
                <w:rFonts w:eastAsia="Calibri" w:cs="Calibri"/>
                <w:color w:val="000000"/>
                <w:sz w:val="18"/>
              </w:rPr>
              <w:t>836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w:t>
            </w:r>
            <w:r w:rsidR="0058349F">
              <w:rPr>
                <w:rFonts w:eastAsia="Calibri" w:cs="Calibri"/>
                <w:color w:val="000000"/>
                <w:sz w:val="18"/>
              </w:rPr>
              <w:t>528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5</w:t>
            </w:r>
            <w:r w:rsidR="005751D9">
              <w:rPr>
                <w:rFonts w:eastAsia="Calibri" w:cs="Calibri"/>
                <w:color w:val="000000"/>
                <w:sz w:val="18"/>
              </w:rPr>
              <w:t>,</w:t>
            </w:r>
            <w:r>
              <w:rPr>
                <w:rFonts w:eastAsia="Calibri" w:cs="Calibri"/>
                <w:color w:val="000000"/>
                <w:sz w:val="18"/>
              </w:rPr>
              <w:t>220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w:t>
            </w:r>
            <w:r w:rsidR="0058349F">
              <w:rPr>
                <w:rFonts w:eastAsia="Calibri" w:cs="Calibri"/>
                <w:color w:val="000000"/>
                <w:sz w:val="18"/>
              </w:rPr>
              <w:t>065</w:t>
            </w:r>
          </w:p>
        </w:tc>
        <w:tc>
          <w:tcPr>
            <w:tcW w:w="2651"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Receivables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628</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2651"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Capital Works in Progress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298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-100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287</w:t>
            </w:r>
          </w:p>
        </w:tc>
        <w:tc>
          <w:tcPr>
            <w:tcW w:w="2651"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Assets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330</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330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6,</w:t>
            </w:r>
            <w:r w:rsidR="0058349F">
              <w:rPr>
                <w:rFonts w:eastAsia="Calibri" w:cs="Calibri"/>
                <w:b/>
                <w:color w:val="000000"/>
                <w:sz w:val="18"/>
              </w:rPr>
              <w:t>637</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Current Assets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10,</w:t>
            </w:r>
            <w:r w:rsidR="0058349F">
              <w:rPr>
                <w:rFonts w:eastAsia="Calibri" w:cs="Calibri"/>
                <w:b/>
                <w:color w:val="000000"/>
                <w:sz w:val="18"/>
              </w:rPr>
              <w:t>708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8,</w:t>
            </w:r>
            <w:r w:rsidR="0058349F">
              <w:rPr>
                <w:rFonts w:eastAsia="Calibri" w:cs="Calibri"/>
                <w:b/>
                <w:color w:val="000000"/>
                <w:sz w:val="18"/>
              </w:rPr>
              <w:t>102</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w:t>
            </w:r>
            <w:r w:rsidR="0058349F">
              <w:rPr>
                <w:rFonts w:eastAsia="Calibri" w:cs="Calibri"/>
                <w:b/>
                <w:color w:val="000000"/>
                <w:sz w:val="18"/>
              </w:rPr>
              <w:t>794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w:t>
            </w:r>
            <w:r w:rsidR="0058349F">
              <w:rPr>
                <w:rFonts w:eastAsia="Calibri" w:cs="Calibri"/>
                <w:b/>
                <w:color w:val="000000"/>
                <w:sz w:val="18"/>
              </w:rPr>
              <w:t>486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w:t>
            </w:r>
            <w:r w:rsidR="0058349F">
              <w:rPr>
                <w:rFonts w:eastAsia="Calibri" w:cs="Calibri"/>
                <w:b/>
                <w:color w:val="000000"/>
                <w:sz w:val="18"/>
              </w:rPr>
              <w:t>178</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73,</w:t>
            </w:r>
            <w:r w:rsidR="0058349F">
              <w:rPr>
                <w:rFonts w:eastAsia="Calibri" w:cs="Calibri"/>
                <w:color w:val="000000"/>
                <w:sz w:val="18"/>
              </w:rPr>
              <w:t>262</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Property, Plant and Equipment</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7</w:t>
            </w:r>
            <w:r w:rsidR="005751D9">
              <w:rPr>
                <w:rFonts w:eastAsia="Calibri" w:cs="Calibri"/>
                <w:color w:val="000000"/>
                <w:sz w:val="18"/>
              </w:rPr>
              <w:t>2,</w:t>
            </w:r>
            <w:r>
              <w:rPr>
                <w:rFonts w:eastAsia="Calibri" w:cs="Calibri"/>
                <w:color w:val="000000"/>
                <w:sz w:val="18"/>
              </w:rPr>
              <w:t>019</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74,</w:t>
            </w:r>
            <w:r w:rsidR="0058349F">
              <w:rPr>
                <w:rFonts w:eastAsia="Calibri" w:cs="Calibri"/>
                <w:color w:val="000000"/>
                <w:sz w:val="18"/>
              </w:rPr>
              <w:t>314</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3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73,</w:t>
            </w:r>
            <w:r w:rsidR="0058349F">
              <w:rPr>
                <w:rFonts w:eastAsia="Calibri" w:cs="Calibri"/>
                <w:color w:val="000000"/>
                <w:sz w:val="18"/>
              </w:rPr>
              <w:t>828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73,</w:t>
            </w:r>
            <w:r w:rsidR="0058349F">
              <w:rPr>
                <w:rFonts w:eastAsia="Calibri" w:cs="Calibri"/>
                <w:color w:val="000000"/>
                <w:sz w:val="18"/>
              </w:rPr>
              <w:t>353</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72,</w:t>
            </w:r>
            <w:r w:rsidR="0058349F">
              <w:rPr>
                <w:rFonts w:eastAsia="Calibri" w:cs="Calibri"/>
                <w:color w:val="000000"/>
                <w:sz w:val="18"/>
              </w:rPr>
              <w:t>887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3,</w:t>
            </w:r>
            <w:r w:rsidR="0058349F">
              <w:rPr>
                <w:rFonts w:eastAsia="Calibri" w:cs="Calibri"/>
                <w:color w:val="000000"/>
                <w:sz w:val="18"/>
              </w:rPr>
              <w:t>708</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Intangible Assets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270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256</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87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3,</w:t>
            </w:r>
            <w:r w:rsidR="0058349F">
              <w:rPr>
                <w:rFonts w:eastAsia="Calibri" w:cs="Calibri"/>
                <w:color w:val="000000"/>
                <w:sz w:val="18"/>
              </w:rPr>
              <w:t>358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460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562</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16</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Capital Works in Progress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625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625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625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625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625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76,</w:t>
            </w:r>
            <w:r w:rsidR="0058349F">
              <w:rPr>
                <w:rFonts w:eastAsia="Calibri" w:cs="Calibri"/>
                <w:b/>
                <w:color w:val="000000"/>
                <w:sz w:val="18"/>
              </w:rPr>
              <w:t>986</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74,</w:t>
            </w:r>
            <w:r w:rsidR="0058349F">
              <w:rPr>
                <w:rFonts w:eastAsia="Calibri" w:cs="Calibri"/>
                <w:b/>
                <w:color w:val="000000"/>
                <w:sz w:val="18"/>
              </w:rPr>
              <w:t>914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79,</w:t>
            </w:r>
            <w:r w:rsidR="0058349F">
              <w:rPr>
                <w:rFonts w:eastAsia="Calibri" w:cs="Calibri"/>
                <w:b/>
                <w:color w:val="000000"/>
                <w:sz w:val="18"/>
              </w:rPr>
              <w:t>195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77,</w:t>
            </w:r>
            <w:r w:rsidR="0058349F">
              <w:rPr>
                <w:rFonts w:eastAsia="Calibri" w:cs="Calibri"/>
                <w:b/>
                <w:color w:val="000000"/>
                <w:sz w:val="18"/>
              </w:rPr>
              <w:t>811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76,</w:t>
            </w:r>
            <w:r w:rsidR="0058349F">
              <w:rPr>
                <w:rFonts w:eastAsia="Calibri" w:cs="Calibri"/>
                <w:b/>
                <w:color w:val="000000"/>
                <w:sz w:val="18"/>
              </w:rPr>
              <w:t>438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75,</w:t>
            </w:r>
            <w:r w:rsidR="0058349F">
              <w:rPr>
                <w:rFonts w:eastAsia="Calibri" w:cs="Calibri"/>
                <w:b/>
                <w:color w:val="000000"/>
                <w:sz w:val="18"/>
              </w:rPr>
              <w:t>074</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83,</w:t>
            </w:r>
            <w:r w:rsidR="0058349F">
              <w:rPr>
                <w:rFonts w:eastAsia="Calibri" w:cs="Calibri"/>
                <w:b/>
                <w:color w:val="000000"/>
                <w:sz w:val="18"/>
              </w:rPr>
              <w:t>623</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ASSETS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85,</w:t>
            </w:r>
            <w:r w:rsidR="0058349F">
              <w:rPr>
                <w:rFonts w:eastAsia="Calibri" w:cs="Calibri"/>
                <w:b/>
                <w:color w:val="000000"/>
                <w:sz w:val="18"/>
              </w:rPr>
              <w:t>622</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87,</w:t>
            </w:r>
            <w:r w:rsidR="0058349F">
              <w:rPr>
                <w:rFonts w:eastAsia="Calibri" w:cs="Calibri"/>
                <w:b/>
                <w:color w:val="000000"/>
                <w:sz w:val="18"/>
              </w:rPr>
              <w:t>297</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85,</w:t>
            </w:r>
            <w:r w:rsidR="0058349F">
              <w:rPr>
                <w:rFonts w:eastAsia="Calibri" w:cs="Calibri"/>
                <w:b/>
                <w:color w:val="000000"/>
                <w:sz w:val="18"/>
              </w:rPr>
              <w:t>605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83,</w:t>
            </w:r>
            <w:r w:rsidR="0058349F">
              <w:rPr>
                <w:rFonts w:eastAsia="Calibri" w:cs="Calibri"/>
                <w:b/>
                <w:color w:val="000000"/>
                <w:sz w:val="18"/>
              </w:rPr>
              <w:t>924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82,</w:t>
            </w:r>
            <w:r w:rsidR="0058349F">
              <w:rPr>
                <w:rFonts w:eastAsia="Calibri" w:cs="Calibri"/>
                <w:b/>
                <w:color w:val="000000"/>
                <w:sz w:val="18"/>
              </w:rPr>
              <w:t>252</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Current Liabilities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668</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Payables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420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419</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418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417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416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19,</w:t>
            </w:r>
            <w:r w:rsidR="0058349F">
              <w:rPr>
                <w:rFonts w:eastAsia="Calibri" w:cs="Calibri"/>
                <w:color w:val="000000"/>
                <w:sz w:val="18"/>
              </w:rPr>
              <w:t>596</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Employee Benefits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16,</w:t>
            </w:r>
            <w:r w:rsidR="0058349F">
              <w:rPr>
                <w:rFonts w:eastAsia="Calibri" w:cs="Calibri"/>
                <w:color w:val="000000"/>
                <w:sz w:val="18"/>
              </w:rPr>
              <w:t>686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16,</w:t>
            </w:r>
            <w:r w:rsidR="0058349F">
              <w:rPr>
                <w:rFonts w:eastAsia="Calibri" w:cs="Calibri"/>
                <w:color w:val="000000"/>
                <w:sz w:val="18"/>
              </w:rPr>
              <w:t>895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17,</w:t>
            </w:r>
            <w:r w:rsidR="0058349F">
              <w:rPr>
                <w:rFonts w:eastAsia="Calibri" w:cs="Calibri"/>
                <w:color w:val="000000"/>
                <w:sz w:val="18"/>
              </w:rPr>
              <w:t>416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17,</w:t>
            </w:r>
            <w:r w:rsidR="0058349F">
              <w:rPr>
                <w:rFonts w:eastAsia="Calibri" w:cs="Calibri"/>
                <w:color w:val="000000"/>
                <w:sz w:val="18"/>
              </w:rPr>
              <w:t>990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18,</w:t>
            </w:r>
            <w:r w:rsidR="0058349F">
              <w:rPr>
                <w:rFonts w:eastAsia="Calibri" w:cs="Calibri"/>
                <w:color w:val="000000"/>
                <w:sz w:val="18"/>
              </w:rPr>
              <w:t>620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3,</w:t>
            </w:r>
            <w:r w:rsidR="0058349F">
              <w:rPr>
                <w:rFonts w:eastAsia="Calibri" w:cs="Calibri"/>
                <w:color w:val="000000"/>
                <w:sz w:val="18"/>
              </w:rPr>
              <w:t>567</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Provisions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135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135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135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135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135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575</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Liabilities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604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604</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604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604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604</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27,</w:t>
            </w:r>
            <w:r w:rsidR="0058349F">
              <w:rPr>
                <w:rFonts w:eastAsia="Calibri" w:cs="Calibri"/>
                <w:b/>
                <w:color w:val="000000"/>
                <w:sz w:val="18"/>
              </w:rPr>
              <w:t>406</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Current Liabilities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19,</w:t>
            </w:r>
            <w:r w:rsidR="0058349F">
              <w:rPr>
                <w:rFonts w:eastAsia="Calibri" w:cs="Calibri"/>
                <w:b/>
                <w:color w:val="000000"/>
                <w:sz w:val="18"/>
              </w:rPr>
              <w:t>845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20,</w:t>
            </w:r>
            <w:r w:rsidR="0058349F">
              <w:rPr>
                <w:rFonts w:eastAsia="Calibri" w:cs="Calibri"/>
                <w:b/>
                <w:color w:val="000000"/>
                <w:sz w:val="18"/>
              </w:rPr>
              <w:t>053</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1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20,</w:t>
            </w:r>
            <w:r w:rsidR="0058349F">
              <w:rPr>
                <w:rFonts w:eastAsia="Calibri" w:cs="Calibri"/>
                <w:b/>
                <w:color w:val="000000"/>
                <w:sz w:val="18"/>
              </w:rPr>
              <w:t>573</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21,</w:t>
            </w:r>
            <w:r w:rsidR="0058349F">
              <w:rPr>
                <w:rFonts w:eastAsia="Calibri" w:cs="Calibri"/>
                <w:b/>
                <w:color w:val="000000"/>
                <w:sz w:val="18"/>
              </w:rPr>
              <w:t>146</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21,</w:t>
            </w:r>
            <w:r w:rsidR="0058349F">
              <w:rPr>
                <w:rFonts w:eastAsia="Calibri" w:cs="Calibri"/>
                <w:b/>
                <w:color w:val="000000"/>
                <w:sz w:val="18"/>
              </w:rPr>
              <w:t>775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728</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Employee Benefits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419</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555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10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706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861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019</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Provisions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561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561</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561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561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561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127</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Liabilities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855</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980</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116</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5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267</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422</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580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30,</w:t>
            </w:r>
            <w:r w:rsidR="0058349F">
              <w:rPr>
                <w:rFonts w:eastAsia="Calibri" w:cs="Calibri"/>
                <w:b/>
                <w:color w:val="000000"/>
                <w:sz w:val="18"/>
              </w:rPr>
              <w:t>261</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LIABILITIES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22,</w:t>
            </w:r>
            <w:r w:rsidR="0058349F">
              <w:rPr>
                <w:rFonts w:eastAsia="Calibri" w:cs="Calibri"/>
                <w:b/>
                <w:color w:val="000000"/>
                <w:sz w:val="18"/>
              </w:rPr>
              <w:t>825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23,</w:t>
            </w:r>
            <w:r w:rsidR="0058349F">
              <w:rPr>
                <w:rFonts w:eastAsia="Calibri" w:cs="Calibri"/>
                <w:b/>
                <w:color w:val="000000"/>
                <w:sz w:val="18"/>
              </w:rPr>
              <w:t>169</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23,</w:t>
            </w:r>
            <w:r w:rsidR="0058349F">
              <w:rPr>
                <w:rFonts w:eastAsia="Calibri" w:cs="Calibri"/>
                <w:b/>
                <w:color w:val="000000"/>
                <w:sz w:val="18"/>
              </w:rPr>
              <w:t>840</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24,</w:t>
            </w:r>
            <w:r w:rsidR="0058349F">
              <w:rPr>
                <w:rFonts w:eastAsia="Calibri" w:cs="Calibri"/>
                <w:b/>
                <w:color w:val="000000"/>
                <w:sz w:val="18"/>
              </w:rPr>
              <w:t>568</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25,</w:t>
            </w:r>
            <w:r w:rsidR="0058349F">
              <w:rPr>
                <w:rFonts w:eastAsia="Calibri" w:cs="Calibri"/>
                <w:b/>
                <w:color w:val="000000"/>
                <w:sz w:val="18"/>
              </w:rPr>
              <w:t>355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53,</w:t>
            </w:r>
            <w:r w:rsidR="0058349F">
              <w:rPr>
                <w:rFonts w:eastAsia="Calibri" w:cs="Calibri"/>
                <w:b/>
                <w:color w:val="000000"/>
                <w:sz w:val="18"/>
              </w:rPr>
              <w:t>362</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NET ASSETS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62,</w:t>
            </w:r>
            <w:r w:rsidR="0058349F">
              <w:rPr>
                <w:rFonts w:eastAsia="Calibri" w:cs="Calibri"/>
                <w:b/>
                <w:color w:val="000000"/>
                <w:sz w:val="18"/>
              </w:rPr>
              <w:t>797</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64,</w:t>
            </w:r>
            <w:r w:rsidR="0058349F">
              <w:rPr>
                <w:rFonts w:eastAsia="Calibri" w:cs="Calibri"/>
                <w:b/>
                <w:color w:val="000000"/>
                <w:sz w:val="18"/>
              </w:rPr>
              <w:t>128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61</w:t>
            </w:r>
            <w:r w:rsidR="005751D9">
              <w:rPr>
                <w:rFonts w:eastAsia="Calibri" w:cs="Calibri"/>
                <w:b/>
                <w:color w:val="000000"/>
                <w:sz w:val="18"/>
              </w:rPr>
              <w:t>,</w:t>
            </w:r>
            <w:r>
              <w:rPr>
                <w:rFonts w:eastAsia="Calibri" w:cs="Calibri"/>
                <w:b/>
                <w:color w:val="000000"/>
                <w:sz w:val="18"/>
              </w:rPr>
              <w:t>765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59,</w:t>
            </w:r>
            <w:r w:rsidR="0058349F">
              <w:rPr>
                <w:rFonts w:eastAsia="Calibri" w:cs="Calibri"/>
                <w:b/>
                <w:color w:val="000000"/>
                <w:sz w:val="18"/>
              </w:rPr>
              <w:t>356</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56,</w:t>
            </w:r>
            <w:r w:rsidR="0058349F">
              <w:rPr>
                <w:rFonts w:eastAsia="Calibri" w:cs="Calibri"/>
                <w:b/>
                <w:color w:val="000000"/>
                <w:sz w:val="18"/>
              </w:rPr>
              <w:t>897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179" w:type="dxa"/>
            <w:gridSpan w:val="7"/>
            <w:tcBorders>
              <w:top w:val="nil"/>
              <w:left w:val="nil"/>
              <w:bottom w:val="nil"/>
              <w:right w:val="nil"/>
              <w:tl2br w:val="nil"/>
              <w:tr2bl w:val="nil"/>
            </w:tcBorders>
            <w:shd w:val="clear" w:color="FFFFFF" w:fill="FFFFFF"/>
            <w:noWrap/>
            <w:tcMar>
              <w:left w:w="101" w:type="dxa"/>
              <w:right w:w="101" w:type="dxa"/>
            </w:tcMar>
            <w:vAlign w:val="bottom"/>
          </w:tcPr>
          <w:p w:rsidR="001651E4" w:rsidRDefault="0058349F">
            <w:pPr>
              <w:spacing w:before="0" w:after="0"/>
              <w:rPr>
                <w:rFonts w:eastAsia="Calibri" w:cs="Calibri"/>
                <w:b/>
                <w:color w:val="000000"/>
                <w:sz w:val="18"/>
              </w:rPr>
            </w:pPr>
            <w:r>
              <w:rPr>
                <w:rFonts w:eastAsia="Calibri" w:cs="Calibri"/>
                <w:b/>
                <w:color w:val="000000"/>
                <w:sz w:val="18"/>
              </w:rPr>
              <w:t>REPRESENTED BY FUNDS EMPLOYED</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48,</w:t>
            </w:r>
            <w:r w:rsidR="0058349F">
              <w:rPr>
                <w:rFonts w:eastAsia="Calibri" w:cs="Calibri"/>
                <w:color w:val="000000"/>
                <w:sz w:val="18"/>
              </w:rPr>
              <w:t>535</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Accumulated Funds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58,</w:t>
            </w:r>
            <w:r w:rsidR="0058349F">
              <w:rPr>
                <w:rFonts w:eastAsia="Calibri" w:cs="Calibri"/>
                <w:color w:val="000000"/>
                <w:sz w:val="18"/>
              </w:rPr>
              <w:t>256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59,</w:t>
            </w:r>
            <w:r w:rsidR="0058349F">
              <w:rPr>
                <w:rFonts w:eastAsia="Calibri" w:cs="Calibri"/>
                <w:color w:val="000000"/>
                <w:sz w:val="18"/>
              </w:rPr>
              <w:t>587</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2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57,</w:t>
            </w:r>
            <w:r w:rsidR="0058349F">
              <w:rPr>
                <w:rFonts w:eastAsia="Calibri" w:cs="Calibri"/>
                <w:color w:val="000000"/>
                <w:sz w:val="18"/>
              </w:rPr>
              <w:t>224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54,</w:t>
            </w:r>
            <w:r w:rsidR="0058349F">
              <w:rPr>
                <w:rFonts w:eastAsia="Calibri" w:cs="Calibri"/>
                <w:color w:val="000000"/>
                <w:sz w:val="18"/>
              </w:rPr>
              <w:t>815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52,</w:t>
            </w:r>
            <w:r w:rsidR="0058349F">
              <w:rPr>
                <w:rFonts w:eastAsia="Calibri" w:cs="Calibri"/>
                <w:color w:val="000000"/>
                <w:sz w:val="18"/>
              </w:rPr>
              <w:t>356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827</w:t>
            </w:r>
          </w:p>
        </w:tc>
        <w:tc>
          <w:tcPr>
            <w:tcW w:w="2651"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Asset Revaluation Surplus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2651"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53,</w:t>
            </w:r>
            <w:r w:rsidR="0058349F">
              <w:rPr>
                <w:rFonts w:eastAsia="Calibri" w:cs="Calibri"/>
                <w:b/>
                <w:color w:val="000000"/>
                <w:sz w:val="18"/>
              </w:rPr>
              <w:t>362</w:t>
            </w:r>
          </w:p>
        </w:tc>
        <w:tc>
          <w:tcPr>
            <w:tcW w:w="2651"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FUNDS EMPLOYED</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62,</w:t>
            </w:r>
            <w:r w:rsidR="0058349F">
              <w:rPr>
                <w:rFonts w:eastAsia="Calibri" w:cs="Calibri"/>
                <w:b/>
                <w:color w:val="000000"/>
                <w:sz w:val="18"/>
              </w:rPr>
              <w:t>797</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64,</w:t>
            </w:r>
            <w:r w:rsidR="0058349F">
              <w:rPr>
                <w:rFonts w:eastAsia="Calibri" w:cs="Calibri"/>
                <w:b/>
                <w:color w:val="000000"/>
                <w:sz w:val="18"/>
              </w:rPr>
              <w:t>128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61,</w:t>
            </w:r>
            <w:r w:rsidR="0058349F">
              <w:rPr>
                <w:rFonts w:eastAsia="Calibri" w:cs="Calibri"/>
                <w:b/>
                <w:color w:val="000000"/>
                <w:sz w:val="18"/>
              </w:rPr>
              <w:t>765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59,</w:t>
            </w:r>
            <w:r w:rsidR="0058349F">
              <w:rPr>
                <w:rFonts w:eastAsia="Calibri" w:cs="Calibri"/>
                <w:b/>
                <w:color w:val="000000"/>
                <w:sz w:val="18"/>
              </w:rPr>
              <w:t>356</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56,</w:t>
            </w:r>
            <w:r w:rsidR="0058349F">
              <w:rPr>
                <w:rFonts w:eastAsia="Calibri" w:cs="Calibri"/>
                <w:b/>
                <w:color w:val="000000"/>
                <w:sz w:val="18"/>
              </w:rPr>
              <w:t>897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651"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bl>
    <w:p w:rsidR="0058349F" w:rsidRPr="00DB70E3" w:rsidRDefault="0058349F" w:rsidP="0058349F">
      <w:pPr>
        <w:pStyle w:val="Caption"/>
        <w:pageBreakBefore/>
        <w:pBdr>
          <w:top w:val="nil"/>
          <w:left w:val="nil"/>
          <w:bottom w:val="nil"/>
          <w:right w:val="nil"/>
          <w:between w:val="nil"/>
          <w:bar w:val="nil"/>
        </w:pBdr>
        <w:outlineLvl w:val="0"/>
        <w:rPr>
          <w:bdr w:val="nil"/>
        </w:rPr>
      </w:pPr>
      <w:bookmarkStart w:id="45" w:name="_Toc514926342"/>
      <w:r w:rsidRPr="00362887">
        <w:rPr>
          <w:bdr w:val="nil"/>
        </w:rPr>
        <w:t xml:space="preserve">Table </w:t>
      </w:r>
      <w:r w:rsidR="00BD264F" w:rsidRPr="00362887">
        <w:rPr>
          <w:bdr w:val="nil"/>
        </w:rPr>
        <w:t>31</w:t>
      </w:r>
      <w:r w:rsidRPr="00362887">
        <w:rPr>
          <w:bdr w:val="nil"/>
        </w:rPr>
        <w:t>: Community</w:t>
      </w:r>
      <w:r>
        <w:rPr>
          <w:bdr w:val="nil"/>
        </w:rPr>
        <w:t xml:space="preserve"> Services Directorate: Statement of Changes in Equity</w:t>
      </w:r>
      <w:bookmarkEnd w:id="45"/>
      <w:r>
        <w:rPr>
          <w:bdr w:val="nil"/>
        </w:rPr>
        <w:t xml:space="preserve"> </w:t>
      </w:r>
    </w:p>
    <w:tbl>
      <w:tblPr>
        <w:tblStyle w:val="CDMRange1"/>
        <w:tblW w:w="9214" w:type="dxa"/>
        <w:tblLayout w:type="fixed"/>
        <w:tblLook w:val="0600" w:firstRow="0" w:lastRow="0" w:firstColumn="0" w:lastColumn="0" w:noHBand="1" w:noVBand="1"/>
      </w:tblPr>
      <w:tblGrid>
        <w:gridCol w:w="993"/>
        <w:gridCol w:w="2835"/>
        <w:gridCol w:w="992"/>
        <w:gridCol w:w="850"/>
        <w:gridCol w:w="567"/>
        <w:gridCol w:w="993"/>
        <w:gridCol w:w="992"/>
        <w:gridCol w:w="992"/>
      </w:tblGrid>
      <w:tr w:rsidR="001651E4" w:rsidTr="00244C2C">
        <w:trPr>
          <w:trHeight w:val="930"/>
        </w:trPr>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Budget</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30/6/18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283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85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Budget</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30/6/19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56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1651E4" w:rsidRDefault="0058349F">
            <w:pPr>
              <w:spacing w:before="0" w:after="0"/>
              <w:jc w:val="right"/>
              <w:rPr>
                <w:rFonts w:eastAsia="Calibri" w:cs="Calibri"/>
                <w:b/>
                <w:color w:val="000000"/>
                <w:sz w:val="18"/>
              </w:rPr>
            </w:pPr>
            <w:r>
              <w:rPr>
                <w:rFonts w:eastAsia="Calibri" w:cs="Calibri"/>
                <w:b/>
                <w:color w:val="000000"/>
                <w:sz w:val="18"/>
              </w:rPr>
              <w:t>%</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30/6/20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30/6/21 </w:t>
            </w:r>
          </w:p>
          <w:p w:rsidR="001651E4" w:rsidRDefault="0058349F">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58349F">
            <w:pPr>
              <w:spacing w:before="0" w:after="0"/>
              <w:jc w:val="right"/>
              <w:rPr>
                <w:rFonts w:eastAsia="Calibri" w:cs="Calibri"/>
                <w:b/>
                <w:color w:val="000000"/>
                <w:sz w:val="18"/>
              </w:rPr>
            </w:pPr>
            <w:r>
              <w:rPr>
                <w:rFonts w:eastAsia="Calibri" w:cs="Calibri"/>
                <w:b/>
                <w:color w:val="000000"/>
                <w:sz w:val="18"/>
              </w:rPr>
              <w:t>at</w:t>
            </w:r>
          </w:p>
          <w:p w:rsidR="001651E4" w:rsidRDefault="0058349F">
            <w:pPr>
              <w:spacing w:before="0" w:after="0"/>
              <w:jc w:val="right"/>
              <w:rPr>
                <w:rFonts w:eastAsia="Calibri" w:cs="Calibri"/>
                <w:b/>
                <w:color w:val="000000"/>
                <w:sz w:val="18"/>
              </w:rPr>
            </w:pPr>
            <w:r>
              <w:rPr>
                <w:rFonts w:eastAsia="Calibri" w:cs="Calibri"/>
                <w:b/>
                <w:color w:val="000000"/>
                <w:sz w:val="18"/>
              </w:rPr>
              <w:t xml:space="preserve">30/6/22 </w:t>
            </w:r>
          </w:p>
          <w:p w:rsidR="001651E4" w:rsidRDefault="0058349F">
            <w:pPr>
              <w:spacing w:before="0" w:after="0"/>
              <w:jc w:val="right"/>
              <w:rPr>
                <w:rFonts w:eastAsia="Calibri" w:cs="Calibri"/>
                <w:b/>
                <w:color w:val="000000"/>
                <w:sz w:val="18"/>
              </w:rPr>
            </w:pPr>
            <w:r>
              <w:rPr>
                <w:rFonts w:eastAsia="Calibri" w:cs="Calibri"/>
                <w:b/>
                <w:color w:val="000000"/>
                <w:sz w:val="18"/>
              </w:rPr>
              <w:t>$'000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3"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8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850"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2835" w:type="dxa"/>
            <w:tcBorders>
              <w:top w:val="nil"/>
              <w:left w:val="nil"/>
              <w:bottom w:val="nil"/>
              <w:right w:val="nil"/>
              <w:tl2br w:val="nil"/>
              <w:tr2bl w:val="nil"/>
            </w:tcBorders>
            <w:shd w:val="clear" w:color="auto" w:fill="auto"/>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Opening Equity</w:t>
            </w: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44,</w:t>
            </w:r>
            <w:r w:rsidR="0058349F">
              <w:rPr>
                <w:rFonts w:eastAsia="Calibri" w:cs="Calibri"/>
                <w:color w:val="000000"/>
                <w:sz w:val="18"/>
              </w:rPr>
              <w:t>450</w:t>
            </w:r>
          </w:p>
        </w:tc>
        <w:tc>
          <w:tcPr>
            <w:tcW w:w="2835"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Opening Accumulated Funds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54,</w:t>
            </w:r>
            <w:r w:rsidR="0058349F">
              <w:rPr>
                <w:rFonts w:eastAsia="Calibri" w:cs="Calibri"/>
                <w:color w:val="000000"/>
                <w:sz w:val="18"/>
              </w:rPr>
              <w:t>914</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58,</w:t>
            </w:r>
            <w:r w:rsidR="0058349F">
              <w:rPr>
                <w:rFonts w:eastAsia="Calibri" w:cs="Calibri"/>
                <w:color w:val="000000"/>
                <w:sz w:val="18"/>
              </w:rPr>
              <w:t>256</w:t>
            </w:r>
          </w:p>
        </w:tc>
        <w:tc>
          <w:tcPr>
            <w:tcW w:w="56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6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59,</w:t>
            </w:r>
            <w:r w:rsidR="0058349F">
              <w:rPr>
                <w:rFonts w:eastAsia="Calibri" w:cs="Calibri"/>
                <w:color w:val="000000"/>
                <w:sz w:val="18"/>
              </w:rPr>
              <w:t>587</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rsidP="005751D9">
            <w:pPr>
              <w:spacing w:before="0" w:after="0"/>
              <w:jc w:val="right"/>
              <w:rPr>
                <w:rFonts w:eastAsia="Calibri" w:cs="Calibri"/>
                <w:color w:val="000000"/>
                <w:sz w:val="18"/>
              </w:rPr>
            </w:pPr>
            <w:r>
              <w:rPr>
                <w:rFonts w:eastAsia="Calibri" w:cs="Calibri"/>
                <w:color w:val="000000"/>
                <w:sz w:val="18"/>
              </w:rPr>
              <w:t>57</w:t>
            </w:r>
            <w:r w:rsidR="005751D9">
              <w:rPr>
                <w:rFonts w:eastAsia="Calibri" w:cs="Calibri"/>
                <w:color w:val="000000"/>
                <w:sz w:val="18"/>
              </w:rPr>
              <w:t>,</w:t>
            </w:r>
            <w:r>
              <w:rPr>
                <w:rFonts w:eastAsia="Calibri" w:cs="Calibri"/>
                <w:color w:val="000000"/>
                <w:sz w:val="18"/>
              </w:rPr>
              <w:t>224</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w:t>
            </w:r>
            <w:r w:rsidR="005751D9">
              <w:rPr>
                <w:rFonts w:eastAsia="Calibri" w:cs="Calibri"/>
                <w:color w:val="000000"/>
                <w:sz w:val="18"/>
              </w:rPr>
              <w:t>4,</w:t>
            </w:r>
            <w:r>
              <w:rPr>
                <w:rFonts w:eastAsia="Calibri" w:cs="Calibri"/>
                <w:color w:val="000000"/>
                <w:sz w:val="18"/>
              </w:rPr>
              <w:t>815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827</w:t>
            </w:r>
          </w:p>
        </w:tc>
        <w:tc>
          <w:tcPr>
            <w:tcW w:w="2835" w:type="dxa"/>
            <w:tcBorders>
              <w:top w:val="nil"/>
              <w:left w:val="nil"/>
              <w:bottom w:val="nil"/>
              <w:right w:val="nil"/>
              <w:tl2br w:val="nil"/>
              <w:tr2bl w:val="nil"/>
            </w:tcBorders>
            <w:shd w:val="clear" w:color="auto" w:fill="auto"/>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Opening Asset Revaluation Reserve</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210</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8 </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color w:val="000000"/>
                <w:sz w:val="18"/>
              </w:rPr>
            </w:pPr>
          </w:p>
        </w:tc>
        <w:tc>
          <w:tcPr>
            <w:tcW w:w="2835" w:type="dxa"/>
            <w:tcBorders>
              <w:top w:val="nil"/>
              <w:left w:val="nil"/>
              <w:bottom w:val="nil"/>
              <w:right w:val="nil"/>
              <w:tl2br w:val="nil"/>
              <w:tr2bl w:val="nil"/>
            </w:tcBorders>
            <w:shd w:val="clear" w:color="auto" w:fill="auto"/>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jc w:val="right"/>
              <w:rPr>
                <w:rFonts w:eastAsia="Calibri" w:cs="Calibri"/>
                <w:b/>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jc w:val="right"/>
              <w:rPr>
                <w:rFonts w:eastAsia="Calibri" w:cs="Calibri"/>
                <w:b/>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jc w:val="right"/>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jc w:val="right"/>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jc w:val="right"/>
              <w:rPr>
                <w:rFonts w:eastAsia="Calibri" w:cs="Calibri"/>
                <w:b/>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49,</w:t>
            </w:r>
            <w:r w:rsidR="0058349F">
              <w:rPr>
                <w:rFonts w:eastAsia="Calibri" w:cs="Calibri"/>
                <w:b/>
                <w:color w:val="000000"/>
                <w:sz w:val="18"/>
              </w:rPr>
              <w:t>277</w:t>
            </w:r>
          </w:p>
        </w:tc>
        <w:tc>
          <w:tcPr>
            <w:tcW w:w="2835" w:type="dxa"/>
            <w:tcBorders>
              <w:top w:val="nil"/>
              <w:left w:val="nil"/>
              <w:bottom w:val="nil"/>
              <w:right w:val="nil"/>
              <w:tl2br w:val="nil"/>
              <w:tr2bl w:val="nil"/>
            </w:tcBorders>
            <w:shd w:val="clear" w:color="auto" w:fill="auto"/>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Balance at the Start of the Reporting Period</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59,</w:t>
            </w:r>
            <w:r w:rsidR="0058349F">
              <w:rPr>
                <w:rFonts w:eastAsia="Calibri" w:cs="Calibri"/>
                <w:b/>
                <w:color w:val="000000"/>
                <w:sz w:val="18"/>
              </w:rPr>
              <w:t>124</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62</w:t>
            </w:r>
            <w:r w:rsidR="005751D9">
              <w:rPr>
                <w:rFonts w:eastAsia="Calibri" w:cs="Calibri"/>
                <w:b/>
                <w:color w:val="000000"/>
                <w:sz w:val="18"/>
              </w:rPr>
              <w:t>,</w:t>
            </w:r>
            <w:r>
              <w:rPr>
                <w:rFonts w:eastAsia="Calibri" w:cs="Calibri"/>
                <w:b/>
                <w:color w:val="000000"/>
                <w:sz w:val="18"/>
              </w:rPr>
              <w:t>797</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64,</w:t>
            </w:r>
            <w:r w:rsidR="0058349F">
              <w:rPr>
                <w:rFonts w:eastAsia="Calibri" w:cs="Calibri"/>
                <w:b/>
                <w:color w:val="000000"/>
                <w:sz w:val="18"/>
              </w:rPr>
              <w:t>128</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61,</w:t>
            </w:r>
            <w:r w:rsidR="0058349F">
              <w:rPr>
                <w:rFonts w:eastAsia="Calibri" w:cs="Calibri"/>
                <w:b/>
                <w:color w:val="000000"/>
                <w:sz w:val="18"/>
              </w:rPr>
              <w:t>765</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59,</w:t>
            </w:r>
            <w:r w:rsidR="0058349F">
              <w:rPr>
                <w:rFonts w:eastAsia="Calibri" w:cs="Calibri"/>
                <w:b/>
                <w:color w:val="000000"/>
                <w:sz w:val="18"/>
              </w:rPr>
              <w:t>356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Comprehensive Income</w:t>
            </w: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-521</w:t>
            </w:r>
          </w:p>
        </w:tc>
        <w:tc>
          <w:tcPr>
            <w:tcW w:w="2835" w:type="dxa"/>
            <w:tcBorders>
              <w:top w:val="nil"/>
              <w:left w:val="nil"/>
              <w:bottom w:val="nil"/>
              <w:right w:val="nil"/>
              <w:tl2br w:val="nil"/>
              <w:tr2bl w:val="nil"/>
            </w:tcBorders>
            <w:shd w:val="clear" w:color="auto" w:fill="auto"/>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Net Effect of Correction of an Error</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-541</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-616</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-14 </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-593</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-593</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-997</w:t>
            </w:r>
          </w:p>
        </w:tc>
        <w:tc>
          <w:tcPr>
            <w:tcW w:w="2835" w:type="dxa"/>
            <w:tcBorders>
              <w:top w:val="nil"/>
              <w:left w:val="nil"/>
              <w:bottom w:val="nil"/>
              <w:right w:val="nil"/>
              <w:tl2br w:val="nil"/>
              <w:tr2bl w:val="nil"/>
            </w:tcBorders>
            <w:shd w:val="clear" w:color="auto" w:fill="auto"/>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Operating Result - Including Economic Flows</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-927</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032</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-119 </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185</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242</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303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662</w:t>
            </w:r>
          </w:p>
        </w:tc>
        <w:tc>
          <w:tcPr>
            <w:tcW w:w="2835" w:type="dxa"/>
            <w:tcBorders>
              <w:top w:val="nil"/>
              <w:left w:val="nil"/>
              <w:bottom w:val="nil"/>
              <w:right w:val="nil"/>
              <w:tl2br w:val="nil"/>
              <w:tr2bl w:val="nil"/>
            </w:tcBorders>
            <w:shd w:val="clear" w:color="auto" w:fill="auto"/>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Net Effect of Change in Accounting Policy - ARR</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331</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331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-856</w:t>
            </w:r>
          </w:p>
        </w:tc>
        <w:tc>
          <w:tcPr>
            <w:tcW w:w="28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Comprehensive Income</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137</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317</w:t>
            </w:r>
          </w:p>
        </w:tc>
        <w:tc>
          <w:tcPr>
            <w:tcW w:w="56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-104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447</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504</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565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2835" w:type="dxa"/>
            <w:tcBorders>
              <w:top w:val="nil"/>
              <w:left w:val="nil"/>
              <w:bottom w:val="nil"/>
              <w:right w:val="nil"/>
              <w:tl2br w:val="nil"/>
              <w:tr2bl w:val="nil"/>
            </w:tcBorders>
            <w:shd w:val="clear" w:color="auto" w:fill="auto"/>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Movement in Reserves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56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221" w:type="dxa"/>
            <w:gridSpan w:val="7"/>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Transactions Involving Owners Affecting Accumulated Funds</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941</w:t>
            </w:r>
          </w:p>
        </w:tc>
        <w:tc>
          <w:tcPr>
            <w:tcW w:w="28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Capital Injections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810</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3,</w:t>
            </w:r>
            <w:r w:rsidR="0058349F">
              <w:rPr>
                <w:rFonts w:eastAsia="Calibri" w:cs="Calibri"/>
                <w:color w:val="000000"/>
                <w:sz w:val="18"/>
              </w:rPr>
              <w:t>979</w:t>
            </w:r>
          </w:p>
        </w:tc>
        <w:tc>
          <w:tcPr>
            <w:tcW w:w="56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-17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415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426</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437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4,</w:t>
            </w:r>
            <w:r w:rsidR="0058349F">
              <w:rPr>
                <w:rFonts w:eastAsia="Calibri" w:cs="Calibri"/>
                <w:b/>
                <w:color w:val="000000"/>
                <w:sz w:val="18"/>
              </w:rPr>
              <w:t>941</w:t>
            </w:r>
          </w:p>
        </w:tc>
        <w:tc>
          <w:tcPr>
            <w:tcW w:w="2835" w:type="dxa"/>
            <w:tcBorders>
              <w:top w:val="nil"/>
              <w:left w:val="nil"/>
              <w:bottom w:val="nil"/>
              <w:right w:val="nil"/>
              <w:tl2br w:val="nil"/>
              <w:tr2bl w:val="nil"/>
            </w:tcBorders>
            <w:shd w:val="clear" w:color="auto" w:fill="auto"/>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Transactions Involving Owners Affecting Accumulated Funds</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4,</w:t>
            </w:r>
            <w:r w:rsidR="0058349F">
              <w:rPr>
                <w:rFonts w:eastAsia="Calibri" w:cs="Calibri"/>
                <w:b/>
                <w:color w:val="000000"/>
                <w:sz w:val="18"/>
              </w:rPr>
              <w:t>810</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979</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-17 </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415</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426</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437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auto" w:fill="auto"/>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Closing Equity</w:t>
            </w: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48,</w:t>
            </w:r>
            <w:r w:rsidR="0058349F">
              <w:rPr>
                <w:rFonts w:eastAsia="Calibri" w:cs="Calibri"/>
                <w:color w:val="000000"/>
                <w:sz w:val="18"/>
              </w:rPr>
              <w:t>535</w:t>
            </w:r>
          </w:p>
        </w:tc>
        <w:tc>
          <w:tcPr>
            <w:tcW w:w="2835" w:type="dxa"/>
            <w:tcBorders>
              <w:top w:val="nil"/>
              <w:left w:val="nil"/>
              <w:bottom w:val="nil"/>
              <w:right w:val="nil"/>
              <w:tl2br w:val="nil"/>
              <w:tr2bl w:val="nil"/>
            </w:tcBorders>
            <w:shd w:val="clear" w:color="auto" w:fill="auto"/>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Closing Accumulated Funds</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58,</w:t>
            </w:r>
            <w:r w:rsidR="0058349F">
              <w:rPr>
                <w:rFonts w:eastAsia="Calibri" w:cs="Calibri"/>
                <w:color w:val="000000"/>
                <w:sz w:val="18"/>
              </w:rPr>
              <w:t>256</w:t>
            </w:r>
          </w:p>
        </w:tc>
        <w:tc>
          <w:tcPr>
            <w:tcW w:w="850"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59,</w:t>
            </w:r>
            <w:r w:rsidR="0058349F">
              <w:rPr>
                <w:rFonts w:eastAsia="Calibri" w:cs="Calibri"/>
                <w:color w:val="000000"/>
                <w:sz w:val="18"/>
              </w:rPr>
              <w:t>587</w:t>
            </w:r>
          </w:p>
        </w:tc>
        <w:tc>
          <w:tcPr>
            <w:tcW w:w="567"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2 </w:t>
            </w:r>
          </w:p>
        </w:tc>
        <w:tc>
          <w:tcPr>
            <w:tcW w:w="993"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57,</w:t>
            </w:r>
            <w:r w:rsidR="0058349F">
              <w:rPr>
                <w:rFonts w:eastAsia="Calibri" w:cs="Calibri"/>
                <w:color w:val="000000"/>
                <w:sz w:val="18"/>
              </w:rPr>
              <w:t>224</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54,</w:t>
            </w:r>
            <w:r w:rsidR="0058349F">
              <w:rPr>
                <w:rFonts w:eastAsia="Calibri" w:cs="Calibri"/>
                <w:color w:val="000000"/>
                <w:sz w:val="18"/>
              </w:rPr>
              <w:t>815</w:t>
            </w:r>
          </w:p>
        </w:tc>
        <w:tc>
          <w:tcPr>
            <w:tcW w:w="992" w:type="dxa"/>
            <w:tcBorders>
              <w:top w:val="nil"/>
              <w:left w:val="nil"/>
              <w:bottom w:val="nil"/>
              <w:right w:val="nil"/>
              <w:tl2br w:val="nil"/>
              <w:tr2bl w:val="nil"/>
            </w:tcBorders>
            <w:shd w:val="clear" w:color="FFFFFF" w:fill="FFFFFF"/>
            <w:noWrap/>
            <w:tcMar>
              <w:left w:w="101" w:type="dxa"/>
              <w:right w:w="101" w:type="dxa"/>
            </w:tcMar>
          </w:tcPr>
          <w:p w:rsidR="001651E4" w:rsidRDefault="005751D9">
            <w:pPr>
              <w:spacing w:before="0" w:after="0"/>
              <w:jc w:val="right"/>
              <w:rPr>
                <w:rFonts w:eastAsia="Calibri" w:cs="Calibri"/>
                <w:color w:val="000000"/>
                <w:sz w:val="18"/>
              </w:rPr>
            </w:pPr>
            <w:r>
              <w:rPr>
                <w:rFonts w:eastAsia="Calibri" w:cs="Calibri"/>
                <w:color w:val="000000"/>
                <w:sz w:val="18"/>
              </w:rPr>
              <w:t>52,</w:t>
            </w:r>
            <w:r w:rsidR="0058349F">
              <w:rPr>
                <w:rFonts w:eastAsia="Calibri" w:cs="Calibri"/>
                <w:color w:val="000000"/>
                <w:sz w:val="18"/>
              </w:rPr>
              <w:t>356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827</w:t>
            </w:r>
          </w:p>
        </w:tc>
        <w:tc>
          <w:tcPr>
            <w:tcW w:w="2835" w:type="dxa"/>
            <w:tcBorders>
              <w:top w:val="nil"/>
              <w:left w:val="nil"/>
              <w:bottom w:val="nil"/>
              <w:right w:val="nil"/>
              <w:tl2br w:val="nil"/>
              <w:tr2bl w:val="nil"/>
            </w:tcBorders>
            <w:shd w:val="clear" w:color="auto" w:fill="auto"/>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Closing Asset Revaluation Reserve</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541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3"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rPr>
                <w:rFonts w:eastAsia="Calibri" w:cs="Calibri"/>
                <w:color w:val="000000"/>
                <w:sz w:val="18"/>
              </w:rPr>
            </w:pPr>
          </w:p>
        </w:tc>
        <w:tc>
          <w:tcPr>
            <w:tcW w:w="28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noWrap/>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53,</w:t>
            </w:r>
            <w:r w:rsidR="0058349F">
              <w:rPr>
                <w:rFonts w:eastAsia="Calibri" w:cs="Calibri"/>
                <w:b/>
                <w:color w:val="000000"/>
                <w:sz w:val="18"/>
              </w:rPr>
              <w:t>362</w:t>
            </w:r>
          </w:p>
        </w:tc>
        <w:tc>
          <w:tcPr>
            <w:tcW w:w="28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Balance at the end of the Reporting Period</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62,</w:t>
            </w:r>
            <w:r w:rsidR="0058349F">
              <w:rPr>
                <w:rFonts w:eastAsia="Calibri" w:cs="Calibri"/>
                <w:b/>
                <w:color w:val="000000"/>
                <w:sz w:val="18"/>
              </w:rPr>
              <w:t>797</w:t>
            </w:r>
          </w:p>
        </w:tc>
        <w:tc>
          <w:tcPr>
            <w:tcW w:w="850"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64,</w:t>
            </w:r>
            <w:r w:rsidR="0058349F">
              <w:rPr>
                <w:rFonts w:eastAsia="Calibri" w:cs="Calibri"/>
                <w:b/>
                <w:color w:val="000000"/>
                <w:sz w:val="18"/>
              </w:rPr>
              <w:t>128</w:t>
            </w:r>
          </w:p>
        </w:tc>
        <w:tc>
          <w:tcPr>
            <w:tcW w:w="567"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2</w:t>
            </w:r>
          </w:p>
        </w:tc>
        <w:tc>
          <w:tcPr>
            <w:tcW w:w="993"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61,</w:t>
            </w:r>
            <w:r w:rsidR="0058349F">
              <w:rPr>
                <w:rFonts w:eastAsia="Calibri" w:cs="Calibri"/>
                <w:b/>
                <w:color w:val="000000"/>
                <w:sz w:val="18"/>
              </w:rPr>
              <w:t>765</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59,</w:t>
            </w:r>
            <w:r w:rsidR="0058349F">
              <w:rPr>
                <w:rFonts w:eastAsia="Calibri" w:cs="Calibri"/>
                <w:b/>
                <w:color w:val="000000"/>
                <w:sz w:val="18"/>
              </w:rPr>
              <w:t>356</w:t>
            </w:r>
          </w:p>
        </w:tc>
        <w:tc>
          <w:tcPr>
            <w:tcW w:w="992"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751D9">
            <w:pPr>
              <w:spacing w:before="0" w:after="0"/>
              <w:jc w:val="right"/>
              <w:rPr>
                <w:rFonts w:eastAsia="Calibri" w:cs="Calibri"/>
                <w:b/>
                <w:color w:val="000000"/>
                <w:sz w:val="18"/>
              </w:rPr>
            </w:pPr>
            <w:r>
              <w:rPr>
                <w:rFonts w:eastAsia="Calibri" w:cs="Calibri"/>
                <w:b/>
                <w:color w:val="000000"/>
                <w:sz w:val="18"/>
              </w:rPr>
              <w:t>56,</w:t>
            </w:r>
            <w:r w:rsidR="0058349F">
              <w:rPr>
                <w:rFonts w:eastAsia="Calibri" w:cs="Calibri"/>
                <w:b/>
                <w:color w:val="000000"/>
                <w:sz w:val="18"/>
              </w:rPr>
              <w:t>897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3"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8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bl>
    <w:p w:rsidR="0058349F" w:rsidRDefault="0058349F" w:rsidP="0058349F">
      <w:pPr>
        <w:pStyle w:val="Caption"/>
        <w:pageBreakBefore/>
        <w:pBdr>
          <w:top w:val="nil"/>
          <w:left w:val="nil"/>
          <w:bottom w:val="nil"/>
          <w:right w:val="nil"/>
          <w:between w:val="nil"/>
          <w:bar w:val="nil"/>
        </w:pBdr>
        <w:outlineLvl w:val="0"/>
        <w:rPr>
          <w:bdr w:val="nil"/>
        </w:rPr>
      </w:pPr>
      <w:bookmarkStart w:id="46" w:name="_Toc514926343"/>
      <w:r w:rsidRPr="00362887">
        <w:rPr>
          <w:bdr w:val="nil"/>
        </w:rPr>
        <w:t xml:space="preserve">Table </w:t>
      </w:r>
      <w:r w:rsidR="00BD264F" w:rsidRPr="00362887">
        <w:rPr>
          <w:bdr w:val="nil"/>
        </w:rPr>
        <w:t>32</w:t>
      </w:r>
      <w:r w:rsidRPr="00362887">
        <w:rPr>
          <w:bdr w:val="nil"/>
        </w:rPr>
        <w:t>: Community</w:t>
      </w:r>
      <w:r>
        <w:rPr>
          <w:bdr w:val="nil"/>
        </w:rPr>
        <w:t xml:space="preserve"> Services Directorate: Cash Flow Statement</w:t>
      </w:r>
      <w:bookmarkEnd w:id="46"/>
      <w:r>
        <w:rPr>
          <w:bdr w:val="nil"/>
        </w:rPr>
        <w:t xml:space="preserve"> </w:t>
      </w:r>
    </w:p>
    <w:tbl>
      <w:tblPr>
        <w:tblStyle w:val="CDMRange2"/>
        <w:tblW w:w="9214" w:type="dxa"/>
        <w:tblLayout w:type="fixed"/>
        <w:tblLook w:val="0600" w:firstRow="0" w:lastRow="0" w:firstColumn="0" w:lastColumn="0" w:noHBand="1" w:noVBand="1"/>
      </w:tblPr>
      <w:tblGrid>
        <w:gridCol w:w="1035"/>
        <w:gridCol w:w="2793"/>
        <w:gridCol w:w="992"/>
        <w:gridCol w:w="850"/>
        <w:gridCol w:w="567"/>
        <w:gridCol w:w="993"/>
        <w:gridCol w:w="992"/>
        <w:gridCol w:w="992"/>
      </w:tblGrid>
      <w:tr w:rsidR="001651E4" w:rsidTr="00244C2C">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2017-18 Budget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2793"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 $'000</w:t>
            </w:r>
          </w:p>
        </w:tc>
        <w:tc>
          <w:tcPr>
            <w:tcW w:w="85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2018-19 Budget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567"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proofErr w:type="spellStart"/>
            <w:r>
              <w:rPr>
                <w:rFonts w:eastAsia="Calibri" w:cs="Calibri"/>
                <w:b/>
                <w:color w:val="000000"/>
                <w:sz w:val="18"/>
              </w:rPr>
              <w:t>Var</w:t>
            </w:r>
            <w:proofErr w:type="spellEnd"/>
            <w:r>
              <w:rPr>
                <w:rFonts w:eastAsia="Calibri" w:cs="Calibri"/>
                <w:b/>
                <w:color w:val="000000"/>
                <w:sz w:val="18"/>
              </w:rPr>
              <w:t xml:space="preserve"> </w:t>
            </w:r>
          </w:p>
          <w:p w:rsidR="001651E4" w:rsidRDefault="0058349F">
            <w:pPr>
              <w:spacing w:before="0" w:after="0"/>
              <w:jc w:val="right"/>
              <w:rPr>
                <w:rFonts w:eastAsia="Calibri" w:cs="Calibri"/>
                <w:b/>
                <w:color w:val="000000"/>
                <w:sz w:val="18"/>
              </w:rPr>
            </w:pPr>
            <w:r>
              <w:rPr>
                <w:rFonts w:eastAsia="Calibri" w:cs="Calibri"/>
                <w:b/>
                <w:color w:val="000000"/>
                <w:sz w:val="18"/>
              </w:rPr>
              <w:t>%</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2019-20 Estimate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2020-21 Estimate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2021-22 Estimate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793"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850"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567"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3"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auto" w:fill="auto"/>
            <w:noWrap/>
            <w:tcMar>
              <w:left w:w="0" w:type="dxa"/>
              <w:right w:w="0" w:type="dxa"/>
            </w:tcMar>
          </w:tcPr>
          <w:p w:rsidR="001651E4" w:rsidRDefault="001651E4">
            <w:pPr>
              <w:spacing w:before="0" w:after="0"/>
              <w:rPr>
                <w:rFonts w:eastAsia="Calibri" w:cs="Calibri"/>
                <w:color w:val="000000"/>
                <w:sz w:val="18"/>
              </w:rPr>
            </w:pPr>
          </w:p>
        </w:tc>
        <w:tc>
          <w:tcPr>
            <w:tcW w:w="8179" w:type="dxa"/>
            <w:gridSpan w:val="7"/>
            <w:tcBorders>
              <w:top w:val="nil"/>
              <w:left w:val="nil"/>
              <w:bottom w:val="nil"/>
              <w:right w:val="nil"/>
              <w:tl2br w:val="nil"/>
              <w:tr2bl w:val="nil"/>
            </w:tcBorders>
            <w:shd w:val="clear" w:color="auto" w:fill="auto"/>
            <w:tcMar>
              <w:left w:w="101" w:type="dxa"/>
              <w:right w:w="101" w:type="dxa"/>
            </w:tcMar>
            <w:vAlign w:val="bottom"/>
          </w:tcPr>
          <w:p w:rsidR="001651E4" w:rsidRDefault="0058349F">
            <w:pPr>
              <w:spacing w:before="0" w:after="0"/>
              <w:rPr>
                <w:rFonts w:eastAsia="Calibri" w:cs="Calibri"/>
                <w:b/>
                <w:color w:val="000000"/>
                <w:sz w:val="18"/>
              </w:rPr>
            </w:pPr>
            <w:r>
              <w:rPr>
                <w:rFonts w:eastAsia="Calibri" w:cs="Calibri"/>
                <w:b/>
                <w:color w:val="000000"/>
                <w:sz w:val="18"/>
              </w:rPr>
              <w:t>CASH FLOWS FROM OPERATING ACTIVITIES</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252</w:t>
            </w:r>
            <w:r w:rsidR="00C861D4">
              <w:rPr>
                <w:rFonts w:eastAsia="Calibri" w:cs="Calibri"/>
                <w:color w:val="000000"/>
                <w:sz w:val="18"/>
              </w:rPr>
              <w:t>,</w:t>
            </w:r>
            <w:r>
              <w:rPr>
                <w:rFonts w:eastAsia="Calibri" w:cs="Calibri"/>
                <w:color w:val="000000"/>
                <w:sz w:val="18"/>
              </w:rPr>
              <w:t>585</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Controlled Recurrent Payments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254,</w:t>
            </w:r>
            <w:r w:rsidR="0058349F">
              <w:rPr>
                <w:rFonts w:eastAsia="Calibri" w:cs="Calibri"/>
                <w:color w:val="000000"/>
                <w:sz w:val="18"/>
              </w:rPr>
              <w:t>052</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269,</w:t>
            </w:r>
            <w:r w:rsidR="0058349F">
              <w:rPr>
                <w:rFonts w:eastAsia="Calibri" w:cs="Calibri"/>
                <w:color w:val="000000"/>
                <w:sz w:val="18"/>
              </w:rPr>
              <w:t>097</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297</w:t>
            </w:r>
            <w:r w:rsidR="00C861D4">
              <w:rPr>
                <w:rFonts w:eastAsia="Calibri" w:cs="Calibri"/>
                <w:color w:val="000000"/>
                <w:sz w:val="18"/>
              </w:rPr>
              <w:t>,</w:t>
            </w:r>
            <w:r>
              <w:rPr>
                <w:rFonts w:eastAsia="Calibri" w:cs="Calibri"/>
                <w:color w:val="000000"/>
                <w:sz w:val="18"/>
              </w:rPr>
              <w:t>035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304</w:t>
            </w:r>
            <w:r w:rsidR="00C861D4">
              <w:rPr>
                <w:rFonts w:eastAsia="Calibri" w:cs="Calibri"/>
                <w:color w:val="000000"/>
                <w:sz w:val="18"/>
              </w:rPr>
              <w:t>,</w:t>
            </w:r>
            <w:r>
              <w:rPr>
                <w:rFonts w:eastAsia="Calibri" w:cs="Calibri"/>
                <w:color w:val="000000"/>
                <w:sz w:val="18"/>
              </w:rPr>
              <w:t>331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310</w:t>
            </w:r>
            <w:r w:rsidR="00C861D4">
              <w:rPr>
                <w:rFonts w:eastAsia="Calibri" w:cs="Calibri"/>
                <w:color w:val="000000"/>
                <w:sz w:val="18"/>
              </w:rPr>
              <w:t>,</w:t>
            </w:r>
            <w:r>
              <w:rPr>
                <w:rFonts w:eastAsia="Calibri" w:cs="Calibri"/>
                <w:color w:val="000000"/>
                <w:sz w:val="18"/>
              </w:rPr>
              <w:t>175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296</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User Charges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296</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296</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296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296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296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16,</w:t>
            </w:r>
            <w:r w:rsidR="0058349F">
              <w:rPr>
                <w:rFonts w:eastAsia="Calibri" w:cs="Calibri"/>
                <w:color w:val="000000"/>
                <w:sz w:val="18"/>
              </w:rPr>
              <w:t>006</w:t>
            </w:r>
          </w:p>
        </w:tc>
        <w:tc>
          <w:tcPr>
            <w:tcW w:w="2793"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16,</w:t>
            </w:r>
            <w:r w:rsidR="0058349F">
              <w:rPr>
                <w:rFonts w:eastAsia="Calibri" w:cs="Calibri"/>
                <w:color w:val="000000"/>
                <w:sz w:val="18"/>
              </w:rPr>
              <w:t>171</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771</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-15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878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940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940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269,</w:t>
            </w:r>
            <w:r w:rsidR="0058349F">
              <w:rPr>
                <w:rFonts w:eastAsia="Calibri" w:cs="Calibri"/>
                <w:b/>
                <w:color w:val="000000"/>
                <w:sz w:val="18"/>
              </w:rPr>
              <w:t>887</w:t>
            </w:r>
          </w:p>
        </w:tc>
        <w:tc>
          <w:tcPr>
            <w:tcW w:w="27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Operating Receipts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271</w:t>
            </w:r>
            <w:r w:rsidR="00C861D4">
              <w:rPr>
                <w:rFonts w:eastAsia="Calibri" w:cs="Calibri"/>
                <w:b/>
                <w:color w:val="000000"/>
                <w:sz w:val="18"/>
              </w:rPr>
              <w:t>,</w:t>
            </w:r>
            <w:r>
              <w:rPr>
                <w:rFonts w:eastAsia="Calibri" w:cs="Calibri"/>
                <w:b/>
                <w:color w:val="000000"/>
                <w:sz w:val="18"/>
              </w:rPr>
              <w:t>519</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284,</w:t>
            </w:r>
            <w:r w:rsidR="0058349F">
              <w:rPr>
                <w:rFonts w:eastAsia="Calibri" w:cs="Calibri"/>
                <w:b/>
                <w:color w:val="000000"/>
                <w:sz w:val="18"/>
              </w:rPr>
              <w:t>164</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5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312,</w:t>
            </w:r>
            <w:r w:rsidR="0058349F">
              <w:rPr>
                <w:rFonts w:eastAsia="Calibri" w:cs="Calibri"/>
                <w:b/>
                <w:color w:val="000000"/>
                <w:sz w:val="18"/>
              </w:rPr>
              <w:t>209</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319,</w:t>
            </w:r>
            <w:r w:rsidR="0058349F">
              <w:rPr>
                <w:rFonts w:eastAsia="Calibri" w:cs="Calibri"/>
                <w:b/>
                <w:color w:val="000000"/>
                <w:sz w:val="18"/>
              </w:rPr>
              <w:t>567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325,</w:t>
            </w:r>
            <w:r w:rsidR="0058349F">
              <w:rPr>
                <w:rFonts w:eastAsia="Calibri" w:cs="Calibri"/>
                <w:b/>
                <w:color w:val="000000"/>
                <w:sz w:val="18"/>
              </w:rPr>
              <w:t>411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Payments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59,</w:t>
            </w:r>
            <w:r w:rsidR="0058349F">
              <w:rPr>
                <w:rFonts w:eastAsia="Calibri" w:cs="Calibri"/>
                <w:color w:val="000000"/>
                <w:sz w:val="18"/>
              </w:rPr>
              <w:t>512</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Employee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61,</w:t>
            </w:r>
            <w:r w:rsidR="0058349F">
              <w:rPr>
                <w:rFonts w:eastAsia="Calibri" w:cs="Calibri"/>
                <w:color w:val="000000"/>
                <w:sz w:val="18"/>
              </w:rPr>
              <w:t>395</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65,</w:t>
            </w:r>
            <w:r w:rsidR="0058349F">
              <w:rPr>
                <w:rFonts w:eastAsia="Calibri" w:cs="Calibri"/>
                <w:color w:val="000000"/>
                <w:sz w:val="18"/>
              </w:rPr>
              <w:t>854</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7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66,</w:t>
            </w:r>
            <w:r w:rsidR="0058349F">
              <w:rPr>
                <w:rFonts w:eastAsia="Calibri" w:cs="Calibri"/>
                <w:color w:val="000000"/>
                <w:sz w:val="18"/>
              </w:rPr>
              <w:t>145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66,</w:t>
            </w:r>
            <w:r w:rsidR="0058349F">
              <w:rPr>
                <w:rFonts w:eastAsia="Calibri" w:cs="Calibri"/>
                <w:color w:val="000000"/>
                <w:sz w:val="18"/>
              </w:rPr>
              <w:t>620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68,</w:t>
            </w:r>
            <w:r w:rsidR="0058349F">
              <w:rPr>
                <w:rFonts w:eastAsia="Calibri" w:cs="Calibri"/>
                <w:color w:val="000000"/>
                <w:sz w:val="18"/>
              </w:rPr>
              <w:t>140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10,</w:t>
            </w:r>
            <w:r w:rsidR="0058349F">
              <w:rPr>
                <w:rFonts w:eastAsia="Calibri" w:cs="Calibri"/>
                <w:color w:val="000000"/>
                <w:sz w:val="18"/>
              </w:rPr>
              <w:t>136</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Superannuation</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8,</w:t>
            </w:r>
            <w:r w:rsidR="0058349F">
              <w:rPr>
                <w:rFonts w:eastAsia="Calibri" w:cs="Calibri"/>
                <w:color w:val="000000"/>
                <w:sz w:val="18"/>
              </w:rPr>
              <w:t>891</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9,</w:t>
            </w:r>
            <w:r w:rsidR="0058349F">
              <w:rPr>
                <w:rFonts w:eastAsia="Calibri" w:cs="Calibri"/>
                <w:color w:val="000000"/>
                <w:sz w:val="18"/>
              </w:rPr>
              <w:t>945</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12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10,</w:t>
            </w:r>
            <w:r w:rsidR="0058349F">
              <w:rPr>
                <w:rFonts w:eastAsia="Calibri" w:cs="Calibri"/>
                <w:color w:val="000000"/>
                <w:sz w:val="18"/>
              </w:rPr>
              <w:t>411</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11,</w:t>
            </w:r>
            <w:r w:rsidR="0058349F">
              <w:rPr>
                <w:rFonts w:eastAsia="Calibri" w:cs="Calibri"/>
                <w:color w:val="000000"/>
                <w:sz w:val="18"/>
              </w:rPr>
              <w:t>030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11,</w:t>
            </w:r>
            <w:r w:rsidR="0058349F">
              <w:rPr>
                <w:rFonts w:eastAsia="Calibri" w:cs="Calibri"/>
                <w:color w:val="000000"/>
                <w:sz w:val="18"/>
              </w:rPr>
              <w:t>502</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19,</w:t>
            </w:r>
            <w:r w:rsidR="0058349F">
              <w:rPr>
                <w:rFonts w:eastAsia="Calibri" w:cs="Calibri"/>
                <w:color w:val="000000"/>
                <w:sz w:val="18"/>
              </w:rPr>
              <w:t>410</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Supplies and Services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20,</w:t>
            </w:r>
            <w:r w:rsidR="0058349F">
              <w:rPr>
                <w:rFonts w:eastAsia="Calibri" w:cs="Calibri"/>
                <w:color w:val="000000"/>
                <w:sz w:val="18"/>
              </w:rPr>
              <w:t>876</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24,</w:t>
            </w:r>
            <w:r w:rsidR="0058349F">
              <w:rPr>
                <w:rFonts w:eastAsia="Calibri" w:cs="Calibri"/>
                <w:color w:val="000000"/>
                <w:sz w:val="18"/>
              </w:rPr>
              <w:t>368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17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29,</w:t>
            </w:r>
            <w:r w:rsidR="0058349F">
              <w:rPr>
                <w:rFonts w:eastAsia="Calibri" w:cs="Calibri"/>
                <w:color w:val="000000"/>
                <w:sz w:val="18"/>
              </w:rPr>
              <w:t>300</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28,</w:t>
            </w:r>
            <w:r w:rsidR="0058349F">
              <w:rPr>
                <w:rFonts w:eastAsia="Calibri" w:cs="Calibri"/>
                <w:color w:val="000000"/>
                <w:sz w:val="18"/>
              </w:rPr>
              <w:t>917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29,</w:t>
            </w:r>
            <w:r w:rsidR="0058349F">
              <w:rPr>
                <w:rFonts w:eastAsia="Calibri" w:cs="Calibri"/>
                <w:color w:val="000000"/>
                <w:sz w:val="18"/>
              </w:rPr>
              <w:t>688</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164,</w:t>
            </w:r>
            <w:r w:rsidR="0058349F">
              <w:rPr>
                <w:rFonts w:eastAsia="Calibri" w:cs="Calibri"/>
                <w:color w:val="000000"/>
                <w:sz w:val="18"/>
              </w:rPr>
              <w:t>131</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164,</w:t>
            </w:r>
            <w:r w:rsidR="0058349F">
              <w:rPr>
                <w:rFonts w:eastAsia="Calibri" w:cs="Calibri"/>
                <w:color w:val="000000"/>
                <w:sz w:val="18"/>
              </w:rPr>
              <w:t>270</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170,</w:t>
            </w:r>
            <w:r w:rsidR="0058349F">
              <w:rPr>
                <w:rFonts w:eastAsia="Calibri" w:cs="Calibri"/>
                <w:color w:val="000000"/>
                <w:sz w:val="18"/>
              </w:rPr>
              <w:t>819</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192,</w:t>
            </w:r>
            <w:r w:rsidR="0058349F">
              <w:rPr>
                <w:rFonts w:eastAsia="Calibri" w:cs="Calibri"/>
                <w:color w:val="000000"/>
                <w:sz w:val="18"/>
              </w:rPr>
              <w:t>767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199,</w:t>
            </w:r>
            <w:r w:rsidR="0058349F">
              <w:rPr>
                <w:rFonts w:eastAsia="Calibri" w:cs="Calibri"/>
                <w:color w:val="000000"/>
                <w:sz w:val="18"/>
              </w:rPr>
              <w:t>352</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202,</w:t>
            </w:r>
            <w:r w:rsidR="0058349F">
              <w:rPr>
                <w:rFonts w:eastAsia="Calibri" w:cs="Calibri"/>
                <w:color w:val="000000"/>
                <w:sz w:val="18"/>
              </w:rPr>
              <w:t>433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16,</w:t>
            </w:r>
            <w:r w:rsidR="0058349F">
              <w:rPr>
                <w:rFonts w:eastAsia="Calibri" w:cs="Calibri"/>
                <w:color w:val="000000"/>
                <w:sz w:val="18"/>
              </w:rPr>
              <w:t>698</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16,</w:t>
            </w:r>
            <w:r w:rsidR="0058349F">
              <w:rPr>
                <w:rFonts w:eastAsia="Calibri" w:cs="Calibri"/>
                <w:color w:val="000000"/>
                <w:sz w:val="18"/>
              </w:rPr>
              <w:t>087</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787</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894</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956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13,</w:t>
            </w:r>
            <w:r w:rsidR="0058349F">
              <w:rPr>
                <w:rFonts w:eastAsia="Calibri" w:cs="Calibri"/>
                <w:color w:val="000000"/>
                <w:sz w:val="18"/>
              </w:rPr>
              <w:t>956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269,</w:t>
            </w:r>
            <w:r w:rsidR="0058349F">
              <w:rPr>
                <w:rFonts w:eastAsia="Calibri" w:cs="Calibri"/>
                <w:b/>
                <w:color w:val="000000"/>
                <w:sz w:val="18"/>
              </w:rPr>
              <w:t>887</w:t>
            </w:r>
          </w:p>
        </w:tc>
        <w:tc>
          <w:tcPr>
            <w:tcW w:w="27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Operating Payments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271,</w:t>
            </w:r>
            <w:r w:rsidR="0058349F">
              <w:rPr>
                <w:rFonts w:eastAsia="Calibri" w:cs="Calibri"/>
                <w:b/>
                <w:color w:val="000000"/>
                <w:sz w:val="18"/>
              </w:rPr>
              <w:t>519</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284,</w:t>
            </w:r>
            <w:r w:rsidR="0058349F">
              <w:rPr>
                <w:rFonts w:eastAsia="Calibri" w:cs="Calibri"/>
                <w:b/>
                <w:color w:val="000000"/>
                <w:sz w:val="18"/>
              </w:rPr>
              <w:t>773</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5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312,</w:t>
            </w:r>
            <w:r w:rsidR="0058349F">
              <w:rPr>
                <w:rFonts w:eastAsia="Calibri" w:cs="Calibri"/>
                <w:b/>
                <w:color w:val="000000"/>
                <w:sz w:val="18"/>
              </w:rPr>
              <w:t>517</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319,</w:t>
            </w:r>
            <w:r w:rsidR="0058349F">
              <w:rPr>
                <w:rFonts w:eastAsia="Calibri" w:cs="Calibri"/>
                <w:b/>
                <w:color w:val="000000"/>
                <w:sz w:val="18"/>
              </w:rPr>
              <w:t>875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325,</w:t>
            </w:r>
            <w:r w:rsidR="0058349F">
              <w:rPr>
                <w:rFonts w:eastAsia="Calibri" w:cs="Calibri"/>
                <w:b/>
                <w:color w:val="000000"/>
                <w:sz w:val="18"/>
              </w:rPr>
              <w:t>719</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NET CASH INFLOW/(OUTFLOW) FROM OPERATING ACTIVITIES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-609</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-308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-308</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-308</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179" w:type="dxa"/>
            <w:gridSpan w:val="7"/>
            <w:tcBorders>
              <w:top w:val="nil"/>
              <w:left w:val="nil"/>
              <w:bottom w:val="nil"/>
              <w:right w:val="nil"/>
              <w:tl2br w:val="nil"/>
              <w:tr2bl w:val="nil"/>
            </w:tcBorders>
            <w:shd w:val="clear" w:color="auto" w:fill="auto"/>
            <w:tcMar>
              <w:left w:w="101" w:type="dxa"/>
              <w:right w:w="101" w:type="dxa"/>
            </w:tcMar>
            <w:vAlign w:val="bottom"/>
          </w:tcPr>
          <w:p w:rsidR="001651E4" w:rsidRDefault="0058349F">
            <w:pPr>
              <w:spacing w:before="0" w:after="0"/>
              <w:rPr>
                <w:rFonts w:eastAsia="Calibri" w:cs="Calibri"/>
                <w:b/>
                <w:color w:val="000000"/>
                <w:sz w:val="18"/>
              </w:rPr>
            </w:pPr>
            <w:r>
              <w:rPr>
                <w:rFonts w:eastAsia="Calibri" w:cs="Calibri"/>
                <w:b/>
                <w:color w:val="000000"/>
                <w:sz w:val="18"/>
              </w:rPr>
              <w:t>CASH FLOWS FROM INVESTING ACTIVITIES</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Payments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941</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Purchase of Property, Plant and Equipment</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w:t>
            </w:r>
            <w:r w:rsidR="0058349F">
              <w:rPr>
                <w:rFonts w:eastAsia="Calibri" w:cs="Calibri"/>
                <w:color w:val="000000"/>
                <w:sz w:val="18"/>
              </w:rPr>
              <w:t>810</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3,</w:t>
            </w:r>
            <w:r w:rsidR="0058349F">
              <w:rPr>
                <w:rFonts w:eastAsia="Calibri" w:cs="Calibri"/>
                <w:color w:val="000000"/>
                <w:sz w:val="18"/>
              </w:rPr>
              <w:t>678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-24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415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426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437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4,</w:t>
            </w:r>
            <w:r w:rsidR="0058349F">
              <w:rPr>
                <w:rFonts w:eastAsia="Calibri" w:cs="Calibri"/>
                <w:b/>
                <w:color w:val="000000"/>
                <w:sz w:val="18"/>
              </w:rPr>
              <w:t>941</w:t>
            </w:r>
          </w:p>
        </w:tc>
        <w:tc>
          <w:tcPr>
            <w:tcW w:w="27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Investing Payments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4,</w:t>
            </w:r>
            <w:r w:rsidR="0058349F">
              <w:rPr>
                <w:rFonts w:eastAsia="Calibri" w:cs="Calibri"/>
                <w:b/>
                <w:color w:val="000000"/>
                <w:sz w:val="18"/>
              </w:rPr>
              <w:t>810</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678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415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426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437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7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-4,</w:t>
            </w:r>
            <w:r w:rsidR="0058349F">
              <w:rPr>
                <w:rFonts w:eastAsia="Calibri" w:cs="Calibri"/>
                <w:b/>
                <w:color w:val="000000"/>
                <w:sz w:val="18"/>
              </w:rPr>
              <w:t>941</w:t>
            </w:r>
          </w:p>
        </w:tc>
        <w:tc>
          <w:tcPr>
            <w:tcW w:w="2793"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NET CASH INFLOW/(OUTFLOW) FROM INVESTING ACTIVITIES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-4,</w:t>
            </w:r>
            <w:r w:rsidR="0058349F">
              <w:rPr>
                <w:rFonts w:eastAsia="Calibri" w:cs="Calibri"/>
                <w:b/>
                <w:color w:val="000000"/>
                <w:sz w:val="18"/>
              </w:rPr>
              <w:t>810</w:t>
            </w:r>
          </w:p>
        </w:tc>
        <w:tc>
          <w:tcPr>
            <w:tcW w:w="850" w:type="dxa"/>
            <w:tcBorders>
              <w:top w:val="nil"/>
              <w:left w:val="nil"/>
              <w:bottom w:val="nil"/>
              <w:right w:val="nil"/>
              <w:tl2br w:val="nil"/>
              <w:tr2bl w:val="nil"/>
            </w:tcBorders>
            <w:shd w:val="clear" w:color="FFFFFF" w:fill="FFFFFF"/>
            <w:tcMar>
              <w:left w:w="101" w:type="dxa"/>
              <w:right w:w="101" w:type="dxa"/>
            </w:tcMar>
          </w:tcPr>
          <w:p w:rsidR="001651E4" w:rsidRPr="00763F99" w:rsidRDefault="00C861D4">
            <w:pPr>
              <w:spacing w:before="0" w:after="0"/>
              <w:jc w:val="right"/>
              <w:rPr>
                <w:rFonts w:eastAsia="Calibri" w:cs="Calibri"/>
                <w:b/>
                <w:color w:val="000000"/>
                <w:sz w:val="18"/>
              </w:rPr>
            </w:pPr>
            <w:r w:rsidRPr="00763F99">
              <w:rPr>
                <w:rFonts w:eastAsia="Calibri" w:cs="Calibri"/>
                <w:b/>
                <w:color w:val="000000"/>
                <w:sz w:val="18"/>
              </w:rPr>
              <w:t>-3,</w:t>
            </w:r>
            <w:r w:rsidR="0058349F" w:rsidRPr="00763F99">
              <w:rPr>
                <w:rFonts w:eastAsia="Calibri" w:cs="Calibri"/>
                <w:b/>
                <w:color w:val="000000"/>
                <w:sz w:val="18"/>
              </w:rPr>
              <w:t>678</w:t>
            </w:r>
          </w:p>
        </w:tc>
        <w:tc>
          <w:tcPr>
            <w:tcW w:w="567"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24 </w:t>
            </w:r>
          </w:p>
        </w:tc>
        <w:tc>
          <w:tcPr>
            <w:tcW w:w="993"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-415</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-426</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-437</w:t>
            </w:r>
          </w:p>
        </w:tc>
      </w:tr>
      <w:tr w:rsidR="00353ACA" w:rsidTr="00CF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353ACA" w:rsidRPr="00353ACA" w:rsidRDefault="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r>
      <w:tr w:rsidR="00353ACA" w:rsidTr="00CF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353ACA" w:rsidRPr="00353ACA" w:rsidRDefault="00353ACA">
            <w:pPr>
              <w:spacing w:before="0" w:after="0"/>
              <w:rPr>
                <w:rFonts w:eastAsia="Calibri" w:cs="Calibri"/>
                <w:color w:val="000000"/>
                <w:sz w:val="18"/>
              </w:rPr>
            </w:pPr>
            <w:r>
              <w:rPr>
                <w:rFonts w:eastAsia="Calibri" w:cs="Calibri"/>
                <w:b/>
                <w:color w:val="000000"/>
                <w:sz w:val="18"/>
              </w:rPr>
              <w:t>CASH FLOWS FROM FINANCING ACTIVITIES</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r>
      <w:tr w:rsidR="00353ACA" w:rsidTr="00CF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353ACA" w:rsidRPr="00353ACA" w:rsidRDefault="00353ACA">
            <w:pPr>
              <w:spacing w:before="0" w:after="0"/>
              <w:rPr>
                <w:rFonts w:eastAsia="Calibri" w:cs="Calibri"/>
                <w:color w:val="000000"/>
                <w:sz w:val="18"/>
              </w:rPr>
            </w:pPr>
            <w:r>
              <w:rPr>
                <w:rFonts w:eastAsia="Calibri" w:cs="Calibri"/>
                <w:b/>
                <w:color w:val="000000"/>
                <w:sz w:val="18"/>
              </w:rPr>
              <w:t>Receipts</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r>
      <w:tr w:rsidR="00353ACA" w:rsidTr="00CF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353ACA" w:rsidRPr="00353ACA" w:rsidRDefault="00C861D4" w:rsidP="00353ACA">
            <w:pPr>
              <w:spacing w:before="0" w:after="0"/>
              <w:jc w:val="right"/>
              <w:rPr>
                <w:rFonts w:eastAsia="Calibri" w:cs="Calibri"/>
                <w:color w:val="000000"/>
                <w:sz w:val="18"/>
              </w:rPr>
            </w:pPr>
            <w:r>
              <w:rPr>
                <w:rFonts w:eastAsia="Calibri" w:cs="Calibri"/>
                <w:color w:val="000000"/>
                <w:sz w:val="18"/>
              </w:rPr>
              <w:t>4,</w:t>
            </w:r>
            <w:r w:rsidR="00353ACA" w:rsidRPr="00353ACA">
              <w:rPr>
                <w:rFonts w:eastAsia="Calibri" w:cs="Calibri"/>
                <w:color w:val="000000"/>
                <w:sz w:val="18"/>
              </w:rPr>
              <w:t>94</w:t>
            </w:r>
            <w:r w:rsidR="00353ACA">
              <w:rPr>
                <w:rFonts w:eastAsia="Calibri" w:cs="Calibri"/>
                <w:color w:val="000000"/>
                <w:sz w:val="18"/>
              </w:rPr>
              <w:t>1</w:t>
            </w:r>
          </w:p>
        </w:tc>
        <w:tc>
          <w:tcPr>
            <w:tcW w:w="2793" w:type="dxa"/>
            <w:tcBorders>
              <w:top w:val="nil"/>
              <w:left w:val="nil"/>
              <w:bottom w:val="nil"/>
              <w:right w:val="nil"/>
              <w:tl2br w:val="nil"/>
              <w:tr2bl w:val="nil"/>
            </w:tcBorders>
            <w:shd w:val="clear" w:color="FFFFFF" w:fill="FFFFFF"/>
            <w:noWrap/>
            <w:tcMar>
              <w:left w:w="101" w:type="dxa"/>
              <w:right w:w="101" w:type="dxa"/>
            </w:tcMar>
          </w:tcPr>
          <w:p w:rsidR="00353ACA" w:rsidRDefault="00353ACA" w:rsidP="00353ACA">
            <w:pPr>
              <w:spacing w:before="0" w:after="0"/>
              <w:rPr>
                <w:rFonts w:eastAsia="Calibri" w:cs="Calibri"/>
                <w:color w:val="000000"/>
                <w:sz w:val="18"/>
              </w:rPr>
            </w:pPr>
            <w:r>
              <w:rPr>
                <w:rFonts w:eastAsia="Calibri" w:cs="Calibri"/>
                <w:color w:val="000000"/>
                <w:sz w:val="18"/>
              </w:rPr>
              <w:t>Capital Injections</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Default="00C861D4" w:rsidP="00353ACA">
            <w:pPr>
              <w:spacing w:before="0" w:after="0"/>
              <w:jc w:val="right"/>
              <w:rPr>
                <w:rFonts w:eastAsia="Calibri" w:cs="Calibri"/>
                <w:color w:val="000000"/>
                <w:sz w:val="18"/>
              </w:rPr>
            </w:pPr>
            <w:r>
              <w:rPr>
                <w:rFonts w:eastAsia="Calibri" w:cs="Calibri"/>
                <w:color w:val="000000"/>
                <w:sz w:val="18"/>
              </w:rPr>
              <w:t>4,</w:t>
            </w:r>
            <w:r w:rsidR="00353ACA">
              <w:rPr>
                <w:rFonts w:eastAsia="Calibri" w:cs="Calibri"/>
                <w:color w:val="000000"/>
                <w:sz w:val="18"/>
              </w:rPr>
              <w:t>810</w:t>
            </w:r>
          </w:p>
        </w:tc>
        <w:tc>
          <w:tcPr>
            <w:tcW w:w="850" w:type="dxa"/>
            <w:tcBorders>
              <w:top w:val="nil"/>
              <w:left w:val="nil"/>
              <w:bottom w:val="nil"/>
              <w:right w:val="nil"/>
              <w:tl2br w:val="nil"/>
              <w:tr2bl w:val="nil"/>
            </w:tcBorders>
            <w:shd w:val="clear" w:color="FFFFFF" w:fill="FFFFFF"/>
            <w:tcMar>
              <w:left w:w="101" w:type="dxa"/>
              <w:right w:w="101" w:type="dxa"/>
            </w:tcMar>
          </w:tcPr>
          <w:p w:rsidR="00353ACA" w:rsidRDefault="00353ACA" w:rsidP="00C861D4">
            <w:pPr>
              <w:spacing w:before="0" w:after="0"/>
              <w:jc w:val="right"/>
              <w:rPr>
                <w:rFonts w:eastAsia="Calibri" w:cs="Calibri"/>
                <w:color w:val="000000"/>
                <w:sz w:val="18"/>
              </w:rPr>
            </w:pPr>
            <w:r>
              <w:rPr>
                <w:rFonts w:eastAsia="Calibri" w:cs="Calibri"/>
                <w:color w:val="000000"/>
                <w:sz w:val="18"/>
              </w:rPr>
              <w:t>3</w:t>
            </w:r>
            <w:r w:rsidR="00C861D4">
              <w:rPr>
                <w:rFonts w:eastAsia="Calibri" w:cs="Calibri"/>
                <w:color w:val="000000"/>
                <w:sz w:val="18"/>
              </w:rPr>
              <w:t>,</w:t>
            </w:r>
            <w:r>
              <w:rPr>
                <w:rFonts w:eastAsia="Calibri" w:cs="Calibri"/>
                <w:color w:val="000000"/>
                <w:sz w:val="18"/>
              </w:rPr>
              <w:t>979</w:t>
            </w:r>
          </w:p>
        </w:tc>
        <w:tc>
          <w:tcPr>
            <w:tcW w:w="567"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color w:val="000000"/>
                <w:sz w:val="18"/>
              </w:rPr>
            </w:pPr>
            <w:r>
              <w:rPr>
                <w:rFonts w:eastAsia="Calibri" w:cs="Calibri"/>
                <w:color w:val="000000"/>
                <w:sz w:val="18"/>
              </w:rPr>
              <w:t xml:space="preserve">-17 </w:t>
            </w:r>
          </w:p>
        </w:tc>
        <w:tc>
          <w:tcPr>
            <w:tcW w:w="993"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color w:val="000000"/>
                <w:sz w:val="18"/>
              </w:rPr>
            </w:pPr>
            <w:r>
              <w:rPr>
                <w:rFonts w:eastAsia="Calibri" w:cs="Calibri"/>
                <w:color w:val="000000"/>
                <w:sz w:val="18"/>
              </w:rPr>
              <w:t>415</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color w:val="000000"/>
                <w:sz w:val="18"/>
              </w:rPr>
            </w:pPr>
            <w:r>
              <w:rPr>
                <w:rFonts w:eastAsia="Calibri" w:cs="Calibri"/>
                <w:color w:val="000000"/>
                <w:sz w:val="18"/>
              </w:rPr>
              <w:t>426</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color w:val="000000"/>
                <w:sz w:val="18"/>
              </w:rPr>
            </w:pPr>
            <w:r>
              <w:rPr>
                <w:rFonts w:eastAsia="Calibri" w:cs="Calibri"/>
                <w:color w:val="000000"/>
                <w:sz w:val="18"/>
              </w:rPr>
              <w:t>437</w:t>
            </w:r>
          </w:p>
        </w:tc>
      </w:tr>
      <w:tr w:rsidR="00353ACA" w:rsidTr="00CF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353ACA" w:rsidRPr="00174BAC" w:rsidRDefault="00C861D4" w:rsidP="00174BAC">
            <w:pPr>
              <w:pStyle w:val="BStabletext00"/>
              <w:rPr>
                <w:b/>
              </w:rPr>
            </w:pPr>
            <w:r w:rsidRPr="00174BAC">
              <w:rPr>
                <w:b/>
              </w:rPr>
              <w:t>4,</w:t>
            </w:r>
            <w:r w:rsidR="00353ACA" w:rsidRPr="00174BAC">
              <w:rPr>
                <w:b/>
              </w:rPr>
              <w:t>941</w:t>
            </w:r>
          </w:p>
        </w:tc>
        <w:tc>
          <w:tcPr>
            <w:tcW w:w="2793" w:type="dxa"/>
            <w:tcBorders>
              <w:top w:val="nil"/>
              <w:left w:val="nil"/>
              <w:bottom w:val="nil"/>
              <w:right w:val="nil"/>
              <w:tl2br w:val="nil"/>
              <w:tr2bl w:val="nil"/>
            </w:tcBorders>
            <w:shd w:val="clear" w:color="FFFFFF" w:fill="FFFFFF"/>
            <w:noWrap/>
            <w:tcMar>
              <w:left w:w="101" w:type="dxa"/>
              <w:right w:w="101" w:type="dxa"/>
            </w:tcMar>
          </w:tcPr>
          <w:p w:rsidR="00353ACA" w:rsidRDefault="00353ACA" w:rsidP="00353ACA">
            <w:pPr>
              <w:spacing w:before="0" w:after="0"/>
              <w:rPr>
                <w:rFonts w:eastAsia="Calibri" w:cs="Calibri"/>
                <w:b/>
                <w:color w:val="000000"/>
                <w:sz w:val="18"/>
              </w:rPr>
            </w:pPr>
            <w:r>
              <w:rPr>
                <w:rFonts w:eastAsia="Calibri" w:cs="Calibri"/>
                <w:b/>
                <w:color w:val="000000"/>
                <w:sz w:val="18"/>
              </w:rPr>
              <w:t>Financing Receipts</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Default="00C861D4" w:rsidP="00353ACA">
            <w:pPr>
              <w:spacing w:before="0" w:after="0"/>
              <w:jc w:val="right"/>
              <w:rPr>
                <w:rFonts w:eastAsia="Calibri" w:cs="Calibri"/>
                <w:b/>
                <w:color w:val="000000"/>
                <w:sz w:val="18"/>
              </w:rPr>
            </w:pPr>
            <w:r>
              <w:rPr>
                <w:rFonts w:eastAsia="Calibri" w:cs="Calibri"/>
                <w:b/>
                <w:color w:val="000000"/>
                <w:sz w:val="18"/>
              </w:rPr>
              <w:t>4,</w:t>
            </w:r>
            <w:r w:rsidR="00353ACA">
              <w:rPr>
                <w:rFonts w:eastAsia="Calibri" w:cs="Calibri"/>
                <w:b/>
                <w:color w:val="000000"/>
                <w:sz w:val="18"/>
              </w:rPr>
              <w:t>810</w:t>
            </w:r>
          </w:p>
        </w:tc>
        <w:tc>
          <w:tcPr>
            <w:tcW w:w="850" w:type="dxa"/>
            <w:tcBorders>
              <w:top w:val="nil"/>
              <w:left w:val="nil"/>
              <w:bottom w:val="nil"/>
              <w:right w:val="nil"/>
              <w:tl2br w:val="nil"/>
              <w:tr2bl w:val="nil"/>
            </w:tcBorders>
            <w:shd w:val="clear" w:color="FFFFFF" w:fill="FFFFFF"/>
            <w:tcMar>
              <w:left w:w="101" w:type="dxa"/>
              <w:right w:w="101" w:type="dxa"/>
            </w:tcMar>
          </w:tcPr>
          <w:p w:rsidR="00353ACA" w:rsidRDefault="00C861D4" w:rsidP="00353ACA">
            <w:pPr>
              <w:spacing w:before="0" w:after="0"/>
              <w:jc w:val="right"/>
              <w:rPr>
                <w:rFonts w:eastAsia="Calibri" w:cs="Calibri"/>
                <w:b/>
                <w:color w:val="000000"/>
                <w:sz w:val="18"/>
              </w:rPr>
            </w:pPr>
            <w:r>
              <w:rPr>
                <w:rFonts w:eastAsia="Calibri" w:cs="Calibri"/>
                <w:b/>
                <w:color w:val="000000"/>
                <w:sz w:val="18"/>
              </w:rPr>
              <w:t>3,</w:t>
            </w:r>
            <w:r w:rsidR="00353ACA">
              <w:rPr>
                <w:rFonts w:eastAsia="Calibri" w:cs="Calibri"/>
                <w:b/>
                <w:color w:val="000000"/>
                <w:sz w:val="18"/>
              </w:rPr>
              <w:t>979</w:t>
            </w:r>
          </w:p>
        </w:tc>
        <w:tc>
          <w:tcPr>
            <w:tcW w:w="567"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b/>
                <w:color w:val="000000"/>
                <w:sz w:val="18"/>
              </w:rPr>
            </w:pPr>
            <w:r>
              <w:rPr>
                <w:rFonts w:eastAsia="Calibri" w:cs="Calibri"/>
                <w:b/>
                <w:color w:val="000000"/>
                <w:sz w:val="18"/>
              </w:rPr>
              <w:t xml:space="preserve">-17 </w:t>
            </w:r>
          </w:p>
        </w:tc>
        <w:tc>
          <w:tcPr>
            <w:tcW w:w="993"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b/>
                <w:color w:val="000000"/>
                <w:sz w:val="18"/>
              </w:rPr>
            </w:pPr>
            <w:r>
              <w:rPr>
                <w:rFonts w:eastAsia="Calibri" w:cs="Calibri"/>
                <w:b/>
                <w:color w:val="000000"/>
                <w:sz w:val="18"/>
              </w:rPr>
              <w:t>415</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b/>
                <w:color w:val="000000"/>
                <w:sz w:val="18"/>
              </w:rPr>
            </w:pPr>
            <w:r>
              <w:rPr>
                <w:rFonts w:eastAsia="Calibri" w:cs="Calibri"/>
                <w:b/>
                <w:color w:val="000000"/>
                <w:sz w:val="18"/>
              </w:rPr>
              <w:t>426</w:t>
            </w:r>
          </w:p>
        </w:tc>
        <w:tc>
          <w:tcPr>
            <w:tcW w:w="992" w:type="dxa"/>
            <w:tcBorders>
              <w:top w:val="nil"/>
              <w:left w:val="nil"/>
              <w:bottom w:val="nil"/>
              <w:right w:val="nil"/>
              <w:tl2br w:val="nil"/>
              <w:tr2bl w:val="nil"/>
            </w:tcBorders>
            <w:shd w:val="clear" w:color="FFFFFF" w:fill="FFFFFF"/>
            <w:tcMar>
              <w:left w:w="101" w:type="dxa"/>
              <w:right w:w="101" w:type="dxa"/>
            </w:tcMar>
          </w:tcPr>
          <w:p w:rsidR="00353ACA" w:rsidRDefault="00353ACA" w:rsidP="00353ACA">
            <w:pPr>
              <w:spacing w:before="0" w:after="0"/>
              <w:jc w:val="right"/>
              <w:rPr>
                <w:rFonts w:eastAsia="Calibri" w:cs="Calibri"/>
                <w:b/>
                <w:color w:val="000000"/>
                <w:sz w:val="18"/>
              </w:rPr>
            </w:pPr>
            <w:r>
              <w:rPr>
                <w:rFonts w:eastAsia="Calibri" w:cs="Calibri"/>
                <w:b/>
                <w:color w:val="000000"/>
                <w:sz w:val="18"/>
              </w:rPr>
              <w:t>437</w:t>
            </w:r>
          </w:p>
        </w:tc>
      </w:tr>
      <w:tr w:rsidR="00353ACA" w:rsidTr="00CF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353ACA" w:rsidRPr="00174BAC" w:rsidRDefault="00353ACA" w:rsidP="008D2D13">
            <w:pPr>
              <w:spacing w:before="0" w:after="0"/>
              <w:jc w:val="right"/>
              <w:rPr>
                <w:rFonts w:eastAsia="Calibri" w:cs="Calibri"/>
                <w:b/>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353ACA" w:rsidRPr="00353ACA" w:rsidRDefault="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r>
      <w:tr w:rsidR="00353ACA" w:rsidTr="0035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353ACA" w:rsidRPr="00174BAC" w:rsidRDefault="00C861D4" w:rsidP="00174BAC">
            <w:pPr>
              <w:pStyle w:val="BStabletext00"/>
              <w:rPr>
                <w:b/>
              </w:rPr>
            </w:pPr>
            <w:r w:rsidRPr="00174BAC">
              <w:rPr>
                <w:b/>
              </w:rPr>
              <w:t>4,</w:t>
            </w:r>
            <w:r w:rsidR="00353ACA" w:rsidRPr="00174BAC">
              <w:rPr>
                <w:b/>
              </w:rPr>
              <w:t>941</w:t>
            </w:r>
          </w:p>
        </w:tc>
        <w:tc>
          <w:tcPr>
            <w:tcW w:w="2793" w:type="dxa"/>
            <w:tcBorders>
              <w:top w:val="nil"/>
              <w:left w:val="nil"/>
              <w:bottom w:val="nil"/>
              <w:right w:val="nil"/>
              <w:tl2br w:val="nil"/>
              <w:tr2bl w:val="nil"/>
            </w:tcBorders>
            <w:shd w:val="clear" w:color="FFFFFF" w:fill="FFFFFF"/>
            <w:noWrap/>
            <w:tcMar>
              <w:left w:w="101" w:type="dxa"/>
              <w:right w:w="101" w:type="dxa"/>
            </w:tcMar>
            <w:vAlign w:val="center"/>
          </w:tcPr>
          <w:p w:rsidR="00353ACA" w:rsidRDefault="00353ACA" w:rsidP="00353ACA">
            <w:pPr>
              <w:spacing w:before="0" w:after="0"/>
              <w:rPr>
                <w:rFonts w:eastAsia="Calibri" w:cs="Calibri"/>
                <w:b/>
                <w:color w:val="000000"/>
                <w:sz w:val="18"/>
              </w:rPr>
            </w:pPr>
            <w:r>
              <w:rPr>
                <w:rFonts w:eastAsia="Calibri" w:cs="Calibri"/>
                <w:b/>
                <w:color w:val="000000"/>
                <w:sz w:val="18"/>
              </w:rPr>
              <w:t>NET CASH INFLOW/(OUTFLOW) FROM FINANCING ACTIVITIES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C861D4" w:rsidP="00353ACA">
            <w:pPr>
              <w:spacing w:before="0" w:after="0"/>
              <w:jc w:val="right"/>
              <w:rPr>
                <w:rFonts w:eastAsia="Calibri" w:cs="Calibri"/>
                <w:b/>
                <w:color w:val="000000"/>
                <w:sz w:val="18"/>
              </w:rPr>
            </w:pPr>
            <w:r>
              <w:rPr>
                <w:rFonts w:eastAsia="Calibri" w:cs="Calibri"/>
                <w:b/>
                <w:color w:val="000000"/>
                <w:sz w:val="18"/>
              </w:rPr>
              <w:t>4,</w:t>
            </w:r>
            <w:r w:rsidR="00353ACA">
              <w:rPr>
                <w:rFonts w:eastAsia="Calibri" w:cs="Calibri"/>
                <w:b/>
                <w:color w:val="000000"/>
                <w:sz w:val="18"/>
              </w:rPr>
              <w:t>810</w:t>
            </w:r>
          </w:p>
        </w:tc>
        <w:tc>
          <w:tcPr>
            <w:tcW w:w="850" w:type="dxa"/>
            <w:tcBorders>
              <w:top w:val="nil"/>
              <w:left w:val="nil"/>
              <w:bottom w:val="nil"/>
              <w:right w:val="nil"/>
              <w:tl2br w:val="nil"/>
              <w:tr2bl w:val="nil"/>
            </w:tcBorders>
            <w:shd w:val="clear" w:color="FFFFFF" w:fill="FFFFFF"/>
            <w:tcMar>
              <w:left w:w="101" w:type="dxa"/>
              <w:right w:w="101" w:type="dxa"/>
            </w:tcMar>
            <w:vAlign w:val="center"/>
          </w:tcPr>
          <w:p w:rsidR="00353ACA" w:rsidRDefault="00C861D4" w:rsidP="00353ACA">
            <w:pPr>
              <w:spacing w:before="0" w:after="0"/>
              <w:jc w:val="right"/>
              <w:rPr>
                <w:rFonts w:eastAsia="Calibri" w:cs="Calibri"/>
                <w:b/>
                <w:color w:val="000000"/>
                <w:sz w:val="18"/>
              </w:rPr>
            </w:pPr>
            <w:r>
              <w:rPr>
                <w:rFonts w:eastAsia="Calibri" w:cs="Calibri"/>
                <w:b/>
                <w:color w:val="000000"/>
                <w:sz w:val="18"/>
              </w:rPr>
              <w:t>3,</w:t>
            </w:r>
            <w:r w:rsidR="00353ACA">
              <w:rPr>
                <w:rFonts w:eastAsia="Calibri" w:cs="Calibri"/>
                <w:b/>
                <w:color w:val="000000"/>
                <w:sz w:val="18"/>
              </w:rPr>
              <w:t>979</w:t>
            </w:r>
          </w:p>
        </w:tc>
        <w:tc>
          <w:tcPr>
            <w:tcW w:w="567"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 xml:space="preserve">-17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415</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426</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437</w:t>
            </w:r>
          </w:p>
        </w:tc>
      </w:tr>
      <w:tr w:rsidR="00353ACA" w:rsidTr="00CF6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353ACA" w:rsidRPr="00174BAC" w:rsidRDefault="00353ACA" w:rsidP="008D2D13">
            <w:pPr>
              <w:spacing w:before="0" w:after="0"/>
              <w:jc w:val="right"/>
              <w:rPr>
                <w:rFonts w:eastAsia="Calibri" w:cs="Calibri"/>
                <w:b/>
                <w:color w:val="000000"/>
                <w:sz w:val="18"/>
              </w:rPr>
            </w:pPr>
          </w:p>
        </w:tc>
        <w:tc>
          <w:tcPr>
            <w:tcW w:w="2793" w:type="dxa"/>
            <w:tcBorders>
              <w:top w:val="nil"/>
              <w:left w:val="nil"/>
              <w:bottom w:val="nil"/>
              <w:right w:val="nil"/>
              <w:tl2br w:val="nil"/>
              <w:tr2bl w:val="nil"/>
            </w:tcBorders>
            <w:shd w:val="clear" w:color="FFFFFF" w:fill="FFFFFF"/>
            <w:noWrap/>
            <w:tcMar>
              <w:left w:w="101" w:type="dxa"/>
              <w:right w:w="101" w:type="dxa"/>
            </w:tcMar>
          </w:tcPr>
          <w:p w:rsidR="00353ACA" w:rsidRPr="00353ACA" w:rsidRDefault="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tcPr>
          <w:p w:rsidR="00353ACA" w:rsidRPr="00353ACA" w:rsidRDefault="00353ACA">
            <w:pPr>
              <w:spacing w:before="0" w:after="0"/>
              <w:jc w:val="right"/>
              <w:rPr>
                <w:rFonts w:eastAsia="Calibri" w:cs="Calibri"/>
                <w:color w:val="000000"/>
                <w:sz w:val="18"/>
              </w:rPr>
            </w:pPr>
          </w:p>
        </w:tc>
      </w:tr>
      <w:tr w:rsidR="00353ACA" w:rsidTr="0035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353ACA" w:rsidRPr="00174BAC" w:rsidRDefault="00353ACA" w:rsidP="00174BAC">
            <w:pPr>
              <w:pStyle w:val="BStabletext00"/>
              <w:rPr>
                <w:b/>
              </w:rPr>
            </w:pPr>
            <w:r w:rsidRPr="00174BAC">
              <w:rPr>
                <w:b/>
              </w:rPr>
              <w:t>0</w:t>
            </w:r>
          </w:p>
        </w:tc>
        <w:tc>
          <w:tcPr>
            <w:tcW w:w="2793" w:type="dxa"/>
            <w:tcBorders>
              <w:top w:val="nil"/>
              <w:left w:val="nil"/>
              <w:bottom w:val="nil"/>
              <w:right w:val="nil"/>
              <w:tl2br w:val="nil"/>
              <w:tr2bl w:val="nil"/>
            </w:tcBorders>
            <w:shd w:val="clear" w:color="FFFFFF" w:fill="FFFFFF"/>
            <w:noWrap/>
            <w:tcMar>
              <w:left w:w="101" w:type="dxa"/>
              <w:right w:w="101" w:type="dxa"/>
            </w:tcMar>
            <w:vAlign w:val="center"/>
          </w:tcPr>
          <w:p w:rsidR="00353ACA" w:rsidRDefault="00353ACA" w:rsidP="00353ACA">
            <w:pPr>
              <w:spacing w:before="0" w:after="0"/>
              <w:rPr>
                <w:rFonts w:eastAsia="Calibri" w:cs="Calibri"/>
                <w:b/>
                <w:color w:val="000000"/>
                <w:sz w:val="18"/>
              </w:rPr>
            </w:pPr>
            <w:r>
              <w:rPr>
                <w:rFonts w:eastAsia="Calibri" w:cs="Calibri"/>
                <w:b/>
                <w:color w:val="000000"/>
                <w:sz w:val="18"/>
              </w:rPr>
              <w:t>NET INCREASE/(DECREASE) IN CASH AND CASH EQUIVALENTS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0</w:t>
            </w:r>
          </w:p>
        </w:tc>
        <w:tc>
          <w:tcPr>
            <w:tcW w:w="850"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-308</w:t>
            </w:r>
          </w:p>
        </w:tc>
        <w:tc>
          <w:tcPr>
            <w:tcW w:w="567"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-308</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-308</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-308</w:t>
            </w:r>
          </w:p>
        </w:tc>
      </w:tr>
      <w:tr w:rsidR="00353ACA" w:rsidTr="0035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353ACA" w:rsidRPr="00174BAC" w:rsidRDefault="00353ACA" w:rsidP="00174BAC">
            <w:pPr>
              <w:pStyle w:val="BStabletext00"/>
              <w:rPr>
                <w:b/>
              </w:rPr>
            </w:pPr>
          </w:p>
        </w:tc>
        <w:tc>
          <w:tcPr>
            <w:tcW w:w="2793" w:type="dxa"/>
            <w:tcBorders>
              <w:top w:val="nil"/>
              <w:left w:val="nil"/>
              <w:bottom w:val="nil"/>
              <w:right w:val="nil"/>
              <w:tl2br w:val="nil"/>
              <w:tr2bl w:val="nil"/>
            </w:tcBorders>
            <w:shd w:val="clear" w:color="FFFFFF" w:fill="FFFFFF"/>
            <w:noWrap/>
            <w:tcMar>
              <w:left w:w="101" w:type="dxa"/>
              <w:right w:w="101" w:type="dxa"/>
            </w:tcMar>
            <w:vAlign w:val="center"/>
          </w:tcPr>
          <w:p w:rsidR="00353ACA" w:rsidRDefault="00353ACA" w:rsidP="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r>
      <w:tr w:rsidR="00353ACA" w:rsidTr="0035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353ACA" w:rsidRPr="00174BAC" w:rsidRDefault="00C861D4" w:rsidP="00763F99">
            <w:pPr>
              <w:pStyle w:val="BStabletext00"/>
              <w:rPr>
                <w:b/>
              </w:rPr>
            </w:pPr>
            <w:r w:rsidRPr="00174BAC">
              <w:rPr>
                <w:b/>
              </w:rPr>
              <w:t>1,</w:t>
            </w:r>
            <w:r w:rsidR="00353ACA" w:rsidRPr="00174BAC">
              <w:rPr>
                <w:b/>
              </w:rPr>
              <w:t>28</w:t>
            </w:r>
            <w:r w:rsidR="00763F99">
              <w:rPr>
                <w:b/>
              </w:rPr>
              <w:t>5</w:t>
            </w:r>
          </w:p>
        </w:tc>
        <w:tc>
          <w:tcPr>
            <w:tcW w:w="2793" w:type="dxa"/>
            <w:tcBorders>
              <w:top w:val="nil"/>
              <w:left w:val="nil"/>
              <w:bottom w:val="nil"/>
              <w:right w:val="nil"/>
              <w:tl2br w:val="nil"/>
              <w:tr2bl w:val="nil"/>
            </w:tcBorders>
            <w:shd w:val="clear" w:color="FFFFFF" w:fill="FFFFFF"/>
            <w:noWrap/>
            <w:tcMar>
              <w:left w:w="101" w:type="dxa"/>
              <w:right w:w="101" w:type="dxa"/>
            </w:tcMar>
            <w:vAlign w:val="center"/>
          </w:tcPr>
          <w:p w:rsidR="00353ACA" w:rsidRDefault="00353ACA" w:rsidP="00353ACA">
            <w:pPr>
              <w:spacing w:before="0" w:after="0"/>
              <w:rPr>
                <w:rFonts w:eastAsia="Calibri" w:cs="Calibri"/>
                <w:b/>
                <w:color w:val="000000"/>
                <w:sz w:val="18"/>
              </w:rPr>
            </w:pPr>
            <w:r>
              <w:rPr>
                <w:rFonts w:eastAsia="Calibri" w:cs="Calibri"/>
                <w:b/>
                <w:color w:val="000000"/>
                <w:sz w:val="18"/>
              </w:rPr>
              <w:t>CASH AT THE BEGINNING OF REPORTING PERIOD</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C861D4" w:rsidP="00353ACA">
            <w:pPr>
              <w:spacing w:before="0" w:after="0"/>
              <w:jc w:val="right"/>
              <w:rPr>
                <w:rFonts w:eastAsia="Calibri" w:cs="Calibri"/>
                <w:b/>
                <w:color w:val="000000"/>
                <w:sz w:val="18"/>
              </w:rPr>
            </w:pPr>
            <w:r>
              <w:rPr>
                <w:rFonts w:eastAsia="Calibri" w:cs="Calibri"/>
                <w:b/>
                <w:color w:val="000000"/>
                <w:sz w:val="18"/>
              </w:rPr>
              <w:t>6,</w:t>
            </w:r>
            <w:r w:rsidR="00763F99">
              <w:rPr>
                <w:rFonts w:eastAsia="Calibri" w:cs="Calibri"/>
                <w:b/>
                <w:color w:val="000000"/>
                <w:sz w:val="18"/>
              </w:rPr>
              <w:t>452</w:t>
            </w:r>
          </w:p>
        </w:tc>
        <w:tc>
          <w:tcPr>
            <w:tcW w:w="850" w:type="dxa"/>
            <w:tcBorders>
              <w:top w:val="nil"/>
              <w:left w:val="nil"/>
              <w:bottom w:val="nil"/>
              <w:right w:val="nil"/>
              <w:tl2br w:val="nil"/>
              <w:tr2bl w:val="nil"/>
            </w:tcBorders>
            <w:shd w:val="clear" w:color="FFFFFF" w:fill="FFFFFF"/>
            <w:tcMar>
              <w:left w:w="101" w:type="dxa"/>
              <w:right w:w="101" w:type="dxa"/>
            </w:tcMar>
            <w:vAlign w:val="center"/>
          </w:tcPr>
          <w:p w:rsidR="00353ACA" w:rsidRDefault="00C861D4" w:rsidP="00353ACA">
            <w:pPr>
              <w:spacing w:before="0" w:after="0"/>
              <w:jc w:val="right"/>
              <w:rPr>
                <w:rFonts w:eastAsia="Calibri" w:cs="Calibri"/>
                <w:b/>
                <w:color w:val="000000"/>
                <w:sz w:val="18"/>
              </w:rPr>
            </w:pPr>
            <w:r>
              <w:rPr>
                <w:rFonts w:eastAsia="Calibri" w:cs="Calibri"/>
                <w:b/>
                <w:color w:val="000000"/>
                <w:sz w:val="18"/>
              </w:rPr>
              <w:t>6,</w:t>
            </w:r>
            <w:r w:rsidR="00763F99">
              <w:rPr>
                <w:rFonts w:eastAsia="Calibri" w:cs="Calibri"/>
                <w:b/>
                <w:color w:val="000000"/>
                <w:sz w:val="18"/>
              </w:rPr>
              <w:t>452</w:t>
            </w:r>
          </w:p>
        </w:tc>
        <w:tc>
          <w:tcPr>
            <w:tcW w:w="567"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353ACA" w:rsidRDefault="00C861D4" w:rsidP="00353ACA">
            <w:pPr>
              <w:spacing w:before="0" w:after="0"/>
              <w:jc w:val="right"/>
              <w:rPr>
                <w:rFonts w:eastAsia="Calibri" w:cs="Calibri"/>
                <w:b/>
                <w:color w:val="000000"/>
                <w:sz w:val="18"/>
              </w:rPr>
            </w:pPr>
            <w:r>
              <w:rPr>
                <w:rFonts w:eastAsia="Calibri" w:cs="Calibri"/>
                <w:b/>
                <w:color w:val="000000"/>
                <w:sz w:val="18"/>
              </w:rPr>
              <w:t>6,</w:t>
            </w:r>
            <w:r w:rsidR="00763F99">
              <w:rPr>
                <w:rFonts w:eastAsia="Calibri" w:cs="Calibri"/>
                <w:b/>
                <w:color w:val="000000"/>
                <w:sz w:val="18"/>
              </w:rPr>
              <w:t>144</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C861D4" w:rsidP="00763F99">
            <w:pPr>
              <w:spacing w:before="0" w:after="0"/>
              <w:jc w:val="right"/>
              <w:rPr>
                <w:rFonts w:eastAsia="Calibri" w:cs="Calibri"/>
                <w:b/>
                <w:color w:val="000000"/>
                <w:sz w:val="18"/>
              </w:rPr>
            </w:pPr>
            <w:r>
              <w:rPr>
                <w:rFonts w:eastAsia="Calibri" w:cs="Calibri"/>
                <w:b/>
                <w:color w:val="000000"/>
                <w:sz w:val="18"/>
              </w:rPr>
              <w:t>5,</w:t>
            </w:r>
            <w:r w:rsidR="00353ACA">
              <w:rPr>
                <w:rFonts w:eastAsia="Calibri" w:cs="Calibri"/>
                <w:b/>
                <w:color w:val="000000"/>
                <w:sz w:val="18"/>
              </w:rPr>
              <w:t>83</w:t>
            </w:r>
            <w:r w:rsidR="00763F99">
              <w:rPr>
                <w:rFonts w:eastAsia="Calibri" w:cs="Calibri"/>
                <w:b/>
                <w:color w:val="000000"/>
                <w:sz w:val="18"/>
              </w:rPr>
              <w:t>6</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763F99">
            <w:pPr>
              <w:spacing w:before="0" w:after="0"/>
              <w:jc w:val="right"/>
              <w:rPr>
                <w:rFonts w:eastAsia="Calibri" w:cs="Calibri"/>
                <w:b/>
                <w:color w:val="000000"/>
                <w:sz w:val="18"/>
              </w:rPr>
            </w:pPr>
            <w:r>
              <w:rPr>
                <w:rFonts w:eastAsia="Calibri" w:cs="Calibri"/>
                <w:b/>
                <w:color w:val="000000"/>
                <w:sz w:val="18"/>
              </w:rPr>
              <w:t>5</w:t>
            </w:r>
            <w:r w:rsidR="00C861D4">
              <w:rPr>
                <w:rFonts w:eastAsia="Calibri" w:cs="Calibri"/>
                <w:b/>
                <w:color w:val="000000"/>
                <w:sz w:val="18"/>
              </w:rPr>
              <w:t>,</w:t>
            </w:r>
            <w:r>
              <w:rPr>
                <w:rFonts w:eastAsia="Calibri" w:cs="Calibri"/>
                <w:b/>
                <w:color w:val="000000"/>
                <w:sz w:val="18"/>
              </w:rPr>
              <w:t>52</w:t>
            </w:r>
            <w:r w:rsidR="00763F99">
              <w:rPr>
                <w:rFonts w:eastAsia="Calibri" w:cs="Calibri"/>
                <w:b/>
                <w:color w:val="000000"/>
                <w:sz w:val="18"/>
              </w:rPr>
              <w:t>8</w:t>
            </w:r>
          </w:p>
        </w:tc>
      </w:tr>
      <w:tr w:rsidR="00353ACA" w:rsidTr="0035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353ACA" w:rsidRPr="00174BAC" w:rsidRDefault="00353ACA" w:rsidP="00174BAC">
            <w:pPr>
              <w:pStyle w:val="BStabletext00"/>
              <w:rPr>
                <w:b/>
              </w:rPr>
            </w:pPr>
          </w:p>
        </w:tc>
        <w:tc>
          <w:tcPr>
            <w:tcW w:w="2793" w:type="dxa"/>
            <w:tcBorders>
              <w:top w:val="nil"/>
              <w:left w:val="nil"/>
              <w:bottom w:val="nil"/>
              <w:right w:val="nil"/>
              <w:tl2br w:val="nil"/>
              <w:tr2bl w:val="nil"/>
            </w:tcBorders>
            <w:shd w:val="clear" w:color="FFFFFF" w:fill="FFFFFF"/>
            <w:noWrap/>
            <w:tcMar>
              <w:left w:w="101" w:type="dxa"/>
              <w:right w:w="101" w:type="dxa"/>
            </w:tcMar>
            <w:vAlign w:val="center"/>
          </w:tcPr>
          <w:p w:rsidR="00353ACA" w:rsidRDefault="00353ACA" w:rsidP="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850"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567"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353ACA" w:rsidRDefault="00353ACA" w:rsidP="00353ACA">
            <w:pPr>
              <w:spacing w:before="0" w:after="0"/>
              <w:rPr>
                <w:rFonts w:eastAsia="Calibri" w:cs="Calibri"/>
                <w:color w:val="000000"/>
                <w:sz w:val="18"/>
              </w:rPr>
            </w:pPr>
          </w:p>
        </w:tc>
      </w:tr>
      <w:tr w:rsidR="00353ACA" w:rsidTr="00353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auto"/>
              <w:right w:val="nil"/>
              <w:tl2br w:val="nil"/>
              <w:tr2bl w:val="nil"/>
            </w:tcBorders>
            <w:shd w:val="clear" w:color="FFFFFF" w:fill="FFFFFF"/>
            <w:tcMar>
              <w:left w:w="101" w:type="dxa"/>
              <w:right w:w="101" w:type="dxa"/>
            </w:tcMar>
            <w:vAlign w:val="center"/>
          </w:tcPr>
          <w:p w:rsidR="00353ACA" w:rsidRPr="00174BAC" w:rsidRDefault="00C861D4" w:rsidP="00763F99">
            <w:pPr>
              <w:pStyle w:val="BStabletext00"/>
              <w:rPr>
                <w:b/>
              </w:rPr>
            </w:pPr>
            <w:r w:rsidRPr="00174BAC">
              <w:rPr>
                <w:b/>
              </w:rPr>
              <w:t>1,</w:t>
            </w:r>
            <w:r w:rsidR="00353ACA" w:rsidRPr="00174BAC">
              <w:rPr>
                <w:b/>
              </w:rPr>
              <w:t>28</w:t>
            </w:r>
            <w:r w:rsidR="00763F99">
              <w:rPr>
                <w:b/>
              </w:rPr>
              <w:t>5</w:t>
            </w:r>
          </w:p>
        </w:tc>
        <w:tc>
          <w:tcPr>
            <w:tcW w:w="2793" w:type="dxa"/>
            <w:tcBorders>
              <w:top w:val="nil"/>
              <w:left w:val="nil"/>
              <w:bottom w:val="single" w:sz="4" w:space="0" w:color="auto"/>
              <w:right w:val="nil"/>
              <w:tl2br w:val="nil"/>
              <w:tr2bl w:val="nil"/>
            </w:tcBorders>
            <w:shd w:val="clear" w:color="FFFFFF" w:fill="FFFFFF"/>
            <w:noWrap/>
            <w:tcMar>
              <w:left w:w="101" w:type="dxa"/>
              <w:right w:w="101" w:type="dxa"/>
            </w:tcMar>
            <w:vAlign w:val="center"/>
          </w:tcPr>
          <w:p w:rsidR="00353ACA" w:rsidRDefault="00353ACA" w:rsidP="00353ACA">
            <w:pPr>
              <w:spacing w:before="0" w:after="0"/>
              <w:rPr>
                <w:rFonts w:eastAsia="Calibri" w:cs="Calibri"/>
                <w:b/>
                <w:color w:val="000000"/>
                <w:sz w:val="18"/>
              </w:rPr>
            </w:pPr>
            <w:r>
              <w:rPr>
                <w:rFonts w:eastAsia="Calibri" w:cs="Calibri"/>
                <w:b/>
                <w:color w:val="000000"/>
                <w:sz w:val="18"/>
              </w:rPr>
              <w:t>CASH AT THE END OF REPORTING PERIOD</w:t>
            </w:r>
          </w:p>
        </w:tc>
        <w:tc>
          <w:tcPr>
            <w:tcW w:w="992" w:type="dxa"/>
            <w:tcBorders>
              <w:top w:val="nil"/>
              <w:left w:val="nil"/>
              <w:bottom w:val="single" w:sz="4" w:space="0" w:color="auto"/>
              <w:right w:val="nil"/>
              <w:tl2br w:val="nil"/>
              <w:tr2bl w:val="nil"/>
            </w:tcBorders>
            <w:shd w:val="clear" w:color="FFFFFF" w:fill="FFFFFF"/>
            <w:tcMar>
              <w:left w:w="101" w:type="dxa"/>
              <w:right w:w="101" w:type="dxa"/>
            </w:tcMar>
            <w:vAlign w:val="center"/>
          </w:tcPr>
          <w:p w:rsidR="00353ACA" w:rsidRDefault="00C861D4" w:rsidP="00353ACA">
            <w:pPr>
              <w:spacing w:before="0" w:after="0"/>
              <w:jc w:val="right"/>
              <w:rPr>
                <w:rFonts w:eastAsia="Calibri" w:cs="Calibri"/>
                <w:b/>
                <w:color w:val="000000"/>
                <w:sz w:val="18"/>
              </w:rPr>
            </w:pPr>
            <w:r>
              <w:rPr>
                <w:rFonts w:eastAsia="Calibri" w:cs="Calibri"/>
                <w:b/>
                <w:color w:val="000000"/>
                <w:sz w:val="18"/>
              </w:rPr>
              <w:t>6,</w:t>
            </w:r>
            <w:r w:rsidR="00763F99">
              <w:rPr>
                <w:rFonts w:eastAsia="Calibri" w:cs="Calibri"/>
                <w:b/>
                <w:color w:val="000000"/>
                <w:sz w:val="18"/>
              </w:rPr>
              <w:t>452</w:t>
            </w:r>
          </w:p>
        </w:tc>
        <w:tc>
          <w:tcPr>
            <w:tcW w:w="850" w:type="dxa"/>
            <w:tcBorders>
              <w:top w:val="nil"/>
              <w:left w:val="nil"/>
              <w:bottom w:val="single" w:sz="4" w:space="0" w:color="auto"/>
              <w:right w:val="nil"/>
              <w:tl2br w:val="nil"/>
              <w:tr2bl w:val="nil"/>
            </w:tcBorders>
            <w:shd w:val="clear" w:color="FFFFFF" w:fill="FFFFFF"/>
            <w:tcMar>
              <w:left w:w="101" w:type="dxa"/>
              <w:right w:w="101" w:type="dxa"/>
            </w:tcMar>
            <w:vAlign w:val="center"/>
          </w:tcPr>
          <w:p w:rsidR="00353ACA" w:rsidRDefault="00C861D4" w:rsidP="00763F99">
            <w:pPr>
              <w:spacing w:before="0" w:after="0"/>
              <w:jc w:val="right"/>
              <w:rPr>
                <w:rFonts w:eastAsia="Calibri" w:cs="Calibri"/>
                <w:b/>
                <w:color w:val="000000"/>
                <w:sz w:val="18"/>
              </w:rPr>
            </w:pPr>
            <w:r>
              <w:rPr>
                <w:rFonts w:eastAsia="Calibri" w:cs="Calibri"/>
                <w:b/>
                <w:color w:val="000000"/>
                <w:sz w:val="18"/>
              </w:rPr>
              <w:t>6,</w:t>
            </w:r>
            <w:r w:rsidR="00353ACA">
              <w:rPr>
                <w:rFonts w:eastAsia="Calibri" w:cs="Calibri"/>
                <w:b/>
                <w:color w:val="000000"/>
                <w:sz w:val="18"/>
              </w:rPr>
              <w:t>14</w:t>
            </w:r>
            <w:r w:rsidR="00763F99">
              <w:rPr>
                <w:rFonts w:eastAsia="Calibri" w:cs="Calibri"/>
                <w:b/>
                <w:color w:val="000000"/>
                <w:sz w:val="18"/>
              </w:rPr>
              <w:t>4</w:t>
            </w:r>
          </w:p>
        </w:tc>
        <w:tc>
          <w:tcPr>
            <w:tcW w:w="567" w:type="dxa"/>
            <w:tcBorders>
              <w:top w:val="nil"/>
              <w:left w:val="nil"/>
              <w:bottom w:val="single" w:sz="4" w:space="0" w:color="auto"/>
              <w:right w:val="nil"/>
              <w:tl2br w:val="nil"/>
              <w:tr2bl w:val="nil"/>
            </w:tcBorders>
            <w:shd w:val="clear" w:color="FFFFFF" w:fill="FFFFFF"/>
            <w:tcMar>
              <w:left w:w="101" w:type="dxa"/>
              <w:right w:w="101" w:type="dxa"/>
            </w:tcMar>
            <w:vAlign w:val="center"/>
          </w:tcPr>
          <w:p w:rsidR="00353ACA" w:rsidRDefault="00353ACA" w:rsidP="00353ACA">
            <w:pPr>
              <w:spacing w:before="0" w:after="0"/>
              <w:jc w:val="right"/>
              <w:rPr>
                <w:rFonts w:eastAsia="Calibri" w:cs="Calibri"/>
                <w:b/>
                <w:color w:val="000000"/>
                <w:sz w:val="18"/>
              </w:rPr>
            </w:pPr>
            <w:r>
              <w:rPr>
                <w:rFonts w:eastAsia="Calibri" w:cs="Calibri"/>
                <w:b/>
                <w:color w:val="000000"/>
                <w:sz w:val="18"/>
              </w:rPr>
              <w:t xml:space="preserve">-5 </w:t>
            </w:r>
          </w:p>
        </w:tc>
        <w:tc>
          <w:tcPr>
            <w:tcW w:w="993" w:type="dxa"/>
            <w:tcBorders>
              <w:top w:val="nil"/>
              <w:left w:val="nil"/>
              <w:bottom w:val="single" w:sz="4" w:space="0" w:color="auto"/>
              <w:right w:val="nil"/>
              <w:tl2br w:val="nil"/>
              <w:tr2bl w:val="nil"/>
            </w:tcBorders>
            <w:shd w:val="clear" w:color="FFFFFF" w:fill="FFFFFF"/>
            <w:tcMar>
              <w:left w:w="101" w:type="dxa"/>
              <w:right w:w="101" w:type="dxa"/>
            </w:tcMar>
            <w:vAlign w:val="center"/>
          </w:tcPr>
          <w:p w:rsidR="00353ACA" w:rsidRDefault="00C861D4" w:rsidP="00763F99">
            <w:pPr>
              <w:spacing w:before="0" w:after="0"/>
              <w:jc w:val="right"/>
              <w:rPr>
                <w:rFonts w:eastAsia="Calibri" w:cs="Calibri"/>
                <w:b/>
                <w:color w:val="000000"/>
                <w:sz w:val="18"/>
              </w:rPr>
            </w:pPr>
            <w:r>
              <w:rPr>
                <w:rFonts w:eastAsia="Calibri" w:cs="Calibri"/>
                <w:b/>
                <w:color w:val="000000"/>
                <w:sz w:val="18"/>
              </w:rPr>
              <w:t>5,</w:t>
            </w:r>
            <w:r w:rsidR="00353ACA">
              <w:rPr>
                <w:rFonts w:eastAsia="Calibri" w:cs="Calibri"/>
                <w:b/>
                <w:color w:val="000000"/>
                <w:sz w:val="18"/>
              </w:rPr>
              <w:t>83</w:t>
            </w:r>
            <w:r w:rsidR="00763F99">
              <w:rPr>
                <w:rFonts w:eastAsia="Calibri" w:cs="Calibri"/>
                <w:b/>
                <w:color w:val="000000"/>
                <w:sz w:val="18"/>
              </w:rPr>
              <w:t>6</w:t>
            </w:r>
          </w:p>
        </w:tc>
        <w:tc>
          <w:tcPr>
            <w:tcW w:w="992" w:type="dxa"/>
            <w:tcBorders>
              <w:top w:val="nil"/>
              <w:left w:val="nil"/>
              <w:bottom w:val="single" w:sz="4" w:space="0" w:color="auto"/>
              <w:right w:val="nil"/>
              <w:tl2br w:val="nil"/>
              <w:tr2bl w:val="nil"/>
            </w:tcBorders>
            <w:shd w:val="clear" w:color="FFFFFF" w:fill="FFFFFF"/>
            <w:tcMar>
              <w:left w:w="101" w:type="dxa"/>
              <w:right w:w="101" w:type="dxa"/>
            </w:tcMar>
            <w:vAlign w:val="center"/>
          </w:tcPr>
          <w:p w:rsidR="00353ACA" w:rsidRDefault="00C861D4" w:rsidP="00353ACA">
            <w:pPr>
              <w:spacing w:before="0" w:after="0"/>
              <w:jc w:val="right"/>
              <w:rPr>
                <w:rFonts w:eastAsia="Calibri" w:cs="Calibri"/>
                <w:b/>
                <w:color w:val="000000"/>
                <w:sz w:val="18"/>
              </w:rPr>
            </w:pPr>
            <w:r>
              <w:rPr>
                <w:rFonts w:eastAsia="Calibri" w:cs="Calibri"/>
                <w:b/>
                <w:color w:val="000000"/>
                <w:sz w:val="18"/>
              </w:rPr>
              <w:t>5,</w:t>
            </w:r>
            <w:r w:rsidR="00763F99">
              <w:rPr>
                <w:rFonts w:eastAsia="Calibri" w:cs="Calibri"/>
                <w:b/>
                <w:color w:val="000000"/>
                <w:sz w:val="18"/>
              </w:rPr>
              <w:t>528</w:t>
            </w:r>
          </w:p>
        </w:tc>
        <w:tc>
          <w:tcPr>
            <w:tcW w:w="992" w:type="dxa"/>
            <w:tcBorders>
              <w:top w:val="nil"/>
              <w:left w:val="nil"/>
              <w:bottom w:val="single" w:sz="4" w:space="0" w:color="auto"/>
              <w:right w:val="nil"/>
              <w:tl2br w:val="nil"/>
              <w:tr2bl w:val="nil"/>
            </w:tcBorders>
            <w:shd w:val="clear" w:color="FFFFFF" w:fill="FFFFFF"/>
            <w:tcMar>
              <w:left w:w="101" w:type="dxa"/>
              <w:right w:w="101" w:type="dxa"/>
            </w:tcMar>
            <w:vAlign w:val="center"/>
          </w:tcPr>
          <w:p w:rsidR="00353ACA" w:rsidRDefault="00C861D4" w:rsidP="00763F99">
            <w:pPr>
              <w:spacing w:before="0" w:after="0"/>
              <w:jc w:val="right"/>
              <w:rPr>
                <w:rFonts w:eastAsia="Calibri" w:cs="Calibri"/>
                <w:b/>
                <w:color w:val="000000"/>
                <w:sz w:val="18"/>
              </w:rPr>
            </w:pPr>
            <w:r>
              <w:rPr>
                <w:rFonts w:eastAsia="Calibri" w:cs="Calibri"/>
                <w:b/>
                <w:color w:val="000000"/>
                <w:sz w:val="18"/>
              </w:rPr>
              <w:t>5,</w:t>
            </w:r>
            <w:r w:rsidR="00353ACA">
              <w:rPr>
                <w:rFonts w:eastAsia="Calibri" w:cs="Calibri"/>
                <w:b/>
                <w:color w:val="000000"/>
                <w:sz w:val="18"/>
              </w:rPr>
              <w:t>22</w:t>
            </w:r>
            <w:r w:rsidR="00763F99">
              <w:rPr>
                <w:rFonts w:eastAsia="Calibri" w:cs="Calibri"/>
                <w:b/>
                <w:color w:val="000000"/>
                <w:sz w:val="18"/>
              </w:rPr>
              <w:t>0</w:t>
            </w:r>
          </w:p>
        </w:tc>
      </w:tr>
    </w:tbl>
    <w:p w:rsidR="0058349F" w:rsidRDefault="0058349F" w:rsidP="0058349F">
      <w:pPr>
        <w:pStyle w:val="Heading33"/>
        <w:pageBreakBefore/>
      </w:pPr>
      <w:bookmarkStart w:id="47" w:name="_Toc514926344"/>
      <w:r>
        <w:t>Notes to the Controlled Budget Statements</w:t>
      </w:r>
      <w:bookmarkEnd w:id="47"/>
    </w:p>
    <w:p w:rsidR="0058349F" w:rsidRDefault="0058349F" w:rsidP="0058349F">
      <w:pPr>
        <w:pStyle w:val="Normal6"/>
      </w:pPr>
      <w:r>
        <w:t>Significant variations are as follows:</w:t>
      </w:r>
    </w:p>
    <w:p w:rsidR="0058349F" w:rsidRDefault="0058349F" w:rsidP="0058349F">
      <w:pPr>
        <w:pStyle w:val="Normal6"/>
        <w:rPr>
          <w:b/>
          <w:i/>
        </w:rPr>
      </w:pPr>
      <w:r>
        <w:rPr>
          <w:b/>
          <w:i/>
        </w:rPr>
        <w:t>Operating Statement</w:t>
      </w:r>
    </w:p>
    <w:p w:rsidR="0058349F" w:rsidRDefault="0058349F" w:rsidP="0058349F">
      <w:pPr>
        <w:pStyle w:val="BSbullet11"/>
        <w:numPr>
          <w:ilvl w:val="0"/>
          <w:numId w:val="47"/>
        </w:numPr>
        <w:jc w:val="left"/>
      </w:pPr>
      <w:r>
        <w:t xml:space="preserve">controlled recurrent payments:  </w:t>
      </w:r>
    </w:p>
    <w:p w:rsidR="00BD264F" w:rsidRDefault="00BD264F" w:rsidP="006971D9">
      <w:pPr>
        <w:pStyle w:val="BSbullet11"/>
        <w:numPr>
          <w:ilvl w:val="0"/>
          <w:numId w:val="53"/>
        </w:numPr>
        <w:ind w:left="714" w:hanging="357"/>
        <w:jc w:val="left"/>
      </w:pPr>
      <w:r>
        <w:t xml:space="preserve">the increase of $1.467 million in the 2017-18 estimated outcome from the original budget is mainly due to the </w:t>
      </w:r>
      <w:r w:rsidR="00DA69BA">
        <w:t>transfer of</w:t>
      </w:r>
      <w:r>
        <w:t xml:space="preserve"> the Coordinator-General for Family Safety from Justice and Community Safety Directorate to </w:t>
      </w:r>
      <w:r w:rsidR="00DA69BA">
        <w:t>the</w:t>
      </w:r>
      <w:r>
        <w:t xml:space="preserve"> Directorate ($1.343 million), new initiatives provided in 2017-18 Budget Review ($1.459 million) and specialist disability services funding for Over 65’s as a result of 2017-18 Commonwealth MYEFO Budget Update ($0.855 million), offset by </w:t>
      </w:r>
      <w:proofErr w:type="spellStart"/>
      <w:r>
        <w:t>reprofiling</w:t>
      </w:r>
      <w:proofErr w:type="spellEnd"/>
      <w:r>
        <w:t xml:space="preserve"> Safer Families initiatives to 2018-19 ($1.534 million) and revised superannuation estimates ($0.746 million); and</w:t>
      </w:r>
    </w:p>
    <w:p w:rsidR="00BD264F" w:rsidRDefault="00BD264F" w:rsidP="00362887">
      <w:pPr>
        <w:pStyle w:val="BSbullet11"/>
        <w:numPr>
          <w:ilvl w:val="0"/>
          <w:numId w:val="53"/>
        </w:numPr>
        <w:jc w:val="left"/>
      </w:pPr>
      <w:proofErr w:type="gramStart"/>
      <w:r>
        <w:t>the</w:t>
      </w:r>
      <w:proofErr w:type="gramEnd"/>
      <w:r>
        <w:t xml:space="preserve"> increase of $15.045 million in the 2018-19 budget from the 2017-18 estimated outcom</w:t>
      </w:r>
      <w:r w:rsidR="00F8258C">
        <w:t>e is mainly due to the increase</w:t>
      </w:r>
      <w:r w:rsidR="00DA69BA">
        <w:t xml:space="preserve">d </w:t>
      </w:r>
      <w:r>
        <w:t xml:space="preserve">contribution </w:t>
      </w:r>
      <w:r w:rsidR="00DA69BA">
        <w:t>to</w:t>
      </w:r>
      <w:r w:rsidRPr="005A53DF">
        <w:t xml:space="preserve"> the National Disability Insurance Scheme</w:t>
      </w:r>
      <w:r>
        <w:t xml:space="preserve"> ($5.422 mil</w:t>
      </w:r>
      <w:r w:rsidR="00763F99">
        <w:t>l</w:t>
      </w:r>
      <w:r w:rsidR="005731B5">
        <w:t>ion) and new initiatives ($6.936</w:t>
      </w:r>
      <w:bookmarkStart w:id="48" w:name="_GoBack"/>
      <w:bookmarkEnd w:id="48"/>
      <w:r>
        <w:t xml:space="preserve"> million).</w:t>
      </w:r>
    </w:p>
    <w:p w:rsidR="00BD264F" w:rsidRDefault="00763F99" w:rsidP="00BD264F">
      <w:pPr>
        <w:pStyle w:val="BSbullet11"/>
        <w:numPr>
          <w:ilvl w:val="0"/>
          <w:numId w:val="52"/>
        </w:numPr>
        <w:ind w:left="357" w:hanging="357"/>
        <w:jc w:val="left"/>
      </w:pPr>
      <w:r>
        <w:t>g</w:t>
      </w:r>
      <w:r w:rsidR="00BD264F">
        <w:t>ains:</w:t>
      </w:r>
    </w:p>
    <w:p w:rsidR="00BD264F" w:rsidRDefault="00BD264F" w:rsidP="00362887">
      <w:pPr>
        <w:pStyle w:val="BSbullet11"/>
        <w:numPr>
          <w:ilvl w:val="0"/>
          <w:numId w:val="53"/>
        </w:numPr>
        <w:tabs>
          <w:tab w:val="left" w:pos="720"/>
        </w:tabs>
        <w:spacing w:before="0" w:after="0"/>
        <w:jc w:val="left"/>
      </w:pPr>
      <w:proofErr w:type="gramStart"/>
      <w:r>
        <w:t>the</w:t>
      </w:r>
      <w:proofErr w:type="gramEnd"/>
      <w:r>
        <w:t xml:space="preserve"> increase of $0.583 million in the 2017-18 estimated outcome from the original budget is mainly due to </w:t>
      </w:r>
      <w:r w:rsidR="00DA69BA">
        <w:t>the</w:t>
      </w:r>
      <w:r>
        <w:t xml:space="preserve"> transfer of Affordable Rental Scheme properties from Housing ACT to the Directorate.</w:t>
      </w:r>
    </w:p>
    <w:p w:rsidR="0058349F" w:rsidRDefault="0058349F" w:rsidP="0058349F">
      <w:pPr>
        <w:pStyle w:val="BSbullet11"/>
        <w:numPr>
          <w:ilvl w:val="0"/>
          <w:numId w:val="47"/>
        </w:numPr>
        <w:jc w:val="left"/>
        <w:rPr>
          <w:shd w:val="clear" w:color="auto" w:fill="FFFF99"/>
        </w:rPr>
      </w:pPr>
      <w:r>
        <w:t xml:space="preserve">employee expenses:  </w:t>
      </w:r>
    </w:p>
    <w:p w:rsidR="00BD264F" w:rsidRDefault="00BD264F" w:rsidP="00F8258C">
      <w:pPr>
        <w:pStyle w:val="BSbullet11"/>
        <w:numPr>
          <w:ilvl w:val="0"/>
          <w:numId w:val="53"/>
        </w:numPr>
        <w:jc w:val="left"/>
      </w:pPr>
      <w:r>
        <w:t xml:space="preserve">the increase of $1.732 million in the 2017-18 estimated outcome from the original budget is mainly due to the </w:t>
      </w:r>
      <w:r w:rsidR="00DA69BA">
        <w:t>transfer of</w:t>
      </w:r>
      <w:r>
        <w:t xml:space="preserve"> the Coordinator-General for Family Safety from Justice and Community Safety Directorate to </w:t>
      </w:r>
      <w:r w:rsidR="00DA69BA">
        <w:t>the</w:t>
      </w:r>
      <w:r>
        <w:t xml:space="preserve"> Directorate and new initiatives provided in 2017-18 Budget Review; and</w:t>
      </w:r>
    </w:p>
    <w:p w:rsidR="00BD264F" w:rsidRDefault="00BD264F" w:rsidP="00F8258C">
      <w:pPr>
        <w:pStyle w:val="BSbullet11"/>
        <w:numPr>
          <w:ilvl w:val="0"/>
          <w:numId w:val="53"/>
        </w:numPr>
        <w:jc w:val="left"/>
      </w:pPr>
      <w:proofErr w:type="gramStart"/>
      <w:r>
        <w:t>the</w:t>
      </w:r>
      <w:proofErr w:type="gramEnd"/>
      <w:r>
        <w:t xml:space="preserve"> increase of $3.668 million in the 2018-19 budget from the 2017-18 estimated outcome is mainly due to new initiatives.</w:t>
      </w:r>
    </w:p>
    <w:p w:rsidR="0058349F" w:rsidRDefault="0058349F" w:rsidP="0058349F">
      <w:pPr>
        <w:pStyle w:val="BSbullet11"/>
        <w:keepNext/>
        <w:numPr>
          <w:ilvl w:val="0"/>
          <w:numId w:val="47"/>
        </w:numPr>
        <w:jc w:val="left"/>
      </w:pPr>
      <w:r>
        <w:t xml:space="preserve">superannuation expenses:  </w:t>
      </w:r>
    </w:p>
    <w:p w:rsidR="00BD264F" w:rsidRDefault="00BD264F" w:rsidP="00F8258C">
      <w:pPr>
        <w:pStyle w:val="BSbullet11"/>
        <w:numPr>
          <w:ilvl w:val="0"/>
          <w:numId w:val="53"/>
        </w:numPr>
        <w:jc w:val="left"/>
      </w:pPr>
      <w:r>
        <w:t>the decrease of $0.592 million in the 2017-18 estimated outcome from the original budget is mainly due to the effect of revised superannuation parameters offset by new initiatives provided in 2017-18 Budget Review; and</w:t>
      </w:r>
    </w:p>
    <w:p w:rsidR="00BD264F" w:rsidRDefault="00BD264F" w:rsidP="00F8258C">
      <w:pPr>
        <w:pStyle w:val="BSbullet11"/>
        <w:numPr>
          <w:ilvl w:val="0"/>
          <w:numId w:val="53"/>
        </w:numPr>
        <w:jc w:val="left"/>
      </w:pPr>
      <w:proofErr w:type="gramStart"/>
      <w:r>
        <w:t>the</w:t>
      </w:r>
      <w:proofErr w:type="gramEnd"/>
      <w:r>
        <w:t xml:space="preserve"> increase of $0.980 million in the 2018-19 budget from the 2017-18 estimated outcome is mainly due to indexation and new initiatives.</w:t>
      </w:r>
    </w:p>
    <w:p w:rsidR="00BD264F" w:rsidRDefault="00BD264F">
      <w:pPr>
        <w:spacing w:before="0" w:after="0"/>
        <w:rPr>
          <w:szCs w:val="24"/>
        </w:rPr>
      </w:pPr>
      <w:r>
        <w:br w:type="page"/>
      </w:r>
    </w:p>
    <w:p w:rsidR="0058349F" w:rsidRDefault="0058349F" w:rsidP="0058349F">
      <w:pPr>
        <w:pStyle w:val="BSbullet11"/>
        <w:keepNext/>
        <w:numPr>
          <w:ilvl w:val="0"/>
          <w:numId w:val="47"/>
        </w:numPr>
        <w:jc w:val="left"/>
      </w:pPr>
      <w:r>
        <w:t>supplies and services:</w:t>
      </w:r>
    </w:p>
    <w:p w:rsidR="00BD264F" w:rsidRDefault="00BD264F" w:rsidP="00F8258C">
      <w:pPr>
        <w:pStyle w:val="BSbullet11"/>
        <w:numPr>
          <w:ilvl w:val="0"/>
          <w:numId w:val="53"/>
        </w:numPr>
        <w:jc w:val="left"/>
      </w:pPr>
      <w:r>
        <w:t xml:space="preserve">The increase of $1.479 million in the 2017-18 estimated outcome from the original budget is mainly due to the </w:t>
      </w:r>
      <w:r w:rsidR="00DA69BA">
        <w:t>transfer of</w:t>
      </w:r>
      <w:r>
        <w:t xml:space="preserve"> the Coordinator-General for Family Safety from Justice and Community Safety Directorate to </w:t>
      </w:r>
      <w:r w:rsidR="00DA69BA">
        <w:t>the</w:t>
      </w:r>
      <w:r>
        <w:t xml:space="preserve"> Directorate and new initiatives provided in 2017-18 Budget Review; and</w:t>
      </w:r>
    </w:p>
    <w:p w:rsidR="00BD264F" w:rsidRDefault="00BD264F" w:rsidP="00F8258C">
      <w:pPr>
        <w:pStyle w:val="BSbullet11"/>
        <w:numPr>
          <w:ilvl w:val="0"/>
          <w:numId w:val="53"/>
        </w:numPr>
        <w:jc w:val="left"/>
      </w:pPr>
      <w:proofErr w:type="gramStart"/>
      <w:r>
        <w:t>the</w:t>
      </w:r>
      <w:proofErr w:type="gramEnd"/>
      <w:r>
        <w:t xml:space="preserve"> increase of $3.480</w:t>
      </w:r>
      <w:r w:rsidRPr="00BD45BC">
        <w:t xml:space="preserve"> million</w:t>
      </w:r>
      <w:r>
        <w:t xml:space="preserve"> in the 2018-19 budget from the 2017-18 estimated outcome is mainly due to </w:t>
      </w:r>
      <w:proofErr w:type="spellStart"/>
      <w:r>
        <w:t>reprofiling</w:t>
      </w:r>
      <w:proofErr w:type="spellEnd"/>
      <w:r>
        <w:t xml:space="preserve"> Safer Families initiatives to 2018-19 and new initiatives.</w:t>
      </w:r>
    </w:p>
    <w:p w:rsidR="0058349F" w:rsidRDefault="0058349F" w:rsidP="00F8258C">
      <w:pPr>
        <w:pStyle w:val="BSbullet11"/>
        <w:numPr>
          <w:ilvl w:val="0"/>
          <w:numId w:val="47"/>
        </w:numPr>
        <w:jc w:val="left"/>
      </w:pPr>
      <w:r>
        <w:t xml:space="preserve">grants and purchased services:  </w:t>
      </w:r>
    </w:p>
    <w:p w:rsidR="00BD264F" w:rsidRPr="00A572AF" w:rsidRDefault="00BD264F" w:rsidP="00F8258C">
      <w:pPr>
        <w:pStyle w:val="BSbullet2"/>
      </w:pPr>
      <w:proofErr w:type="gramStart"/>
      <w:r>
        <w:t>the</w:t>
      </w:r>
      <w:proofErr w:type="gramEnd"/>
      <w:r>
        <w:t xml:space="preserve"> increase of $6.549 million in the 2018-19 budget from the 2017-18</w:t>
      </w:r>
      <w:r w:rsidRPr="00A572AF">
        <w:t xml:space="preserve"> estimated outcome is mainly due to </w:t>
      </w:r>
      <w:r>
        <w:t>the increase in contribution</w:t>
      </w:r>
      <w:r w:rsidR="00AA4734">
        <w:t>s to</w:t>
      </w:r>
      <w:r w:rsidRPr="005A53DF">
        <w:t xml:space="preserve"> the National Disability Insurance Scheme</w:t>
      </w:r>
      <w:r>
        <w:t xml:space="preserve"> ($5.422 million) and new initiatives</w:t>
      </w:r>
      <w:r w:rsidRPr="00A572AF">
        <w:t xml:space="preserve">. </w:t>
      </w:r>
    </w:p>
    <w:p w:rsidR="0058349F" w:rsidRDefault="0058349F" w:rsidP="007D648C">
      <w:pPr>
        <w:pStyle w:val="Heading42"/>
      </w:pPr>
      <w:r>
        <w:t>Balance Sheet</w:t>
      </w:r>
    </w:p>
    <w:p w:rsidR="0058349F" w:rsidRDefault="0058349F" w:rsidP="0058349F">
      <w:pPr>
        <w:pStyle w:val="BSbullet11"/>
        <w:numPr>
          <w:ilvl w:val="0"/>
          <w:numId w:val="47"/>
        </w:numPr>
        <w:jc w:val="left"/>
      </w:pPr>
      <w:r>
        <w:t xml:space="preserve">cash and equivalents:  </w:t>
      </w:r>
    </w:p>
    <w:p w:rsidR="00BD264F" w:rsidRDefault="00BD264F" w:rsidP="00BD264F">
      <w:pPr>
        <w:pStyle w:val="BSbullet2"/>
      </w:pPr>
      <w:proofErr w:type="gramStart"/>
      <w:r>
        <w:t>the</w:t>
      </w:r>
      <w:proofErr w:type="gramEnd"/>
      <w:r>
        <w:t xml:space="preserve"> increase of $5.167</w:t>
      </w:r>
      <w:r w:rsidRPr="00BD45BC">
        <w:t xml:space="preserve"> million</w:t>
      </w:r>
      <w:r>
        <w:t xml:space="preserve"> in the 2017-18 estimated outcome from the original budget is mainly due to the increased cash holding to meet operational requirements.</w:t>
      </w:r>
    </w:p>
    <w:p w:rsidR="0058349F" w:rsidRDefault="0058349F" w:rsidP="0058349F">
      <w:pPr>
        <w:pStyle w:val="BSbullet11"/>
        <w:numPr>
          <w:ilvl w:val="0"/>
          <w:numId w:val="47"/>
        </w:numPr>
        <w:jc w:val="left"/>
      </w:pPr>
      <w:r>
        <w:t xml:space="preserve">current and non-current receivables:  </w:t>
      </w:r>
    </w:p>
    <w:p w:rsidR="00BD264F" w:rsidRDefault="00BD264F" w:rsidP="00BD264F">
      <w:pPr>
        <w:pStyle w:val="BSbullet2"/>
      </w:pPr>
      <w:proofErr w:type="gramStart"/>
      <w:r>
        <w:t>the</w:t>
      </w:r>
      <w:proofErr w:type="gramEnd"/>
      <w:r>
        <w:t xml:space="preserve"> decrease of $3.437</w:t>
      </w:r>
      <w:r w:rsidRPr="00BD45BC">
        <w:t xml:space="preserve"> million</w:t>
      </w:r>
      <w:r>
        <w:t xml:space="preserve"> in the 2017-18 estimated outcome from the original budget is mainly due to the receipt of outstanding debt and the reimbursement of voluntary redundancies from the Restructure Fund as the Directorate fully transitioned to National Disability Insurance Scheme.</w:t>
      </w:r>
    </w:p>
    <w:p w:rsidR="0058349F" w:rsidRDefault="0058349F" w:rsidP="0058349F">
      <w:pPr>
        <w:pStyle w:val="BSbullet11"/>
        <w:numPr>
          <w:ilvl w:val="0"/>
          <w:numId w:val="47"/>
        </w:numPr>
        <w:jc w:val="left"/>
      </w:pPr>
      <w:r>
        <w:t xml:space="preserve">property, plant and equipment:  </w:t>
      </w:r>
    </w:p>
    <w:p w:rsidR="0058349F" w:rsidRDefault="0058349F" w:rsidP="0058349F">
      <w:pPr>
        <w:pStyle w:val="BSbullet2"/>
      </w:pPr>
      <w:proofErr w:type="gramStart"/>
      <w:r>
        <w:t>the</w:t>
      </w:r>
      <w:proofErr w:type="gramEnd"/>
      <w:r>
        <w:t xml:space="preserve"> </w:t>
      </w:r>
      <w:r w:rsidRPr="00BD264F">
        <w:t>decrease of $1.243 million in the 2017-18 estimated</w:t>
      </w:r>
      <w:r>
        <w:t xml:space="preserve"> outcome from the original budget is mainly due to </w:t>
      </w:r>
      <w:r w:rsidRPr="00A42DB6">
        <w:t>the re-profiling of capital works projects ($1.175 million) into 2018-19</w:t>
      </w:r>
      <w:r>
        <w:t>.</w:t>
      </w:r>
    </w:p>
    <w:p w:rsidR="00BD264F" w:rsidRDefault="00BD264F" w:rsidP="00BD264F">
      <w:pPr>
        <w:pStyle w:val="BSbullet2"/>
      </w:pPr>
      <w:proofErr w:type="gramStart"/>
      <w:r>
        <w:t>the</w:t>
      </w:r>
      <w:proofErr w:type="gramEnd"/>
      <w:r>
        <w:t xml:space="preserve"> increase of $2.295</w:t>
      </w:r>
      <w:r w:rsidRPr="00BD45BC">
        <w:t xml:space="preserve"> million</w:t>
      </w:r>
      <w:r>
        <w:t xml:space="preserve"> in the 2018-19 budget from the 2017-18 estimated outcome is mainly due to the </w:t>
      </w:r>
      <w:r w:rsidR="00F8258C">
        <w:t xml:space="preserve">expected </w:t>
      </w:r>
      <w:r>
        <w:t xml:space="preserve">delivery of the communication system and infrastructure upgrade project at </w:t>
      </w:r>
      <w:proofErr w:type="spellStart"/>
      <w:r>
        <w:t>Bimberi</w:t>
      </w:r>
      <w:proofErr w:type="spellEnd"/>
      <w:r>
        <w:t xml:space="preserve"> Youth Justice Centre as well as a new disability respite property.</w:t>
      </w:r>
    </w:p>
    <w:p w:rsidR="0058349F" w:rsidRDefault="0058349F" w:rsidP="0058349F">
      <w:pPr>
        <w:pStyle w:val="BSbullet11"/>
        <w:numPr>
          <w:ilvl w:val="0"/>
          <w:numId w:val="47"/>
        </w:numPr>
        <w:jc w:val="left"/>
      </w:pPr>
      <w:r>
        <w:t xml:space="preserve">current and non-current capital works in progress:  </w:t>
      </w:r>
    </w:p>
    <w:p w:rsidR="00BD264F" w:rsidRDefault="00BD264F" w:rsidP="00BD264F">
      <w:pPr>
        <w:pStyle w:val="BSbullet2"/>
      </w:pPr>
      <w:proofErr w:type="gramStart"/>
      <w:r>
        <w:t>the</w:t>
      </w:r>
      <w:proofErr w:type="gramEnd"/>
      <w:r>
        <w:t xml:space="preserve"> increase of $2.907</w:t>
      </w:r>
      <w:r w:rsidRPr="00BD45BC">
        <w:t xml:space="preserve"> million</w:t>
      </w:r>
      <w:r>
        <w:t xml:space="preserve"> in the 2017-18 estimated outcome from the original budget is mainly due to the Client Management System and critical information migration for Child and Youth Protection Services projects.</w:t>
      </w:r>
    </w:p>
    <w:p w:rsidR="00BD264F" w:rsidRDefault="00BD264F">
      <w:pPr>
        <w:spacing w:before="0" w:after="0"/>
        <w:rPr>
          <w:szCs w:val="24"/>
        </w:rPr>
      </w:pPr>
      <w:r>
        <w:br w:type="page"/>
      </w:r>
    </w:p>
    <w:p w:rsidR="0058349F" w:rsidRDefault="0058349F" w:rsidP="0058349F">
      <w:pPr>
        <w:pStyle w:val="BSbullet11"/>
        <w:numPr>
          <w:ilvl w:val="0"/>
          <w:numId w:val="47"/>
        </w:numPr>
        <w:jc w:val="left"/>
      </w:pPr>
      <w:r>
        <w:t xml:space="preserve">intangible assets:  </w:t>
      </w:r>
    </w:p>
    <w:p w:rsidR="00BD264F" w:rsidRDefault="00BD264F" w:rsidP="00BD264F">
      <w:pPr>
        <w:pStyle w:val="BSbullet2"/>
      </w:pPr>
      <w:r>
        <w:t>the decrease of $1.438</w:t>
      </w:r>
      <w:r w:rsidRPr="00BD45BC">
        <w:t xml:space="preserve"> million</w:t>
      </w:r>
      <w:r>
        <w:t xml:space="preserve"> in the 2017-18 estimated outcome from the original budget is mainly due to the re-profiling of the Client Management System and critical information migration for Child and Youth Protection Services projects; and</w:t>
      </w:r>
    </w:p>
    <w:p w:rsidR="00BD264F" w:rsidRDefault="00BD264F" w:rsidP="00BD264F">
      <w:pPr>
        <w:pStyle w:val="BSbullet2"/>
      </w:pPr>
      <w:proofErr w:type="gramStart"/>
      <w:r>
        <w:t>the</w:t>
      </w:r>
      <w:proofErr w:type="gramEnd"/>
      <w:r>
        <w:t xml:space="preserve"> increase of $1.986</w:t>
      </w:r>
      <w:r w:rsidRPr="00BD45BC">
        <w:t xml:space="preserve"> million</w:t>
      </w:r>
      <w:r>
        <w:t xml:space="preserve"> in the 2018-19 budget from the 2017-18 estimated outcome is mainly due to the </w:t>
      </w:r>
      <w:r w:rsidR="00F8258C">
        <w:t xml:space="preserve">expected </w:t>
      </w:r>
      <w:r>
        <w:t xml:space="preserve">completion of </w:t>
      </w:r>
      <w:r w:rsidR="00F8258C">
        <w:t xml:space="preserve">the </w:t>
      </w:r>
      <w:r>
        <w:t>above</w:t>
      </w:r>
      <w:r w:rsidR="00AA4734">
        <w:t xml:space="preserve"> mentioned</w:t>
      </w:r>
      <w:r>
        <w:t xml:space="preserve"> projects.</w:t>
      </w:r>
    </w:p>
    <w:p w:rsidR="0058349F" w:rsidRDefault="0058349F" w:rsidP="0058349F">
      <w:pPr>
        <w:pStyle w:val="BSbullet11"/>
        <w:numPr>
          <w:ilvl w:val="0"/>
          <w:numId w:val="47"/>
        </w:numPr>
        <w:jc w:val="left"/>
      </w:pPr>
      <w:r>
        <w:t xml:space="preserve">current and non-current payables:  </w:t>
      </w:r>
    </w:p>
    <w:p w:rsidR="00BD264F" w:rsidRDefault="00BD264F" w:rsidP="00BD264F">
      <w:pPr>
        <w:pStyle w:val="BSbullet2"/>
      </w:pPr>
      <w:proofErr w:type="gramStart"/>
      <w:r>
        <w:t>the</w:t>
      </w:r>
      <w:proofErr w:type="gramEnd"/>
      <w:r>
        <w:t xml:space="preserve"> decrease of $1.248</w:t>
      </w:r>
      <w:r w:rsidRPr="00BD45BC">
        <w:t xml:space="preserve"> million</w:t>
      </w:r>
      <w:r>
        <w:t xml:space="preserve"> in the 2017-18 estimated outcome from the original budget is mainly due to the payment of creditors. </w:t>
      </w:r>
    </w:p>
    <w:p w:rsidR="0058349F" w:rsidRDefault="0058349F" w:rsidP="0058349F">
      <w:pPr>
        <w:pStyle w:val="BSbullet11"/>
        <w:numPr>
          <w:ilvl w:val="0"/>
          <w:numId w:val="47"/>
        </w:numPr>
        <w:jc w:val="left"/>
      </w:pPr>
      <w:r>
        <w:t xml:space="preserve">current and </w:t>
      </w:r>
      <w:proofErr w:type="spellStart"/>
      <w:r>
        <w:t>non current</w:t>
      </w:r>
      <w:proofErr w:type="spellEnd"/>
      <w:r>
        <w:t xml:space="preserve"> employee benefits: </w:t>
      </w:r>
    </w:p>
    <w:p w:rsidR="001B518A" w:rsidRDefault="001B518A" w:rsidP="001B518A">
      <w:pPr>
        <w:pStyle w:val="BSbullet2"/>
      </w:pPr>
      <w:proofErr w:type="gramStart"/>
      <w:r>
        <w:t>the</w:t>
      </w:r>
      <w:proofErr w:type="gramEnd"/>
      <w:r>
        <w:t xml:space="preserve"> decrease of $3.219 million in the 2017-18 estimated outcome from the original budget is mainly due to the reduction of staffing level as the Disability and Therapy ACT fully transitioned to National Disability Insurance Scheme.</w:t>
      </w:r>
    </w:p>
    <w:p w:rsidR="0058349F" w:rsidRDefault="0058349F" w:rsidP="0058349F">
      <w:pPr>
        <w:pStyle w:val="BSbullet11"/>
        <w:numPr>
          <w:ilvl w:val="0"/>
          <w:numId w:val="47"/>
        </w:numPr>
        <w:jc w:val="left"/>
      </w:pPr>
      <w:r>
        <w:t xml:space="preserve">other provisions:  </w:t>
      </w:r>
    </w:p>
    <w:p w:rsidR="001B518A" w:rsidRDefault="001B518A" w:rsidP="001B518A">
      <w:pPr>
        <w:pStyle w:val="BSbullet2"/>
      </w:pPr>
      <w:proofErr w:type="gramStart"/>
      <w:r>
        <w:t>the</w:t>
      </w:r>
      <w:proofErr w:type="gramEnd"/>
      <w:r>
        <w:t xml:space="preserve"> decrease of $1.871 million in the 2017-18 estimated outcome from the original budget is mainly due to the reduction in </w:t>
      </w:r>
      <w:r w:rsidR="00AA4734">
        <w:t xml:space="preserve">the </w:t>
      </w:r>
      <w:r>
        <w:t>provision for redundancy payments as the Disability and Therapy ACT fully transitioned to National Disability Insurance Scheme. The remaining provision ($1.561 million) relates to the e</w:t>
      </w:r>
      <w:r w:rsidR="00AA4734">
        <w:t>stimated cost of make good for</w:t>
      </w:r>
      <w:r>
        <w:t xml:space="preserve"> rented office space.</w:t>
      </w:r>
    </w:p>
    <w:p w:rsidR="0058349F" w:rsidRDefault="0058349F" w:rsidP="0058349F">
      <w:pPr>
        <w:pStyle w:val="BSbullet11"/>
        <w:numPr>
          <w:ilvl w:val="0"/>
          <w:numId w:val="47"/>
        </w:numPr>
        <w:jc w:val="left"/>
      </w:pPr>
      <w:r>
        <w:t xml:space="preserve">other liabilities:  </w:t>
      </w:r>
    </w:p>
    <w:p w:rsidR="001B518A" w:rsidRDefault="001B518A" w:rsidP="001B518A">
      <w:pPr>
        <w:pStyle w:val="BSbullet2"/>
      </w:pPr>
      <w:proofErr w:type="gramStart"/>
      <w:r>
        <w:t>the</w:t>
      </w:r>
      <w:proofErr w:type="gramEnd"/>
      <w:r>
        <w:t xml:space="preserve"> decrease of $1.098 million in the 2017-18 estimated outcome from the original budget is mainly due to the reduction in grants held in advance for National Disability Insurance Scheme sector development received from the Commonwealth Government.</w:t>
      </w:r>
    </w:p>
    <w:p w:rsidR="0058349F" w:rsidRDefault="0058349F" w:rsidP="007D648C">
      <w:pPr>
        <w:pStyle w:val="Heading42"/>
      </w:pPr>
      <w:r>
        <w:t>Cash Flow Statement</w:t>
      </w:r>
    </w:p>
    <w:p w:rsidR="0058349F" w:rsidRDefault="0058349F" w:rsidP="0058349F">
      <w:pPr>
        <w:pStyle w:val="Normal6"/>
      </w:pPr>
      <w:r>
        <w:t>Variations in the Statement are explained in the notes above.</w:t>
      </w:r>
    </w:p>
    <w:p w:rsidR="0058349F" w:rsidRPr="0004555B" w:rsidRDefault="0058349F" w:rsidP="0058349F">
      <w:pPr>
        <w:pStyle w:val="Normal6"/>
        <w:rPr>
          <w:rFonts w:eastAsia="TimesNewRomanPS-ItalicMT"/>
        </w:rPr>
      </w:pPr>
      <w:r>
        <w:t xml:space="preserve"> </w:t>
      </w:r>
    </w:p>
    <w:p w:rsidR="0058349F" w:rsidRPr="007D2AC0" w:rsidRDefault="0058349F" w:rsidP="0058349F">
      <w:pPr>
        <w:pStyle w:val="Caption"/>
        <w:pageBreakBefore/>
        <w:pBdr>
          <w:top w:val="nil"/>
          <w:left w:val="nil"/>
          <w:bottom w:val="nil"/>
          <w:right w:val="nil"/>
          <w:between w:val="nil"/>
          <w:bar w:val="nil"/>
        </w:pBdr>
        <w:rPr>
          <w:rFonts w:eastAsia="TimesNewRomanPS-ItalicMT"/>
          <w:bdr w:val="nil"/>
        </w:rPr>
      </w:pPr>
      <w:r>
        <w:rPr>
          <w:bdr w:val="nil"/>
        </w:rPr>
        <w:t xml:space="preserve">Table </w:t>
      </w:r>
      <w:r w:rsidR="00244C2C">
        <w:rPr>
          <w:bdr w:val="nil"/>
        </w:rPr>
        <w:t>33</w:t>
      </w:r>
      <w:r>
        <w:rPr>
          <w:bdr w:val="nil"/>
        </w:rPr>
        <w:t>: Output Class 1: National Disability Insurance Scheme (NDIS) Implementation Operating Statement</w:t>
      </w:r>
    </w:p>
    <w:tbl>
      <w:tblPr>
        <w:tblStyle w:val="CDMRange2"/>
        <w:tblW w:w="9214" w:type="dxa"/>
        <w:tblLayout w:type="fixed"/>
        <w:tblLook w:val="0600" w:firstRow="0" w:lastRow="0" w:firstColumn="0" w:lastColumn="0" w:noHBand="1" w:noVBand="1"/>
      </w:tblPr>
      <w:tblGrid>
        <w:gridCol w:w="1035"/>
        <w:gridCol w:w="2509"/>
        <w:gridCol w:w="992"/>
        <w:gridCol w:w="993"/>
        <w:gridCol w:w="708"/>
        <w:gridCol w:w="993"/>
        <w:gridCol w:w="992"/>
        <w:gridCol w:w="992"/>
      </w:tblGrid>
      <w:tr w:rsidR="001651E4" w:rsidTr="006971D9">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2017-18 Budget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2509"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 $'000</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2018-19 </w:t>
            </w:r>
          </w:p>
          <w:p w:rsidR="001651E4" w:rsidRDefault="0058349F">
            <w:pPr>
              <w:spacing w:before="0" w:after="0"/>
              <w:jc w:val="right"/>
              <w:rPr>
                <w:rFonts w:eastAsia="Calibri" w:cs="Calibri"/>
                <w:b/>
                <w:color w:val="000000"/>
                <w:sz w:val="18"/>
              </w:rPr>
            </w:pPr>
            <w:r>
              <w:rPr>
                <w:rFonts w:eastAsia="Calibri" w:cs="Calibri"/>
                <w:b/>
                <w:color w:val="000000"/>
                <w:sz w:val="18"/>
              </w:rPr>
              <w:t>Budget</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70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1651E4" w:rsidRDefault="0058349F">
            <w:pPr>
              <w:spacing w:before="0" w:after="0"/>
              <w:jc w:val="right"/>
              <w:rPr>
                <w:rFonts w:eastAsia="Calibri" w:cs="Calibri"/>
                <w:b/>
                <w:color w:val="000000"/>
                <w:sz w:val="18"/>
              </w:rPr>
            </w:pPr>
            <w:r>
              <w:rPr>
                <w:rFonts w:eastAsia="Calibri" w:cs="Calibri"/>
                <w:b/>
                <w:color w:val="000000"/>
                <w:sz w:val="18"/>
              </w:rPr>
              <w:t>%</w:t>
            </w:r>
          </w:p>
        </w:tc>
        <w:tc>
          <w:tcPr>
            <w:tcW w:w="99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2019-20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2020-21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2021-22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Revenue</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94,</w:t>
            </w:r>
            <w:r w:rsidR="0058349F">
              <w:rPr>
                <w:rFonts w:eastAsia="Calibri" w:cs="Calibri"/>
                <w:color w:val="000000"/>
                <w:sz w:val="18"/>
              </w:rPr>
              <w:t>282</w:t>
            </w:r>
          </w:p>
        </w:tc>
        <w:tc>
          <w:tcPr>
            <w:tcW w:w="2509"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Controlled Recurrent Payments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rsidP="00C861D4">
            <w:pPr>
              <w:spacing w:before="0" w:after="0"/>
              <w:jc w:val="right"/>
              <w:rPr>
                <w:rFonts w:eastAsia="Calibri" w:cs="Calibri"/>
                <w:color w:val="000000"/>
                <w:sz w:val="18"/>
              </w:rPr>
            </w:pPr>
            <w:r>
              <w:rPr>
                <w:rFonts w:eastAsia="Calibri" w:cs="Calibri"/>
                <w:color w:val="000000"/>
                <w:sz w:val="18"/>
              </w:rPr>
              <w:t>94</w:t>
            </w:r>
            <w:r w:rsidR="00C861D4">
              <w:rPr>
                <w:rFonts w:eastAsia="Calibri" w:cs="Calibri"/>
                <w:color w:val="000000"/>
                <w:sz w:val="18"/>
              </w:rPr>
              <w:t>,</w:t>
            </w:r>
            <w:r>
              <w:rPr>
                <w:rFonts w:eastAsia="Calibri" w:cs="Calibri"/>
                <w:color w:val="000000"/>
                <w:sz w:val="18"/>
              </w:rPr>
              <w:t>282</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rsidP="00C861D4">
            <w:pPr>
              <w:spacing w:before="0" w:after="0"/>
              <w:jc w:val="right"/>
              <w:rPr>
                <w:rFonts w:eastAsia="Calibri" w:cs="Calibri"/>
                <w:color w:val="000000"/>
                <w:sz w:val="18"/>
              </w:rPr>
            </w:pPr>
            <w:r>
              <w:rPr>
                <w:rFonts w:eastAsia="Calibri" w:cs="Calibri"/>
                <w:color w:val="000000"/>
                <w:sz w:val="18"/>
              </w:rPr>
              <w:t>99</w:t>
            </w:r>
            <w:r w:rsidR="00C861D4">
              <w:rPr>
                <w:rFonts w:eastAsia="Calibri" w:cs="Calibri"/>
                <w:color w:val="000000"/>
                <w:sz w:val="18"/>
              </w:rPr>
              <w:t>,</w:t>
            </w:r>
            <w:r>
              <w:rPr>
                <w:rFonts w:eastAsia="Calibri" w:cs="Calibri"/>
                <w:color w:val="000000"/>
                <w:sz w:val="18"/>
              </w:rPr>
              <w:t>704</w:t>
            </w:r>
          </w:p>
        </w:tc>
        <w:tc>
          <w:tcPr>
            <w:tcW w:w="708"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rsidP="00C861D4">
            <w:pPr>
              <w:spacing w:before="0" w:after="0"/>
              <w:jc w:val="right"/>
              <w:rPr>
                <w:rFonts w:eastAsia="Calibri" w:cs="Calibri"/>
                <w:color w:val="000000"/>
                <w:sz w:val="18"/>
              </w:rPr>
            </w:pPr>
            <w:r>
              <w:rPr>
                <w:rFonts w:eastAsia="Calibri" w:cs="Calibri"/>
                <w:color w:val="000000"/>
                <w:sz w:val="18"/>
              </w:rPr>
              <w:t>121</w:t>
            </w:r>
            <w:r w:rsidR="00C861D4">
              <w:rPr>
                <w:rFonts w:eastAsia="Calibri" w:cs="Calibri"/>
                <w:color w:val="000000"/>
                <w:sz w:val="18"/>
              </w:rPr>
              <w:t>,</w:t>
            </w:r>
            <w:r>
              <w:rPr>
                <w:rFonts w:eastAsia="Calibri" w:cs="Calibri"/>
                <w:color w:val="000000"/>
                <w:sz w:val="18"/>
              </w:rPr>
              <w:t>849</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1</w:t>
            </w:r>
            <w:r w:rsidR="00C861D4">
              <w:rPr>
                <w:rFonts w:eastAsia="Calibri" w:cs="Calibri"/>
                <w:color w:val="000000"/>
                <w:sz w:val="18"/>
              </w:rPr>
              <w:t>27,</w:t>
            </w:r>
            <w:r>
              <w:rPr>
                <w:rFonts w:eastAsia="Calibri" w:cs="Calibri"/>
                <w:color w:val="000000"/>
                <w:sz w:val="18"/>
              </w:rPr>
              <w:t>115</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130,</w:t>
            </w:r>
            <w:r w:rsidR="0058349F">
              <w:rPr>
                <w:rFonts w:eastAsia="Calibri" w:cs="Calibri"/>
                <w:color w:val="000000"/>
                <w:sz w:val="18"/>
              </w:rPr>
              <w:t>171</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94,</w:t>
            </w:r>
            <w:r w:rsidR="0058349F">
              <w:rPr>
                <w:rFonts w:eastAsia="Calibri" w:cs="Calibri"/>
                <w:b/>
                <w:color w:val="000000"/>
                <w:sz w:val="18"/>
              </w:rPr>
              <w:t>282</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Revenue</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94,</w:t>
            </w:r>
            <w:r w:rsidR="0058349F">
              <w:rPr>
                <w:rFonts w:eastAsia="Calibri" w:cs="Calibri"/>
                <w:b/>
                <w:color w:val="000000"/>
                <w:sz w:val="18"/>
              </w:rPr>
              <w:t>282</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99,</w:t>
            </w:r>
            <w:r w:rsidR="0058349F">
              <w:rPr>
                <w:rFonts w:eastAsia="Calibri" w:cs="Calibri"/>
                <w:b/>
                <w:color w:val="000000"/>
                <w:sz w:val="18"/>
              </w:rPr>
              <w:t>704</w:t>
            </w:r>
          </w:p>
        </w:tc>
        <w:tc>
          <w:tcPr>
            <w:tcW w:w="708"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121,</w:t>
            </w:r>
            <w:r w:rsidR="0058349F">
              <w:rPr>
                <w:rFonts w:eastAsia="Calibri" w:cs="Calibri"/>
                <w:b/>
                <w:color w:val="000000"/>
                <w:sz w:val="18"/>
              </w:rPr>
              <w:t>849</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127,</w:t>
            </w:r>
            <w:r w:rsidR="0058349F">
              <w:rPr>
                <w:rFonts w:eastAsia="Calibri" w:cs="Calibri"/>
                <w:b/>
                <w:color w:val="000000"/>
                <w:sz w:val="18"/>
              </w:rPr>
              <w:t>115</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130,</w:t>
            </w:r>
            <w:r w:rsidR="0058349F">
              <w:rPr>
                <w:rFonts w:eastAsia="Calibri" w:cs="Calibri"/>
                <w:b/>
                <w:color w:val="000000"/>
                <w:sz w:val="18"/>
              </w:rPr>
              <w:t>171</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Gains</w:t>
            </w: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Gains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708"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94,</w:t>
            </w:r>
            <w:r w:rsidR="0058349F">
              <w:rPr>
                <w:rFonts w:eastAsia="Calibri" w:cs="Calibri"/>
                <w:b/>
                <w:color w:val="000000"/>
                <w:sz w:val="18"/>
              </w:rPr>
              <w:t>282</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Income</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94,</w:t>
            </w:r>
            <w:r w:rsidR="0058349F">
              <w:rPr>
                <w:rFonts w:eastAsia="Calibri" w:cs="Calibri"/>
                <w:b/>
                <w:color w:val="000000"/>
                <w:sz w:val="18"/>
              </w:rPr>
              <w:t>282</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99,</w:t>
            </w:r>
            <w:r w:rsidR="0058349F">
              <w:rPr>
                <w:rFonts w:eastAsia="Calibri" w:cs="Calibri"/>
                <w:b/>
                <w:color w:val="000000"/>
                <w:sz w:val="18"/>
              </w:rPr>
              <w:t>704</w:t>
            </w:r>
          </w:p>
        </w:tc>
        <w:tc>
          <w:tcPr>
            <w:tcW w:w="708"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121,</w:t>
            </w:r>
            <w:r w:rsidR="0058349F">
              <w:rPr>
                <w:rFonts w:eastAsia="Calibri" w:cs="Calibri"/>
                <w:b/>
                <w:color w:val="000000"/>
                <w:sz w:val="18"/>
              </w:rPr>
              <w:t>849</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127,</w:t>
            </w:r>
            <w:r w:rsidR="0058349F">
              <w:rPr>
                <w:rFonts w:eastAsia="Calibri" w:cs="Calibri"/>
                <w:b/>
                <w:color w:val="000000"/>
                <w:sz w:val="18"/>
              </w:rPr>
              <w:t>115</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130,</w:t>
            </w:r>
            <w:r w:rsidR="0058349F">
              <w:rPr>
                <w:rFonts w:eastAsia="Calibri" w:cs="Calibri"/>
                <w:b/>
                <w:color w:val="000000"/>
                <w:sz w:val="18"/>
              </w:rPr>
              <w:t>171</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 xml:space="preserve">Expenses  </w:t>
            </w: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94,</w:t>
            </w:r>
            <w:r w:rsidR="0058349F">
              <w:rPr>
                <w:rFonts w:eastAsia="Calibri" w:cs="Calibri"/>
                <w:color w:val="000000"/>
                <w:sz w:val="18"/>
              </w:rPr>
              <w:t>282</w:t>
            </w:r>
          </w:p>
        </w:tc>
        <w:tc>
          <w:tcPr>
            <w:tcW w:w="2509"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94,</w:t>
            </w:r>
            <w:r w:rsidR="0058349F">
              <w:rPr>
                <w:rFonts w:eastAsia="Calibri" w:cs="Calibri"/>
                <w:color w:val="000000"/>
                <w:sz w:val="18"/>
              </w:rPr>
              <w:t>282</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99,</w:t>
            </w:r>
            <w:r w:rsidR="0058349F">
              <w:rPr>
                <w:rFonts w:eastAsia="Calibri" w:cs="Calibri"/>
                <w:color w:val="000000"/>
                <w:sz w:val="18"/>
              </w:rPr>
              <w:t>704</w:t>
            </w:r>
          </w:p>
        </w:tc>
        <w:tc>
          <w:tcPr>
            <w:tcW w:w="708"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121,</w:t>
            </w:r>
            <w:r w:rsidR="0058349F">
              <w:rPr>
                <w:rFonts w:eastAsia="Calibri" w:cs="Calibri"/>
                <w:color w:val="000000"/>
                <w:sz w:val="18"/>
              </w:rPr>
              <w:t>849</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127,</w:t>
            </w:r>
            <w:r w:rsidR="0058349F">
              <w:rPr>
                <w:rFonts w:eastAsia="Calibri" w:cs="Calibri"/>
                <w:color w:val="000000"/>
                <w:sz w:val="18"/>
              </w:rPr>
              <w:t>115</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130,</w:t>
            </w:r>
            <w:r w:rsidR="0058349F">
              <w:rPr>
                <w:rFonts w:eastAsia="Calibri" w:cs="Calibri"/>
                <w:color w:val="000000"/>
                <w:sz w:val="18"/>
              </w:rPr>
              <w:t>171</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94,</w:t>
            </w:r>
            <w:r w:rsidR="0058349F">
              <w:rPr>
                <w:rFonts w:eastAsia="Calibri" w:cs="Calibri"/>
                <w:b/>
                <w:color w:val="000000"/>
                <w:sz w:val="18"/>
              </w:rPr>
              <w:t>282</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Ordinary Expenses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94,</w:t>
            </w:r>
            <w:r w:rsidR="0058349F">
              <w:rPr>
                <w:rFonts w:eastAsia="Calibri" w:cs="Calibri"/>
                <w:b/>
                <w:color w:val="000000"/>
                <w:sz w:val="18"/>
              </w:rPr>
              <w:t>282</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99,</w:t>
            </w:r>
            <w:r w:rsidR="0058349F">
              <w:rPr>
                <w:rFonts w:eastAsia="Calibri" w:cs="Calibri"/>
                <w:b/>
                <w:color w:val="000000"/>
                <w:sz w:val="18"/>
              </w:rPr>
              <w:t>704</w:t>
            </w:r>
          </w:p>
        </w:tc>
        <w:tc>
          <w:tcPr>
            <w:tcW w:w="708"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121,</w:t>
            </w:r>
            <w:r w:rsidR="0058349F">
              <w:rPr>
                <w:rFonts w:eastAsia="Calibri" w:cs="Calibri"/>
                <w:b/>
                <w:color w:val="000000"/>
                <w:sz w:val="18"/>
              </w:rPr>
              <w:t>849</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127,</w:t>
            </w:r>
            <w:r w:rsidR="0058349F">
              <w:rPr>
                <w:rFonts w:eastAsia="Calibri" w:cs="Calibri"/>
                <w:b/>
                <w:color w:val="000000"/>
                <w:sz w:val="18"/>
              </w:rPr>
              <w:t>115</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130,</w:t>
            </w:r>
            <w:r w:rsidR="0058349F">
              <w:rPr>
                <w:rFonts w:eastAsia="Calibri" w:cs="Calibri"/>
                <w:b/>
                <w:color w:val="000000"/>
                <w:sz w:val="18"/>
              </w:rPr>
              <w:t>171</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708"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3"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Operating Result</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708"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 </w:t>
            </w:r>
          </w:p>
        </w:tc>
        <w:tc>
          <w:tcPr>
            <w:tcW w:w="993"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0</w:t>
            </w:r>
          </w:p>
        </w:tc>
      </w:tr>
      <w:tr w:rsidR="001651E4" w:rsidTr="00697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708"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3"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bl>
    <w:p w:rsidR="0058349F" w:rsidRPr="007D2AC0" w:rsidRDefault="0058349F" w:rsidP="0058349F">
      <w:pPr>
        <w:pStyle w:val="Caption"/>
        <w:pageBreakBefore/>
        <w:pBdr>
          <w:top w:val="nil"/>
          <w:left w:val="nil"/>
          <w:bottom w:val="nil"/>
          <w:right w:val="nil"/>
          <w:between w:val="nil"/>
          <w:bar w:val="nil"/>
        </w:pBdr>
        <w:rPr>
          <w:rFonts w:eastAsia="TimesNewRomanPS-ItalicMT"/>
          <w:bdr w:val="nil"/>
        </w:rPr>
      </w:pPr>
      <w:r>
        <w:rPr>
          <w:bdr w:val="nil"/>
        </w:rPr>
        <w:t xml:space="preserve">Table </w:t>
      </w:r>
      <w:r w:rsidR="001B518A">
        <w:rPr>
          <w:bdr w:val="nil"/>
        </w:rPr>
        <w:t>3</w:t>
      </w:r>
      <w:r w:rsidR="00244C2C">
        <w:rPr>
          <w:bdr w:val="nil"/>
        </w:rPr>
        <w:t>4</w:t>
      </w:r>
      <w:r>
        <w:rPr>
          <w:bdr w:val="nil"/>
        </w:rPr>
        <w:t>: Output Class 2: Strateg</w:t>
      </w:r>
      <w:r w:rsidR="00F8258C">
        <w:rPr>
          <w:bdr w:val="nil"/>
        </w:rPr>
        <w:t xml:space="preserve">ic Policy, Inclusion and </w:t>
      </w:r>
      <w:r>
        <w:rPr>
          <w:bdr w:val="nil"/>
        </w:rPr>
        <w:t>Participation Operating Statement</w:t>
      </w:r>
    </w:p>
    <w:tbl>
      <w:tblPr>
        <w:tblStyle w:val="CDMRange1"/>
        <w:tblW w:w="9195" w:type="dxa"/>
        <w:tblLayout w:type="fixed"/>
        <w:tblLook w:val="0600" w:firstRow="0" w:lastRow="0" w:firstColumn="0" w:lastColumn="0" w:noHBand="1" w:noVBand="1"/>
      </w:tblPr>
      <w:tblGrid>
        <w:gridCol w:w="1035"/>
        <w:gridCol w:w="2509"/>
        <w:gridCol w:w="992"/>
        <w:gridCol w:w="954"/>
        <w:gridCol w:w="600"/>
        <w:gridCol w:w="1035"/>
        <w:gridCol w:w="1035"/>
        <w:gridCol w:w="1035"/>
      </w:tblGrid>
      <w:tr w:rsidR="001651E4" w:rsidTr="00244C2C">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2017-18 Budget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2509"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 $'000</w:t>
            </w:r>
          </w:p>
        </w:tc>
        <w:tc>
          <w:tcPr>
            <w:tcW w:w="954"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2018-19 </w:t>
            </w:r>
          </w:p>
          <w:p w:rsidR="001651E4" w:rsidRDefault="0058349F">
            <w:pPr>
              <w:spacing w:before="0" w:after="0"/>
              <w:jc w:val="right"/>
              <w:rPr>
                <w:rFonts w:eastAsia="Calibri" w:cs="Calibri"/>
                <w:b/>
                <w:color w:val="000000"/>
                <w:sz w:val="18"/>
              </w:rPr>
            </w:pPr>
            <w:r>
              <w:rPr>
                <w:rFonts w:eastAsia="Calibri" w:cs="Calibri"/>
                <w:b/>
                <w:color w:val="000000"/>
                <w:sz w:val="18"/>
              </w:rPr>
              <w:t>Budget</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1651E4" w:rsidRDefault="0058349F">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2019-20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2020-21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2021-22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509"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54"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Revenue</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59,</w:t>
            </w:r>
            <w:r w:rsidR="0058349F">
              <w:rPr>
                <w:rFonts w:eastAsia="Calibri" w:cs="Calibri"/>
                <w:color w:val="000000"/>
                <w:sz w:val="18"/>
              </w:rPr>
              <w:t>086</w:t>
            </w:r>
          </w:p>
        </w:tc>
        <w:tc>
          <w:tcPr>
            <w:tcW w:w="2509"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Controlled Recurrent Payments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rsidP="00C861D4">
            <w:pPr>
              <w:spacing w:before="0" w:after="0"/>
              <w:jc w:val="right"/>
              <w:rPr>
                <w:rFonts w:eastAsia="Calibri" w:cs="Calibri"/>
                <w:color w:val="000000"/>
                <w:sz w:val="18"/>
              </w:rPr>
            </w:pPr>
            <w:r>
              <w:rPr>
                <w:rFonts w:eastAsia="Calibri" w:cs="Calibri"/>
                <w:color w:val="000000"/>
                <w:sz w:val="18"/>
              </w:rPr>
              <w:t>61</w:t>
            </w:r>
            <w:r w:rsidR="00C861D4">
              <w:rPr>
                <w:rFonts w:eastAsia="Calibri" w:cs="Calibri"/>
                <w:color w:val="000000"/>
                <w:sz w:val="18"/>
              </w:rPr>
              <w:t>,</w:t>
            </w:r>
            <w:r>
              <w:rPr>
                <w:rFonts w:eastAsia="Calibri" w:cs="Calibri"/>
                <w:color w:val="000000"/>
                <w:sz w:val="18"/>
              </w:rPr>
              <w:t>224</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rsidP="00C861D4">
            <w:pPr>
              <w:spacing w:before="0" w:after="0"/>
              <w:jc w:val="right"/>
              <w:rPr>
                <w:rFonts w:eastAsia="Calibri" w:cs="Calibri"/>
                <w:color w:val="000000"/>
                <w:sz w:val="18"/>
              </w:rPr>
            </w:pPr>
            <w:r>
              <w:rPr>
                <w:rFonts w:eastAsia="Calibri" w:cs="Calibri"/>
                <w:color w:val="000000"/>
                <w:sz w:val="18"/>
              </w:rPr>
              <w:t>60</w:t>
            </w:r>
            <w:r w:rsidR="00C861D4">
              <w:rPr>
                <w:rFonts w:eastAsia="Calibri" w:cs="Calibri"/>
                <w:color w:val="000000"/>
                <w:sz w:val="18"/>
              </w:rPr>
              <w:t>,</w:t>
            </w:r>
            <w:r>
              <w:rPr>
                <w:rFonts w:eastAsia="Calibri" w:cs="Calibri"/>
                <w:color w:val="000000"/>
                <w:sz w:val="18"/>
              </w:rPr>
              <w:t>004</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59,</w:t>
            </w:r>
            <w:r w:rsidR="0058349F">
              <w:rPr>
                <w:rFonts w:eastAsia="Calibri" w:cs="Calibri"/>
                <w:color w:val="000000"/>
                <w:sz w:val="18"/>
              </w:rPr>
              <w:t>264</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58,</w:t>
            </w:r>
            <w:r w:rsidR="0058349F">
              <w:rPr>
                <w:rFonts w:eastAsia="Calibri" w:cs="Calibri"/>
                <w:color w:val="000000"/>
                <w:sz w:val="18"/>
              </w:rPr>
              <w:t>414</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rsidP="00C861D4">
            <w:pPr>
              <w:spacing w:before="0" w:after="0"/>
              <w:jc w:val="right"/>
              <w:rPr>
                <w:rFonts w:eastAsia="Calibri" w:cs="Calibri"/>
                <w:color w:val="000000"/>
                <w:sz w:val="18"/>
              </w:rPr>
            </w:pPr>
            <w:r>
              <w:rPr>
                <w:rFonts w:eastAsia="Calibri" w:cs="Calibri"/>
                <w:color w:val="000000"/>
                <w:sz w:val="18"/>
              </w:rPr>
              <w:t>57</w:t>
            </w:r>
            <w:r w:rsidR="00C861D4">
              <w:rPr>
                <w:rFonts w:eastAsia="Calibri" w:cs="Calibri"/>
                <w:color w:val="000000"/>
                <w:sz w:val="18"/>
              </w:rPr>
              <w:t>,</w:t>
            </w:r>
            <w:r>
              <w:rPr>
                <w:rFonts w:eastAsia="Calibri" w:cs="Calibri"/>
                <w:color w:val="000000"/>
                <w:sz w:val="18"/>
              </w:rPr>
              <w:t>961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408</w:t>
            </w:r>
          </w:p>
        </w:tc>
        <w:tc>
          <w:tcPr>
            <w:tcW w:w="2509"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User Charges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408</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408</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408</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408</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408</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2509" w:type="dxa"/>
            <w:tcBorders>
              <w:top w:val="nil"/>
              <w:left w:val="nil"/>
              <w:bottom w:val="nil"/>
              <w:right w:val="nil"/>
              <w:tl2br w:val="nil"/>
              <w:tr2bl w:val="nil"/>
            </w:tcBorders>
            <w:shd w:val="clear" w:color="auto" w:fill="auto"/>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Other Revenue</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691</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-14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591</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591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60,</w:t>
            </w:r>
            <w:r w:rsidR="0058349F">
              <w:rPr>
                <w:rFonts w:eastAsia="Calibri" w:cs="Calibri"/>
                <w:b/>
                <w:color w:val="000000"/>
                <w:sz w:val="18"/>
              </w:rPr>
              <w:t>085</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Revenue</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62,</w:t>
            </w:r>
            <w:r w:rsidR="0058349F">
              <w:rPr>
                <w:rFonts w:eastAsia="Calibri" w:cs="Calibri"/>
                <w:b/>
                <w:color w:val="000000"/>
                <w:sz w:val="18"/>
              </w:rPr>
              <w:t>323</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61,</w:t>
            </w:r>
            <w:r w:rsidR="0058349F">
              <w:rPr>
                <w:rFonts w:eastAsia="Calibri" w:cs="Calibri"/>
                <w:b/>
                <w:color w:val="000000"/>
                <w:sz w:val="18"/>
              </w:rPr>
              <w:t>003</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60,</w:t>
            </w:r>
            <w:r w:rsidR="0058349F">
              <w:rPr>
                <w:rFonts w:eastAsia="Calibri" w:cs="Calibri"/>
                <w:b/>
                <w:color w:val="000000"/>
                <w:sz w:val="18"/>
              </w:rPr>
              <w:t>263</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59,</w:t>
            </w:r>
            <w:r w:rsidR="0058349F">
              <w:rPr>
                <w:rFonts w:eastAsia="Calibri" w:cs="Calibri"/>
                <w:b/>
                <w:color w:val="000000"/>
                <w:sz w:val="18"/>
              </w:rPr>
              <w:t>413</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58,</w:t>
            </w:r>
            <w:r w:rsidR="0058349F">
              <w:rPr>
                <w:rFonts w:eastAsia="Calibri" w:cs="Calibri"/>
                <w:b/>
                <w:color w:val="000000"/>
                <w:sz w:val="18"/>
              </w:rPr>
              <w:t>960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Gains</w:t>
            </w: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620</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Other Gains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203</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520</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-31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620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620</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Gains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203</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520</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-31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620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620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61,</w:t>
            </w:r>
            <w:r w:rsidR="0058349F">
              <w:rPr>
                <w:rFonts w:eastAsia="Calibri" w:cs="Calibri"/>
                <w:b/>
                <w:color w:val="000000"/>
                <w:sz w:val="18"/>
              </w:rPr>
              <w:t>705</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Income</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64,</w:t>
            </w:r>
            <w:r w:rsidR="0058349F">
              <w:rPr>
                <w:rFonts w:eastAsia="Calibri" w:cs="Calibri"/>
                <w:b/>
                <w:color w:val="000000"/>
                <w:sz w:val="18"/>
              </w:rPr>
              <w:t>526</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62,</w:t>
            </w:r>
            <w:r w:rsidR="0058349F">
              <w:rPr>
                <w:rFonts w:eastAsia="Calibri" w:cs="Calibri"/>
                <w:b/>
                <w:color w:val="000000"/>
                <w:sz w:val="18"/>
              </w:rPr>
              <w:t>523</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61,</w:t>
            </w:r>
            <w:r w:rsidR="0058349F">
              <w:rPr>
                <w:rFonts w:eastAsia="Calibri" w:cs="Calibri"/>
                <w:b/>
                <w:color w:val="000000"/>
                <w:sz w:val="18"/>
              </w:rPr>
              <w:t>883</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61,</w:t>
            </w:r>
            <w:r w:rsidR="0058349F">
              <w:rPr>
                <w:rFonts w:eastAsia="Calibri" w:cs="Calibri"/>
                <w:b/>
                <w:color w:val="000000"/>
                <w:sz w:val="18"/>
              </w:rPr>
              <w:t>033</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60,</w:t>
            </w:r>
            <w:r w:rsidR="0058349F">
              <w:rPr>
                <w:rFonts w:eastAsia="Calibri" w:cs="Calibri"/>
                <w:b/>
                <w:color w:val="000000"/>
                <w:sz w:val="18"/>
              </w:rPr>
              <w:t>580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 xml:space="preserve">Expenses  </w:t>
            </w: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19,</w:t>
            </w:r>
            <w:r w:rsidR="0058349F">
              <w:rPr>
                <w:rFonts w:eastAsia="Calibri" w:cs="Calibri"/>
                <w:color w:val="000000"/>
                <w:sz w:val="18"/>
              </w:rPr>
              <w:t>597</w:t>
            </w:r>
          </w:p>
        </w:tc>
        <w:tc>
          <w:tcPr>
            <w:tcW w:w="2509"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Employee Expenses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21,</w:t>
            </w:r>
            <w:r w:rsidR="0058349F">
              <w:rPr>
                <w:rFonts w:eastAsia="Calibri" w:cs="Calibri"/>
                <w:color w:val="000000"/>
                <w:sz w:val="18"/>
              </w:rPr>
              <w:t>013</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17,</w:t>
            </w:r>
            <w:r w:rsidR="0058349F">
              <w:rPr>
                <w:rFonts w:eastAsia="Calibri" w:cs="Calibri"/>
                <w:color w:val="000000"/>
                <w:sz w:val="18"/>
              </w:rPr>
              <w:t>378</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-17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16,</w:t>
            </w:r>
            <w:r w:rsidR="0058349F">
              <w:rPr>
                <w:rFonts w:eastAsia="Calibri" w:cs="Calibri"/>
                <w:color w:val="000000"/>
                <w:sz w:val="18"/>
              </w:rPr>
              <w:t>473</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15,</w:t>
            </w:r>
            <w:r w:rsidR="0058349F">
              <w:rPr>
                <w:rFonts w:eastAsia="Calibri" w:cs="Calibri"/>
                <w:color w:val="000000"/>
                <w:sz w:val="18"/>
              </w:rPr>
              <w:t>768</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15,</w:t>
            </w:r>
            <w:r w:rsidR="0058349F">
              <w:rPr>
                <w:rFonts w:eastAsia="Calibri" w:cs="Calibri"/>
                <w:color w:val="000000"/>
                <w:sz w:val="18"/>
              </w:rPr>
              <w:t>985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3,</w:t>
            </w:r>
            <w:r w:rsidR="0058349F">
              <w:rPr>
                <w:rFonts w:eastAsia="Calibri" w:cs="Calibri"/>
                <w:color w:val="000000"/>
                <w:sz w:val="18"/>
              </w:rPr>
              <w:t>002</w:t>
            </w:r>
          </w:p>
        </w:tc>
        <w:tc>
          <w:tcPr>
            <w:tcW w:w="2509"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Superannuation Expenses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3,</w:t>
            </w:r>
            <w:r w:rsidR="0058349F">
              <w:rPr>
                <w:rFonts w:eastAsia="Calibri" w:cs="Calibri"/>
                <w:color w:val="000000"/>
                <w:sz w:val="18"/>
              </w:rPr>
              <w:t>051</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504</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531</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590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676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7,</w:t>
            </w:r>
            <w:r w:rsidR="0058349F">
              <w:rPr>
                <w:rFonts w:eastAsia="Calibri" w:cs="Calibri"/>
                <w:color w:val="000000"/>
                <w:sz w:val="18"/>
              </w:rPr>
              <w:t>554</w:t>
            </w:r>
          </w:p>
        </w:tc>
        <w:tc>
          <w:tcPr>
            <w:tcW w:w="2509"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Supplies and Services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rsidP="00C861D4">
            <w:pPr>
              <w:spacing w:before="0" w:after="0"/>
              <w:jc w:val="right"/>
              <w:rPr>
                <w:rFonts w:eastAsia="Calibri" w:cs="Calibri"/>
                <w:color w:val="000000"/>
                <w:sz w:val="18"/>
              </w:rPr>
            </w:pPr>
            <w:r>
              <w:rPr>
                <w:rFonts w:eastAsia="Calibri" w:cs="Calibri"/>
                <w:color w:val="000000"/>
                <w:sz w:val="18"/>
              </w:rPr>
              <w:t>9</w:t>
            </w:r>
            <w:r w:rsidR="00C861D4">
              <w:rPr>
                <w:rFonts w:eastAsia="Calibri" w:cs="Calibri"/>
                <w:color w:val="000000"/>
                <w:sz w:val="18"/>
              </w:rPr>
              <w:t>,</w:t>
            </w:r>
            <w:r>
              <w:rPr>
                <w:rFonts w:eastAsia="Calibri" w:cs="Calibri"/>
                <w:color w:val="000000"/>
                <w:sz w:val="18"/>
              </w:rPr>
              <w:t>064</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9</w:t>
            </w:r>
            <w:r w:rsidR="00C861D4">
              <w:rPr>
                <w:rFonts w:eastAsia="Calibri" w:cs="Calibri"/>
                <w:color w:val="000000"/>
                <w:sz w:val="18"/>
              </w:rPr>
              <w:t>,</w:t>
            </w:r>
            <w:r>
              <w:rPr>
                <w:rFonts w:eastAsia="Calibri" w:cs="Calibri"/>
                <w:color w:val="000000"/>
                <w:sz w:val="18"/>
              </w:rPr>
              <w:t>721</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10,</w:t>
            </w:r>
            <w:r w:rsidR="0058349F">
              <w:rPr>
                <w:rFonts w:eastAsia="Calibri" w:cs="Calibri"/>
                <w:color w:val="000000"/>
                <w:sz w:val="18"/>
              </w:rPr>
              <w:t>235</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9,</w:t>
            </w:r>
            <w:r w:rsidR="0058349F">
              <w:rPr>
                <w:rFonts w:eastAsia="Calibri" w:cs="Calibri"/>
                <w:color w:val="000000"/>
                <w:sz w:val="18"/>
              </w:rPr>
              <w:t>688</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10,</w:t>
            </w:r>
            <w:r w:rsidR="0058349F">
              <w:rPr>
                <w:rFonts w:eastAsia="Calibri" w:cs="Calibri"/>
                <w:color w:val="000000"/>
                <w:sz w:val="18"/>
              </w:rPr>
              <w:t>039</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2509"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Depreciation and Amortisation</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-100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29,</w:t>
            </w:r>
            <w:r w:rsidR="0058349F">
              <w:rPr>
                <w:rFonts w:eastAsia="Calibri" w:cs="Calibri"/>
                <w:color w:val="000000"/>
                <w:sz w:val="18"/>
              </w:rPr>
              <w:t>716</w:t>
            </w:r>
          </w:p>
        </w:tc>
        <w:tc>
          <w:tcPr>
            <w:tcW w:w="2509"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29,</w:t>
            </w:r>
            <w:r w:rsidR="0058349F">
              <w:rPr>
                <w:rFonts w:eastAsia="Calibri" w:cs="Calibri"/>
                <w:color w:val="000000"/>
                <w:sz w:val="18"/>
              </w:rPr>
              <w:t>177</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31,</w:t>
            </w:r>
            <w:r w:rsidR="0058349F">
              <w:rPr>
                <w:rFonts w:eastAsia="Calibri" w:cs="Calibri"/>
                <w:color w:val="000000"/>
                <w:sz w:val="18"/>
              </w:rPr>
              <w:t>264</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7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30,</w:t>
            </w:r>
            <w:r w:rsidR="0058349F">
              <w:rPr>
                <w:rFonts w:eastAsia="Calibri" w:cs="Calibri"/>
                <w:color w:val="000000"/>
                <w:sz w:val="18"/>
              </w:rPr>
              <w:t>893</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31,</w:t>
            </w:r>
            <w:r w:rsidR="0058349F">
              <w:rPr>
                <w:rFonts w:eastAsia="Calibri" w:cs="Calibri"/>
                <w:color w:val="000000"/>
                <w:sz w:val="18"/>
              </w:rPr>
              <w:t>250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color w:val="000000"/>
                <w:sz w:val="18"/>
              </w:rPr>
            </w:pPr>
            <w:r>
              <w:rPr>
                <w:rFonts w:eastAsia="Calibri" w:cs="Calibri"/>
                <w:color w:val="000000"/>
                <w:sz w:val="18"/>
              </w:rPr>
              <w:t>30,</w:t>
            </w:r>
            <w:r w:rsidR="0058349F">
              <w:rPr>
                <w:rFonts w:eastAsia="Calibri" w:cs="Calibri"/>
                <w:color w:val="000000"/>
                <w:sz w:val="18"/>
              </w:rPr>
              <w:t>153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30</w:t>
            </w:r>
          </w:p>
        </w:tc>
        <w:tc>
          <w:tcPr>
            <w:tcW w:w="2509" w:type="dxa"/>
            <w:tcBorders>
              <w:top w:val="nil"/>
              <w:left w:val="nil"/>
              <w:bottom w:val="nil"/>
              <w:right w:val="nil"/>
              <w:tl2br w:val="nil"/>
              <w:tr2bl w:val="nil"/>
            </w:tcBorders>
            <w:shd w:val="clear" w:color="FFFFFF" w:fill="FFFFFF"/>
            <w:noWrap/>
            <w:tcMar>
              <w:left w:w="101" w:type="dxa"/>
              <w:right w:w="101" w:type="dxa"/>
            </w:tcMar>
            <w:vAlign w:val="center"/>
          </w:tcPr>
          <w:p w:rsidR="001651E4" w:rsidRDefault="0058349F">
            <w:pPr>
              <w:spacing w:before="0" w:after="0"/>
              <w:rPr>
                <w:rFonts w:eastAsia="Calibri" w:cs="Calibri"/>
                <w:color w:val="000000"/>
                <w:sz w:val="18"/>
              </w:rPr>
            </w:pPr>
            <w:r>
              <w:rPr>
                <w:rFonts w:eastAsia="Calibri" w:cs="Calibri"/>
                <w:color w:val="000000"/>
                <w:sz w:val="18"/>
              </w:rPr>
              <w:t>Other Expenses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30</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30</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30</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color w:val="000000"/>
                <w:sz w:val="18"/>
              </w:rPr>
            </w:pPr>
            <w:r>
              <w:rPr>
                <w:rFonts w:eastAsia="Calibri" w:cs="Calibri"/>
                <w:color w:val="000000"/>
                <w:sz w:val="18"/>
              </w:rPr>
              <w:t>31</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60,</w:t>
            </w:r>
            <w:r w:rsidR="0058349F">
              <w:rPr>
                <w:rFonts w:eastAsia="Calibri" w:cs="Calibri"/>
                <w:b/>
                <w:color w:val="000000"/>
                <w:sz w:val="18"/>
              </w:rPr>
              <w:t>359</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Total Ordinary Expenses</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62,</w:t>
            </w:r>
            <w:r w:rsidR="0058349F">
              <w:rPr>
                <w:rFonts w:eastAsia="Calibri" w:cs="Calibri"/>
                <w:b/>
                <w:color w:val="000000"/>
                <w:sz w:val="18"/>
              </w:rPr>
              <w:t>795</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60,</w:t>
            </w:r>
            <w:r w:rsidR="0058349F">
              <w:rPr>
                <w:rFonts w:eastAsia="Calibri" w:cs="Calibri"/>
                <w:b/>
                <w:color w:val="000000"/>
                <w:sz w:val="18"/>
              </w:rPr>
              <w:t>897</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-3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60,</w:t>
            </w:r>
            <w:r w:rsidR="0058349F">
              <w:rPr>
                <w:rFonts w:eastAsia="Calibri" w:cs="Calibri"/>
                <w:b/>
                <w:color w:val="000000"/>
                <w:sz w:val="18"/>
              </w:rPr>
              <w:t>162</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59,</w:t>
            </w:r>
            <w:r w:rsidR="0058349F">
              <w:rPr>
                <w:rFonts w:eastAsia="Calibri" w:cs="Calibri"/>
                <w:b/>
                <w:color w:val="000000"/>
                <w:sz w:val="18"/>
              </w:rPr>
              <w:t>326</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58,</w:t>
            </w:r>
            <w:r w:rsidR="0058349F">
              <w:rPr>
                <w:rFonts w:eastAsia="Calibri" w:cs="Calibri"/>
                <w:b/>
                <w:color w:val="000000"/>
                <w:sz w:val="18"/>
              </w:rPr>
              <w:t>884</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346</w:t>
            </w:r>
          </w:p>
        </w:tc>
        <w:tc>
          <w:tcPr>
            <w:tcW w:w="2509"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rPr>
                <w:rFonts w:eastAsia="Calibri" w:cs="Calibri"/>
                <w:b/>
                <w:color w:val="000000"/>
                <w:sz w:val="18"/>
              </w:rPr>
            </w:pPr>
            <w:r>
              <w:rPr>
                <w:rFonts w:eastAsia="Calibri" w:cs="Calibri"/>
                <w:b/>
                <w:color w:val="000000"/>
                <w:sz w:val="18"/>
              </w:rPr>
              <w:t>Operating Result</w:t>
            </w:r>
          </w:p>
        </w:tc>
        <w:tc>
          <w:tcPr>
            <w:tcW w:w="992"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731</w:t>
            </w:r>
          </w:p>
        </w:tc>
        <w:tc>
          <w:tcPr>
            <w:tcW w:w="954"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626</w:t>
            </w:r>
          </w:p>
        </w:tc>
        <w:tc>
          <w:tcPr>
            <w:tcW w:w="600" w:type="dxa"/>
            <w:tcBorders>
              <w:top w:val="nil"/>
              <w:left w:val="nil"/>
              <w:bottom w:val="nil"/>
              <w:right w:val="nil"/>
              <w:tl2br w:val="nil"/>
              <w:tr2bl w:val="nil"/>
            </w:tcBorders>
            <w:shd w:val="clear" w:color="FFFFFF" w:fill="FFFFFF"/>
            <w:tcMar>
              <w:left w:w="101" w:type="dxa"/>
              <w:right w:w="101" w:type="dxa"/>
            </w:tcMar>
            <w:vAlign w:val="center"/>
          </w:tcPr>
          <w:p w:rsidR="001651E4" w:rsidRDefault="0058349F">
            <w:pPr>
              <w:spacing w:before="0" w:after="0"/>
              <w:jc w:val="right"/>
              <w:rPr>
                <w:rFonts w:eastAsia="Calibri" w:cs="Calibri"/>
                <w:b/>
                <w:color w:val="000000"/>
                <w:sz w:val="18"/>
              </w:rPr>
            </w:pPr>
            <w:r>
              <w:rPr>
                <w:rFonts w:eastAsia="Calibri" w:cs="Calibri"/>
                <w:b/>
                <w:color w:val="000000"/>
                <w:sz w:val="18"/>
              </w:rPr>
              <w:t xml:space="preserve">-6 </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721</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707</w:t>
            </w:r>
          </w:p>
        </w:tc>
        <w:tc>
          <w:tcPr>
            <w:tcW w:w="1035" w:type="dxa"/>
            <w:tcBorders>
              <w:top w:val="nil"/>
              <w:left w:val="nil"/>
              <w:bottom w:val="nil"/>
              <w:right w:val="nil"/>
              <w:tl2br w:val="nil"/>
              <w:tr2bl w:val="nil"/>
            </w:tcBorders>
            <w:shd w:val="clear" w:color="FFFFFF" w:fill="FFFFFF"/>
            <w:tcMar>
              <w:left w:w="101" w:type="dxa"/>
              <w:right w:w="101" w:type="dxa"/>
            </w:tcMar>
            <w:vAlign w:val="center"/>
          </w:tcPr>
          <w:p w:rsidR="001651E4" w:rsidRDefault="00C861D4">
            <w:pPr>
              <w:spacing w:before="0" w:after="0"/>
              <w:jc w:val="right"/>
              <w:rPr>
                <w:rFonts w:eastAsia="Calibri" w:cs="Calibri"/>
                <w:b/>
                <w:color w:val="000000"/>
                <w:sz w:val="18"/>
              </w:rPr>
            </w:pPr>
            <w:r>
              <w:rPr>
                <w:rFonts w:eastAsia="Calibri" w:cs="Calibri"/>
                <w:b/>
                <w:color w:val="000000"/>
                <w:sz w:val="18"/>
              </w:rPr>
              <w:t>1,</w:t>
            </w:r>
            <w:r w:rsidR="0058349F">
              <w:rPr>
                <w:rFonts w:eastAsia="Calibri" w:cs="Calibri"/>
                <w:b/>
                <w:color w:val="000000"/>
                <w:sz w:val="18"/>
              </w:rPr>
              <w:t>696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bl>
    <w:p w:rsidR="0058349F" w:rsidRPr="007D2AC0" w:rsidRDefault="0058349F" w:rsidP="0058349F">
      <w:pPr>
        <w:pStyle w:val="Caption"/>
        <w:pageBreakBefore/>
        <w:pBdr>
          <w:top w:val="nil"/>
          <w:left w:val="nil"/>
          <w:bottom w:val="nil"/>
          <w:right w:val="nil"/>
          <w:between w:val="nil"/>
          <w:bar w:val="nil"/>
        </w:pBdr>
        <w:rPr>
          <w:rFonts w:eastAsia="TimesNewRomanPS-ItalicMT"/>
          <w:bdr w:val="nil"/>
        </w:rPr>
      </w:pPr>
      <w:r>
        <w:rPr>
          <w:bdr w:val="nil"/>
        </w:rPr>
        <w:t xml:space="preserve">Table </w:t>
      </w:r>
      <w:r w:rsidR="001B518A">
        <w:rPr>
          <w:bdr w:val="nil"/>
        </w:rPr>
        <w:t>3</w:t>
      </w:r>
      <w:r w:rsidR="00244C2C">
        <w:rPr>
          <w:bdr w:val="nil"/>
        </w:rPr>
        <w:t>5</w:t>
      </w:r>
      <w:r>
        <w:rPr>
          <w:bdr w:val="nil"/>
        </w:rPr>
        <w:t>: Output Class 3: Child</w:t>
      </w:r>
      <w:r w:rsidR="00F8258C">
        <w:rPr>
          <w:bdr w:val="nil"/>
        </w:rPr>
        <w:t xml:space="preserve">ren, Youth and Families </w:t>
      </w:r>
      <w:r>
        <w:rPr>
          <w:bdr w:val="nil"/>
        </w:rPr>
        <w:t>Operating Statement</w:t>
      </w:r>
    </w:p>
    <w:tbl>
      <w:tblPr>
        <w:tblStyle w:val="CDMRange2"/>
        <w:tblW w:w="9195" w:type="dxa"/>
        <w:tblLayout w:type="fixed"/>
        <w:tblLook w:val="0600" w:firstRow="0" w:lastRow="0" w:firstColumn="0" w:lastColumn="0" w:noHBand="1" w:noVBand="1"/>
      </w:tblPr>
      <w:tblGrid>
        <w:gridCol w:w="1035"/>
        <w:gridCol w:w="2509"/>
        <w:gridCol w:w="992"/>
        <w:gridCol w:w="954"/>
        <w:gridCol w:w="600"/>
        <w:gridCol w:w="1035"/>
        <w:gridCol w:w="1035"/>
        <w:gridCol w:w="1035"/>
      </w:tblGrid>
      <w:tr w:rsidR="001651E4" w:rsidTr="00244C2C">
        <w:trPr>
          <w:trHeight w:val="960"/>
        </w:trPr>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2017-18 Budget            </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2509"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2017-18 Estimated Outcome $'000</w:t>
            </w:r>
          </w:p>
        </w:tc>
        <w:tc>
          <w:tcPr>
            <w:tcW w:w="954"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2018-19 </w:t>
            </w:r>
          </w:p>
          <w:p w:rsidR="001651E4" w:rsidRDefault="0058349F">
            <w:pPr>
              <w:spacing w:before="0" w:after="0"/>
              <w:jc w:val="right"/>
              <w:rPr>
                <w:rFonts w:eastAsia="Calibri" w:cs="Calibri"/>
                <w:b/>
                <w:color w:val="000000"/>
                <w:sz w:val="18"/>
              </w:rPr>
            </w:pPr>
            <w:r>
              <w:rPr>
                <w:rFonts w:eastAsia="Calibri" w:cs="Calibri"/>
                <w:b/>
                <w:color w:val="000000"/>
                <w:sz w:val="18"/>
              </w:rPr>
              <w:t>Budget</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60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1651E4" w:rsidRDefault="0058349F">
            <w:pPr>
              <w:spacing w:before="0" w:after="0"/>
              <w:jc w:val="right"/>
              <w:rPr>
                <w:rFonts w:eastAsia="Calibri" w:cs="Calibri"/>
                <w:b/>
                <w:color w:val="000000"/>
                <w:sz w:val="18"/>
              </w:rPr>
            </w:pPr>
            <w:r>
              <w:rPr>
                <w:rFonts w:eastAsia="Calibri" w:cs="Calibri"/>
                <w:b/>
                <w:color w:val="000000"/>
                <w:sz w:val="18"/>
              </w:rPr>
              <w:t>%</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2019-20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2020-21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c>
          <w:tcPr>
            <w:tcW w:w="103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2021-22 </w:t>
            </w:r>
          </w:p>
          <w:p w:rsidR="001651E4" w:rsidRDefault="0058349F">
            <w:pPr>
              <w:spacing w:before="0" w:after="0"/>
              <w:jc w:val="right"/>
              <w:rPr>
                <w:rFonts w:eastAsia="Calibri" w:cs="Calibri"/>
                <w:b/>
                <w:color w:val="000000"/>
                <w:sz w:val="18"/>
              </w:rPr>
            </w:pPr>
            <w:r>
              <w:rPr>
                <w:rFonts w:eastAsia="Calibri" w:cs="Calibri"/>
                <w:b/>
                <w:color w:val="000000"/>
                <w:sz w:val="18"/>
              </w:rPr>
              <w:t>Estimate</w:t>
            </w:r>
          </w:p>
          <w:p w:rsidR="001651E4" w:rsidRDefault="001651E4">
            <w:pPr>
              <w:spacing w:before="0" w:after="0"/>
              <w:jc w:val="right"/>
              <w:rPr>
                <w:rFonts w:eastAsia="Calibri" w:cs="Calibri"/>
                <w:b/>
                <w:color w:val="000000"/>
                <w:sz w:val="18"/>
              </w:rPr>
            </w:pPr>
          </w:p>
          <w:p w:rsidR="001651E4" w:rsidRDefault="0058349F">
            <w:pPr>
              <w:spacing w:before="0" w:after="0"/>
              <w:jc w:val="right"/>
              <w:rPr>
                <w:rFonts w:eastAsia="Calibri" w:cs="Calibri"/>
                <w:b/>
                <w:color w:val="000000"/>
                <w:sz w:val="18"/>
              </w:rPr>
            </w:pPr>
            <w:r>
              <w:rPr>
                <w:rFonts w:eastAsia="Calibri" w:cs="Calibri"/>
                <w:b/>
                <w:color w:val="000000"/>
                <w:sz w:val="18"/>
              </w:rPr>
              <w:t xml:space="preserve"> $'000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2509"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954"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tcPr>
          <w:p w:rsidR="001651E4" w:rsidRDefault="001651E4">
            <w:pPr>
              <w:spacing w:before="0" w:after="0"/>
              <w:jc w:val="right"/>
              <w:rPr>
                <w:rFonts w:eastAsia="Calibri" w:cs="Calibri"/>
                <w:b/>
                <w: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Revenue</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99</w:t>
            </w:r>
            <w:r w:rsidR="00C861D4">
              <w:rPr>
                <w:rFonts w:eastAsia="Calibri" w:cs="Calibri"/>
                <w:color w:val="000000"/>
                <w:sz w:val="18"/>
              </w:rPr>
              <w:t>,</w:t>
            </w:r>
            <w:r>
              <w:rPr>
                <w:rFonts w:eastAsia="Calibri" w:cs="Calibri"/>
                <w:color w:val="000000"/>
                <w:sz w:val="18"/>
              </w:rPr>
              <w:t>217</w:t>
            </w:r>
          </w:p>
        </w:tc>
        <w:tc>
          <w:tcPr>
            <w:tcW w:w="2509"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Controlled Recurrent Payments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98,</w:t>
            </w:r>
            <w:r w:rsidR="0058349F">
              <w:rPr>
                <w:rFonts w:eastAsia="Calibri" w:cs="Calibri"/>
                <w:color w:val="000000"/>
                <w:sz w:val="18"/>
              </w:rPr>
              <w:t>546</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109,</w:t>
            </w:r>
            <w:r w:rsidR="0058349F">
              <w:rPr>
                <w:rFonts w:eastAsia="Calibri" w:cs="Calibri"/>
                <w:color w:val="000000"/>
                <w:sz w:val="18"/>
              </w:rPr>
              <w:t>389</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115</w:t>
            </w:r>
            <w:r w:rsidR="00C861D4">
              <w:rPr>
                <w:rFonts w:eastAsia="Calibri" w:cs="Calibri"/>
                <w:color w:val="000000"/>
                <w:sz w:val="18"/>
              </w:rPr>
              <w:t>,</w:t>
            </w:r>
            <w:r>
              <w:rPr>
                <w:rFonts w:eastAsia="Calibri" w:cs="Calibri"/>
                <w:color w:val="000000"/>
                <w:sz w:val="18"/>
              </w:rPr>
              <w:t>922</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1</w:t>
            </w:r>
            <w:r w:rsidR="00C861D4">
              <w:rPr>
                <w:rFonts w:eastAsia="Calibri" w:cs="Calibri"/>
                <w:color w:val="000000"/>
                <w:sz w:val="18"/>
              </w:rPr>
              <w:t>18,</w:t>
            </w:r>
            <w:r>
              <w:rPr>
                <w:rFonts w:eastAsia="Calibri" w:cs="Calibri"/>
                <w:color w:val="000000"/>
                <w:sz w:val="18"/>
              </w:rPr>
              <w:t>802</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122</w:t>
            </w:r>
            <w:r w:rsidR="00C861D4">
              <w:rPr>
                <w:rFonts w:eastAsia="Calibri" w:cs="Calibri"/>
                <w:color w:val="000000"/>
                <w:sz w:val="18"/>
              </w:rPr>
              <w:t>,</w:t>
            </w:r>
            <w:r>
              <w:rPr>
                <w:rFonts w:eastAsia="Calibri" w:cs="Calibri"/>
                <w:color w:val="000000"/>
                <w:sz w:val="18"/>
              </w:rPr>
              <w:t>043</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297</w:t>
            </w:r>
          </w:p>
        </w:tc>
        <w:tc>
          <w:tcPr>
            <w:tcW w:w="2509"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User Charges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297</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297</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297</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297</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297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2509" w:type="dxa"/>
            <w:tcBorders>
              <w:top w:val="nil"/>
              <w:left w:val="nil"/>
              <w:bottom w:val="nil"/>
              <w:right w:val="nil"/>
              <w:tl2br w:val="nil"/>
              <w:tr2bl w:val="nil"/>
            </w:tcBorders>
            <w:shd w:val="clear" w:color="auto" w:fill="auto"/>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Resources Received Free of Charge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460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99,</w:t>
            </w:r>
            <w:r w:rsidR="0058349F">
              <w:rPr>
                <w:rFonts w:eastAsia="Calibri" w:cs="Calibri"/>
                <w:b/>
                <w:color w:val="000000"/>
                <w:sz w:val="18"/>
              </w:rPr>
              <w:t>974</w:t>
            </w: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Revenue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99,</w:t>
            </w:r>
            <w:r w:rsidR="0058349F">
              <w:rPr>
                <w:rFonts w:eastAsia="Calibri" w:cs="Calibri"/>
                <w:b/>
                <w:color w:val="000000"/>
                <w:sz w:val="18"/>
              </w:rPr>
              <w:t>303</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110,</w:t>
            </w:r>
            <w:r w:rsidR="0058349F">
              <w:rPr>
                <w:rFonts w:eastAsia="Calibri" w:cs="Calibri"/>
                <w:b/>
                <w:color w:val="000000"/>
                <w:sz w:val="18"/>
              </w:rPr>
              <w:t>146</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116,</w:t>
            </w:r>
            <w:r w:rsidR="0058349F">
              <w:rPr>
                <w:rFonts w:eastAsia="Calibri" w:cs="Calibri"/>
                <w:b/>
                <w:color w:val="000000"/>
                <w:sz w:val="18"/>
              </w:rPr>
              <w:t>679</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119,</w:t>
            </w:r>
            <w:r w:rsidR="0058349F">
              <w:rPr>
                <w:rFonts w:eastAsia="Calibri" w:cs="Calibri"/>
                <w:b/>
                <w:color w:val="000000"/>
                <w:sz w:val="18"/>
              </w:rPr>
              <w:t>559</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122,</w:t>
            </w:r>
            <w:r w:rsidR="0058349F">
              <w:rPr>
                <w:rFonts w:eastAsia="Calibri" w:cs="Calibri"/>
                <w:b/>
                <w:color w:val="000000"/>
                <w:sz w:val="18"/>
              </w:rPr>
              <w:t>800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Gains</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Gains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99,</w:t>
            </w:r>
            <w:r w:rsidR="0058349F">
              <w:rPr>
                <w:rFonts w:eastAsia="Calibri" w:cs="Calibri"/>
                <w:b/>
                <w:color w:val="000000"/>
                <w:sz w:val="18"/>
              </w:rPr>
              <w:t>974</w:t>
            </w: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Income</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99,</w:t>
            </w:r>
            <w:r w:rsidR="0058349F">
              <w:rPr>
                <w:rFonts w:eastAsia="Calibri" w:cs="Calibri"/>
                <w:b/>
                <w:color w:val="000000"/>
                <w:sz w:val="18"/>
              </w:rPr>
              <w:t>303</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110,</w:t>
            </w:r>
            <w:r w:rsidR="0058349F">
              <w:rPr>
                <w:rFonts w:eastAsia="Calibri" w:cs="Calibri"/>
                <w:b/>
                <w:color w:val="000000"/>
                <w:sz w:val="18"/>
              </w:rPr>
              <w:t>146</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11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116,</w:t>
            </w:r>
            <w:r w:rsidR="0058349F">
              <w:rPr>
                <w:rFonts w:eastAsia="Calibri" w:cs="Calibri"/>
                <w:b/>
                <w:color w:val="000000"/>
                <w:sz w:val="18"/>
              </w:rPr>
              <w:t>679</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119,</w:t>
            </w:r>
            <w:r w:rsidR="0058349F">
              <w:rPr>
                <w:rFonts w:eastAsia="Calibri" w:cs="Calibri"/>
                <w:b/>
                <w:color w:val="000000"/>
                <w:sz w:val="18"/>
              </w:rPr>
              <w:t>559</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122,</w:t>
            </w:r>
            <w:r w:rsidR="0058349F">
              <w:rPr>
                <w:rFonts w:eastAsia="Calibri" w:cs="Calibri"/>
                <w:b/>
                <w:color w:val="000000"/>
                <w:sz w:val="18"/>
              </w:rPr>
              <w:t>800</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 xml:space="preserve">Expenses  </w:t>
            </w: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41,</w:t>
            </w:r>
            <w:r w:rsidR="0058349F">
              <w:rPr>
                <w:rFonts w:eastAsia="Calibri" w:cs="Calibri"/>
                <w:color w:val="000000"/>
                <w:sz w:val="18"/>
              </w:rPr>
              <w:t>256</w:t>
            </w:r>
          </w:p>
        </w:tc>
        <w:tc>
          <w:tcPr>
            <w:tcW w:w="2509"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Employee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41,</w:t>
            </w:r>
            <w:r w:rsidR="0058349F">
              <w:rPr>
                <w:rFonts w:eastAsia="Calibri" w:cs="Calibri"/>
                <w:color w:val="000000"/>
                <w:sz w:val="18"/>
              </w:rPr>
              <w:t>572</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48,</w:t>
            </w:r>
            <w:r w:rsidR="0058349F">
              <w:rPr>
                <w:rFonts w:eastAsia="Calibri" w:cs="Calibri"/>
                <w:color w:val="000000"/>
                <w:sz w:val="18"/>
              </w:rPr>
              <w:t>875</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18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50,</w:t>
            </w:r>
            <w:r w:rsidR="0058349F">
              <w:rPr>
                <w:rFonts w:eastAsia="Calibri" w:cs="Calibri"/>
                <w:color w:val="000000"/>
                <w:sz w:val="18"/>
              </w:rPr>
              <w:t>360</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51,</w:t>
            </w:r>
            <w:r w:rsidR="0058349F">
              <w:rPr>
                <w:rFonts w:eastAsia="Calibri" w:cs="Calibri"/>
                <w:color w:val="000000"/>
                <w:sz w:val="18"/>
              </w:rPr>
              <w:t>593</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52,</w:t>
            </w:r>
            <w:r w:rsidR="0058349F">
              <w:rPr>
                <w:rFonts w:eastAsia="Calibri" w:cs="Calibri"/>
                <w:color w:val="000000"/>
                <w:sz w:val="18"/>
              </w:rPr>
              <w:t>955</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6,</w:t>
            </w:r>
            <w:r w:rsidR="0058349F">
              <w:rPr>
                <w:rFonts w:eastAsia="Calibri" w:cs="Calibri"/>
                <w:color w:val="000000"/>
                <w:sz w:val="18"/>
              </w:rPr>
              <w:t>518</w:t>
            </w:r>
          </w:p>
        </w:tc>
        <w:tc>
          <w:tcPr>
            <w:tcW w:w="2509"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Superannuation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5,</w:t>
            </w:r>
            <w:r w:rsidR="0058349F">
              <w:rPr>
                <w:rFonts w:eastAsia="Calibri" w:cs="Calibri"/>
                <w:color w:val="000000"/>
                <w:sz w:val="18"/>
              </w:rPr>
              <w:t>877</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7,</w:t>
            </w:r>
            <w:r w:rsidR="0058349F">
              <w:rPr>
                <w:rFonts w:eastAsia="Calibri" w:cs="Calibri"/>
                <w:color w:val="000000"/>
                <w:sz w:val="18"/>
              </w:rPr>
              <w:t>404</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26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7,</w:t>
            </w:r>
            <w:r w:rsidR="0058349F">
              <w:rPr>
                <w:rFonts w:eastAsia="Calibri" w:cs="Calibri"/>
                <w:color w:val="000000"/>
                <w:sz w:val="18"/>
              </w:rPr>
              <w:t>880</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8,</w:t>
            </w:r>
            <w:r w:rsidR="0058349F">
              <w:rPr>
                <w:rFonts w:eastAsia="Calibri" w:cs="Calibri"/>
                <w:color w:val="000000"/>
                <w:sz w:val="18"/>
              </w:rPr>
              <w:t>440</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8,</w:t>
            </w:r>
            <w:r w:rsidR="0058349F">
              <w:rPr>
                <w:rFonts w:eastAsia="Calibri" w:cs="Calibri"/>
                <w:color w:val="000000"/>
                <w:sz w:val="18"/>
              </w:rPr>
              <w:t>826</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12,</w:t>
            </w:r>
            <w:r w:rsidR="0058349F">
              <w:rPr>
                <w:rFonts w:eastAsia="Calibri" w:cs="Calibri"/>
                <w:color w:val="000000"/>
                <w:sz w:val="18"/>
              </w:rPr>
              <w:t>240</w:t>
            </w:r>
          </w:p>
        </w:tc>
        <w:tc>
          <w:tcPr>
            <w:tcW w:w="2509"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Supplies and Services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12,</w:t>
            </w:r>
            <w:r w:rsidR="0058349F">
              <w:rPr>
                <w:rFonts w:eastAsia="Calibri" w:cs="Calibri"/>
                <w:color w:val="000000"/>
                <w:sz w:val="18"/>
              </w:rPr>
              <w:t>209</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15,</w:t>
            </w:r>
            <w:r w:rsidR="0058349F">
              <w:rPr>
                <w:rFonts w:eastAsia="Calibri" w:cs="Calibri"/>
                <w:color w:val="000000"/>
                <w:sz w:val="18"/>
              </w:rPr>
              <w:t>032</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23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19,</w:t>
            </w:r>
            <w:r w:rsidR="0058349F">
              <w:rPr>
                <w:rFonts w:eastAsia="Calibri" w:cs="Calibri"/>
                <w:color w:val="000000"/>
                <w:sz w:val="18"/>
              </w:rPr>
              <w:t>451</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rsidP="00C861D4">
            <w:pPr>
              <w:spacing w:before="0" w:after="0"/>
              <w:jc w:val="right"/>
              <w:rPr>
                <w:rFonts w:eastAsia="Calibri" w:cs="Calibri"/>
                <w:color w:val="000000"/>
                <w:sz w:val="18"/>
              </w:rPr>
            </w:pPr>
            <w:r>
              <w:rPr>
                <w:rFonts w:eastAsia="Calibri" w:cs="Calibri"/>
                <w:color w:val="000000"/>
                <w:sz w:val="18"/>
              </w:rPr>
              <w:t>19</w:t>
            </w:r>
            <w:r w:rsidR="00C861D4">
              <w:rPr>
                <w:rFonts w:eastAsia="Calibri" w:cs="Calibri"/>
                <w:color w:val="000000"/>
                <w:sz w:val="18"/>
              </w:rPr>
              <w:t>,</w:t>
            </w:r>
            <w:r>
              <w:rPr>
                <w:rFonts w:eastAsia="Calibri" w:cs="Calibri"/>
                <w:color w:val="000000"/>
                <w:sz w:val="18"/>
              </w:rPr>
              <w:t>619</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2</w:t>
            </w:r>
            <w:r w:rsidR="00C861D4">
              <w:rPr>
                <w:rFonts w:eastAsia="Calibri" w:cs="Calibri"/>
                <w:color w:val="000000"/>
                <w:sz w:val="18"/>
              </w:rPr>
              <w:t>0,</w:t>
            </w:r>
            <w:r>
              <w:rPr>
                <w:rFonts w:eastAsia="Calibri" w:cs="Calibri"/>
                <w:color w:val="000000"/>
                <w:sz w:val="18"/>
              </w:rPr>
              <w:t>037</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439</w:t>
            </w:r>
          </w:p>
        </w:tc>
        <w:tc>
          <w:tcPr>
            <w:tcW w:w="2509"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Depreciation and Amortisation</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1,</w:t>
            </w:r>
            <w:r w:rsidR="0058349F">
              <w:rPr>
                <w:rFonts w:eastAsia="Calibri" w:cs="Calibri"/>
                <w:color w:val="000000"/>
                <w:sz w:val="18"/>
              </w:rPr>
              <w:t>439</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589</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80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816</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816</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2,</w:t>
            </w:r>
            <w:r w:rsidR="0058349F">
              <w:rPr>
                <w:rFonts w:eastAsia="Calibri" w:cs="Calibri"/>
                <w:color w:val="000000"/>
                <w:sz w:val="18"/>
              </w:rPr>
              <w:t>818</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40,</w:t>
            </w:r>
            <w:r w:rsidR="0058349F">
              <w:rPr>
                <w:rFonts w:eastAsia="Calibri" w:cs="Calibri"/>
                <w:color w:val="000000"/>
                <w:sz w:val="18"/>
              </w:rPr>
              <w:t>811</w:t>
            </w:r>
          </w:p>
        </w:tc>
        <w:tc>
          <w:tcPr>
            <w:tcW w:w="2509"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Grants and Purchased Services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40,</w:t>
            </w:r>
            <w:r w:rsidR="0058349F">
              <w:rPr>
                <w:rFonts w:eastAsia="Calibri" w:cs="Calibri"/>
                <w:color w:val="000000"/>
                <w:sz w:val="18"/>
              </w:rPr>
              <w:t>811</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39,</w:t>
            </w:r>
            <w:r w:rsidR="0058349F">
              <w:rPr>
                <w:rFonts w:eastAsia="Calibri" w:cs="Calibri"/>
                <w:color w:val="000000"/>
                <w:sz w:val="18"/>
              </w:rPr>
              <w:t>851</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-2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40,</w:t>
            </w:r>
            <w:r w:rsidR="0058349F">
              <w:rPr>
                <w:rFonts w:eastAsia="Calibri" w:cs="Calibri"/>
                <w:color w:val="000000"/>
                <w:sz w:val="18"/>
              </w:rPr>
              <w:t>025</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40,</w:t>
            </w:r>
            <w:r w:rsidR="0058349F">
              <w:rPr>
                <w:rFonts w:eastAsia="Calibri" w:cs="Calibri"/>
                <w:color w:val="000000"/>
                <w:sz w:val="18"/>
              </w:rPr>
              <w:t>987</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color w:val="000000"/>
                <w:sz w:val="18"/>
              </w:rPr>
            </w:pPr>
            <w:r>
              <w:rPr>
                <w:rFonts w:eastAsia="Calibri" w:cs="Calibri"/>
                <w:color w:val="000000"/>
                <w:sz w:val="18"/>
              </w:rPr>
              <w:t>42,</w:t>
            </w:r>
            <w:r w:rsidR="0058349F">
              <w:rPr>
                <w:rFonts w:eastAsia="Calibri" w:cs="Calibri"/>
                <w:color w:val="000000"/>
                <w:sz w:val="18"/>
              </w:rPr>
              <w:t>109</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53</w:t>
            </w:r>
          </w:p>
        </w:tc>
        <w:tc>
          <w:tcPr>
            <w:tcW w:w="2509" w:type="dxa"/>
            <w:tcBorders>
              <w:top w:val="nil"/>
              <w:left w:val="nil"/>
              <w:bottom w:val="nil"/>
              <w:right w:val="nil"/>
              <w:tl2br w:val="nil"/>
              <w:tr2bl w:val="nil"/>
            </w:tcBorders>
            <w:shd w:val="clear" w:color="FFFFFF" w:fill="FFFFFF"/>
            <w:noWrap/>
            <w:tcMar>
              <w:left w:w="101" w:type="dxa"/>
              <w:right w:w="101" w:type="dxa"/>
            </w:tcMar>
          </w:tcPr>
          <w:p w:rsidR="001651E4" w:rsidRDefault="0058349F">
            <w:pPr>
              <w:spacing w:before="0" w:after="0"/>
              <w:rPr>
                <w:rFonts w:eastAsia="Calibri" w:cs="Calibri"/>
                <w:color w:val="000000"/>
                <w:sz w:val="18"/>
              </w:rPr>
            </w:pPr>
            <w:r>
              <w:rPr>
                <w:rFonts w:eastAsia="Calibri" w:cs="Calibri"/>
                <w:color w:val="000000"/>
                <w:sz w:val="18"/>
              </w:rPr>
              <w:t>Other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53</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53</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 xml:space="preserve">-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53</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53</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color w:val="000000"/>
                <w:sz w:val="18"/>
              </w:rPr>
            </w:pPr>
            <w:r>
              <w:rPr>
                <w:rFonts w:eastAsia="Calibri" w:cs="Calibri"/>
                <w:color w:val="000000"/>
                <w:sz w:val="18"/>
              </w:rPr>
              <w:t>54</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b/>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102,</w:t>
            </w:r>
            <w:r w:rsidR="0058349F">
              <w:rPr>
                <w:rFonts w:eastAsia="Calibri" w:cs="Calibri"/>
                <w:b/>
                <w:color w:val="000000"/>
                <w:sz w:val="18"/>
              </w:rPr>
              <w:t>317</w:t>
            </w: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Total Ordinary Expenses</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101,</w:t>
            </w:r>
            <w:r w:rsidR="0058349F">
              <w:rPr>
                <w:rFonts w:eastAsia="Calibri" w:cs="Calibri"/>
                <w:b/>
                <w:color w:val="000000"/>
                <w:sz w:val="18"/>
              </w:rPr>
              <w:t>961</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113,</w:t>
            </w:r>
            <w:r w:rsidR="0058349F">
              <w:rPr>
                <w:rFonts w:eastAsia="Calibri" w:cs="Calibri"/>
                <w:b/>
                <w:color w:val="000000"/>
                <w:sz w:val="18"/>
              </w:rPr>
              <w:t>804</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12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120,</w:t>
            </w:r>
            <w:r w:rsidR="0058349F">
              <w:rPr>
                <w:rFonts w:eastAsia="Calibri" w:cs="Calibri"/>
                <w:b/>
                <w:color w:val="000000"/>
                <w:sz w:val="18"/>
              </w:rPr>
              <w:t>585</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123,</w:t>
            </w:r>
            <w:r w:rsidR="0058349F">
              <w:rPr>
                <w:rFonts w:eastAsia="Calibri" w:cs="Calibri"/>
                <w:b/>
                <w:color w:val="000000"/>
                <w:sz w:val="18"/>
              </w:rPr>
              <w:t>508</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126,</w:t>
            </w:r>
            <w:r w:rsidR="0058349F">
              <w:rPr>
                <w:rFonts w:eastAsia="Calibri" w:cs="Calibri"/>
                <w:b/>
                <w:color w:val="000000"/>
                <w:sz w:val="18"/>
              </w:rPr>
              <w:t>799</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nil"/>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343</w:t>
            </w:r>
          </w:p>
        </w:tc>
        <w:tc>
          <w:tcPr>
            <w:tcW w:w="2509"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rPr>
                <w:rFonts w:eastAsia="Calibri" w:cs="Calibri"/>
                <w:b/>
                <w:color w:val="000000"/>
                <w:sz w:val="18"/>
              </w:rPr>
            </w:pPr>
            <w:r>
              <w:rPr>
                <w:rFonts w:eastAsia="Calibri" w:cs="Calibri"/>
                <w:b/>
                <w:color w:val="000000"/>
                <w:sz w:val="18"/>
              </w:rPr>
              <w:t>Operating Result</w:t>
            </w:r>
          </w:p>
        </w:tc>
        <w:tc>
          <w:tcPr>
            <w:tcW w:w="992"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-2,</w:t>
            </w:r>
            <w:r w:rsidR="0058349F">
              <w:rPr>
                <w:rFonts w:eastAsia="Calibri" w:cs="Calibri"/>
                <w:b/>
                <w:color w:val="000000"/>
                <w:sz w:val="18"/>
              </w:rPr>
              <w:t>658</w:t>
            </w:r>
          </w:p>
        </w:tc>
        <w:tc>
          <w:tcPr>
            <w:tcW w:w="954"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658</w:t>
            </w:r>
          </w:p>
        </w:tc>
        <w:tc>
          <w:tcPr>
            <w:tcW w:w="600" w:type="dxa"/>
            <w:tcBorders>
              <w:top w:val="nil"/>
              <w:left w:val="nil"/>
              <w:bottom w:val="nil"/>
              <w:right w:val="nil"/>
              <w:tl2br w:val="nil"/>
              <w:tr2bl w:val="nil"/>
            </w:tcBorders>
            <w:shd w:val="clear" w:color="FFFFFF" w:fill="FFFFFF"/>
            <w:tcMar>
              <w:left w:w="101" w:type="dxa"/>
              <w:right w:w="101" w:type="dxa"/>
            </w:tcMar>
          </w:tcPr>
          <w:p w:rsidR="001651E4" w:rsidRDefault="0058349F">
            <w:pPr>
              <w:spacing w:before="0" w:after="0"/>
              <w:jc w:val="right"/>
              <w:rPr>
                <w:rFonts w:eastAsia="Calibri" w:cs="Calibri"/>
                <w:b/>
                <w:color w:val="000000"/>
                <w:sz w:val="18"/>
              </w:rPr>
            </w:pPr>
            <w:r>
              <w:rPr>
                <w:rFonts w:eastAsia="Calibri" w:cs="Calibri"/>
                <w:b/>
                <w:color w:val="000000"/>
                <w:sz w:val="18"/>
              </w:rPr>
              <w:t xml:space="preserve">-38 </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906</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949</w:t>
            </w:r>
          </w:p>
        </w:tc>
        <w:tc>
          <w:tcPr>
            <w:tcW w:w="1035" w:type="dxa"/>
            <w:tcBorders>
              <w:top w:val="nil"/>
              <w:left w:val="nil"/>
              <w:bottom w:val="nil"/>
              <w:right w:val="nil"/>
              <w:tl2br w:val="nil"/>
              <w:tr2bl w:val="nil"/>
            </w:tcBorders>
            <w:shd w:val="clear" w:color="FFFFFF" w:fill="FFFFFF"/>
            <w:tcMar>
              <w:left w:w="101" w:type="dxa"/>
              <w:right w:w="101" w:type="dxa"/>
            </w:tcMar>
          </w:tcPr>
          <w:p w:rsidR="001651E4" w:rsidRDefault="00C861D4">
            <w:pPr>
              <w:spacing w:before="0" w:after="0"/>
              <w:jc w:val="right"/>
              <w:rPr>
                <w:rFonts w:eastAsia="Calibri" w:cs="Calibri"/>
                <w:b/>
                <w:color w:val="000000"/>
                <w:sz w:val="18"/>
              </w:rPr>
            </w:pPr>
            <w:r>
              <w:rPr>
                <w:rFonts w:eastAsia="Calibri" w:cs="Calibri"/>
                <w:b/>
                <w:color w:val="000000"/>
                <w:sz w:val="18"/>
              </w:rPr>
              <w:t>-3,</w:t>
            </w:r>
            <w:r w:rsidR="0058349F">
              <w:rPr>
                <w:rFonts w:eastAsia="Calibri" w:cs="Calibri"/>
                <w:b/>
                <w:color w:val="000000"/>
                <w:sz w:val="18"/>
              </w:rPr>
              <w:t>999</w:t>
            </w:r>
          </w:p>
        </w:tc>
      </w:tr>
      <w:tr w:rsidR="001651E4" w:rsidTr="00244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2509"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92"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954"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600"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c>
          <w:tcPr>
            <w:tcW w:w="1035" w:type="dxa"/>
            <w:tcBorders>
              <w:top w:val="nil"/>
              <w:left w:val="nil"/>
              <w:bottom w:val="single" w:sz="4" w:space="0" w:color="000000"/>
              <w:right w:val="nil"/>
              <w:tl2br w:val="nil"/>
              <w:tr2bl w:val="nil"/>
            </w:tcBorders>
            <w:shd w:val="clear" w:color="FFFFFF" w:fill="FFFFFF"/>
            <w:tcMar>
              <w:left w:w="0" w:type="dxa"/>
              <w:right w:w="0" w:type="dxa"/>
            </w:tcMar>
          </w:tcPr>
          <w:p w:rsidR="001651E4" w:rsidRDefault="001651E4">
            <w:pPr>
              <w:spacing w:before="0" w:after="0"/>
              <w:rPr>
                <w:rFonts w:eastAsia="Calibri" w:cs="Calibri"/>
                <w:color w:val="000000"/>
                <w:sz w:val="18"/>
              </w:rPr>
            </w:pPr>
          </w:p>
        </w:tc>
      </w:tr>
    </w:tbl>
    <w:p w:rsidR="00B76273" w:rsidRDefault="00B76273"/>
    <w:p w:rsidR="00B76273" w:rsidRDefault="00B76273">
      <w:pPr>
        <w:spacing w:before="0" w:after="0"/>
      </w:pPr>
      <w:r>
        <w:br w:type="page"/>
      </w:r>
    </w:p>
    <w:p w:rsidR="00B76273" w:rsidRPr="00AB5AA0" w:rsidRDefault="00B76273" w:rsidP="00B76273">
      <w:pPr>
        <w:pStyle w:val="Heading1"/>
        <w:pageBreakBefore/>
        <w:pBdr>
          <w:top w:val="nil"/>
          <w:left w:val="nil"/>
          <w:right w:val="nil"/>
          <w:between w:val="nil"/>
          <w:bar w:val="nil"/>
        </w:pBdr>
        <w:rPr>
          <w:sz w:val="36"/>
          <w:szCs w:val="36"/>
          <w:bdr w:val="nil"/>
        </w:rPr>
      </w:pPr>
      <w:bookmarkStart w:id="49" w:name="_Toc514925178"/>
      <w:bookmarkStart w:id="50" w:name="_Toc514926345"/>
      <w:r w:rsidRPr="00AB5AA0">
        <w:rPr>
          <w:sz w:val="36"/>
          <w:szCs w:val="36"/>
          <w:bdr w:val="nil"/>
        </w:rPr>
        <w:t>HOUSING ACT</w:t>
      </w:r>
      <w:bookmarkEnd w:id="49"/>
      <w:bookmarkEnd w:id="50"/>
    </w:p>
    <w:p w:rsidR="00B76273" w:rsidRDefault="00B76273" w:rsidP="00B76273">
      <w:pPr>
        <w:pStyle w:val="Heading2"/>
        <w:pBdr>
          <w:top w:val="nil"/>
          <w:left w:val="nil"/>
          <w:bottom w:val="nil"/>
          <w:right w:val="nil"/>
          <w:between w:val="nil"/>
          <w:bar w:val="nil"/>
        </w:pBdr>
        <w:rPr>
          <w:bdr w:val="nil"/>
        </w:rPr>
      </w:pPr>
      <w:bookmarkStart w:id="51" w:name="_Toc514925179"/>
      <w:bookmarkStart w:id="52" w:name="_Toc514926346"/>
      <w:r>
        <w:rPr>
          <w:bdr w:val="nil"/>
        </w:rPr>
        <w:t>Purpose</w:t>
      </w:r>
      <w:bookmarkEnd w:id="51"/>
      <w:bookmarkEnd w:id="52"/>
    </w:p>
    <w:p w:rsidR="00B76273" w:rsidRDefault="00B76273" w:rsidP="00B76273">
      <w:pPr>
        <w:pBdr>
          <w:top w:val="nil"/>
          <w:left w:val="nil"/>
          <w:bottom w:val="nil"/>
          <w:right w:val="nil"/>
          <w:between w:val="nil"/>
          <w:bar w:val="nil"/>
        </w:pBdr>
        <w:jc w:val="both"/>
        <w:rPr>
          <w:bdr w:val="nil"/>
        </w:rPr>
      </w:pPr>
      <w:r>
        <w:rPr>
          <w:bdr w:val="nil"/>
        </w:rPr>
        <w:t>Housing ACT provides social housing that is appropriate, affordable and meets the needs and circumstances of low income and disadvantaged people.  Housing ACT also funds and supports the specialist homelessness sector to assist and support homeless people and people at risk of becoming homeless.</w:t>
      </w:r>
    </w:p>
    <w:p w:rsidR="00B76273" w:rsidRDefault="00B76273" w:rsidP="00B76273">
      <w:pPr>
        <w:pBdr>
          <w:top w:val="nil"/>
          <w:left w:val="nil"/>
          <w:bottom w:val="nil"/>
          <w:right w:val="nil"/>
          <w:between w:val="nil"/>
          <w:bar w:val="nil"/>
        </w:pBdr>
        <w:jc w:val="both"/>
        <w:rPr>
          <w:bdr w:val="nil"/>
        </w:rPr>
      </w:pPr>
      <w:r>
        <w:rPr>
          <w:bdr w:val="nil"/>
        </w:rPr>
        <w:t>Stable long-term and affordable housing provides tenants with a greater opportunity to more fully participate in the social, economic and recreational activities of the Territory and reach their potential.  Through social housing assistance and support for the homeless, Housing ACT helps to alleviate social isolation and build resilience, contributing to a safer, stronger and more inclusive community – where everybody has a bright future regardless of their characteristics, circumstances or background.</w:t>
      </w:r>
    </w:p>
    <w:p w:rsidR="00B76273" w:rsidRDefault="00B76273" w:rsidP="00B76273">
      <w:pPr>
        <w:pBdr>
          <w:top w:val="nil"/>
          <w:left w:val="nil"/>
          <w:bottom w:val="nil"/>
          <w:right w:val="nil"/>
          <w:between w:val="nil"/>
          <w:bar w:val="nil"/>
        </w:pBdr>
        <w:jc w:val="both"/>
        <w:rPr>
          <w:vanish/>
          <w:bdr w:val="nil"/>
        </w:rPr>
      </w:pPr>
      <w:r>
        <w:t xml:space="preserve"> </w:t>
      </w:r>
    </w:p>
    <w:p w:rsidR="00B76273" w:rsidRDefault="00B76273" w:rsidP="00B76273">
      <w:pPr>
        <w:pStyle w:val="Heading20"/>
        <w:spacing w:before="120"/>
      </w:pPr>
      <w:bookmarkStart w:id="53" w:name="_Toc514926347"/>
      <w:r>
        <w:t>2018-19 Priorities</w:t>
      </w:r>
      <w:bookmarkEnd w:id="53"/>
    </w:p>
    <w:p w:rsidR="00B76273" w:rsidRDefault="00B76273" w:rsidP="00B76273">
      <w:pPr>
        <w:pStyle w:val="Normal0"/>
      </w:pPr>
      <w:r>
        <w:t>New strategic and operational initiatives in 2018-19 include:</w:t>
      </w: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 xml:space="preserve">Continued focus on early crisis intervention to prevent chronic homelessness </w:t>
      </w:r>
      <w:r w:rsidRPr="00B84EA9">
        <w:rPr>
          <w:rFonts w:eastAsia="Calibri"/>
          <w:szCs w:val="24"/>
        </w:rPr>
        <w:t xml:space="preserve">for </w:t>
      </w:r>
      <w:r>
        <w:rPr>
          <w:rFonts w:eastAsia="Calibri"/>
          <w:szCs w:val="24"/>
        </w:rPr>
        <w:t xml:space="preserve">key groups including women and children escaping domestic and family violence, older women, young pregnant women </w:t>
      </w:r>
      <w:r w:rsidRPr="00B84EA9">
        <w:rPr>
          <w:rFonts w:eastAsia="Calibri"/>
          <w:szCs w:val="24"/>
        </w:rPr>
        <w:t>at</w:t>
      </w:r>
      <w:r>
        <w:rPr>
          <w:rFonts w:eastAsia="Calibri"/>
          <w:szCs w:val="24"/>
        </w:rPr>
        <w:t xml:space="preserve"> </w:t>
      </w:r>
      <w:r w:rsidRPr="00B84EA9">
        <w:rPr>
          <w:rFonts w:eastAsia="Calibri"/>
          <w:szCs w:val="24"/>
        </w:rPr>
        <w:t xml:space="preserve">risk </w:t>
      </w:r>
      <w:r>
        <w:rPr>
          <w:rFonts w:eastAsia="Calibri"/>
          <w:szCs w:val="24"/>
        </w:rPr>
        <w:t xml:space="preserve">of statutory intervention and migrants with uncertain immigration status. This includes </w:t>
      </w:r>
      <w:r w:rsidRPr="00B84EA9">
        <w:rPr>
          <w:rFonts w:eastAsia="Calibri"/>
          <w:szCs w:val="24"/>
        </w:rPr>
        <w:t>accommodation</w:t>
      </w:r>
      <w:r>
        <w:rPr>
          <w:rFonts w:eastAsia="Calibri"/>
          <w:szCs w:val="24"/>
        </w:rPr>
        <w:t xml:space="preserve">, </w:t>
      </w:r>
      <w:r w:rsidRPr="00B84EA9">
        <w:rPr>
          <w:rFonts w:eastAsia="Calibri"/>
          <w:szCs w:val="24"/>
        </w:rPr>
        <w:t>wrap around case management</w:t>
      </w:r>
      <w:r>
        <w:rPr>
          <w:rFonts w:eastAsia="Calibri"/>
          <w:szCs w:val="24"/>
        </w:rPr>
        <w:t xml:space="preserve"> and </w:t>
      </w:r>
      <w:r w:rsidRPr="00B84EA9">
        <w:rPr>
          <w:rFonts w:eastAsia="Calibri"/>
          <w:szCs w:val="24"/>
        </w:rPr>
        <w:t xml:space="preserve">extended operating hours of </w:t>
      </w:r>
      <w:proofErr w:type="spellStart"/>
      <w:r w:rsidRPr="00B84EA9">
        <w:rPr>
          <w:rFonts w:eastAsia="Calibri"/>
          <w:szCs w:val="24"/>
        </w:rPr>
        <w:t>OneLink</w:t>
      </w:r>
      <w:proofErr w:type="spellEnd"/>
      <w:r>
        <w:rPr>
          <w:rFonts w:eastAsia="Calibri"/>
          <w:szCs w:val="24"/>
        </w:rPr>
        <w:t>.</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C</w:t>
      </w:r>
      <w:r w:rsidRPr="00B84EA9">
        <w:rPr>
          <w:rFonts w:eastAsia="Calibri"/>
          <w:szCs w:val="24"/>
        </w:rPr>
        <w:t xml:space="preserve">onstruction of </w:t>
      </w:r>
      <w:r>
        <w:rPr>
          <w:rFonts w:eastAsia="Calibri"/>
          <w:szCs w:val="24"/>
        </w:rPr>
        <w:t xml:space="preserve">further </w:t>
      </w:r>
      <w:r w:rsidRPr="00B84EA9">
        <w:rPr>
          <w:rFonts w:eastAsia="Calibri"/>
          <w:szCs w:val="24"/>
        </w:rPr>
        <w:t xml:space="preserve">dedicated and culturally appropriate </w:t>
      </w:r>
      <w:r>
        <w:rPr>
          <w:rFonts w:eastAsia="Calibri"/>
          <w:szCs w:val="24"/>
        </w:rPr>
        <w:t xml:space="preserve">housing for older </w:t>
      </w:r>
      <w:r w:rsidRPr="00B84EA9">
        <w:rPr>
          <w:rFonts w:eastAsia="Calibri"/>
          <w:szCs w:val="24"/>
        </w:rPr>
        <w:t>Aboriginal and Torres Strait Islander</w:t>
      </w:r>
      <w:r>
        <w:rPr>
          <w:rFonts w:eastAsia="Calibri"/>
          <w:szCs w:val="24"/>
        </w:rPr>
        <w:t>s.</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D</w:t>
      </w:r>
      <w:r w:rsidRPr="00B84EA9">
        <w:rPr>
          <w:rFonts w:eastAsia="Calibri"/>
          <w:szCs w:val="24"/>
        </w:rPr>
        <w:t xml:space="preserve">esign </w:t>
      </w:r>
      <w:r>
        <w:rPr>
          <w:rFonts w:eastAsia="Calibri"/>
          <w:szCs w:val="24"/>
        </w:rPr>
        <w:t>of</w:t>
      </w:r>
      <w:r w:rsidRPr="00B84EA9">
        <w:rPr>
          <w:rFonts w:eastAsia="Calibri"/>
          <w:szCs w:val="24"/>
        </w:rPr>
        <w:t xml:space="preserve"> a second Common Ground </w:t>
      </w:r>
      <w:r>
        <w:rPr>
          <w:rFonts w:eastAsia="Calibri"/>
          <w:szCs w:val="24"/>
        </w:rPr>
        <w:t>accommodation complex in Dickson to provide support for people at risk of, or experiencing, homelessness.</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C</w:t>
      </w:r>
      <w:r w:rsidRPr="00B84EA9">
        <w:rPr>
          <w:rFonts w:eastAsia="Calibri"/>
          <w:szCs w:val="24"/>
        </w:rPr>
        <w:t>ompletion of development and feasibility studies to establish a purpose-built suppo</w:t>
      </w:r>
      <w:r>
        <w:rPr>
          <w:rFonts w:eastAsia="Calibri"/>
          <w:szCs w:val="24"/>
        </w:rPr>
        <w:t>rtive housing facility</w:t>
      </w:r>
      <w:r w:rsidRPr="00B84EA9">
        <w:rPr>
          <w:rFonts w:eastAsia="Calibri"/>
          <w:szCs w:val="24"/>
        </w:rPr>
        <w:t xml:space="preserve"> for people experiencing long-term mental health issu</w:t>
      </w:r>
      <w:r>
        <w:rPr>
          <w:rFonts w:eastAsia="Calibri"/>
          <w:szCs w:val="24"/>
        </w:rPr>
        <w:t>es and housing difficulties, informed by the research undertaken in 2017-18 on long-term accommodation and support requirements for clients with high and complex needs.</w:t>
      </w:r>
      <w:r>
        <w:rPr>
          <w:rFonts w:eastAsia="Calibri"/>
          <w:szCs w:val="24"/>
        </w:rPr>
        <w:br/>
      </w: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P</w:t>
      </w:r>
      <w:r w:rsidRPr="00B84EA9">
        <w:rPr>
          <w:rFonts w:eastAsia="Calibri"/>
          <w:szCs w:val="24"/>
        </w:rPr>
        <w:t xml:space="preserve">rovision of energy efficiency products to public housing properties through the Energy Efficiency Improvement Scheme. Low income households will also be provided with energy assessments, education, draught proofing and other services through the </w:t>
      </w:r>
      <w:proofErr w:type="spellStart"/>
      <w:r w:rsidRPr="00B84EA9">
        <w:rPr>
          <w:rFonts w:eastAsia="Calibri"/>
          <w:szCs w:val="24"/>
        </w:rPr>
        <w:t>Actsmart</w:t>
      </w:r>
      <w:proofErr w:type="spellEnd"/>
      <w:r w:rsidRPr="00B84EA9">
        <w:rPr>
          <w:rFonts w:eastAsia="Calibri"/>
          <w:szCs w:val="24"/>
        </w:rPr>
        <w:t xml:space="preserve"> Low Income Energy Efficiency Program</w:t>
      </w:r>
      <w:r>
        <w:rPr>
          <w:rFonts w:eastAsia="Calibri"/>
          <w:szCs w:val="24"/>
        </w:rPr>
        <w:t>.</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D</w:t>
      </w:r>
      <w:r w:rsidRPr="00B84EA9">
        <w:rPr>
          <w:rFonts w:eastAsia="Calibri"/>
          <w:szCs w:val="24"/>
        </w:rPr>
        <w:t>evelopment and implementation of a digital service delivery channel to ensure public housing tenants and other members of the community are able to access essential housing and homelessness services 24 hours a day, seven days a week.</w:t>
      </w:r>
    </w:p>
    <w:p w:rsidR="00B76273" w:rsidRPr="00B84EA9" w:rsidRDefault="00B76273" w:rsidP="007D648C">
      <w:pPr>
        <w:pStyle w:val="Normal0"/>
        <w:spacing w:after="120"/>
        <w:ind w:left="357" w:hanging="357"/>
        <w:contextualSpacing/>
        <w:rPr>
          <w:rFonts w:eastAsia="Calibri"/>
          <w:sz w:val="22"/>
          <w:szCs w:val="22"/>
        </w:rPr>
      </w:pPr>
    </w:p>
    <w:p w:rsidR="00B76273" w:rsidRDefault="00B76273" w:rsidP="00B76273">
      <w:pPr>
        <w:pStyle w:val="Normal0"/>
      </w:pPr>
      <w:r>
        <w:t>Continuing strategic and operational initiatives in 2018-19 include:</w:t>
      </w: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C</w:t>
      </w:r>
      <w:r w:rsidRPr="00B84EA9">
        <w:rPr>
          <w:rFonts w:eastAsia="Calibri"/>
          <w:szCs w:val="24"/>
        </w:rPr>
        <w:t>ontinued support for tenants during and beyond the relocation process as part of the Public Housing Renewal Program</w:t>
      </w:r>
      <w:r>
        <w:rPr>
          <w:rFonts w:eastAsia="Calibri"/>
          <w:szCs w:val="24"/>
        </w:rPr>
        <w:t>.</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I</w:t>
      </w:r>
      <w:r w:rsidRPr="00B84EA9">
        <w:rPr>
          <w:rFonts w:eastAsia="Calibri"/>
          <w:szCs w:val="24"/>
        </w:rPr>
        <w:t>nvestment in the professional development of frontline specialist housing and homelessness workers and their organisations to build capability and service innovation</w:t>
      </w:r>
      <w:r>
        <w:rPr>
          <w:rFonts w:eastAsia="Calibri"/>
          <w:szCs w:val="24"/>
        </w:rPr>
        <w:t>.</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C</w:t>
      </w:r>
      <w:r w:rsidRPr="00B84EA9">
        <w:rPr>
          <w:rFonts w:eastAsia="Calibri"/>
          <w:szCs w:val="24"/>
        </w:rPr>
        <w:t>ontinued focus on better integrating services for families experiencing domestic and family violence, supported by a range of Safer Family Initiatives</w:t>
      </w:r>
      <w:r>
        <w:rPr>
          <w:rFonts w:eastAsia="Calibri"/>
          <w:szCs w:val="24"/>
        </w:rPr>
        <w:t>.</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S</w:t>
      </w:r>
      <w:r w:rsidRPr="00B84EA9">
        <w:rPr>
          <w:rFonts w:eastAsia="Calibri"/>
          <w:szCs w:val="24"/>
        </w:rPr>
        <w:t>mooth transition of services to tenants through the commencement of the new total fac</w:t>
      </w:r>
      <w:r>
        <w:rPr>
          <w:rFonts w:eastAsia="Calibri"/>
          <w:szCs w:val="24"/>
        </w:rPr>
        <w:t>ilities management contract.</w:t>
      </w:r>
      <w:r w:rsidRPr="00B84EA9">
        <w:rPr>
          <w:rFonts w:eastAsia="Calibri"/>
          <w:szCs w:val="24"/>
        </w:rPr>
        <w:t xml:space="preserve"> </w:t>
      </w:r>
    </w:p>
    <w:p w:rsidR="00B76273" w:rsidRPr="00B84EA9" w:rsidRDefault="00B76273" w:rsidP="007D648C">
      <w:pPr>
        <w:pStyle w:val="Normal0"/>
        <w:spacing w:after="120"/>
        <w:ind w:left="357" w:hanging="357"/>
        <w:contextualSpacing/>
        <w:rPr>
          <w:rFonts w:eastAsia="Calibri"/>
          <w:szCs w:val="24"/>
        </w:rPr>
      </w:pPr>
    </w:p>
    <w:p w:rsidR="00B76273" w:rsidRPr="00B84EA9" w:rsidRDefault="00B76273" w:rsidP="007D648C">
      <w:pPr>
        <w:pStyle w:val="Normal0"/>
        <w:numPr>
          <w:ilvl w:val="0"/>
          <w:numId w:val="2"/>
        </w:numPr>
        <w:spacing w:after="120"/>
        <w:ind w:left="357" w:hanging="357"/>
        <w:contextualSpacing/>
        <w:rPr>
          <w:rFonts w:eastAsia="Calibri"/>
          <w:szCs w:val="24"/>
        </w:rPr>
      </w:pPr>
      <w:r>
        <w:rPr>
          <w:rFonts w:eastAsia="Calibri"/>
          <w:szCs w:val="24"/>
        </w:rPr>
        <w:t>I</w:t>
      </w:r>
      <w:r w:rsidRPr="00B84EA9">
        <w:rPr>
          <w:rFonts w:eastAsia="Calibri"/>
          <w:szCs w:val="24"/>
        </w:rPr>
        <w:t>mplementation of the Public Housing Asset Management Plan, under the ACT Housing Strategy, that delivers a contemporary and responsive asset base capable of meeting the broader social policy objectives of the government.</w:t>
      </w:r>
    </w:p>
    <w:p w:rsidR="00B76273" w:rsidRDefault="00B76273" w:rsidP="00B76273">
      <w:pPr>
        <w:pStyle w:val="Heading21"/>
      </w:pPr>
      <w:bookmarkStart w:id="54" w:name="_Toc514926348"/>
      <w:r>
        <w:t>Estimated Employment Level</w:t>
      </w:r>
      <w:bookmarkEnd w:id="54"/>
    </w:p>
    <w:p w:rsidR="00B76273" w:rsidRDefault="00B76273" w:rsidP="00B76273">
      <w:pPr>
        <w:pStyle w:val="Caption"/>
      </w:pPr>
      <w:r>
        <w:t>Table 36: Estimated Employment Level</w:t>
      </w:r>
    </w:p>
    <w:tbl>
      <w:tblPr>
        <w:tblW w:w="9105" w:type="dxa"/>
        <w:tblBorders>
          <w:top w:val="single" w:sz="12" w:space="0" w:color="000000"/>
        </w:tblBorders>
        <w:tblLayout w:type="fixed"/>
        <w:tblLook w:val="04A0" w:firstRow="1" w:lastRow="0" w:firstColumn="1" w:lastColumn="0" w:noHBand="0" w:noVBand="1"/>
      </w:tblPr>
      <w:tblGrid>
        <w:gridCol w:w="2700"/>
        <w:gridCol w:w="1601"/>
        <w:gridCol w:w="1601"/>
        <w:gridCol w:w="1601"/>
        <w:gridCol w:w="1602"/>
      </w:tblGrid>
      <w:tr w:rsidR="00B76273" w:rsidTr="00174BAC">
        <w:trPr>
          <w:trHeight w:val="392"/>
          <w:tblHeader/>
        </w:trPr>
        <w:tc>
          <w:tcPr>
            <w:tcW w:w="2699" w:type="dxa"/>
            <w:tcBorders>
              <w:top w:val="single" w:sz="12" w:space="0" w:color="000000"/>
              <w:left w:val="nil"/>
              <w:bottom w:val="nil"/>
              <w:right w:val="nil"/>
            </w:tcBorders>
            <w:vAlign w:val="bottom"/>
          </w:tcPr>
          <w:p w:rsidR="00B76273" w:rsidRDefault="00B76273" w:rsidP="00174BAC">
            <w:pPr>
              <w:pStyle w:val="BStabletext"/>
            </w:pPr>
          </w:p>
        </w:tc>
        <w:tc>
          <w:tcPr>
            <w:tcW w:w="1600" w:type="dxa"/>
            <w:tcBorders>
              <w:top w:val="single" w:sz="12" w:space="0" w:color="000000"/>
              <w:left w:val="nil"/>
              <w:bottom w:val="nil"/>
              <w:right w:val="nil"/>
            </w:tcBorders>
            <w:hideMark/>
          </w:tcPr>
          <w:p w:rsidR="00B76273" w:rsidRDefault="00B76273" w:rsidP="00174BAC">
            <w:pPr>
              <w:pStyle w:val="BStableheading1"/>
              <w:framePr w:wrap="around"/>
            </w:pPr>
            <w:r>
              <w:t>2016-17</w:t>
            </w:r>
          </w:p>
          <w:p w:rsidR="00B76273" w:rsidRDefault="00B76273" w:rsidP="00174BAC">
            <w:pPr>
              <w:pStyle w:val="BStableheading1"/>
              <w:framePr w:wrap="around"/>
            </w:pPr>
            <w:r>
              <w:t>Actual</w:t>
            </w:r>
          </w:p>
          <w:p w:rsidR="00B76273" w:rsidRDefault="00B76273" w:rsidP="00174BAC">
            <w:pPr>
              <w:pStyle w:val="BStableheading1"/>
              <w:framePr w:wrap="around"/>
            </w:pPr>
            <w:r>
              <w:t>Outcome</w:t>
            </w:r>
          </w:p>
        </w:tc>
        <w:tc>
          <w:tcPr>
            <w:tcW w:w="1600" w:type="dxa"/>
            <w:tcBorders>
              <w:top w:val="single" w:sz="12" w:space="0" w:color="000000"/>
              <w:left w:val="nil"/>
              <w:bottom w:val="nil"/>
              <w:right w:val="nil"/>
            </w:tcBorders>
            <w:hideMark/>
          </w:tcPr>
          <w:p w:rsidR="00B76273" w:rsidRDefault="00B76273" w:rsidP="00174BAC">
            <w:pPr>
              <w:pStyle w:val="BStableheading1"/>
              <w:framePr w:wrap="auto" w:vAnchor="margin" w:yAlign="inline"/>
            </w:pPr>
            <w:r>
              <w:t>2017-18</w:t>
            </w:r>
          </w:p>
          <w:p w:rsidR="00B76273" w:rsidRDefault="00B76273" w:rsidP="00174BAC">
            <w:pPr>
              <w:pStyle w:val="BStableheading1"/>
              <w:framePr w:wrap="around"/>
            </w:pPr>
            <w:r>
              <w:t>Budget</w:t>
            </w:r>
          </w:p>
        </w:tc>
        <w:tc>
          <w:tcPr>
            <w:tcW w:w="1600" w:type="dxa"/>
            <w:tcBorders>
              <w:top w:val="single" w:sz="12" w:space="0" w:color="000000"/>
              <w:left w:val="nil"/>
              <w:bottom w:val="nil"/>
              <w:right w:val="nil"/>
            </w:tcBorders>
            <w:hideMark/>
          </w:tcPr>
          <w:p w:rsidR="00B76273" w:rsidRDefault="00B76273" w:rsidP="00174BAC">
            <w:pPr>
              <w:pStyle w:val="BStableheading1"/>
              <w:framePr w:wrap="around"/>
            </w:pPr>
            <w:r>
              <w:t>2017-18</w:t>
            </w:r>
          </w:p>
          <w:p w:rsidR="00B76273" w:rsidRDefault="00B76273" w:rsidP="00174BAC">
            <w:pPr>
              <w:pStyle w:val="BStableheading1"/>
              <w:framePr w:wrap="around"/>
            </w:pPr>
            <w:r>
              <w:t>Estimated Outcome</w:t>
            </w:r>
          </w:p>
        </w:tc>
        <w:tc>
          <w:tcPr>
            <w:tcW w:w="1601" w:type="dxa"/>
            <w:tcBorders>
              <w:top w:val="single" w:sz="12" w:space="0" w:color="000000"/>
              <w:left w:val="nil"/>
              <w:bottom w:val="nil"/>
              <w:right w:val="nil"/>
            </w:tcBorders>
            <w:noWrap/>
            <w:hideMark/>
          </w:tcPr>
          <w:p w:rsidR="00B76273" w:rsidRDefault="00B76273" w:rsidP="00174BAC">
            <w:pPr>
              <w:pStyle w:val="BStableheading1"/>
              <w:framePr w:wrap="around"/>
            </w:pPr>
            <w:r>
              <w:t>2018-19</w:t>
            </w:r>
          </w:p>
          <w:p w:rsidR="00B76273" w:rsidRDefault="00B76273" w:rsidP="00174BAC">
            <w:pPr>
              <w:pStyle w:val="BStableheading1"/>
              <w:framePr w:wrap="around"/>
            </w:pPr>
            <w:r>
              <w:t>Budget</w:t>
            </w:r>
          </w:p>
        </w:tc>
      </w:tr>
      <w:tr w:rsidR="00B76273" w:rsidTr="00174BAC">
        <w:trPr>
          <w:trHeight w:val="319"/>
          <w:tblHeader/>
        </w:trPr>
        <w:tc>
          <w:tcPr>
            <w:tcW w:w="2699" w:type="dxa"/>
            <w:tcBorders>
              <w:top w:val="single" w:sz="6" w:space="0" w:color="000000"/>
              <w:left w:val="nil"/>
              <w:bottom w:val="single" w:sz="12" w:space="0" w:color="000000"/>
              <w:right w:val="nil"/>
            </w:tcBorders>
            <w:vAlign w:val="bottom"/>
            <w:hideMark/>
          </w:tcPr>
          <w:p w:rsidR="00B76273" w:rsidRDefault="00B76273" w:rsidP="00174BAC">
            <w:pPr>
              <w:pStyle w:val="BStabletext"/>
              <w:rPr>
                <w:rStyle w:val="Strong"/>
                <w:bCs/>
              </w:rPr>
            </w:pPr>
            <w:r>
              <w:rPr>
                <w:rStyle w:val="Strong"/>
                <w:bCs/>
              </w:rPr>
              <w:t>Staffing (FTE)</w:t>
            </w:r>
          </w:p>
        </w:tc>
        <w:tc>
          <w:tcPr>
            <w:tcW w:w="1600" w:type="dxa"/>
            <w:tcBorders>
              <w:top w:val="single" w:sz="6" w:space="0" w:color="000000"/>
              <w:left w:val="nil"/>
              <w:bottom w:val="single" w:sz="12" w:space="0" w:color="000000"/>
              <w:right w:val="nil"/>
            </w:tcBorders>
            <w:vAlign w:val="bottom"/>
            <w:hideMark/>
          </w:tcPr>
          <w:p w:rsidR="00B76273" w:rsidRDefault="00B76273" w:rsidP="00174BAC">
            <w:pPr>
              <w:pStyle w:val="BStablefigures"/>
            </w:pPr>
            <w:r>
              <w:t>250</w:t>
            </w:r>
          </w:p>
        </w:tc>
        <w:tc>
          <w:tcPr>
            <w:tcW w:w="1600" w:type="dxa"/>
            <w:tcBorders>
              <w:top w:val="single" w:sz="6" w:space="0" w:color="000000"/>
              <w:left w:val="nil"/>
              <w:bottom w:val="single" w:sz="12" w:space="0" w:color="000000"/>
              <w:right w:val="nil"/>
            </w:tcBorders>
            <w:vAlign w:val="bottom"/>
            <w:hideMark/>
          </w:tcPr>
          <w:p w:rsidR="00B76273" w:rsidRDefault="00B76273" w:rsidP="00174BAC">
            <w:pPr>
              <w:pStyle w:val="BStablefigures"/>
            </w:pPr>
            <w:r>
              <w:t>256</w:t>
            </w:r>
          </w:p>
        </w:tc>
        <w:tc>
          <w:tcPr>
            <w:tcW w:w="1600" w:type="dxa"/>
            <w:tcBorders>
              <w:top w:val="single" w:sz="6" w:space="0" w:color="000000"/>
              <w:left w:val="nil"/>
              <w:bottom w:val="single" w:sz="12" w:space="0" w:color="000000"/>
              <w:right w:val="nil"/>
            </w:tcBorders>
            <w:vAlign w:val="bottom"/>
            <w:hideMark/>
          </w:tcPr>
          <w:p w:rsidR="00B76273" w:rsidRDefault="00B76273" w:rsidP="00174BAC">
            <w:pPr>
              <w:pStyle w:val="BStablefigures"/>
            </w:pPr>
            <w:r>
              <w:t>255</w:t>
            </w:r>
          </w:p>
        </w:tc>
        <w:tc>
          <w:tcPr>
            <w:tcW w:w="1601" w:type="dxa"/>
            <w:tcBorders>
              <w:top w:val="single" w:sz="6" w:space="0" w:color="000000"/>
              <w:left w:val="nil"/>
              <w:bottom w:val="single" w:sz="12" w:space="0" w:color="000000"/>
              <w:right w:val="nil"/>
            </w:tcBorders>
            <w:noWrap/>
            <w:vAlign w:val="bottom"/>
            <w:hideMark/>
          </w:tcPr>
          <w:p w:rsidR="00B76273" w:rsidRDefault="00B76273" w:rsidP="00174BAC">
            <w:pPr>
              <w:pStyle w:val="BStablefigures"/>
            </w:pPr>
            <w:r>
              <w:t>260</w:t>
            </w:r>
            <w:r w:rsidR="007D648C">
              <w:t xml:space="preserve"> </w:t>
            </w:r>
            <w:r w:rsidRPr="009E5AD6">
              <w:rPr>
                <w:vertAlign w:val="superscript"/>
              </w:rPr>
              <w:t>1</w:t>
            </w:r>
          </w:p>
        </w:tc>
      </w:tr>
    </w:tbl>
    <w:p w:rsidR="00B76273" w:rsidRDefault="007D648C" w:rsidP="00B76273">
      <w:pPr>
        <w:pStyle w:val="BSnote"/>
      </w:pPr>
      <w:r>
        <w:t>Note</w:t>
      </w:r>
      <w:r w:rsidR="00B76273">
        <w:t>:</w:t>
      </w:r>
    </w:p>
    <w:p w:rsidR="00B76273" w:rsidRDefault="00B76273" w:rsidP="007D648C">
      <w:pPr>
        <w:pStyle w:val="BSnoteslist"/>
        <w:numPr>
          <w:ilvl w:val="0"/>
          <w:numId w:val="62"/>
        </w:numPr>
      </w:pPr>
      <w:r>
        <w:t>The increase in number of employees (FTEs) in 2018-19 is as a result of Housing ACT’s additional resource to implement budget initiatives and confirmation of ongoing graduate positions.</w:t>
      </w:r>
    </w:p>
    <w:p w:rsidR="00B76273" w:rsidRDefault="00B76273" w:rsidP="00B76273">
      <w:pPr>
        <w:pStyle w:val="BSnoteslist"/>
        <w:numPr>
          <w:ilvl w:val="0"/>
          <w:numId w:val="0"/>
        </w:numPr>
        <w:ind w:left="360" w:hanging="360"/>
      </w:pPr>
    </w:p>
    <w:p w:rsidR="00B76273" w:rsidRDefault="00B76273" w:rsidP="00B76273">
      <w:pPr>
        <w:pStyle w:val="BSnoteslist"/>
        <w:numPr>
          <w:ilvl w:val="0"/>
          <w:numId w:val="0"/>
        </w:numPr>
        <w:ind w:left="360" w:hanging="360"/>
      </w:pPr>
      <w:r>
        <w:t xml:space="preserve"> </w:t>
      </w:r>
    </w:p>
    <w:p w:rsidR="00B76273" w:rsidRDefault="00B76273" w:rsidP="00B76273">
      <w:pPr>
        <w:pStyle w:val="Heading22"/>
        <w:pageBreakBefore/>
      </w:pPr>
      <w:bookmarkStart w:id="55" w:name="_Toc514926349"/>
      <w:r>
        <w:t>Strategic Objectives and Indicators</w:t>
      </w:r>
      <w:bookmarkEnd w:id="55"/>
      <w:r>
        <w:t xml:space="preserve"> </w:t>
      </w:r>
    </w:p>
    <w:p w:rsidR="00B76273" w:rsidRDefault="00B76273" w:rsidP="00B76273">
      <w:pPr>
        <w:pStyle w:val="Heading3"/>
      </w:pPr>
      <w:bookmarkStart w:id="56" w:name="_Toc514926350"/>
      <w:r>
        <w:t>Strategic Objective 1</w:t>
      </w:r>
      <w:bookmarkEnd w:id="56"/>
    </w:p>
    <w:p w:rsidR="00B76273" w:rsidRDefault="00B76273" w:rsidP="00B76273">
      <w:pPr>
        <w:pStyle w:val="Heading4"/>
      </w:pPr>
      <w:r>
        <w:t>Appropriately housing people most in need</w:t>
      </w:r>
    </w:p>
    <w:p w:rsidR="00B76273" w:rsidRDefault="00B76273" w:rsidP="00B76273">
      <w:pPr>
        <w:pStyle w:val="Normal2"/>
      </w:pPr>
      <w:r>
        <w:t>Housing assistance is targeted at those most in need in the community.  Stable, safe and secure long term housing provides the foundation upon which individuals and families can build their future, engage with the community and take up opportunities for education, training and employment and to build capacity and resilience.  Therefore, the provision of housing assistance aims to reduce social isolation and disadvantage and build a safer, healthy and more inclusive community where people are better able to participate and take up opportunities to achieve their potential.</w:t>
      </w:r>
    </w:p>
    <w:p w:rsidR="00B76273" w:rsidRDefault="00B76273" w:rsidP="00B76273">
      <w:pPr>
        <w:pStyle w:val="Heading3"/>
      </w:pPr>
      <w:bookmarkStart w:id="57" w:name="_Toc514926351"/>
      <w:r>
        <w:t>Strategic Indicator 1</w:t>
      </w:r>
      <w:bookmarkEnd w:id="57"/>
    </w:p>
    <w:p w:rsidR="00B76273" w:rsidRDefault="00B76273" w:rsidP="00B76273">
      <w:pPr>
        <w:pStyle w:val="Heading4"/>
      </w:pPr>
      <w:r>
        <w:t>Of all new households that were allocated within three months, the proportion that were in the greatest need.</w:t>
      </w:r>
    </w:p>
    <w:p w:rsidR="00B76273" w:rsidRDefault="00B76273" w:rsidP="00B76273">
      <w:pPr>
        <w:pStyle w:val="Normal2"/>
      </w:pPr>
      <w:r>
        <w:t>Allocating housing to those most in need in the community remains the key focus for public housing.  This indicator measures the proportion of those housed within a three month period that were in the greatest need, where need may include: being homeless, women, with or without children, escaping family or domestic violence, being in housing that is detrimental to health and safety or otherwise inappropriate due to the residents having mental health issues, serious medical issues or a disability, including being frail-aged, and particularly where the natural support networks are at risk of breaking down.</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B76273" w:rsidTr="00174BAC">
        <w:trPr>
          <w:cantSplit/>
          <w:trHeight w:val="219"/>
          <w:jc w:val="center"/>
        </w:trPr>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2017-18</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2018-19</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2019-20</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2020-21</w:t>
            </w:r>
          </w:p>
        </w:tc>
        <w:tc>
          <w:tcPr>
            <w:tcW w:w="1821" w:type="dxa"/>
            <w:tcBorders>
              <w:top w:val="single" w:sz="4" w:space="0" w:color="auto"/>
              <w:left w:val="nil"/>
              <w:bottom w:val="nil"/>
              <w:right w:val="nil"/>
            </w:tcBorders>
            <w:noWrap/>
            <w:tcMar>
              <w:top w:w="20" w:type="dxa"/>
              <w:left w:w="20" w:type="dxa"/>
              <w:bottom w:w="0" w:type="dxa"/>
              <w:right w:w="20" w:type="dxa"/>
            </w:tcMar>
            <w:vAlign w:val="center"/>
            <w:hideMark/>
          </w:tcPr>
          <w:p w:rsidR="00B76273" w:rsidRDefault="00B76273" w:rsidP="00174BAC">
            <w:pPr>
              <w:pStyle w:val="BStabletextbold"/>
              <w:jc w:val="right"/>
              <w:rPr>
                <w:rFonts w:eastAsia="Arial Unicode MS"/>
              </w:rPr>
            </w:pPr>
            <w:r>
              <w:rPr>
                <w:rFonts w:eastAsia="Arial Unicode MS"/>
              </w:rPr>
              <w:t>2021-22</w:t>
            </w:r>
          </w:p>
        </w:tc>
      </w:tr>
      <w:tr w:rsidR="00B76273" w:rsidTr="00174BAC">
        <w:trPr>
          <w:cantSplit/>
          <w:trHeight w:val="321"/>
          <w:jc w:val="center"/>
        </w:trPr>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Estimate</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Estimate</w:t>
            </w:r>
          </w:p>
        </w:tc>
        <w:tc>
          <w:tcPr>
            <w:tcW w:w="1821" w:type="dxa"/>
            <w:noWrap/>
            <w:tcMar>
              <w:top w:w="20" w:type="dxa"/>
              <w:left w:w="20" w:type="dxa"/>
              <w:bottom w:w="0" w:type="dxa"/>
              <w:right w:w="20" w:type="dxa"/>
            </w:tcMar>
            <w:vAlign w:val="center"/>
            <w:hideMark/>
          </w:tcPr>
          <w:p w:rsidR="00B76273" w:rsidRDefault="00B76273" w:rsidP="00174BAC">
            <w:pPr>
              <w:pStyle w:val="BStabletextbold"/>
              <w:jc w:val="right"/>
              <w:rPr>
                <w:rFonts w:eastAsia="Arial Unicode MS"/>
              </w:rPr>
            </w:pPr>
            <w:r>
              <w:rPr>
                <w:rFonts w:eastAsia="Arial Unicode MS"/>
              </w:rPr>
              <w:t>Estimate</w:t>
            </w:r>
          </w:p>
        </w:tc>
      </w:tr>
      <w:tr w:rsidR="00B76273" w:rsidTr="00174BAC">
        <w:trPr>
          <w:cantSplit/>
          <w:trHeight w:val="284"/>
          <w:jc w:val="center"/>
        </w:trPr>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pPr>
            <w:r>
              <w:t>99%</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99%</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99%</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99%</w:t>
            </w:r>
          </w:p>
        </w:tc>
        <w:tc>
          <w:tcPr>
            <w:tcW w:w="1821" w:type="dxa"/>
            <w:tcBorders>
              <w:top w:val="single" w:sz="4" w:space="0" w:color="auto"/>
              <w:left w:val="nil"/>
              <w:bottom w:val="single" w:sz="4" w:space="0" w:color="auto"/>
              <w:right w:val="nil"/>
            </w:tcBorders>
            <w:noWrap/>
            <w:tcMar>
              <w:top w:w="20" w:type="dxa"/>
              <w:left w:w="20" w:type="dxa"/>
              <w:bottom w:w="0" w:type="dxa"/>
              <w:right w:w="20" w:type="dxa"/>
            </w:tcMar>
            <w:vAlign w:val="center"/>
            <w:hideMark/>
          </w:tcPr>
          <w:p w:rsidR="00B76273" w:rsidRDefault="00B76273" w:rsidP="00174BAC">
            <w:pPr>
              <w:pStyle w:val="BStablefigures0"/>
              <w:rPr>
                <w:highlight w:val="yellow"/>
              </w:rPr>
            </w:pPr>
            <w:r>
              <w:t>99%</w:t>
            </w:r>
          </w:p>
        </w:tc>
      </w:tr>
    </w:tbl>
    <w:p w:rsidR="00B76273" w:rsidRDefault="00B76273" w:rsidP="00B76273">
      <w:pPr>
        <w:pStyle w:val="Normal2"/>
      </w:pPr>
    </w:p>
    <w:p w:rsidR="00B76273" w:rsidRDefault="00B76273" w:rsidP="00B76273">
      <w:pPr>
        <w:pStyle w:val="Heading3"/>
      </w:pPr>
      <w:bookmarkStart w:id="58" w:name="_Toc514926352"/>
      <w:r>
        <w:t>Strategic Objective 2</w:t>
      </w:r>
      <w:bookmarkEnd w:id="58"/>
    </w:p>
    <w:p w:rsidR="00B76273" w:rsidRDefault="00B76273" w:rsidP="00B76273">
      <w:pPr>
        <w:pStyle w:val="Heading4"/>
      </w:pPr>
      <w:r>
        <w:t>Access to safe, affordable and sustainable housing that contributes to the opportunities for social and economic participation</w:t>
      </w:r>
    </w:p>
    <w:p w:rsidR="00B76273" w:rsidRDefault="00B76273" w:rsidP="00B76273">
      <w:pPr>
        <w:pStyle w:val="Normal2"/>
      </w:pPr>
      <w:r>
        <w:t>Social housing enables tenants to take up opportunities to more fully participate in and contribute to the community and achieve their potential.  Working in partnership with the specialist homelessness service providers, Housing ACT assists vulnerable families to improve their social inclusion by providing secure long term sustainable housing and appropriate support and assistance that builds foundation skills, capacity and resilience.</w:t>
      </w:r>
    </w:p>
    <w:p w:rsidR="00B76273" w:rsidRDefault="00B76273" w:rsidP="00B76273">
      <w:pPr>
        <w:pStyle w:val="Heading3"/>
      </w:pPr>
      <w:bookmarkStart w:id="59" w:name="_Toc514926353"/>
      <w:r>
        <w:t>Strategic Indicator 2</w:t>
      </w:r>
      <w:bookmarkEnd w:id="59"/>
    </w:p>
    <w:p w:rsidR="00B76273" w:rsidRDefault="00B76273" w:rsidP="00B76273">
      <w:pPr>
        <w:pStyle w:val="Heading4"/>
      </w:pPr>
      <w:r>
        <w:t>Proportion of tenants indicating that public housing assists them in participating in the community</w:t>
      </w:r>
    </w:p>
    <w:p w:rsidR="00B76273" w:rsidRDefault="00B76273" w:rsidP="00B76273">
      <w:pPr>
        <w:pStyle w:val="Normal2"/>
      </w:pPr>
      <w:r>
        <w:t>Social housing helps build stronger, safer and more cohesive communities through reducing disadvantage and exclusion for some of the most vulnerable in the community.  Improving access to education, training and employment opportunities better enables tenants to engage in social, cultural, civic and recreational activities and thereby more fully participate in the community and achieve their potential.</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B76273" w:rsidTr="00174BAC">
        <w:trPr>
          <w:cantSplit/>
          <w:trHeight w:val="219"/>
          <w:jc w:val="center"/>
        </w:trPr>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2017-18</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2018-19</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2019-20</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2020-21</w:t>
            </w:r>
          </w:p>
        </w:tc>
        <w:tc>
          <w:tcPr>
            <w:tcW w:w="1821" w:type="dxa"/>
            <w:tcBorders>
              <w:top w:val="single" w:sz="4" w:space="0" w:color="auto"/>
              <w:left w:val="nil"/>
              <w:bottom w:val="nil"/>
              <w:right w:val="nil"/>
            </w:tcBorders>
            <w:noWrap/>
            <w:tcMar>
              <w:top w:w="20" w:type="dxa"/>
              <w:left w:w="20" w:type="dxa"/>
              <w:bottom w:w="0" w:type="dxa"/>
              <w:right w:w="20" w:type="dxa"/>
            </w:tcMar>
            <w:vAlign w:val="center"/>
            <w:hideMark/>
          </w:tcPr>
          <w:p w:rsidR="00B76273" w:rsidRDefault="00B76273" w:rsidP="00174BAC">
            <w:pPr>
              <w:pStyle w:val="BStabletextbold"/>
              <w:jc w:val="right"/>
              <w:rPr>
                <w:rFonts w:eastAsia="Arial Unicode MS"/>
              </w:rPr>
            </w:pPr>
            <w:r>
              <w:rPr>
                <w:rFonts w:eastAsia="Arial Unicode MS"/>
              </w:rPr>
              <w:t>2021-22</w:t>
            </w:r>
          </w:p>
        </w:tc>
      </w:tr>
      <w:tr w:rsidR="00B76273" w:rsidTr="00174BAC">
        <w:trPr>
          <w:cantSplit/>
          <w:trHeight w:val="321"/>
          <w:jc w:val="center"/>
        </w:trPr>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Estimate</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Estimate</w:t>
            </w:r>
          </w:p>
        </w:tc>
        <w:tc>
          <w:tcPr>
            <w:tcW w:w="1821" w:type="dxa"/>
            <w:noWrap/>
            <w:tcMar>
              <w:top w:w="20" w:type="dxa"/>
              <w:left w:w="20" w:type="dxa"/>
              <w:bottom w:w="0" w:type="dxa"/>
              <w:right w:w="20" w:type="dxa"/>
            </w:tcMar>
            <w:vAlign w:val="center"/>
            <w:hideMark/>
          </w:tcPr>
          <w:p w:rsidR="00B76273" w:rsidRDefault="00B76273" w:rsidP="00174BAC">
            <w:pPr>
              <w:pStyle w:val="BStabletextbold"/>
              <w:jc w:val="right"/>
              <w:rPr>
                <w:rFonts w:eastAsia="Arial Unicode MS"/>
              </w:rPr>
            </w:pPr>
            <w:r>
              <w:rPr>
                <w:rFonts w:eastAsia="Arial Unicode MS"/>
              </w:rPr>
              <w:t>Estimate</w:t>
            </w:r>
          </w:p>
        </w:tc>
      </w:tr>
      <w:tr w:rsidR="00B76273" w:rsidTr="00174BAC">
        <w:trPr>
          <w:cantSplit/>
          <w:trHeight w:val="284"/>
          <w:jc w:val="center"/>
        </w:trPr>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pPr>
            <w:r>
              <w:t>79%</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79%</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80%</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80%</w:t>
            </w:r>
          </w:p>
        </w:tc>
        <w:tc>
          <w:tcPr>
            <w:tcW w:w="1821" w:type="dxa"/>
            <w:tcBorders>
              <w:top w:val="single" w:sz="4" w:space="0" w:color="auto"/>
              <w:left w:val="nil"/>
              <w:bottom w:val="single" w:sz="4" w:space="0" w:color="auto"/>
              <w:right w:val="nil"/>
            </w:tcBorders>
            <w:noWrap/>
            <w:tcMar>
              <w:top w:w="20" w:type="dxa"/>
              <w:left w:w="20" w:type="dxa"/>
              <w:bottom w:w="0" w:type="dxa"/>
              <w:right w:w="20" w:type="dxa"/>
            </w:tcMar>
            <w:vAlign w:val="center"/>
            <w:hideMark/>
          </w:tcPr>
          <w:p w:rsidR="00B76273" w:rsidRDefault="00B76273" w:rsidP="00174BAC">
            <w:pPr>
              <w:pStyle w:val="BStablefigures0"/>
              <w:rPr>
                <w:highlight w:val="yellow"/>
              </w:rPr>
            </w:pPr>
            <w:r>
              <w:t>81%</w:t>
            </w:r>
          </w:p>
        </w:tc>
      </w:tr>
    </w:tbl>
    <w:p w:rsidR="00B76273" w:rsidRDefault="00B76273" w:rsidP="00B76273">
      <w:pPr>
        <w:pStyle w:val="Heading3"/>
      </w:pPr>
    </w:p>
    <w:p w:rsidR="00B76273" w:rsidRDefault="00B76273" w:rsidP="00B76273">
      <w:pPr>
        <w:pStyle w:val="Heading3"/>
      </w:pPr>
      <w:bookmarkStart w:id="60" w:name="_Toc514926354"/>
      <w:r>
        <w:t>Strategic Objective 3</w:t>
      </w:r>
      <w:bookmarkEnd w:id="60"/>
      <w:r>
        <w:t xml:space="preserve"> </w:t>
      </w:r>
    </w:p>
    <w:p w:rsidR="00B76273" w:rsidRDefault="00B76273" w:rsidP="00B76273">
      <w:pPr>
        <w:pStyle w:val="Heading4"/>
      </w:pPr>
      <w:r>
        <w:t>Prevention and reduction of homelessness</w:t>
      </w:r>
    </w:p>
    <w:p w:rsidR="00B76273" w:rsidRPr="00D83F22" w:rsidRDefault="00B76273" w:rsidP="00B76273">
      <w:pPr>
        <w:pStyle w:val="Normal2"/>
      </w:pPr>
      <w:r>
        <w:t>A key to successful housing outcomes for those transitioning from homelessness or crisis accommodation is access to appropriate and adequate supports to assist them in achieving sustainable housing.</w:t>
      </w:r>
    </w:p>
    <w:p w:rsidR="00B76273" w:rsidRDefault="00B76273" w:rsidP="00B76273">
      <w:pPr>
        <w:pStyle w:val="Heading3"/>
      </w:pPr>
      <w:bookmarkStart w:id="61" w:name="_Toc514926355"/>
      <w:r>
        <w:t xml:space="preserve">Strategic Indicator 3 </w:t>
      </w:r>
      <w:r w:rsidRPr="00FA4221">
        <w:rPr>
          <w:vertAlign w:val="superscript"/>
        </w:rPr>
        <w:t>1</w:t>
      </w:r>
      <w:bookmarkEnd w:id="61"/>
    </w:p>
    <w:p w:rsidR="00B76273" w:rsidRDefault="00B76273" w:rsidP="00B76273">
      <w:pPr>
        <w:pStyle w:val="Heading4"/>
      </w:pPr>
      <w:r>
        <w:t>People who are homeless or at risk of homelessness are assisted to achieve independent housing</w:t>
      </w:r>
    </w:p>
    <w:p w:rsidR="00B76273" w:rsidRDefault="00B76273" w:rsidP="00B76273">
      <w:pPr>
        <w:pStyle w:val="Normal2"/>
        <w:spacing w:after="120"/>
      </w:pPr>
      <w:r>
        <w:t xml:space="preserve">Specialist homelessness services support people who are homeless or at risk of homelessness to achieve sustainable housing, social inclusion and greater economic participation – re-establishing their capacity to live independently – through the delivery of a range of support services which may include supported accommodation. This indicator shows the achievement of independent housing outcomes as a result of the support and assistance provided through specialist homelessness services. It is measured as the proportion of all specialist homelessness services clients (with a closed support period in the financial year) who achieve independent housing at the end of support.  Independent housing refers to public or community housing (whether renter or rent free) and private or other housing (whether renter, rent free or owner). </w:t>
      </w:r>
    </w:p>
    <w:tbl>
      <w:tblPr>
        <w:tblW w:w="0" w:type="dxa"/>
        <w:jc w:val="center"/>
        <w:tblLayout w:type="fixed"/>
        <w:tblCellMar>
          <w:left w:w="0" w:type="dxa"/>
          <w:right w:w="113" w:type="dxa"/>
        </w:tblCellMar>
        <w:tblLook w:val="04A0" w:firstRow="1" w:lastRow="0" w:firstColumn="1" w:lastColumn="0" w:noHBand="0" w:noVBand="1"/>
      </w:tblPr>
      <w:tblGrid>
        <w:gridCol w:w="1821"/>
        <w:gridCol w:w="1821"/>
        <w:gridCol w:w="1821"/>
        <w:gridCol w:w="1821"/>
        <w:gridCol w:w="1821"/>
      </w:tblGrid>
      <w:tr w:rsidR="00B76273" w:rsidTr="00174BAC">
        <w:trPr>
          <w:cantSplit/>
          <w:trHeight w:val="219"/>
          <w:jc w:val="center"/>
        </w:trPr>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2017-18</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2018-19</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2019-20</w:t>
            </w:r>
          </w:p>
        </w:tc>
        <w:tc>
          <w:tcPr>
            <w:tcW w:w="1821" w:type="dxa"/>
            <w:tcBorders>
              <w:top w:val="single" w:sz="4" w:space="0" w:color="auto"/>
              <w:left w:val="nil"/>
              <w:bottom w:val="nil"/>
              <w:right w:val="nil"/>
            </w:tcBorders>
            <w:vAlign w:val="center"/>
            <w:hideMark/>
          </w:tcPr>
          <w:p w:rsidR="00B76273" w:rsidRDefault="00B76273" w:rsidP="00174BAC">
            <w:pPr>
              <w:pStyle w:val="BStabletextbold"/>
              <w:jc w:val="right"/>
              <w:rPr>
                <w:rFonts w:eastAsia="Arial Unicode MS"/>
              </w:rPr>
            </w:pPr>
            <w:r>
              <w:rPr>
                <w:rFonts w:eastAsia="Arial Unicode MS"/>
              </w:rPr>
              <w:t>2020-21</w:t>
            </w:r>
          </w:p>
        </w:tc>
        <w:tc>
          <w:tcPr>
            <w:tcW w:w="1821" w:type="dxa"/>
            <w:tcBorders>
              <w:top w:val="single" w:sz="4" w:space="0" w:color="auto"/>
              <w:left w:val="nil"/>
              <w:bottom w:val="nil"/>
              <w:right w:val="nil"/>
            </w:tcBorders>
            <w:noWrap/>
            <w:tcMar>
              <w:top w:w="20" w:type="dxa"/>
              <w:left w:w="20" w:type="dxa"/>
              <w:bottom w:w="0" w:type="dxa"/>
              <w:right w:w="20" w:type="dxa"/>
            </w:tcMar>
            <w:vAlign w:val="center"/>
            <w:hideMark/>
          </w:tcPr>
          <w:p w:rsidR="00B76273" w:rsidRDefault="00B76273" w:rsidP="00174BAC">
            <w:pPr>
              <w:pStyle w:val="BStabletextbold"/>
              <w:jc w:val="right"/>
              <w:rPr>
                <w:rFonts w:eastAsia="Arial Unicode MS"/>
              </w:rPr>
            </w:pPr>
            <w:r>
              <w:rPr>
                <w:rFonts w:eastAsia="Arial Unicode MS"/>
              </w:rPr>
              <w:t>2021-22</w:t>
            </w:r>
          </w:p>
        </w:tc>
      </w:tr>
      <w:tr w:rsidR="00B76273" w:rsidTr="00174BAC">
        <w:trPr>
          <w:cantSplit/>
          <w:trHeight w:val="321"/>
          <w:jc w:val="center"/>
        </w:trPr>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Target</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Estimate</w:t>
            </w:r>
          </w:p>
        </w:tc>
        <w:tc>
          <w:tcPr>
            <w:tcW w:w="1821" w:type="dxa"/>
            <w:tcBorders>
              <w:top w:val="nil"/>
              <w:left w:val="nil"/>
              <w:bottom w:val="single" w:sz="4" w:space="0" w:color="auto"/>
              <w:right w:val="nil"/>
            </w:tcBorders>
            <w:vAlign w:val="center"/>
            <w:hideMark/>
          </w:tcPr>
          <w:p w:rsidR="00B76273" w:rsidRDefault="00B76273" w:rsidP="00174BAC">
            <w:pPr>
              <w:pStyle w:val="BStabletextbold"/>
              <w:jc w:val="right"/>
              <w:rPr>
                <w:rFonts w:eastAsia="Arial Unicode MS"/>
              </w:rPr>
            </w:pPr>
            <w:r>
              <w:rPr>
                <w:rFonts w:eastAsia="Arial Unicode MS"/>
              </w:rPr>
              <w:t>Estimate</w:t>
            </w:r>
          </w:p>
        </w:tc>
        <w:tc>
          <w:tcPr>
            <w:tcW w:w="1821" w:type="dxa"/>
            <w:noWrap/>
            <w:tcMar>
              <w:top w:w="20" w:type="dxa"/>
              <w:left w:w="20" w:type="dxa"/>
              <w:bottom w:w="0" w:type="dxa"/>
              <w:right w:w="20" w:type="dxa"/>
            </w:tcMar>
            <w:vAlign w:val="center"/>
            <w:hideMark/>
          </w:tcPr>
          <w:p w:rsidR="00B76273" w:rsidRDefault="00B76273" w:rsidP="00174BAC">
            <w:pPr>
              <w:pStyle w:val="BStabletextbold"/>
              <w:jc w:val="right"/>
              <w:rPr>
                <w:rFonts w:eastAsia="Arial Unicode MS"/>
              </w:rPr>
            </w:pPr>
            <w:r>
              <w:rPr>
                <w:rFonts w:eastAsia="Arial Unicode MS"/>
              </w:rPr>
              <w:t>Estimate</w:t>
            </w:r>
          </w:p>
        </w:tc>
      </w:tr>
      <w:tr w:rsidR="00B76273" w:rsidTr="00174BAC">
        <w:trPr>
          <w:cantSplit/>
          <w:trHeight w:val="284"/>
          <w:jc w:val="center"/>
        </w:trPr>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pPr>
            <w:r>
              <w:t>62%</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64%</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67%</w:t>
            </w:r>
          </w:p>
        </w:tc>
        <w:tc>
          <w:tcPr>
            <w:tcW w:w="1821" w:type="dxa"/>
            <w:tcBorders>
              <w:top w:val="single" w:sz="4" w:space="0" w:color="auto"/>
              <w:left w:val="nil"/>
              <w:bottom w:val="single" w:sz="4" w:space="0" w:color="auto"/>
              <w:right w:val="nil"/>
            </w:tcBorders>
            <w:vAlign w:val="center"/>
            <w:hideMark/>
          </w:tcPr>
          <w:p w:rsidR="00B76273" w:rsidRDefault="00B76273" w:rsidP="00174BAC">
            <w:pPr>
              <w:pStyle w:val="BStablefigures0"/>
              <w:rPr>
                <w:highlight w:val="yellow"/>
              </w:rPr>
            </w:pPr>
            <w:r>
              <w:t>70%</w:t>
            </w:r>
          </w:p>
        </w:tc>
        <w:tc>
          <w:tcPr>
            <w:tcW w:w="1821" w:type="dxa"/>
            <w:tcBorders>
              <w:top w:val="single" w:sz="4" w:space="0" w:color="auto"/>
              <w:left w:val="nil"/>
              <w:bottom w:val="single" w:sz="4" w:space="0" w:color="auto"/>
              <w:right w:val="nil"/>
            </w:tcBorders>
            <w:noWrap/>
            <w:tcMar>
              <w:top w:w="20" w:type="dxa"/>
              <w:left w:w="20" w:type="dxa"/>
              <w:bottom w:w="0" w:type="dxa"/>
              <w:right w:w="20" w:type="dxa"/>
            </w:tcMar>
            <w:vAlign w:val="center"/>
            <w:hideMark/>
          </w:tcPr>
          <w:p w:rsidR="00B76273" w:rsidRDefault="00B76273" w:rsidP="00174BAC">
            <w:pPr>
              <w:pStyle w:val="BStablefigures0"/>
              <w:rPr>
                <w:highlight w:val="yellow"/>
              </w:rPr>
            </w:pPr>
            <w:r>
              <w:t>73%</w:t>
            </w:r>
          </w:p>
        </w:tc>
      </w:tr>
    </w:tbl>
    <w:p w:rsidR="00B76273" w:rsidRDefault="00B76273" w:rsidP="00B76273">
      <w:pPr>
        <w:pStyle w:val="BSnote0"/>
      </w:pPr>
      <w:r>
        <w:t>Note:</w:t>
      </w:r>
    </w:p>
    <w:p w:rsidR="00B76273" w:rsidRDefault="00B76273" w:rsidP="007D648C">
      <w:pPr>
        <w:pStyle w:val="BSnoteslist0"/>
        <w:numPr>
          <w:ilvl w:val="0"/>
          <w:numId w:val="63"/>
        </w:numPr>
      </w:pPr>
      <w:r>
        <w:t>This indicator on the housing outcomes of people using homelessness services replaces an indicator on the employment outcome of people using homelessness services.  This new indicator is in closer alignment to the Government priority of improving access to appropriate housing including for those experiencing homelessness or at risk of homelessness due to domestic violence, as identified in the Government’s Enhancing Liveability and Social Inclusion priority.</w:t>
      </w:r>
    </w:p>
    <w:p w:rsidR="00B76273" w:rsidRDefault="00B76273" w:rsidP="00B76273">
      <w:pPr>
        <w:pStyle w:val="Heading23"/>
        <w:pageBreakBefore/>
      </w:pPr>
      <w:bookmarkStart w:id="62" w:name="_Toc514926356"/>
      <w:r>
        <w:t>Output Classes</w:t>
      </w:r>
      <w:bookmarkEnd w:id="62"/>
    </w:p>
    <w:p w:rsidR="00B76273" w:rsidRDefault="00B76273" w:rsidP="00B76273">
      <w:pPr>
        <w:pStyle w:val="Normal3"/>
      </w:pPr>
      <w:r>
        <w:t>Social housing primarily occurs through the provision of affordable rental housing.  A rental subsidy is provided to eligible tenants, based upon them paying no more than 25% of their assessable household income. In addition, social housing is provided to community housing providers, homelessness service providers and other specialist housing providers for their use to accommodate and support high needs and low income individuals and families.</w:t>
      </w:r>
    </w:p>
    <w:p w:rsidR="00B76273" w:rsidRDefault="00B76273" w:rsidP="00B76273">
      <w:pPr>
        <w:pStyle w:val="Normal3"/>
      </w:pPr>
      <w:r>
        <w:t>Housing ACT also funds homelessness service providers to provide intensive support and assistance to individuals and families who are homeless, and those who are at risk of becoming homeless, to address their individual circumstances and needs, and provide them with the skills and capacity to secure and sustain long term housing and better participate in the community.</w:t>
      </w:r>
    </w:p>
    <w:p w:rsidR="00B76273" w:rsidRDefault="00B76273" w:rsidP="00B76273">
      <w:pPr>
        <w:pStyle w:val="Normal3"/>
      </w:pPr>
      <w:r>
        <w:t>There is only one output class for the provision of social housing services.</w:t>
      </w:r>
    </w:p>
    <w:p w:rsidR="00B76273" w:rsidRDefault="00B76273" w:rsidP="00B76273">
      <w:pPr>
        <w:pStyle w:val="Heading30"/>
      </w:pPr>
      <w:bookmarkStart w:id="63" w:name="_Toc514926357"/>
      <w:r>
        <w:t xml:space="preserve">Output Class 1: </w:t>
      </w:r>
      <w:r w:rsidRPr="002E2C3A">
        <w:t>Social Housing Services</w:t>
      </w:r>
      <w:bookmarkEnd w:id="63"/>
    </w:p>
    <w:p w:rsidR="00B76273" w:rsidRDefault="00B76273" w:rsidP="00B76273">
      <w:pPr>
        <w:pStyle w:val="Caption0"/>
      </w:pPr>
      <w:r>
        <w:t xml:space="preserve">Table 37: Output Class 1: </w:t>
      </w:r>
      <w:r w:rsidRPr="002E2C3A">
        <w:t>Social Housing Services</w:t>
      </w:r>
    </w:p>
    <w:tbl>
      <w:tblPr>
        <w:tblW w:w="9060" w:type="dxa"/>
        <w:tblLayout w:type="fixed"/>
        <w:tblLook w:val="0600" w:firstRow="0" w:lastRow="0" w:firstColumn="0" w:lastColumn="0" w:noHBand="1" w:noVBand="1"/>
      </w:tblPr>
      <w:tblGrid>
        <w:gridCol w:w="4695"/>
        <w:gridCol w:w="540"/>
        <w:gridCol w:w="2175"/>
        <w:gridCol w:w="1650"/>
      </w:tblGrid>
      <w:tr w:rsidR="00B76273" w:rsidTr="00174BAC">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2018-19</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695" w:type="dxa"/>
            <w:tcBorders>
              <w:top w:val="nil"/>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Budget</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$'000</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B76273" w:rsidRPr="007D648C" w:rsidRDefault="00B76273" w:rsidP="00174BAC">
            <w:pPr>
              <w:pStyle w:val="Normal3"/>
              <w:spacing w:before="0" w:after="0"/>
              <w:rPr>
                <w:rFonts w:eastAsia="Calibri" w:cs="Calibri"/>
                <w:b/>
                <w:color w:val="000000"/>
                <w:sz w:val="18"/>
                <w:vertAlign w:val="superscript"/>
              </w:rPr>
            </w:pPr>
            <w:r>
              <w:rPr>
                <w:rFonts w:eastAsia="Calibri" w:cs="Calibri"/>
                <w:b/>
                <w:color w:val="000000"/>
                <w:sz w:val="18"/>
              </w:rPr>
              <w:t>Total Cost</w:t>
            </w:r>
            <w:r w:rsidR="007D648C">
              <w:rPr>
                <w:rFonts w:eastAsia="Calibri" w:cs="Calibri"/>
                <w:b/>
                <w:color w:val="000000"/>
                <w:sz w:val="18"/>
              </w:rPr>
              <w:t xml:space="preserve"> </w:t>
            </w:r>
            <w:r w:rsidR="007D648C">
              <w:rPr>
                <w:rFonts w:eastAsia="Calibri" w:cs="Calibri"/>
                <w:b/>
                <w:color w:val="000000"/>
                <w:sz w:val="18"/>
                <w:vertAlign w:val="superscript"/>
              </w:rPr>
              <w:t>1</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193,867</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196,710</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47,192</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48,637</w:t>
            </w:r>
          </w:p>
        </w:tc>
      </w:tr>
    </w:tbl>
    <w:p w:rsidR="00B76273" w:rsidRDefault="00B76273" w:rsidP="00B76273">
      <w:pPr>
        <w:pStyle w:val="BSnote0"/>
      </w:pPr>
      <w:r>
        <w:t>Note:</w:t>
      </w:r>
    </w:p>
    <w:p w:rsidR="00B76273" w:rsidRDefault="00B76273" w:rsidP="007D648C">
      <w:pPr>
        <w:pStyle w:val="BSnoteslist1"/>
        <w:numPr>
          <w:ilvl w:val="0"/>
          <w:numId w:val="64"/>
        </w:numPr>
      </w:pPr>
      <w:r>
        <w:t xml:space="preserve">Total cost </w:t>
      </w:r>
      <w:r w:rsidRPr="007D648C">
        <w:rPr>
          <w:szCs w:val="16"/>
        </w:rPr>
        <w:t>includes</w:t>
      </w:r>
      <w:r>
        <w:t xml:space="preserve"> depreciation and amortisation </w:t>
      </w:r>
      <w:r w:rsidRPr="002E2C3A">
        <w:t>of $</w:t>
      </w:r>
      <w:r>
        <w:t xml:space="preserve">39.003 million in 2017-18 </w:t>
      </w:r>
      <w:r w:rsidRPr="002E2C3A">
        <w:t>and $</w:t>
      </w:r>
      <w:r>
        <w:t>37.198</w:t>
      </w:r>
      <w:proofErr w:type="gramStart"/>
      <w:r>
        <w:t>  million</w:t>
      </w:r>
      <w:proofErr w:type="gramEnd"/>
      <w:r>
        <w:t xml:space="preserve"> in 2018-19.</w:t>
      </w:r>
    </w:p>
    <w:p w:rsidR="00B76273" w:rsidRDefault="00B76273" w:rsidP="00B76273">
      <w:pPr>
        <w:pStyle w:val="BSnoteslist1"/>
        <w:numPr>
          <w:ilvl w:val="0"/>
          <w:numId w:val="0"/>
        </w:numPr>
        <w:ind w:left="360" w:hanging="360"/>
      </w:pPr>
    </w:p>
    <w:p w:rsidR="00B76273" w:rsidRDefault="00B76273" w:rsidP="00B76273">
      <w:pPr>
        <w:pStyle w:val="Heading40"/>
      </w:pPr>
      <w:r>
        <w:t xml:space="preserve">Output </w:t>
      </w:r>
      <w:r w:rsidRPr="002E2C3A">
        <w:t>1.1: Social Housing Services</w:t>
      </w:r>
    </w:p>
    <w:p w:rsidR="00B76273" w:rsidRDefault="00B76273" w:rsidP="00B76273">
      <w:pPr>
        <w:pStyle w:val="Normal3"/>
      </w:pPr>
      <w:r>
        <w:t>The provision of safe, affordable and appropriate housing that supports tenants to sustain their housing long term through:</w:t>
      </w:r>
    </w:p>
    <w:p w:rsidR="00B76273" w:rsidRDefault="00B76273" w:rsidP="00B76273">
      <w:pPr>
        <w:pStyle w:val="BSbullet1"/>
        <w:numPr>
          <w:ilvl w:val="0"/>
          <w:numId w:val="13"/>
        </w:numPr>
        <w:jc w:val="both"/>
      </w:pPr>
      <w:r>
        <w:t>assessing an applicant’s eligibility for housing, priority category and their support needs;</w:t>
      </w:r>
    </w:p>
    <w:p w:rsidR="00B76273" w:rsidRDefault="00B76273" w:rsidP="00B76273">
      <w:pPr>
        <w:pStyle w:val="BSbullet1"/>
        <w:numPr>
          <w:ilvl w:val="0"/>
          <w:numId w:val="13"/>
        </w:numPr>
        <w:jc w:val="both"/>
      </w:pPr>
      <w:r>
        <w:t>allocating housing to eligible applicants and community housing providers and other community sector support providers that best meets the needs of tenants; and</w:t>
      </w:r>
    </w:p>
    <w:p w:rsidR="00B76273" w:rsidRDefault="00B76273" w:rsidP="00B76273">
      <w:pPr>
        <w:pStyle w:val="BSbullet1"/>
        <w:numPr>
          <w:ilvl w:val="0"/>
          <w:numId w:val="13"/>
        </w:numPr>
        <w:jc w:val="both"/>
      </w:pPr>
      <w:proofErr w:type="gramStart"/>
      <w:r>
        <w:t>managing</w:t>
      </w:r>
      <w:proofErr w:type="gramEnd"/>
      <w:r>
        <w:t xml:space="preserve"> the public housing property portfolio to ensure that it best meets the needs of tenants, and managing the social housing tenancies.</w:t>
      </w:r>
    </w:p>
    <w:p w:rsidR="00B76273" w:rsidRDefault="00B76273" w:rsidP="00B76273">
      <w:pPr>
        <w:pStyle w:val="Normal3"/>
      </w:pPr>
      <w:r>
        <w:t>Providing funding and support to the homelessness and community housing service providers to address homelessness and provide sustainable long term housing options.</w:t>
      </w:r>
    </w:p>
    <w:p w:rsidR="00B76273" w:rsidRDefault="00B76273" w:rsidP="00B76273">
      <w:pPr>
        <w:pStyle w:val="BSbullet1"/>
        <w:keepNext/>
        <w:keepLines/>
        <w:numPr>
          <w:ilvl w:val="0"/>
          <w:numId w:val="0"/>
        </w:numPr>
        <w:tabs>
          <w:tab w:val="left" w:pos="720"/>
        </w:tabs>
        <w:rPr>
          <w:b/>
        </w:rPr>
      </w:pPr>
      <w:r>
        <w:rPr>
          <w:b/>
        </w:rPr>
        <w:t xml:space="preserve">Table 38: Output 1.1:  </w:t>
      </w:r>
      <w:r w:rsidRPr="002E2C3A">
        <w:rPr>
          <w:b/>
        </w:rPr>
        <w:t>Social Housing Services</w:t>
      </w:r>
    </w:p>
    <w:tbl>
      <w:tblPr>
        <w:tblW w:w="9060" w:type="dxa"/>
        <w:tblLayout w:type="fixed"/>
        <w:tblLook w:val="0600" w:firstRow="0" w:lastRow="0" w:firstColumn="0" w:lastColumn="0" w:noHBand="1" w:noVBand="1"/>
      </w:tblPr>
      <w:tblGrid>
        <w:gridCol w:w="4695"/>
        <w:gridCol w:w="540"/>
        <w:gridCol w:w="2175"/>
        <w:gridCol w:w="1650"/>
      </w:tblGrid>
      <w:tr w:rsidR="00B76273" w:rsidTr="00174BAC">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2017-18</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2018-19</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nil"/>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540" w:type="dxa"/>
            <w:tcBorders>
              <w:top w:val="nil"/>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2175" w:type="dxa"/>
            <w:tcBorders>
              <w:top w:val="nil"/>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Estimated Outcome</w:t>
            </w:r>
          </w:p>
        </w:tc>
        <w:tc>
          <w:tcPr>
            <w:tcW w:w="1650" w:type="dxa"/>
            <w:tcBorders>
              <w:top w:val="nil"/>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Budget</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$'000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b/>
                <w:color w:val="000000"/>
                <w:sz w:val="18"/>
              </w:rPr>
            </w:pPr>
            <w:r>
              <w:rPr>
                <w:rFonts w:eastAsia="Calibri" w:cs="Calibri"/>
                <w:b/>
                <w:color w:val="000000"/>
                <w:sz w:val="18"/>
              </w:rPr>
              <w:t>$'000</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695"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b/>
                <w:color w:val="000000"/>
                <w:sz w:val="18"/>
              </w:rPr>
            </w:pPr>
            <w:r>
              <w:rPr>
                <w:rFonts w:eastAsia="Calibri" w:cs="Calibri"/>
                <w:b/>
                <w:color w:val="000000"/>
                <w:sz w:val="18"/>
              </w:rPr>
              <w:t>Total Cost</w:t>
            </w:r>
          </w:p>
        </w:tc>
        <w:tc>
          <w:tcPr>
            <w:tcW w:w="54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b/>
                <w:color w:val="000000"/>
                <w:sz w:val="18"/>
              </w:rPr>
            </w:pP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193,867</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196,710</w:t>
            </w:r>
          </w:p>
        </w:tc>
      </w:tr>
      <w:tr w:rsidR="00B76273" w:rsidTr="00174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9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b/>
                <w:color w:val="000000"/>
                <w:sz w:val="18"/>
              </w:rPr>
            </w:pPr>
            <w:r>
              <w:rPr>
                <w:rFonts w:eastAsia="Calibri" w:cs="Calibri"/>
                <w:b/>
                <w:color w:val="000000"/>
                <w:sz w:val="18"/>
              </w:rPr>
              <w:t>Controlled Recurrent Payments</w:t>
            </w:r>
          </w:p>
        </w:tc>
        <w:tc>
          <w:tcPr>
            <w:tcW w:w="54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rPr>
                <w:rFonts w:eastAsia="Calibri" w:cs="Calibri"/>
                <w:b/>
                <w:color w:val="000000"/>
                <w:sz w:val="18"/>
              </w:rPr>
            </w:pP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47,192</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rsidR="00B76273" w:rsidRDefault="00B76273" w:rsidP="00174BAC">
            <w:pPr>
              <w:pStyle w:val="Normal3"/>
              <w:spacing w:before="0" w:after="0"/>
              <w:jc w:val="right"/>
              <w:rPr>
                <w:rFonts w:eastAsia="Calibri" w:cs="Calibri"/>
                <w:color w:val="000000"/>
                <w:sz w:val="18"/>
              </w:rPr>
            </w:pPr>
            <w:r>
              <w:rPr>
                <w:rFonts w:eastAsia="Calibri" w:cs="Calibri"/>
                <w:color w:val="000000"/>
                <w:sz w:val="18"/>
              </w:rPr>
              <w:t>48,637</w:t>
            </w:r>
          </w:p>
        </w:tc>
      </w:tr>
    </w:tbl>
    <w:p w:rsidR="00B76273" w:rsidRDefault="00B76273" w:rsidP="00B76273">
      <w:pPr>
        <w:pStyle w:val="Heading24"/>
        <w:pageBreakBefore/>
      </w:pPr>
      <w:bookmarkStart w:id="64" w:name="_Toc514926358"/>
      <w:r>
        <w:t>Accountability Indicators</w:t>
      </w:r>
      <w:bookmarkEnd w:id="64"/>
    </w:p>
    <w:p w:rsidR="00B76273" w:rsidRDefault="00B76273" w:rsidP="00B76273">
      <w:pPr>
        <w:pStyle w:val="Heading31"/>
      </w:pPr>
      <w:bookmarkStart w:id="65" w:name="_Toc514926359"/>
      <w:r>
        <w:t>Output Class 1: Social Housing Services</w:t>
      </w:r>
      <w:bookmarkEnd w:id="65"/>
    </w:p>
    <w:p w:rsidR="00B76273" w:rsidRDefault="00B76273" w:rsidP="00B76273">
      <w:pPr>
        <w:pStyle w:val="Heading41"/>
      </w:pPr>
      <w:r>
        <w:t>Output 1.1: Social Housing Services</w:t>
      </w:r>
    </w:p>
    <w:p w:rsidR="00B76273" w:rsidRDefault="00B76273" w:rsidP="00B76273">
      <w:pPr>
        <w:pStyle w:val="Caption1"/>
        <w:rPr>
          <w:noProof/>
        </w:rPr>
      </w:pPr>
      <w:r>
        <w:t>Table 39</w:t>
      </w:r>
      <w:r>
        <w:rPr>
          <w:noProof/>
        </w:rPr>
        <w:t>:</w:t>
      </w:r>
      <w:r>
        <w:t xml:space="preserve"> Accountability Indicators</w:t>
      </w:r>
      <w:r>
        <w:rPr>
          <w:noProof/>
        </w:rPr>
        <w:t xml:space="preserve"> Output 1.1</w:t>
      </w:r>
    </w:p>
    <w:tbl>
      <w:tblPr>
        <w:tblW w:w="5000" w:type="pct"/>
        <w:tblBorders>
          <w:top w:val="single" w:sz="12" w:space="0" w:color="000000"/>
          <w:bottom w:val="single" w:sz="12" w:space="0" w:color="000000"/>
        </w:tblBorders>
        <w:tblLook w:val="04A0" w:firstRow="1" w:lastRow="0" w:firstColumn="1" w:lastColumn="0" w:noHBand="0" w:noVBand="1"/>
      </w:tblPr>
      <w:tblGrid>
        <w:gridCol w:w="5955"/>
        <w:gridCol w:w="848"/>
        <w:gridCol w:w="1134"/>
        <w:gridCol w:w="1089"/>
      </w:tblGrid>
      <w:tr w:rsidR="00B76273" w:rsidRPr="00174BAC" w:rsidTr="00174BAC">
        <w:trPr>
          <w:tblHeader/>
        </w:trPr>
        <w:tc>
          <w:tcPr>
            <w:tcW w:w="3298" w:type="pct"/>
            <w:tcBorders>
              <w:top w:val="single" w:sz="12" w:space="0" w:color="000000"/>
              <w:left w:val="nil"/>
              <w:bottom w:val="single" w:sz="12" w:space="0" w:color="000000"/>
              <w:right w:val="nil"/>
            </w:tcBorders>
          </w:tcPr>
          <w:p w:rsidR="00B76273" w:rsidRPr="00174BAC" w:rsidRDefault="00B76273" w:rsidP="00174BAC">
            <w:pPr>
              <w:pStyle w:val="BStabletext1"/>
              <w:rPr>
                <w:rFonts w:asciiTheme="minorHAnsi" w:hAnsiTheme="minorHAnsi"/>
                <w:sz w:val="18"/>
                <w:szCs w:val="18"/>
              </w:rPr>
            </w:pPr>
          </w:p>
        </w:tc>
        <w:tc>
          <w:tcPr>
            <w:tcW w:w="470" w:type="pct"/>
            <w:tcBorders>
              <w:top w:val="single" w:sz="12" w:space="0" w:color="000000"/>
              <w:left w:val="nil"/>
              <w:bottom w:val="single" w:sz="12" w:space="0" w:color="000000"/>
              <w:right w:val="nil"/>
            </w:tcBorders>
            <w:hideMark/>
          </w:tcPr>
          <w:p w:rsidR="00B76273" w:rsidRPr="00174BAC" w:rsidRDefault="00B76273" w:rsidP="00174BAC">
            <w:pPr>
              <w:pStyle w:val="BStableheading11"/>
              <w:framePr w:wrap="around"/>
              <w:rPr>
                <w:rFonts w:asciiTheme="minorHAnsi" w:hAnsiTheme="minorHAnsi"/>
                <w:sz w:val="18"/>
                <w:szCs w:val="18"/>
              </w:rPr>
            </w:pPr>
            <w:r w:rsidRPr="00174BAC">
              <w:rPr>
                <w:rFonts w:asciiTheme="minorHAnsi" w:hAnsiTheme="minorHAnsi"/>
                <w:sz w:val="18"/>
                <w:szCs w:val="18"/>
              </w:rPr>
              <w:t>2017-18</w:t>
            </w:r>
          </w:p>
          <w:p w:rsidR="00B76273" w:rsidRPr="00174BAC" w:rsidRDefault="00B76273" w:rsidP="00174BAC">
            <w:pPr>
              <w:pStyle w:val="BStableheading11"/>
              <w:framePr w:wrap="around"/>
              <w:rPr>
                <w:rFonts w:asciiTheme="minorHAnsi" w:hAnsiTheme="minorHAnsi"/>
                <w:sz w:val="18"/>
                <w:szCs w:val="18"/>
              </w:rPr>
            </w:pPr>
            <w:r w:rsidRPr="00174BAC">
              <w:rPr>
                <w:rFonts w:asciiTheme="minorHAnsi" w:hAnsiTheme="minorHAnsi"/>
                <w:sz w:val="18"/>
                <w:szCs w:val="18"/>
              </w:rPr>
              <w:t>Targets</w:t>
            </w:r>
          </w:p>
        </w:tc>
        <w:tc>
          <w:tcPr>
            <w:tcW w:w="628" w:type="pct"/>
            <w:tcBorders>
              <w:top w:val="single" w:sz="12" w:space="0" w:color="000000"/>
              <w:left w:val="nil"/>
              <w:bottom w:val="single" w:sz="12" w:space="0" w:color="000000"/>
              <w:right w:val="nil"/>
            </w:tcBorders>
            <w:hideMark/>
          </w:tcPr>
          <w:p w:rsidR="00B76273" w:rsidRPr="00174BAC" w:rsidRDefault="00B76273" w:rsidP="00174BAC">
            <w:pPr>
              <w:pStyle w:val="BStableheading11"/>
              <w:framePr w:wrap="around"/>
              <w:rPr>
                <w:rFonts w:asciiTheme="minorHAnsi" w:hAnsiTheme="minorHAnsi"/>
                <w:sz w:val="18"/>
                <w:szCs w:val="18"/>
              </w:rPr>
            </w:pPr>
            <w:r w:rsidRPr="00174BAC">
              <w:rPr>
                <w:rFonts w:asciiTheme="minorHAnsi" w:hAnsiTheme="minorHAnsi"/>
                <w:sz w:val="18"/>
                <w:szCs w:val="18"/>
              </w:rPr>
              <w:t>2017-18</w:t>
            </w:r>
          </w:p>
          <w:p w:rsidR="00B76273" w:rsidRPr="00174BAC" w:rsidRDefault="00B76273" w:rsidP="00174BAC">
            <w:pPr>
              <w:pStyle w:val="BStableheading11"/>
              <w:framePr w:wrap="around"/>
              <w:rPr>
                <w:rFonts w:asciiTheme="minorHAnsi" w:hAnsiTheme="minorHAnsi"/>
                <w:sz w:val="18"/>
                <w:szCs w:val="18"/>
              </w:rPr>
            </w:pPr>
            <w:r w:rsidRPr="00174BAC">
              <w:rPr>
                <w:rFonts w:asciiTheme="minorHAnsi" w:hAnsiTheme="minorHAnsi"/>
                <w:sz w:val="18"/>
                <w:szCs w:val="18"/>
              </w:rPr>
              <w:t>Estimated Outcome</w:t>
            </w:r>
          </w:p>
        </w:tc>
        <w:tc>
          <w:tcPr>
            <w:tcW w:w="603" w:type="pct"/>
            <w:tcBorders>
              <w:top w:val="single" w:sz="12" w:space="0" w:color="000000"/>
              <w:left w:val="nil"/>
              <w:bottom w:val="single" w:sz="12" w:space="0" w:color="000000"/>
              <w:right w:val="nil"/>
            </w:tcBorders>
            <w:hideMark/>
          </w:tcPr>
          <w:p w:rsidR="00B76273" w:rsidRPr="00174BAC" w:rsidRDefault="00B76273" w:rsidP="00174BAC">
            <w:pPr>
              <w:pStyle w:val="BStableheading11"/>
              <w:framePr w:wrap="around"/>
              <w:rPr>
                <w:rFonts w:asciiTheme="minorHAnsi" w:hAnsiTheme="minorHAnsi"/>
                <w:sz w:val="18"/>
                <w:szCs w:val="18"/>
              </w:rPr>
            </w:pPr>
            <w:r w:rsidRPr="00174BAC">
              <w:rPr>
                <w:rFonts w:asciiTheme="minorHAnsi" w:hAnsiTheme="minorHAnsi"/>
                <w:sz w:val="18"/>
                <w:szCs w:val="18"/>
              </w:rPr>
              <w:t>2018-19</w:t>
            </w:r>
          </w:p>
          <w:p w:rsidR="00B76273" w:rsidRPr="00174BAC" w:rsidRDefault="00B76273" w:rsidP="00174BAC">
            <w:pPr>
              <w:pStyle w:val="BStableheading11"/>
              <w:framePr w:wrap="around"/>
              <w:rPr>
                <w:rFonts w:asciiTheme="minorHAnsi" w:hAnsiTheme="minorHAnsi"/>
                <w:sz w:val="18"/>
                <w:szCs w:val="18"/>
              </w:rPr>
            </w:pPr>
            <w:r w:rsidRPr="00174BAC">
              <w:rPr>
                <w:rFonts w:asciiTheme="minorHAnsi" w:hAnsiTheme="minorHAnsi"/>
                <w:sz w:val="18"/>
                <w:szCs w:val="18"/>
              </w:rPr>
              <w:t>Targets</w:t>
            </w:r>
          </w:p>
        </w:tc>
      </w:tr>
      <w:tr w:rsidR="00B76273" w:rsidRPr="00174BAC" w:rsidTr="00174BAC">
        <w:trPr>
          <w:trHeight w:val="283"/>
        </w:trPr>
        <w:tc>
          <w:tcPr>
            <w:tcW w:w="3298" w:type="pct"/>
            <w:tcBorders>
              <w:top w:val="nil"/>
              <w:left w:val="nil"/>
              <w:bottom w:val="nil"/>
              <w:right w:val="nil"/>
            </w:tcBorders>
            <w:hideMark/>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Allocation of housing to those in greatest need</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98%</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99%</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98%</w:t>
            </w:r>
          </w:p>
        </w:tc>
      </w:tr>
      <w:tr w:rsidR="00B76273" w:rsidRPr="00174BAC" w:rsidTr="00174BAC">
        <w:trPr>
          <w:trHeight w:val="283"/>
        </w:trPr>
        <w:tc>
          <w:tcPr>
            <w:tcW w:w="3298" w:type="pct"/>
            <w:tcBorders>
              <w:top w:val="nil"/>
              <w:left w:val="nil"/>
              <w:bottom w:val="nil"/>
              <w:right w:val="nil"/>
            </w:tcBorders>
            <w:hideMark/>
          </w:tcPr>
          <w:p w:rsidR="00B76273" w:rsidRPr="00174BAC" w:rsidRDefault="00B76273" w:rsidP="00174BAC">
            <w:pPr>
              <w:pStyle w:val="BStablelist"/>
              <w:numPr>
                <w:ilvl w:val="0"/>
                <w:numId w:val="0"/>
              </w:numPr>
              <w:ind w:left="369"/>
              <w:rPr>
                <w:rFonts w:asciiTheme="minorHAnsi" w:hAnsiTheme="minorHAnsi"/>
                <w:sz w:val="18"/>
                <w:szCs w:val="18"/>
              </w:rPr>
            </w:pPr>
            <w:r w:rsidRPr="00174BAC">
              <w:rPr>
                <w:rFonts w:asciiTheme="minorHAnsi" w:hAnsiTheme="minorHAnsi"/>
                <w:sz w:val="18"/>
                <w:szCs w:val="18"/>
              </w:rPr>
              <w:t>Percentage of public housing applications to priority and high need applicants</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r>
      <w:tr w:rsidR="00B76273" w:rsidRPr="00174BAC" w:rsidTr="00174BAC">
        <w:trPr>
          <w:trHeight w:val="283"/>
        </w:trPr>
        <w:tc>
          <w:tcPr>
            <w:tcW w:w="3298" w:type="pct"/>
            <w:tcBorders>
              <w:top w:val="nil"/>
              <w:left w:val="nil"/>
              <w:bottom w:val="nil"/>
              <w:right w:val="nil"/>
            </w:tcBorders>
            <w:hideMark/>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 xml:space="preserve">Number of social housing properties </w:t>
            </w:r>
            <w:r w:rsidRPr="00174BAC">
              <w:rPr>
                <w:rFonts w:asciiTheme="minorHAnsi" w:hAnsiTheme="minorHAnsi"/>
                <w:sz w:val="18"/>
                <w:szCs w:val="18"/>
                <w:vertAlign w:val="superscript"/>
              </w:rPr>
              <w:t>1</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11,637</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11,935</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11,809</w:t>
            </w:r>
          </w:p>
        </w:tc>
      </w:tr>
      <w:tr w:rsidR="00B76273" w:rsidRPr="00174BAC" w:rsidTr="00174BAC">
        <w:trPr>
          <w:trHeight w:val="283"/>
        </w:trPr>
        <w:tc>
          <w:tcPr>
            <w:tcW w:w="3298" w:type="pct"/>
            <w:tcBorders>
              <w:top w:val="nil"/>
              <w:left w:val="nil"/>
              <w:bottom w:val="nil"/>
              <w:right w:val="nil"/>
            </w:tcBorders>
            <w:hideMark/>
          </w:tcPr>
          <w:p w:rsidR="00B76273" w:rsidRPr="00174BAC" w:rsidRDefault="00B76273" w:rsidP="00174BAC">
            <w:pPr>
              <w:pStyle w:val="BStablelist"/>
              <w:numPr>
                <w:ilvl w:val="0"/>
                <w:numId w:val="0"/>
              </w:numPr>
              <w:ind w:left="369"/>
              <w:rPr>
                <w:rFonts w:asciiTheme="minorHAnsi" w:hAnsiTheme="minorHAnsi"/>
                <w:sz w:val="18"/>
                <w:szCs w:val="18"/>
              </w:rPr>
            </w:pPr>
            <w:r w:rsidRPr="00174BAC">
              <w:rPr>
                <w:rFonts w:asciiTheme="minorHAnsi" w:hAnsiTheme="minorHAnsi"/>
                <w:sz w:val="18"/>
                <w:szCs w:val="18"/>
              </w:rPr>
              <w:t>Includes all Housing ACT properties whether tenanted by public housing tenants or head leased to community service providers</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Number of tenancies managed by registered community housing providers</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1,770</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1,790</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1,800</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174BAC">
            <w:pPr>
              <w:pStyle w:val="BStablelist"/>
              <w:numPr>
                <w:ilvl w:val="0"/>
                <w:numId w:val="0"/>
              </w:numPr>
              <w:ind w:left="369"/>
              <w:rPr>
                <w:rFonts w:asciiTheme="minorHAnsi" w:hAnsiTheme="minorHAnsi"/>
                <w:sz w:val="18"/>
                <w:szCs w:val="18"/>
              </w:rPr>
            </w:pPr>
            <w:r w:rsidRPr="00174BAC">
              <w:rPr>
                <w:rFonts w:asciiTheme="minorHAnsi" w:hAnsiTheme="minorHAnsi"/>
                <w:sz w:val="18"/>
                <w:szCs w:val="18"/>
              </w:rPr>
              <w:t>Includes tenants in individual tenantable units such as group shared homes and properties head leased from Housing ACT</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Percentage of public housing tenants receiving a rebate</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95%</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95%</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95%</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 xml:space="preserve">Number of client service visits </w:t>
            </w:r>
            <w:r w:rsidRPr="00174BAC">
              <w:rPr>
                <w:rFonts w:asciiTheme="minorHAnsi" w:hAnsiTheme="minorHAnsi"/>
                <w:sz w:val="18"/>
                <w:szCs w:val="18"/>
                <w:vertAlign w:val="superscript"/>
              </w:rPr>
              <w:t>2</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9,000</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9,000</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12,500</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 xml:space="preserve">Satisfaction with provision of public housing </w:t>
            </w:r>
            <w:r w:rsidRPr="00174BAC">
              <w:rPr>
                <w:rFonts w:asciiTheme="minorHAnsi" w:hAnsiTheme="minorHAnsi"/>
                <w:sz w:val="18"/>
                <w:szCs w:val="18"/>
                <w:vertAlign w:val="superscript"/>
              </w:rPr>
              <w:t>3</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80%</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74%</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76%</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 xml:space="preserve">Average cost per dwelling of public housing </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$12,157</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$12,262</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$12,639</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 xml:space="preserve">Satisfaction with provision of community housing </w:t>
            </w:r>
            <w:r w:rsidRPr="00174BAC">
              <w:rPr>
                <w:rFonts w:asciiTheme="minorHAnsi" w:hAnsiTheme="minorHAnsi"/>
                <w:sz w:val="18"/>
                <w:szCs w:val="18"/>
                <w:vertAlign w:val="superscript"/>
              </w:rPr>
              <w:t>3</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85%</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76%</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81%</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Occupancy rate for public housing</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96%</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96%</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96%</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 xml:space="preserve">Percentage of public housing households with no rental debt </w:t>
            </w:r>
            <w:r w:rsidRPr="00174BAC">
              <w:rPr>
                <w:rFonts w:asciiTheme="minorHAnsi" w:hAnsiTheme="minorHAnsi"/>
                <w:sz w:val="18"/>
                <w:szCs w:val="18"/>
                <w:vertAlign w:val="superscript"/>
              </w:rPr>
              <w:t>4</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N/A</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N/A</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87%</w:t>
            </w:r>
          </w:p>
        </w:tc>
      </w:tr>
      <w:tr w:rsidR="00B76273" w:rsidRPr="00174BAC" w:rsidTr="00174BAC">
        <w:trPr>
          <w:trHeight w:val="283"/>
        </w:trPr>
        <w:tc>
          <w:tcPr>
            <w:tcW w:w="3298" w:type="pct"/>
            <w:tcBorders>
              <w:top w:val="nil"/>
              <w:left w:val="nil"/>
              <w:bottom w:val="nil"/>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 xml:space="preserve">Percentage of tenant accounts </w:t>
            </w:r>
            <w:r w:rsidRPr="00174BAC">
              <w:rPr>
                <w:rFonts w:asciiTheme="minorHAnsi" w:hAnsiTheme="minorHAnsi"/>
                <w:sz w:val="18"/>
                <w:szCs w:val="18"/>
                <w:u w:val="single"/>
              </w:rPr>
              <w:t>&gt;</w:t>
            </w:r>
            <w:r w:rsidRPr="00174BAC">
              <w:rPr>
                <w:rFonts w:asciiTheme="minorHAnsi" w:hAnsiTheme="minorHAnsi"/>
                <w:sz w:val="18"/>
                <w:szCs w:val="18"/>
              </w:rPr>
              <w:t xml:space="preserve"> $500 and four or more weeks in arrears on repayment agreements </w:t>
            </w:r>
            <w:r w:rsidRPr="00174BAC">
              <w:rPr>
                <w:rFonts w:asciiTheme="minorHAnsi" w:hAnsiTheme="minorHAnsi"/>
                <w:sz w:val="18"/>
                <w:szCs w:val="18"/>
                <w:vertAlign w:val="superscript"/>
              </w:rPr>
              <w:t>4</w:t>
            </w:r>
          </w:p>
        </w:tc>
        <w:tc>
          <w:tcPr>
            <w:tcW w:w="470"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90%</w:t>
            </w:r>
          </w:p>
        </w:tc>
        <w:tc>
          <w:tcPr>
            <w:tcW w:w="628"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75%</w:t>
            </w:r>
          </w:p>
        </w:tc>
        <w:tc>
          <w:tcPr>
            <w:tcW w:w="603" w:type="pct"/>
            <w:tcBorders>
              <w:top w:val="nil"/>
              <w:left w:val="nil"/>
              <w:bottom w:val="nil"/>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N/A</w:t>
            </w:r>
          </w:p>
        </w:tc>
      </w:tr>
      <w:tr w:rsidR="00B76273" w:rsidRPr="00174BAC" w:rsidTr="00174BAC">
        <w:trPr>
          <w:trHeight w:val="283"/>
        </w:trPr>
        <w:tc>
          <w:tcPr>
            <w:tcW w:w="3298" w:type="pct"/>
            <w:tcBorders>
              <w:top w:val="nil"/>
              <w:left w:val="nil"/>
              <w:bottom w:val="single" w:sz="12" w:space="0" w:color="000000"/>
              <w:right w:val="nil"/>
            </w:tcBorders>
          </w:tcPr>
          <w:p w:rsidR="00B76273" w:rsidRPr="00174BAC" w:rsidRDefault="00B76273" w:rsidP="00763F99">
            <w:pPr>
              <w:pStyle w:val="BStablelist"/>
              <w:numPr>
                <w:ilvl w:val="0"/>
                <w:numId w:val="71"/>
              </w:numPr>
              <w:rPr>
                <w:rFonts w:asciiTheme="minorHAnsi" w:hAnsiTheme="minorHAnsi"/>
                <w:sz w:val="18"/>
                <w:szCs w:val="18"/>
              </w:rPr>
            </w:pPr>
            <w:r w:rsidRPr="00174BAC">
              <w:rPr>
                <w:rFonts w:asciiTheme="minorHAnsi" w:hAnsiTheme="minorHAnsi"/>
                <w:sz w:val="18"/>
                <w:szCs w:val="18"/>
              </w:rPr>
              <w:t>Percentage of rent received</w:t>
            </w:r>
          </w:p>
        </w:tc>
        <w:tc>
          <w:tcPr>
            <w:tcW w:w="470" w:type="pct"/>
            <w:tcBorders>
              <w:top w:val="nil"/>
              <w:left w:val="nil"/>
              <w:bottom w:val="single" w:sz="12" w:space="0" w:color="000000"/>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99%</w:t>
            </w:r>
          </w:p>
        </w:tc>
        <w:tc>
          <w:tcPr>
            <w:tcW w:w="628" w:type="pct"/>
            <w:tcBorders>
              <w:top w:val="nil"/>
              <w:left w:val="nil"/>
              <w:bottom w:val="single" w:sz="12" w:space="0" w:color="000000"/>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98%</w:t>
            </w:r>
          </w:p>
        </w:tc>
        <w:tc>
          <w:tcPr>
            <w:tcW w:w="603" w:type="pct"/>
            <w:tcBorders>
              <w:top w:val="nil"/>
              <w:left w:val="nil"/>
              <w:bottom w:val="single" w:sz="12" w:space="0" w:color="000000"/>
              <w:right w:val="nil"/>
            </w:tcBorders>
          </w:tcPr>
          <w:p w:rsidR="00B76273" w:rsidRPr="00174BAC" w:rsidRDefault="00B76273" w:rsidP="00174BAC">
            <w:pPr>
              <w:pStyle w:val="BStablefigures1"/>
              <w:rPr>
                <w:rFonts w:asciiTheme="minorHAnsi" w:hAnsiTheme="minorHAnsi"/>
                <w:b w:val="0"/>
                <w:sz w:val="18"/>
                <w:szCs w:val="18"/>
              </w:rPr>
            </w:pPr>
            <w:r w:rsidRPr="00174BAC">
              <w:rPr>
                <w:rFonts w:asciiTheme="minorHAnsi" w:hAnsiTheme="minorHAnsi"/>
                <w:b w:val="0"/>
                <w:sz w:val="18"/>
                <w:szCs w:val="18"/>
              </w:rPr>
              <w:t>98%</w:t>
            </w:r>
          </w:p>
        </w:tc>
      </w:tr>
    </w:tbl>
    <w:p w:rsidR="00B76273" w:rsidRDefault="00B76273" w:rsidP="00B76273">
      <w:pPr>
        <w:pStyle w:val="BSnote1"/>
      </w:pPr>
      <w:r>
        <w:t>Notes:</w:t>
      </w:r>
    </w:p>
    <w:p w:rsidR="00B76273" w:rsidRDefault="00B76273" w:rsidP="007D648C">
      <w:pPr>
        <w:pStyle w:val="BSnoteslist2"/>
        <w:numPr>
          <w:ilvl w:val="0"/>
          <w:numId w:val="66"/>
        </w:numPr>
      </w:pPr>
      <w:r>
        <w:t>The movement in the number of social housing properties is mainly impacted by the replacement properties received from the Public Housing Renewal Taskforce and properties transferred to the Suburban Land Agency for sale under the Public Housing Renewal Program.</w:t>
      </w:r>
    </w:p>
    <w:p w:rsidR="00B76273" w:rsidRDefault="00B76273" w:rsidP="007D648C">
      <w:pPr>
        <w:pStyle w:val="BSnoteslist2"/>
        <w:numPr>
          <w:ilvl w:val="0"/>
          <w:numId w:val="66"/>
        </w:numPr>
      </w:pPr>
      <w:r>
        <w:t>The higher number of client service visits in 2018-19 is due to the inclusion of all client service visits where only a selected group of client service visits were captured under the previous counting rules.  The new target is a proper reflection of the level of engagement with tenants.</w:t>
      </w:r>
    </w:p>
    <w:p w:rsidR="00B76273" w:rsidRDefault="00B76273" w:rsidP="007D648C">
      <w:pPr>
        <w:pStyle w:val="BSnoteslist2"/>
        <w:numPr>
          <w:ilvl w:val="0"/>
          <w:numId w:val="66"/>
        </w:numPr>
      </w:pPr>
      <w:r>
        <w:t>The targets for tenant satisfaction for public and community housing have been adjusted to align with relevant industry benchmarks.</w:t>
      </w:r>
    </w:p>
    <w:p w:rsidR="00B76273" w:rsidRPr="0057419E" w:rsidRDefault="00B76273" w:rsidP="007D648C">
      <w:pPr>
        <w:pStyle w:val="BSnoteslist2"/>
        <w:numPr>
          <w:ilvl w:val="0"/>
          <w:numId w:val="66"/>
        </w:numPr>
      </w:pPr>
      <w:r>
        <w:t>Indicator k is to be replaced by Indicator j in 2018-19.  Indicator k measures success in engaging tenants to agree to repay their debt but does not reflect success in achieving debt repayment to sustain their tenancies.  Indicator j is a comprehensive measure in capturing the proportion of tenants in meeting their rental obligations and is a strengths based approach to monitoring tenancy management.</w:t>
      </w:r>
    </w:p>
    <w:p w:rsidR="00B76273" w:rsidRDefault="00B76273" w:rsidP="00B76273">
      <w:pPr>
        <w:pStyle w:val="Normal4"/>
        <w:spacing w:before="0" w:after="0"/>
        <w:rPr>
          <w:b/>
          <w:bCs/>
          <w:snapToGrid w:val="0"/>
          <w:sz w:val="32"/>
        </w:rPr>
      </w:pPr>
      <w:r>
        <w:t xml:space="preserve"> </w:t>
      </w:r>
    </w:p>
    <w:p w:rsidR="00B76273" w:rsidRPr="00104120" w:rsidRDefault="00B76273" w:rsidP="00B76273">
      <w:pPr>
        <w:pStyle w:val="Caption"/>
        <w:pageBreakBefore/>
        <w:pBdr>
          <w:top w:val="nil"/>
          <w:left w:val="nil"/>
          <w:bottom w:val="nil"/>
          <w:right w:val="nil"/>
          <w:between w:val="nil"/>
          <w:bar w:val="nil"/>
        </w:pBdr>
        <w:rPr>
          <w:sz w:val="32"/>
          <w:szCs w:val="32"/>
          <w:bdr w:val="nil"/>
        </w:rPr>
      </w:pPr>
      <w:r w:rsidRPr="00104120">
        <w:rPr>
          <w:sz w:val="32"/>
          <w:szCs w:val="32"/>
          <w:bdr w:val="nil"/>
        </w:rPr>
        <w:t>Changes to Appropr</w:t>
      </w:r>
      <w:r>
        <w:rPr>
          <w:sz w:val="32"/>
          <w:szCs w:val="32"/>
          <w:bdr w:val="nil"/>
        </w:rPr>
        <w:t>ia</w:t>
      </w:r>
      <w:r w:rsidRPr="00104120">
        <w:rPr>
          <w:sz w:val="32"/>
          <w:szCs w:val="32"/>
          <w:bdr w:val="nil"/>
        </w:rPr>
        <w:t>tion</w:t>
      </w:r>
    </w:p>
    <w:p w:rsidR="00B76273" w:rsidRPr="003B439B" w:rsidRDefault="00B76273" w:rsidP="00B76273">
      <w:pPr>
        <w:pStyle w:val="Caption"/>
        <w:pBdr>
          <w:top w:val="nil"/>
          <w:left w:val="nil"/>
          <w:bottom w:val="nil"/>
          <w:right w:val="nil"/>
          <w:between w:val="nil"/>
          <w:bar w:val="nil"/>
        </w:pBdr>
        <w:rPr>
          <w:rFonts w:eastAsia="TimesNewRomanPS-ItalicMT"/>
          <w:bdr w:val="nil"/>
        </w:rPr>
      </w:pPr>
      <w:r w:rsidRPr="003B439B">
        <w:rPr>
          <w:bdr w:val="nil"/>
        </w:rPr>
        <w:t xml:space="preserve">Table </w:t>
      </w:r>
      <w:r>
        <w:rPr>
          <w:bdr w:val="nil"/>
        </w:rPr>
        <w:t>40</w:t>
      </w:r>
      <w:r w:rsidRPr="003B439B">
        <w:rPr>
          <w:bdr w:val="nil"/>
        </w:rPr>
        <w:t>: Changes to appropriation –</w:t>
      </w:r>
      <w:r w:rsidRPr="003B439B">
        <w:rPr>
          <w:szCs w:val="20"/>
          <w:bdr w:val="nil"/>
        </w:rPr>
        <w:t xml:space="preserve"> </w:t>
      </w:r>
      <w:r>
        <w:rPr>
          <w:bdr w:val="nil"/>
        </w:rPr>
        <w:t>Controlled Recurrent Payments</w:t>
      </w:r>
    </w:p>
    <w:tbl>
      <w:tblPr>
        <w:tblStyle w:val="CDMRange1"/>
        <w:tblW w:w="9464" w:type="dxa"/>
        <w:tblLayout w:type="fixed"/>
        <w:tblLook w:val="0600" w:firstRow="0" w:lastRow="0" w:firstColumn="0" w:lastColumn="0" w:noHBand="1" w:noVBand="1"/>
      </w:tblPr>
      <w:tblGrid>
        <w:gridCol w:w="4554"/>
        <w:gridCol w:w="982"/>
        <w:gridCol w:w="982"/>
        <w:gridCol w:w="982"/>
        <w:gridCol w:w="982"/>
        <w:gridCol w:w="982"/>
      </w:tblGrid>
      <w:tr w:rsidR="00B76273" w:rsidTr="007D648C">
        <w:trPr>
          <w:trHeight w:val="975"/>
        </w:trPr>
        <w:tc>
          <w:tcPr>
            <w:tcW w:w="4554"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2017-18 Estimated Outcome</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8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2018-19 Budget</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8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2019-20 Estimate</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8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2020-21 Estimate</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8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2021-22 Estimate</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1"/>
        </w:trPr>
        <w:tc>
          <w:tcPr>
            <w:tcW w:w="4554"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4554"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4554"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2017-18 Budget</w:t>
            </w:r>
          </w:p>
        </w:tc>
        <w:tc>
          <w:tcPr>
            <w:tcW w:w="98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46,792</w:t>
            </w:r>
          </w:p>
        </w:tc>
        <w:tc>
          <w:tcPr>
            <w:tcW w:w="98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46,547</w:t>
            </w:r>
          </w:p>
        </w:tc>
        <w:tc>
          <w:tcPr>
            <w:tcW w:w="98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47,290</w:t>
            </w:r>
          </w:p>
        </w:tc>
        <w:tc>
          <w:tcPr>
            <w:tcW w:w="98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45,940</w:t>
            </w:r>
          </w:p>
        </w:tc>
        <w:tc>
          <w:tcPr>
            <w:tcW w:w="98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45,940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2018-19 Budget Policy Decisions</w:t>
            </w: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Better Government:</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xml:space="preserve">- Digitising Government records </w:t>
            </w:r>
            <w:r w:rsidRPr="003617B2">
              <w:rPr>
                <w:sz w:val="18"/>
                <w:szCs w:val="18"/>
                <w:vertAlign w:val="superscript"/>
              </w:rPr>
              <w:t>1</w:t>
            </w:r>
            <w:r w:rsidRPr="003617B2">
              <w:rPr>
                <w:rFonts w:eastAsia="Calibri" w:cs="Calibri"/>
                <w:color w:val="000000"/>
                <w:sz w:val="18"/>
                <w:szCs w:val="18"/>
              </w:rPr>
              <w:t xml:space="preserve"> </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-25</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-84</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Housing ACT Digital Transformation Program</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487</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979</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More support for families and inclusion:</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Drug and Alcohol Court establishment</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More frontline homelessness services</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1,227</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1,479</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1,761</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2,057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Supported accommodation for people with mental illness</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200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2018-19 Budget Technical Adjustments</w:t>
            </w: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8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xml:space="preserve">Pay equity for the social and community services sector – ACT Government contribution </w:t>
            </w:r>
            <w:r w:rsidRPr="00E6737D">
              <w:rPr>
                <w:rFonts w:eastAsia="Calibri" w:cs="Calibri"/>
                <w:color w:val="000000"/>
                <w:sz w:val="18"/>
                <w:vertAlign w:val="superscript"/>
              </w:rPr>
              <w:t>2</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-307</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-290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1,913</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207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sidRPr="00591D44">
              <w:rPr>
                <w:rFonts w:eastAsia="Calibri" w:cs="Calibri"/>
                <w:color w:val="000000"/>
                <w:sz w:val="18"/>
              </w:rPr>
              <w:t>Commonwealth Grants - National Affordable Housing SPP</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xml:space="preserve">Commonwealth Grants – National Housing and Homelessness Agreement </w:t>
            </w:r>
            <w:r w:rsidRPr="00E6737D">
              <w:rPr>
                <w:rFonts w:eastAsia="Calibri" w:cs="Calibri"/>
                <w:color w:val="000000"/>
                <w:sz w:val="18"/>
                <w:vertAlign w:val="superscript"/>
              </w:rPr>
              <w:t>3</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1,583</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1,839</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2,170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779</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455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xml:space="preserve">Commonwealth Grants – Pay equity for the social and community services sector </w:t>
            </w:r>
            <w:r w:rsidRPr="00E6737D">
              <w:rPr>
                <w:rFonts w:eastAsia="Calibri" w:cs="Calibri"/>
                <w:color w:val="000000"/>
                <w:sz w:val="18"/>
                <w:vertAlign w:val="superscript"/>
              </w:rPr>
              <w:t>3</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-1,137</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-1,368</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-1,619</w:t>
            </w:r>
          </w:p>
        </w:tc>
        <w:tc>
          <w:tcPr>
            <w:tcW w:w="98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1"/>
        </w:trPr>
        <w:tc>
          <w:tcPr>
            <w:tcW w:w="4554"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8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1"/>
        </w:trPr>
        <w:tc>
          <w:tcPr>
            <w:tcW w:w="4554"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2018-19 Budget</w:t>
            </w:r>
          </w:p>
        </w:tc>
        <w:tc>
          <w:tcPr>
            <w:tcW w:w="98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47,192</w:t>
            </w:r>
          </w:p>
        </w:tc>
        <w:tc>
          <w:tcPr>
            <w:tcW w:w="98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48,637</w:t>
            </w:r>
          </w:p>
        </w:tc>
        <w:tc>
          <w:tcPr>
            <w:tcW w:w="98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49,904</w:t>
            </w:r>
          </w:p>
        </w:tc>
        <w:tc>
          <w:tcPr>
            <w:tcW w:w="98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50,081</w:t>
            </w:r>
          </w:p>
        </w:tc>
        <w:tc>
          <w:tcPr>
            <w:tcW w:w="98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48,883</w:t>
            </w:r>
          </w:p>
        </w:tc>
      </w:tr>
    </w:tbl>
    <w:p w:rsidR="00B76273" w:rsidRPr="009D5496" w:rsidRDefault="00B76273" w:rsidP="00B76273">
      <w:pPr>
        <w:pStyle w:val="BSnote1"/>
        <w:rPr>
          <w:sz w:val="16"/>
        </w:rPr>
      </w:pPr>
      <w:r w:rsidRPr="009D5496">
        <w:rPr>
          <w:sz w:val="16"/>
        </w:rPr>
        <w:t>Notes:</w:t>
      </w:r>
    </w:p>
    <w:p w:rsidR="00B76273" w:rsidRPr="009D5496" w:rsidRDefault="00B76273" w:rsidP="007D648C">
      <w:pPr>
        <w:pStyle w:val="BSnoteslist2"/>
        <w:numPr>
          <w:ilvl w:val="0"/>
          <w:numId w:val="67"/>
        </w:numPr>
        <w:rPr>
          <w:sz w:val="16"/>
          <w:szCs w:val="16"/>
        </w:rPr>
      </w:pPr>
      <w:r w:rsidRPr="009D5496">
        <w:rPr>
          <w:sz w:val="16"/>
          <w:szCs w:val="16"/>
        </w:rPr>
        <w:t>The reduction in controlled recurrent payment will be offset by saving from record services.</w:t>
      </w:r>
    </w:p>
    <w:p w:rsidR="00B76273" w:rsidRPr="009D5496" w:rsidRDefault="00B76273" w:rsidP="007D648C">
      <w:pPr>
        <w:pStyle w:val="BSnoteslist2"/>
        <w:numPr>
          <w:ilvl w:val="0"/>
          <w:numId w:val="67"/>
        </w:numPr>
        <w:rPr>
          <w:sz w:val="16"/>
          <w:szCs w:val="16"/>
        </w:rPr>
      </w:pPr>
      <w:r>
        <w:rPr>
          <w:sz w:val="16"/>
          <w:szCs w:val="16"/>
        </w:rPr>
        <w:t>The pay equity liability is reviewed annually, t</w:t>
      </w:r>
      <w:r w:rsidRPr="009D5496">
        <w:rPr>
          <w:sz w:val="16"/>
          <w:szCs w:val="16"/>
        </w:rPr>
        <w:t xml:space="preserve">he adjustment represents the funding </w:t>
      </w:r>
      <w:r>
        <w:rPr>
          <w:sz w:val="16"/>
          <w:szCs w:val="16"/>
        </w:rPr>
        <w:t>differences required</w:t>
      </w:r>
      <w:r w:rsidRPr="009D5496">
        <w:rPr>
          <w:sz w:val="16"/>
          <w:szCs w:val="16"/>
        </w:rPr>
        <w:t xml:space="preserve"> in meeting </w:t>
      </w:r>
      <w:r>
        <w:rPr>
          <w:sz w:val="16"/>
          <w:szCs w:val="16"/>
        </w:rPr>
        <w:t>future liabilities</w:t>
      </w:r>
      <w:r w:rsidRPr="009D5496">
        <w:rPr>
          <w:sz w:val="16"/>
          <w:szCs w:val="16"/>
        </w:rPr>
        <w:t>.</w:t>
      </w:r>
    </w:p>
    <w:p w:rsidR="00B76273" w:rsidRPr="009D5496" w:rsidRDefault="00B76273" w:rsidP="007D648C">
      <w:pPr>
        <w:pStyle w:val="BSnoteslist2"/>
        <w:numPr>
          <w:ilvl w:val="0"/>
          <w:numId w:val="67"/>
        </w:numPr>
        <w:rPr>
          <w:sz w:val="16"/>
          <w:szCs w:val="16"/>
        </w:rPr>
      </w:pPr>
      <w:r w:rsidRPr="009D5496">
        <w:rPr>
          <w:sz w:val="16"/>
          <w:szCs w:val="16"/>
        </w:rPr>
        <w:t xml:space="preserve">The National Housing and Homelessness Agreement will include the Commonwealth’s contribution to the Social, Community and Disability Services Industry Equal Remuneration Order 2012.  This was previously paid under the National </w:t>
      </w:r>
      <w:r>
        <w:rPr>
          <w:sz w:val="16"/>
          <w:szCs w:val="16"/>
        </w:rPr>
        <w:t xml:space="preserve">Partnership </w:t>
      </w:r>
      <w:r w:rsidRPr="009D5496">
        <w:rPr>
          <w:sz w:val="16"/>
          <w:szCs w:val="16"/>
        </w:rPr>
        <w:t>on Pay Equity for the Social and Community Services Sector.</w:t>
      </w:r>
    </w:p>
    <w:p w:rsidR="00B76273" w:rsidRPr="002168B4" w:rsidRDefault="00B76273" w:rsidP="00B76273">
      <w:pPr>
        <w:pStyle w:val="Caption"/>
        <w:pageBreakBefore/>
        <w:pBdr>
          <w:top w:val="nil"/>
          <w:left w:val="nil"/>
          <w:bottom w:val="nil"/>
          <w:right w:val="nil"/>
          <w:between w:val="nil"/>
          <w:bar w:val="nil"/>
        </w:pBdr>
        <w:outlineLvl w:val="0"/>
        <w:rPr>
          <w:bdr w:val="nil"/>
        </w:rPr>
      </w:pPr>
      <w:bookmarkStart w:id="66" w:name="_Toc514926360"/>
      <w:r w:rsidRPr="002168B4">
        <w:rPr>
          <w:bdr w:val="nil"/>
        </w:rPr>
        <w:t xml:space="preserve">Table </w:t>
      </w:r>
      <w:r w:rsidRPr="00E7182E">
        <w:rPr>
          <w:bdr w:val="nil"/>
        </w:rPr>
        <w:t>41</w:t>
      </w:r>
      <w:r w:rsidRPr="002168B4">
        <w:rPr>
          <w:bdr w:val="nil"/>
        </w:rPr>
        <w:t>: Changes to appropriation –</w:t>
      </w:r>
      <w:r w:rsidRPr="002168B4">
        <w:rPr>
          <w:szCs w:val="20"/>
          <w:bdr w:val="nil"/>
        </w:rPr>
        <w:t xml:space="preserve"> </w:t>
      </w:r>
      <w:r>
        <w:rPr>
          <w:bdr w:val="nil"/>
        </w:rPr>
        <w:t>Capital Injections, Controlled</w:t>
      </w:r>
      <w:bookmarkEnd w:id="66"/>
    </w:p>
    <w:tbl>
      <w:tblPr>
        <w:tblStyle w:val="CDMRange2"/>
        <w:tblW w:w="9564" w:type="dxa"/>
        <w:tblLayout w:type="fixed"/>
        <w:tblLook w:val="0600" w:firstRow="0" w:lastRow="0" w:firstColumn="0" w:lastColumn="0" w:noHBand="1" w:noVBand="1"/>
      </w:tblPr>
      <w:tblGrid>
        <w:gridCol w:w="4604"/>
        <w:gridCol w:w="992"/>
        <w:gridCol w:w="992"/>
        <w:gridCol w:w="992"/>
        <w:gridCol w:w="992"/>
        <w:gridCol w:w="992"/>
      </w:tblGrid>
      <w:tr w:rsidR="00B76273" w:rsidTr="007D648C">
        <w:trPr>
          <w:trHeight w:val="949"/>
        </w:trPr>
        <w:tc>
          <w:tcPr>
            <w:tcW w:w="4604"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2017-18 Estimated Outcome</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2018-19 Budget</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2019-20 Estimate</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2020-21 Estimate</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99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2021-22 Estimate</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4"/>
        </w:trPr>
        <w:tc>
          <w:tcPr>
            <w:tcW w:w="4604"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single" w:sz="12" w:space="0" w:color="000000"/>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4604"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4604"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2017-18 Budget</w:t>
            </w:r>
          </w:p>
        </w:tc>
        <w:tc>
          <w:tcPr>
            <w:tcW w:w="99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99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99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99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992"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604" w:type="dxa"/>
            <w:tcBorders>
              <w:top w:val="nil"/>
              <w:left w:val="nil"/>
              <w:bottom w:val="nil"/>
              <w:right w:val="nil"/>
              <w:tl2br w:val="nil"/>
              <w:tr2bl w:val="nil"/>
            </w:tcBorders>
            <w:shd w:val="clear" w:color="auto" w:fill="auto"/>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604" w:type="dxa"/>
            <w:tcBorders>
              <w:top w:val="nil"/>
              <w:left w:val="nil"/>
              <w:bottom w:val="nil"/>
              <w:right w:val="nil"/>
              <w:tl2br w:val="nil"/>
              <w:tr2bl w:val="nil"/>
            </w:tcBorders>
            <w:shd w:val="clear" w:color="auto" w:fill="auto"/>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2018-19 Budget Policy Decisions</w:t>
            </w: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604" w:type="dxa"/>
            <w:tcBorders>
              <w:top w:val="nil"/>
              <w:left w:val="nil"/>
              <w:bottom w:val="nil"/>
              <w:right w:val="nil"/>
              <w:tl2br w:val="nil"/>
              <w:tr2bl w:val="nil"/>
            </w:tcBorders>
            <w:shd w:val="clear" w:color="auto" w:fill="auto"/>
            <w:tcMar>
              <w:left w:w="101" w:type="dxa"/>
              <w:right w:w="101" w:type="dxa"/>
            </w:tcMar>
            <w:vAlign w:val="bottom"/>
          </w:tcPr>
          <w:p w:rsidR="00B76273" w:rsidRPr="007816D3" w:rsidRDefault="00B76273" w:rsidP="00174BAC">
            <w:pPr>
              <w:spacing w:before="0" w:after="0"/>
              <w:rPr>
                <w:rFonts w:eastAsia="Calibri" w:cs="Calibri"/>
                <w:color w:val="000000"/>
                <w:sz w:val="18"/>
              </w:rPr>
            </w:pPr>
            <w:r w:rsidRPr="007816D3">
              <w:rPr>
                <w:rFonts w:eastAsia="Calibri" w:cs="Calibri"/>
                <w:color w:val="000000"/>
                <w:sz w:val="18"/>
              </w:rPr>
              <w:t>Better Government</w:t>
            </w:r>
            <w:r>
              <w:rPr>
                <w:rFonts w:eastAsia="Calibri" w:cs="Calibri"/>
                <w:color w:val="000000"/>
                <w:sz w:val="18"/>
              </w:rPr>
              <w:t>:</w:t>
            </w: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c>
          <w:tcPr>
            <w:tcW w:w="992"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FFFFFF"/>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Housing ACT Digital Transformation Program</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223</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445</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More services:</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Improved energy efficiency for public housing</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1,449</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1,498</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2,766</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More support for families and inclusion:</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Better housing for Aboriginal and Torres Strait Islander older people</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2,388</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2,100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4604"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 Common Ground at Dickson - design and planning</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250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992"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4"/>
        </w:trPr>
        <w:tc>
          <w:tcPr>
            <w:tcW w:w="4604"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992"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4"/>
        </w:trPr>
        <w:tc>
          <w:tcPr>
            <w:tcW w:w="4604"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2018-19 Budget</w:t>
            </w:r>
          </w:p>
        </w:tc>
        <w:tc>
          <w:tcPr>
            <w:tcW w:w="99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5,000</w:t>
            </w:r>
          </w:p>
        </w:tc>
        <w:tc>
          <w:tcPr>
            <w:tcW w:w="99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9,310</w:t>
            </w:r>
          </w:p>
        </w:tc>
        <w:tc>
          <w:tcPr>
            <w:tcW w:w="99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9,043</w:t>
            </w:r>
          </w:p>
        </w:tc>
        <w:tc>
          <w:tcPr>
            <w:tcW w:w="99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7,766</w:t>
            </w:r>
          </w:p>
        </w:tc>
        <w:tc>
          <w:tcPr>
            <w:tcW w:w="992" w:type="dxa"/>
            <w:tcBorders>
              <w:top w:val="single" w:sz="8" w:space="0" w:color="000000"/>
              <w:left w:val="nil"/>
              <w:bottom w:val="single" w:sz="8" w:space="0" w:color="000000"/>
              <w:right w:val="nil"/>
              <w:tl2br w:val="nil"/>
              <w:tr2bl w:val="nil"/>
            </w:tcBorders>
            <w:shd w:val="clear" w:color="auto" w:fill="auto"/>
            <w:noWrap/>
            <w:tcMar>
              <w:left w:w="101" w:type="dxa"/>
              <w:right w:w="101" w:type="dxa"/>
            </w:tcMar>
            <w:vAlign w:val="bottom"/>
          </w:tcPr>
          <w:p w:rsidR="00B76273" w:rsidRDefault="00B76273" w:rsidP="00174BAC">
            <w:pPr>
              <w:spacing w:before="0" w:after="0"/>
              <w:jc w:val="right"/>
              <w:rPr>
                <w:rFonts w:eastAsia="Calibri" w:cs="Calibri"/>
                <w:b/>
                <w:color w:val="000000"/>
                <w:sz w:val="18"/>
              </w:rPr>
            </w:pPr>
            <w:r>
              <w:rPr>
                <w:rFonts w:eastAsia="Calibri" w:cs="Calibri"/>
                <w:b/>
                <w:color w:val="000000"/>
                <w:sz w:val="18"/>
              </w:rPr>
              <w:t>5,000</w:t>
            </w:r>
          </w:p>
        </w:tc>
      </w:tr>
    </w:tbl>
    <w:p w:rsidR="00B76273" w:rsidRDefault="00B76273" w:rsidP="00B76273">
      <w:pPr>
        <w:pStyle w:val="Heading2"/>
        <w:pageBreakBefore/>
        <w:pBdr>
          <w:top w:val="nil"/>
          <w:left w:val="nil"/>
          <w:bottom w:val="nil"/>
          <w:right w:val="nil"/>
          <w:between w:val="nil"/>
          <w:bar w:val="nil"/>
        </w:pBdr>
        <w:ind w:left="-426" w:firstLine="426"/>
        <w:rPr>
          <w:bdr w:val="nil"/>
        </w:rPr>
      </w:pPr>
      <w:bookmarkStart w:id="67" w:name="_Toc514925180"/>
      <w:bookmarkStart w:id="68" w:name="_Toc514926361"/>
      <w:r>
        <w:rPr>
          <w:bdr w:val="nil"/>
        </w:rPr>
        <w:t>Financial Statements – Controlled (PTE)</w:t>
      </w:r>
      <w:bookmarkEnd w:id="67"/>
      <w:bookmarkEnd w:id="68"/>
    </w:p>
    <w:p w:rsidR="00B76273" w:rsidRPr="00625775" w:rsidRDefault="00B76273" w:rsidP="00B76273">
      <w:pPr>
        <w:pStyle w:val="Caption"/>
        <w:pBdr>
          <w:top w:val="nil"/>
          <w:left w:val="nil"/>
          <w:bottom w:val="nil"/>
          <w:right w:val="nil"/>
          <w:between w:val="nil"/>
          <w:bar w:val="nil"/>
        </w:pBdr>
        <w:rPr>
          <w:bdr w:val="nil"/>
        </w:rPr>
      </w:pPr>
      <w:r>
        <w:rPr>
          <w:bdr w:val="nil"/>
        </w:rPr>
        <w:t xml:space="preserve">Table 42: Housing ACT: Operating Statement </w:t>
      </w:r>
    </w:p>
    <w:tbl>
      <w:tblPr>
        <w:tblStyle w:val="CDMRange1"/>
        <w:tblW w:w="9539" w:type="dxa"/>
        <w:tblLayout w:type="fixed"/>
        <w:tblLook w:val="0600" w:firstRow="0" w:lastRow="0" w:firstColumn="0" w:lastColumn="0" w:noHBand="1" w:noVBand="1"/>
      </w:tblPr>
      <w:tblGrid>
        <w:gridCol w:w="1073"/>
        <w:gridCol w:w="2474"/>
        <w:gridCol w:w="1073"/>
        <w:gridCol w:w="1073"/>
        <w:gridCol w:w="622"/>
        <w:gridCol w:w="1073"/>
        <w:gridCol w:w="1073"/>
        <w:gridCol w:w="1078"/>
      </w:tblGrid>
      <w:tr w:rsidR="00B76273" w:rsidTr="007D648C">
        <w:trPr>
          <w:trHeight w:val="964"/>
        </w:trPr>
        <w:tc>
          <w:tcPr>
            <w:tcW w:w="107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2017-18 Budget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2474"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2017-18 Estimated Outcome $'000</w:t>
            </w:r>
          </w:p>
        </w:tc>
        <w:tc>
          <w:tcPr>
            <w:tcW w:w="107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2018-19 Budget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62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B76273" w:rsidRDefault="00B76273" w:rsidP="00174BAC">
            <w:pPr>
              <w:spacing w:before="0" w:after="0"/>
              <w:jc w:val="right"/>
              <w:rPr>
                <w:rFonts w:eastAsia="Calibri" w:cs="Calibri"/>
                <w:b/>
                <w:color w:val="000000"/>
                <w:sz w:val="18"/>
              </w:rPr>
            </w:pPr>
            <w:r>
              <w:rPr>
                <w:rFonts w:eastAsia="Calibri" w:cs="Calibri"/>
                <w:b/>
                <w:color w:val="000000"/>
                <w:sz w:val="18"/>
              </w:rPr>
              <w:t>%</w:t>
            </w:r>
          </w:p>
        </w:tc>
        <w:tc>
          <w:tcPr>
            <w:tcW w:w="107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2019-20 Estimate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107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2020-21 Estimate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1073"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2021-22 Estimate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2474"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62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Income</w:t>
            </w: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Revenue</w:t>
            </w: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46,792</w:t>
            </w:r>
          </w:p>
        </w:tc>
        <w:tc>
          <w:tcPr>
            <w:tcW w:w="2474"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Controlled Recurrent Payments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47,192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48,637</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49,904</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50,081</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48,883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87,546</w:t>
            </w:r>
          </w:p>
        </w:tc>
        <w:tc>
          <w:tcPr>
            <w:tcW w:w="2474"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User Charges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87,546</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88,218</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89,845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90,736</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90,736</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799</w:t>
            </w:r>
          </w:p>
        </w:tc>
        <w:tc>
          <w:tcPr>
            <w:tcW w:w="2474"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Interest</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799</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523</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-35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158</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165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165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10,420</w:t>
            </w:r>
          </w:p>
        </w:tc>
        <w:tc>
          <w:tcPr>
            <w:tcW w:w="2474"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 Revenue</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14,412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8,831</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-39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8,634</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8,538</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8,551</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145,557</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Revenue</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149,949</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146,209</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148,541</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149,520</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148,335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 xml:space="preserve">Expenses  </w:t>
            </w: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26,229</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Employee Expenses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25,769</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26,694</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4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27,577</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28,394</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28,737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3,699</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Superannuation Expenses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3,555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3,694</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4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3,725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3,812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3,808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92,114</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Supplies and Services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93,605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98,154</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5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102,368</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107,830</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110,913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50,946</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Depreciation and Amortisation</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39,003</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37,198</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-5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15,827</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16,045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16,286</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21,852</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Grants and Purchased Services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21,852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23,389</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24,163</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25,019</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25,315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2,825</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Borrowing Costs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2,831</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2,620</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2,413</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2,210</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2,011</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5,503</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 Expenses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7,252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4,961</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-32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5,542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5,583</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5,613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203,168</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Expenses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193,867</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196,710</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181,615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188,893</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192,683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-57,611</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Operating Result</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-43,918</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-50,501</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-15</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-33,074</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-39,373</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-44,348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2474"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Other Comprehensive Income</w:t>
            </w: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8466" w:type="dxa"/>
            <w:gridSpan w:val="7"/>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rPr>
                <w:rFonts w:eastAsia="Calibri" w:cs="Calibri"/>
                <w:i/>
                <w:color w:val="000000"/>
                <w:sz w:val="18"/>
              </w:rPr>
            </w:pPr>
            <w:r>
              <w:rPr>
                <w:rFonts w:eastAsia="Calibri" w:cs="Calibri"/>
                <w:i/>
                <w:color w:val="000000"/>
                <w:sz w:val="18"/>
              </w:rPr>
              <w:t>Items that will not be Reclassified Subsequently to Profit or Loss</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150,933</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Increase/(Decrease) in Asset Revaluation Surplus</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187,522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170,017</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-9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219,200</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228,466</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238,918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150,933</w:t>
            </w:r>
          </w:p>
        </w:tc>
        <w:tc>
          <w:tcPr>
            <w:tcW w:w="2474"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Other Comprehensive Income</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187,522</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170,017</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-9</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219,200</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228,466</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238,918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2474"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62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93,322</w:t>
            </w:r>
          </w:p>
        </w:tc>
        <w:tc>
          <w:tcPr>
            <w:tcW w:w="2474"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Comprehensive Income</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143,604</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119,516</w:t>
            </w:r>
          </w:p>
        </w:tc>
        <w:tc>
          <w:tcPr>
            <w:tcW w:w="62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-17 </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186,126</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189,093</w:t>
            </w:r>
          </w:p>
        </w:tc>
        <w:tc>
          <w:tcPr>
            <w:tcW w:w="1073"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194,570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73"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4"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3"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bl>
    <w:p w:rsidR="00B76273" w:rsidRPr="0004555B" w:rsidRDefault="00B76273" w:rsidP="00B76273">
      <w:pPr>
        <w:pStyle w:val="Caption"/>
        <w:pageBreakBefore/>
        <w:pBdr>
          <w:top w:val="nil"/>
          <w:left w:val="nil"/>
          <w:bottom w:val="nil"/>
          <w:right w:val="nil"/>
          <w:between w:val="nil"/>
          <w:bar w:val="nil"/>
        </w:pBdr>
        <w:outlineLvl w:val="0"/>
        <w:rPr>
          <w:rFonts w:eastAsia="TimesNewRomanPS-ItalicMT"/>
          <w:bdr w:val="nil"/>
        </w:rPr>
      </w:pPr>
      <w:bookmarkStart w:id="69" w:name="_Toc514926362"/>
      <w:r>
        <w:rPr>
          <w:bdr w:val="nil"/>
        </w:rPr>
        <w:t>Table 43: Housing ACT: Balance Sheet</w:t>
      </w:r>
      <w:bookmarkEnd w:id="69"/>
      <w:r>
        <w:rPr>
          <w:bdr w:val="nil"/>
        </w:rPr>
        <w:t xml:space="preserve"> </w:t>
      </w:r>
    </w:p>
    <w:tbl>
      <w:tblPr>
        <w:tblStyle w:val="CDMRange2"/>
        <w:tblW w:w="9525" w:type="dxa"/>
        <w:tblLayout w:type="fixed"/>
        <w:tblLook w:val="0600" w:firstRow="0" w:lastRow="0" w:firstColumn="0" w:lastColumn="0" w:noHBand="1" w:noVBand="1"/>
      </w:tblPr>
      <w:tblGrid>
        <w:gridCol w:w="1072"/>
        <w:gridCol w:w="2470"/>
        <w:gridCol w:w="1072"/>
        <w:gridCol w:w="1072"/>
        <w:gridCol w:w="621"/>
        <w:gridCol w:w="1072"/>
        <w:gridCol w:w="1072"/>
        <w:gridCol w:w="1074"/>
      </w:tblGrid>
      <w:tr w:rsidR="00B76273" w:rsidTr="007D648C">
        <w:trPr>
          <w:trHeight w:val="997"/>
        </w:trPr>
        <w:tc>
          <w:tcPr>
            <w:tcW w:w="107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Budget</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30/6/18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2470"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2017-18 Estimated Outcome</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107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Budget</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30/6/19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621"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B76273" w:rsidRDefault="00B76273" w:rsidP="00174BAC">
            <w:pPr>
              <w:spacing w:before="0" w:after="0"/>
              <w:jc w:val="right"/>
              <w:rPr>
                <w:rFonts w:eastAsia="Calibri" w:cs="Calibri"/>
                <w:b/>
                <w:color w:val="000000"/>
                <w:sz w:val="18"/>
              </w:rPr>
            </w:pPr>
            <w:r>
              <w:rPr>
                <w:rFonts w:eastAsia="Calibri" w:cs="Calibri"/>
                <w:b/>
                <w:color w:val="000000"/>
                <w:sz w:val="18"/>
              </w:rPr>
              <w:t>%</w:t>
            </w:r>
          </w:p>
        </w:tc>
        <w:tc>
          <w:tcPr>
            <w:tcW w:w="107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Estimate</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30/6/20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107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Estimate</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30/6/21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107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Estimate</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30/6/22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2470"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621"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Current Assets</w:t>
            </w: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33,108</w:t>
            </w:r>
          </w:p>
        </w:tc>
        <w:tc>
          <w:tcPr>
            <w:tcW w:w="2470"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Cash and Cash Equivalents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38,782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24,702</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-36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9,960</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9,590</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7,611</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8,409</w:t>
            </w:r>
          </w:p>
        </w:tc>
        <w:tc>
          <w:tcPr>
            <w:tcW w:w="2470"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Receivables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8,371</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8,460</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8,639</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8,828</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9,017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38,174</w:t>
            </w:r>
          </w:p>
        </w:tc>
        <w:tc>
          <w:tcPr>
            <w:tcW w:w="2470"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Assets Held for Sale</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115,745</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3,075</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-97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3,152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3,231</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3,312</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269</w:t>
            </w:r>
          </w:p>
        </w:tc>
        <w:tc>
          <w:tcPr>
            <w:tcW w:w="2470"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 Assets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456</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456</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456</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456</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456</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79,960</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Current Assets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163,354</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36,693</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-78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22,207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22,105</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20,396</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156</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Receivables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6</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100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5,138,972</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Property, Plant and Equipment</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5,134,467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5,423,924</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6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5,644,877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5,841,545</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6,039,513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10,596</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Investment Properties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8,625</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8,703</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8,609</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8,597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8,603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12,833</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Capital Works in Progress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11,338</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13,207</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16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12,150</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9,281</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8,512</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 Assets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134</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134</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134</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134</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134</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5,162,557</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Assets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5,154,567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5,445,974</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6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5,665,779</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5,859,569</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6,056,777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5,242,517</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ASSETS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5,317,921</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5,482,667</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5,687,986</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5,881,674</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6,077,173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Current Liabilities</w:t>
            </w: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5,776</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Payables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7,368</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7,376</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7,384</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7,392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7,400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4,619</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Interest-Bearing Liabilities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4,619</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4,511</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-2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4,403</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4,265</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4,068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7,654</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Employee Benefits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7,825</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8,112</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4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8,408</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8,707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9,001</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4,500</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 Liabilities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13,742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5,558</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-60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4,050</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4,941</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4,798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22,549</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Current Liabilities</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33,554</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25,557</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-24 </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24,245</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25,305</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25,267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53,479</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Interest-Bearing Liabilities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53,479</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48,969</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-8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44,567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40,301</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36,232</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632</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Employee Benefits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493</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517</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5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546</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575</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605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 Liabilities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226</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232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238</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244</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54,111</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 xml:space="preserve">Total </w:t>
            </w:r>
            <w:proofErr w:type="spellStart"/>
            <w:r>
              <w:rPr>
                <w:rFonts w:eastAsia="Calibri" w:cs="Calibri"/>
                <w:b/>
                <w:color w:val="000000"/>
                <w:sz w:val="18"/>
              </w:rPr>
              <w:t>Non Current</w:t>
            </w:r>
            <w:proofErr w:type="spellEnd"/>
            <w:r>
              <w:rPr>
                <w:rFonts w:eastAsia="Calibri" w:cs="Calibri"/>
                <w:b/>
                <w:color w:val="000000"/>
                <w:sz w:val="18"/>
              </w:rPr>
              <w:t xml:space="preserve"> Liabilities</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54,192</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49,712</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-8 </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45,345</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41,114</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37,081</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76,660</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LIABILITIES</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87,746</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75,269</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-14 </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69,590</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66,419</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62,348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5,165,857</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NET ASSETS</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5,230,175</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5,407,398</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 </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5,618,396</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5,815,255</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6,014,825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8453" w:type="dxa"/>
            <w:gridSpan w:val="7"/>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REPRESENTED BY FUNDS EMPLOYED</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1,402,954</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Accumulated Funds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1,454,363</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1,354,316</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1,368,114</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1,358,507</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1,341,159</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3,762,903</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Asset Revaluation Surplus</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3,775,812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4,053,082</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4,250,282</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4,456,748</w:t>
            </w:r>
          </w:p>
        </w:tc>
        <w:tc>
          <w:tcPr>
            <w:tcW w:w="107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4,673,666</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2470"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621"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5,165,857</w:t>
            </w:r>
          </w:p>
        </w:tc>
        <w:tc>
          <w:tcPr>
            <w:tcW w:w="2470"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FUNDS EMPLOYED</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5,230,175</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5,407,398</w:t>
            </w:r>
          </w:p>
        </w:tc>
        <w:tc>
          <w:tcPr>
            <w:tcW w:w="621"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5,618,396</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5,815,255</w:t>
            </w:r>
          </w:p>
        </w:tc>
        <w:tc>
          <w:tcPr>
            <w:tcW w:w="1072"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6,014,825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7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70"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1"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bl>
    <w:p w:rsidR="00B76273" w:rsidRPr="00F20F3F" w:rsidRDefault="00B76273" w:rsidP="00B76273">
      <w:pPr>
        <w:pStyle w:val="Caption"/>
        <w:pageBreakBefore/>
        <w:pBdr>
          <w:top w:val="nil"/>
          <w:left w:val="nil"/>
          <w:bottom w:val="nil"/>
          <w:right w:val="nil"/>
          <w:between w:val="nil"/>
          <w:bar w:val="nil"/>
        </w:pBdr>
        <w:outlineLvl w:val="0"/>
        <w:rPr>
          <w:rFonts w:eastAsia="TimesNewRomanPS-ItalicMT"/>
          <w:b w:val="0"/>
          <w:bdr w:val="nil"/>
        </w:rPr>
      </w:pPr>
      <w:bookmarkStart w:id="70" w:name="_Toc514926363"/>
      <w:r>
        <w:rPr>
          <w:bdr w:val="nil"/>
        </w:rPr>
        <w:t>Table 44: Housing ACT: Statement of Changes in Equity</w:t>
      </w:r>
      <w:bookmarkEnd w:id="70"/>
      <w:r>
        <w:rPr>
          <w:bdr w:val="nil"/>
        </w:rPr>
        <w:t xml:space="preserve"> </w:t>
      </w:r>
    </w:p>
    <w:tbl>
      <w:tblPr>
        <w:tblStyle w:val="CDMRange1"/>
        <w:tblW w:w="9584" w:type="dxa"/>
        <w:tblLayout w:type="fixed"/>
        <w:tblLook w:val="0600" w:firstRow="0" w:lastRow="0" w:firstColumn="0" w:lastColumn="0" w:noHBand="1" w:noVBand="1"/>
      </w:tblPr>
      <w:tblGrid>
        <w:gridCol w:w="1078"/>
        <w:gridCol w:w="2486"/>
        <w:gridCol w:w="1078"/>
        <w:gridCol w:w="1078"/>
        <w:gridCol w:w="625"/>
        <w:gridCol w:w="1078"/>
        <w:gridCol w:w="1078"/>
        <w:gridCol w:w="1083"/>
      </w:tblGrid>
      <w:tr w:rsidR="00B76273" w:rsidTr="007D648C">
        <w:trPr>
          <w:trHeight w:val="978"/>
        </w:trPr>
        <w:tc>
          <w:tcPr>
            <w:tcW w:w="107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Budget</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30/6/18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2486"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2017-18 Estimated Outcome</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107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Budget</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30/6/19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625"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proofErr w:type="spellStart"/>
            <w:r>
              <w:rPr>
                <w:rFonts w:eastAsia="Calibri" w:cs="Calibri"/>
                <w:b/>
                <w:color w:val="000000"/>
                <w:sz w:val="18"/>
              </w:rPr>
              <w:t>Var</w:t>
            </w:r>
            <w:proofErr w:type="spellEnd"/>
          </w:p>
          <w:p w:rsidR="00B76273" w:rsidRDefault="00B76273" w:rsidP="00174BAC">
            <w:pPr>
              <w:spacing w:before="0" w:after="0"/>
              <w:jc w:val="right"/>
              <w:rPr>
                <w:rFonts w:eastAsia="Calibri" w:cs="Calibri"/>
                <w:b/>
                <w:color w:val="000000"/>
                <w:sz w:val="18"/>
              </w:rPr>
            </w:pPr>
            <w:r>
              <w:rPr>
                <w:rFonts w:eastAsia="Calibri" w:cs="Calibri"/>
                <w:b/>
                <w:color w:val="000000"/>
                <w:sz w:val="18"/>
              </w:rPr>
              <w:t>%</w:t>
            </w:r>
          </w:p>
        </w:tc>
        <w:tc>
          <w:tcPr>
            <w:tcW w:w="107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Estimate</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30/6/20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107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Estimate</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30/6/21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c>
          <w:tcPr>
            <w:tcW w:w="1078"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Estimate</w:t>
            </w:r>
          </w:p>
          <w:p w:rsidR="00B76273" w:rsidRDefault="00B76273" w:rsidP="00174BAC">
            <w:pPr>
              <w:spacing w:before="0" w:after="0"/>
              <w:jc w:val="right"/>
              <w:rPr>
                <w:rFonts w:eastAsia="Calibri" w:cs="Calibri"/>
                <w:b/>
                <w:color w:val="000000"/>
                <w:sz w:val="18"/>
              </w:rPr>
            </w:pPr>
            <w:r>
              <w:rPr>
                <w:rFonts w:eastAsia="Calibri" w:cs="Calibri"/>
                <w:b/>
                <w:color w:val="000000"/>
                <w:sz w:val="18"/>
              </w:rPr>
              <w:t>at</w:t>
            </w: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30/6/22 </w:t>
            </w:r>
          </w:p>
          <w:p w:rsidR="00B76273" w:rsidRDefault="00B76273" w:rsidP="00174BAC">
            <w:pPr>
              <w:spacing w:before="0" w:after="0"/>
              <w:jc w:val="right"/>
              <w:rPr>
                <w:rFonts w:eastAsia="Calibri" w:cs="Calibri"/>
                <w:b/>
                <w:color w:val="000000"/>
                <w:sz w:val="18"/>
              </w:rPr>
            </w:pPr>
            <w:r>
              <w:rPr>
                <w:rFonts w:eastAsia="Calibri" w:cs="Calibri"/>
                <w:b/>
                <w:color w:val="000000"/>
                <w:sz w:val="18"/>
              </w:rPr>
              <w:t>$'000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
        </w:trPr>
        <w:tc>
          <w:tcPr>
            <w:tcW w:w="1078"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2486"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8"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625"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Opening Equity</w:t>
            </w:r>
          </w:p>
        </w:tc>
        <w:tc>
          <w:tcPr>
            <w:tcW w:w="1078"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625"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4"/>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1,352,774</w:t>
            </w:r>
          </w:p>
        </w:tc>
        <w:tc>
          <w:tcPr>
            <w:tcW w:w="2486"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Opening Accumulated Funds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1,435,132</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1,454,363</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1,354,316</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1,368,114</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1,358,507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3,594,925</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Opening Asset Revaluation Reserve</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3,571,245</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3,775,812</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6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4,053,082</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4,250,282</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4,456,748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color w:val="000000"/>
                <w:sz w:val="18"/>
              </w:rPr>
            </w:pPr>
          </w:p>
        </w:tc>
        <w:tc>
          <w:tcPr>
            <w:tcW w:w="2486" w:type="dxa"/>
            <w:tcBorders>
              <w:top w:val="nil"/>
              <w:left w:val="nil"/>
              <w:bottom w:val="nil"/>
              <w:right w:val="nil"/>
              <w:tl2br w:val="nil"/>
              <w:tr2bl w:val="nil"/>
            </w:tcBorders>
            <w:shd w:val="clear" w:color="auto" w:fill="auto"/>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4,947,699</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Balance at the Start of the Reporting Period</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5,006,377</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5,230,175</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4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5,407,398</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5,618,396</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5,815,255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Comprehensive Income</w:t>
            </w: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-57,611</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Operating Result - Including Economic Flows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-43,918</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-50,501</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-15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-33,074</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-39,373</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-44,348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150,933</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proofErr w:type="spellStart"/>
            <w:r>
              <w:rPr>
                <w:rFonts w:eastAsia="Calibri" w:cs="Calibri"/>
                <w:color w:val="000000"/>
                <w:sz w:val="18"/>
              </w:rPr>
              <w:t>Inc</w:t>
            </w:r>
            <w:proofErr w:type="spellEnd"/>
            <w:r>
              <w:rPr>
                <w:rFonts w:eastAsia="Calibri" w:cs="Calibri"/>
                <w:color w:val="000000"/>
                <w:sz w:val="18"/>
              </w:rPr>
              <w:t>/Dec in Asset Revaluation Reserve Surpluses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187,522</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170,017</w:t>
            </w:r>
          </w:p>
        </w:tc>
        <w:tc>
          <w:tcPr>
            <w:tcW w:w="625"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-9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219,200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228,466</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238,918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93,322</w:t>
            </w:r>
          </w:p>
        </w:tc>
        <w:tc>
          <w:tcPr>
            <w:tcW w:w="2486"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Comprehensive Income</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143,604</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119,516</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-17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186,126</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189,093</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194,570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-17,045</w:t>
            </w:r>
          </w:p>
        </w:tc>
        <w:tc>
          <w:tcPr>
            <w:tcW w:w="2486"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Transfer to/from Accumulated Funds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-17,045</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-107,253</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-529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22,000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22,000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17,045</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Movement in Asset Revaluation Reserve</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17,045</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107,253</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529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-22,000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-22,000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0</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Movement in Reserves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0</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8506" w:type="dxa"/>
            <w:gridSpan w:val="7"/>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Transactions Involving Owners Affecting Accumulated Funds</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2486"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Capital Injections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9,310</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86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9,043</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7,766</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119,836</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proofErr w:type="spellStart"/>
            <w:r>
              <w:rPr>
                <w:rFonts w:eastAsia="Calibri" w:cs="Calibri"/>
                <w:color w:val="000000"/>
                <w:sz w:val="18"/>
              </w:rPr>
              <w:t>Inc</w:t>
            </w:r>
            <w:proofErr w:type="spellEnd"/>
            <w:r>
              <w:rPr>
                <w:rFonts w:eastAsia="Calibri" w:cs="Calibri"/>
                <w:color w:val="000000"/>
                <w:sz w:val="18"/>
              </w:rPr>
              <w:t>/Dec in Net Assets due to Admin Restructure</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75,194</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48,397</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-36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15,829</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124,836</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Total Transactions Involving Owners Affecting Accumulated Funds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80,194</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57,707</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-28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24,872</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7,766</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Closing Equity</w:t>
            </w: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1,402,954</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Closing Accumulated Funds</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1,454,363</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1,354,316</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1,368,114</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1,358,507</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1,341,159</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3,762,903</w:t>
            </w:r>
          </w:p>
        </w:tc>
        <w:tc>
          <w:tcPr>
            <w:tcW w:w="2486" w:type="dxa"/>
            <w:tcBorders>
              <w:top w:val="nil"/>
              <w:left w:val="nil"/>
              <w:bottom w:val="nil"/>
              <w:right w:val="nil"/>
              <w:tl2br w:val="nil"/>
              <w:tr2bl w:val="nil"/>
            </w:tcBorders>
            <w:shd w:val="clear" w:color="auto" w:fill="auto"/>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Closing Asset Revaluation Reserve</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3,775,812</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4,053,082</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4,250,282</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4,456,748</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4,673,666</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jc w:val="right"/>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5,165,857</w:t>
            </w:r>
          </w:p>
        </w:tc>
        <w:tc>
          <w:tcPr>
            <w:tcW w:w="2486"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Balance at the end of the Reporting Period</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5,230,175</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5,407,398</w:t>
            </w:r>
          </w:p>
        </w:tc>
        <w:tc>
          <w:tcPr>
            <w:tcW w:w="625"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5,618,396</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5,815,255</w:t>
            </w:r>
          </w:p>
        </w:tc>
        <w:tc>
          <w:tcPr>
            <w:tcW w:w="1078"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6,014,825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
        </w:trPr>
        <w:tc>
          <w:tcPr>
            <w:tcW w:w="1078"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486"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25"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78"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bl>
    <w:p w:rsidR="00B76273" w:rsidRPr="00B85F8D" w:rsidRDefault="00B76273" w:rsidP="00B76273">
      <w:pPr>
        <w:pStyle w:val="Caption"/>
        <w:pageBreakBefore/>
        <w:pBdr>
          <w:top w:val="nil"/>
          <w:left w:val="nil"/>
          <w:bottom w:val="nil"/>
          <w:right w:val="nil"/>
          <w:between w:val="nil"/>
          <w:bar w:val="nil"/>
        </w:pBdr>
        <w:outlineLvl w:val="0"/>
        <w:rPr>
          <w:rFonts w:eastAsia="TimesNewRomanPS-ItalicMT"/>
          <w:b w:val="0"/>
          <w:bdr w:val="nil"/>
        </w:rPr>
      </w:pPr>
      <w:bookmarkStart w:id="71" w:name="_Toc514926364"/>
      <w:r>
        <w:rPr>
          <w:bdr w:val="nil"/>
        </w:rPr>
        <w:t>Table 45: Housing ACT: Cash Flow Statement</w:t>
      </w:r>
      <w:bookmarkEnd w:id="71"/>
      <w:r>
        <w:rPr>
          <w:bdr w:val="nil"/>
        </w:rPr>
        <w:t xml:space="preserve"> </w:t>
      </w:r>
    </w:p>
    <w:tbl>
      <w:tblPr>
        <w:tblStyle w:val="CDMRange2"/>
        <w:tblW w:w="9689" w:type="dxa"/>
        <w:tblLayout w:type="fixed"/>
        <w:tblLook w:val="0600" w:firstRow="0" w:lastRow="0" w:firstColumn="0" w:lastColumn="0" w:noHBand="1" w:noVBand="1"/>
      </w:tblPr>
      <w:tblGrid>
        <w:gridCol w:w="1090"/>
        <w:gridCol w:w="2513"/>
        <w:gridCol w:w="1090"/>
        <w:gridCol w:w="1090"/>
        <w:gridCol w:w="632"/>
        <w:gridCol w:w="1090"/>
        <w:gridCol w:w="1090"/>
        <w:gridCol w:w="1094"/>
      </w:tblGrid>
      <w:tr w:rsidR="00B76273" w:rsidTr="007D648C">
        <w:trPr>
          <w:trHeight w:val="974"/>
        </w:trPr>
        <w:tc>
          <w:tcPr>
            <w:tcW w:w="109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2017-18 Budget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2513"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9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2017-18 Estimated Outcome $'000</w:t>
            </w:r>
          </w:p>
        </w:tc>
        <w:tc>
          <w:tcPr>
            <w:tcW w:w="109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2018-19 Budget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632"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proofErr w:type="spellStart"/>
            <w:r>
              <w:rPr>
                <w:rFonts w:eastAsia="Calibri" w:cs="Calibri"/>
                <w:b/>
                <w:color w:val="000000"/>
                <w:sz w:val="18"/>
              </w:rPr>
              <w:t>Var</w:t>
            </w:r>
            <w:proofErr w:type="spellEnd"/>
            <w:r>
              <w:rPr>
                <w:rFonts w:eastAsia="Calibri" w:cs="Calibri"/>
                <w:b/>
                <w:color w:val="000000"/>
                <w:sz w:val="18"/>
              </w:rPr>
              <w:t xml:space="preserve"> </w:t>
            </w:r>
          </w:p>
          <w:p w:rsidR="00B76273" w:rsidRDefault="00B76273" w:rsidP="00174BAC">
            <w:pPr>
              <w:spacing w:before="0" w:after="0"/>
              <w:jc w:val="right"/>
              <w:rPr>
                <w:rFonts w:eastAsia="Calibri" w:cs="Calibri"/>
                <w:b/>
                <w:color w:val="000000"/>
                <w:sz w:val="18"/>
              </w:rPr>
            </w:pPr>
            <w:r>
              <w:rPr>
                <w:rFonts w:eastAsia="Calibri" w:cs="Calibri"/>
                <w:b/>
                <w:color w:val="000000"/>
                <w:sz w:val="18"/>
              </w:rPr>
              <w:t>%</w:t>
            </w:r>
          </w:p>
        </w:tc>
        <w:tc>
          <w:tcPr>
            <w:tcW w:w="109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2019-20 Estimate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109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2020-21 Estimate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c>
          <w:tcPr>
            <w:tcW w:w="1090" w:type="dxa"/>
            <w:tcBorders>
              <w:top w:val="single" w:sz="4" w:space="0" w:color="000000"/>
              <w:left w:val="nil"/>
              <w:bottom w:val="single" w:sz="4" w:space="0" w:color="000000"/>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2021-22 Estimate            </w:t>
            </w:r>
          </w:p>
          <w:p w:rsidR="00B76273" w:rsidRDefault="00B76273" w:rsidP="00174BAC">
            <w:pPr>
              <w:spacing w:before="0" w:after="0"/>
              <w:jc w:val="right"/>
              <w:rPr>
                <w:rFonts w:eastAsia="Calibri" w:cs="Calibri"/>
                <w:b/>
                <w:color w:val="000000"/>
                <w:sz w:val="18"/>
              </w:rPr>
            </w:pPr>
          </w:p>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
        </w:trPr>
        <w:tc>
          <w:tcPr>
            <w:tcW w:w="1090"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2513"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90"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90"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632"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90"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90"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c>
          <w:tcPr>
            <w:tcW w:w="1090" w:type="dxa"/>
            <w:tcBorders>
              <w:top w:val="single" w:sz="4" w:space="0" w:color="000000"/>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b/>
                <w: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auto" w:fill="auto"/>
            <w:noWrap/>
            <w:tcMar>
              <w:left w:w="0" w:type="dxa"/>
              <w:right w:w="0" w:type="dxa"/>
            </w:tcMar>
          </w:tcPr>
          <w:p w:rsidR="00B76273" w:rsidRDefault="00B76273" w:rsidP="00174BAC">
            <w:pPr>
              <w:spacing w:before="0" w:after="0"/>
              <w:rPr>
                <w:rFonts w:eastAsia="Calibri" w:cs="Calibri"/>
                <w:color w:val="000000"/>
                <w:sz w:val="18"/>
              </w:rPr>
            </w:pPr>
          </w:p>
        </w:tc>
        <w:tc>
          <w:tcPr>
            <w:tcW w:w="8599" w:type="dxa"/>
            <w:gridSpan w:val="7"/>
            <w:tcBorders>
              <w:top w:val="nil"/>
              <w:left w:val="nil"/>
              <w:bottom w:val="nil"/>
              <w:right w:val="nil"/>
              <w:tl2br w:val="nil"/>
              <w:tr2bl w:val="nil"/>
            </w:tcBorders>
            <w:shd w:val="clear" w:color="auto" w:fill="auto"/>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CASH FLOWS FROM OPERATING ACTIVITIES</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Receipts</w:t>
            </w: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46,792</w:t>
            </w:r>
          </w:p>
        </w:tc>
        <w:tc>
          <w:tcPr>
            <w:tcW w:w="2513"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Controlled Recurrent Payments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47,192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48,637</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49,904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50,081</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48,883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86,858</w:t>
            </w:r>
          </w:p>
        </w:tc>
        <w:tc>
          <w:tcPr>
            <w:tcW w:w="2513"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User Charges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86,858</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87,374</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88,974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89,844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89,844</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799</w:t>
            </w:r>
          </w:p>
        </w:tc>
        <w:tc>
          <w:tcPr>
            <w:tcW w:w="2513"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Interest Received</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799</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523</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-35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158</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165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165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10,417</w:t>
            </w:r>
          </w:p>
        </w:tc>
        <w:tc>
          <w:tcPr>
            <w:tcW w:w="2513" w:type="dxa"/>
            <w:tcBorders>
              <w:top w:val="nil"/>
              <w:left w:val="nil"/>
              <w:bottom w:val="nil"/>
              <w:right w:val="nil"/>
              <w:tl2br w:val="nil"/>
              <w:tr2bl w:val="nil"/>
            </w:tcBorders>
            <w:shd w:val="clear" w:color="auto" w:fill="auto"/>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14,250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9,166</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-36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8,786</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8,659</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8,672</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144,866</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Operating Receipts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149,099</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145,700</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-2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147,822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148,749</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147,564</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Payments</w:t>
            </w: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26,229</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Employee</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25,666</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26,564</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3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27,433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28,247</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28,594</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3,699</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Superannuation</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3,555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3,694</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4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3,725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3,812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3,808</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92,243</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Supplies and Services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93,735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98,508</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5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102,944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108,094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111,179</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21,852</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Grants and Purchased Services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21,852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23,389</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24,163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24,885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25,181</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2,825</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Borrowing Costs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2,825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2,614</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-7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2,407</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2,204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2,005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3,700</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Other</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3,480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3,480</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3,480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3,480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3,480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150,548</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Operating Payments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151,113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158,249</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5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164,152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170,722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174,247</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b/>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-5,682</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NET CASH INFLOW/(OUTFLOW) FROM OPERATING ACTIVITIES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-2,014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-12,549</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-523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-16,330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-21,973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-26,683</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b/>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8599" w:type="dxa"/>
            <w:gridSpan w:val="7"/>
            <w:tcBorders>
              <w:top w:val="nil"/>
              <w:left w:val="nil"/>
              <w:bottom w:val="nil"/>
              <w:right w:val="nil"/>
              <w:tl2br w:val="nil"/>
              <w:tr2bl w:val="nil"/>
            </w:tcBorders>
            <w:shd w:val="clear" w:color="auto" w:fill="auto"/>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CASH FLOWS FROM INVESTING ACTIVITIES</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Receipts</w:t>
            </w: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37,600</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Proceeds from Sale of Property, Plant and Equipment</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47,762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39,396</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-18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39,105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60,630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64,730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0</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Proceeds from Sale/Maturity of Investments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332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403</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21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248</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183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184</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37,600</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Investing Receipts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48,094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39,799</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-17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39,353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60,813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64,914</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Payments</w:t>
            </w: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jc w:val="right"/>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52,941</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Purchase of Property, Plant and Equipment</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52,442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46,021</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-12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42,297</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42,573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40,945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52,941</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Investing Payments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52,442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46,021</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-12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42,297</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42,573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40,945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-15,341</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NET CASH INFLOW/(OUTFLOW) FROM INVESTING ACTIVITIES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-4,348</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-6,222</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-43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-2,944</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18,240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23,969</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8599" w:type="dxa"/>
            <w:gridSpan w:val="7"/>
            <w:tcBorders>
              <w:top w:val="nil"/>
              <w:left w:val="nil"/>
              <w:bottom w:val="nil"/>
              <w:right w:val="nil"/>
              <w:tl2br w:val="nil"/>
              <w:tr2bl w:val="nil"/>
            </w:tcBorders>
            <w:shd w:val="clear" w:color="auto" w:fill="auto"/>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CASH FLOWS FROM FINANCING ACTIVITIES</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Receipts</w:t>
            </w: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Capital Injections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9,310</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86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9,043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7,766</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5,000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300</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Proceeds from Borrowings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300</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300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5,300</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Financing Receipts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5,300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9,610</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81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9,343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8,066</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5,300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Payments</w:t>
            </w: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4,983</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color w:val="000000"/>
                <w:sz w:val="18"/>
              </w:rPr>
            </w:pPr>
            <w:r>
              <w:rPr>
                <w:rFonts w:eastAsia="Calibri" w:cs="Calibri"/>
                <w:color w:val="000000"/>
                <w:sz w:val="18"/>
              </w:rPr>
              <w:t>Repayment of Borrowings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4,983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4,919</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 xml:space="preserve">-1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4,811</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4,703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color w:val="000000"/>
                <w:sz w:val="18"/>
              </w:rPr>
            </w:pPr>
            <w:r>
              <w:rPr>
                <w:rFonts w:eastAsia="Calibri" w:cs="Calibri"/>
                <w:color w:val="000000"/>
                <w:sz w:val="18"/>
              </w:rPr>
              <w:t>4,565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4,983</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Financing Payments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4,983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4,919</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4,811</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4,703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4,565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noWrap/>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317</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NET CASH INFLOW/(OUTFLOW) FROM FINANCING ACTIVITIES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317</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4,691</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4,532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3,363</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735</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-20,706</w:t>
            </w:r>
          </w:p>
        </w:tc>
        <w:tc>
          <w:tcPr>
            <w:tcW w:w="2513" w:type="dxa"/>
            <w:tcBorders>
              <w:top w:val="nil"/>
              <w:left w:val="nil"/>
              <w:bottom w:val="nil"/>
              <w:right w:val="nil"/>
              <w:tl2br w:val="nil"/>
              <w:tr2bl w:val="nil"/>
            </w:tcBorders>
            <w:shd w:val="clear" w:color="FFFFFF" w:fill="FFFFFF"/>
            <w:noWrap/>
            <w:tcMar>
              <w:left w:w="101" w:type="dxa"/>
              <w:right w:w="101" w:type="dxa"/>
            </w:tcMar>
          </w:tcPr>
          <w:p w:rsidR="00B76273" w:rsidRDefault="00B76273" w:rsidP="00174BAC">
            <w:pPr>
              <w:spacing w:before="0" w:after="0"/>
              <w:rPr>
                <w:rFonts w:eastAsia="Calibri" w:cs="Calibri"/>
                <w:b/>
                <w:color w:val="000000"/>
                <w:sz w:val="18"/>
              </w:rPr>
            </w:pPr>
            <w:r>
              <w:rPr>
                <w:rFonts w:eastAsia="Calibri" w:cs="Calibri"/>
                <w:b/>
                <w:color w:val="000000"/>
                <w:sz w:val="18"/>
              </w:rPr>
              <w:t>NET INCREASE/(DECREASE) IN CASH AND CASH EQUIVALENTS</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-6,045</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-14,080</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-133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-14,742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-370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-1,979</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53,815</w:t>
            </w:r>
          </w:p>
        </w:tc>
        <w:tc>
          <w:tcPr>
            <w:tcW w:w="2513"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CASH AT THE BEGINNING OF REPORTING PERIOD</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763F99">
            <w:pPr>
              <w:spacing w:before="0" w:after="0"/>
              <w:jc w:val="right"/>
              <w:rPr>
                <w:rFonts w:eastAsia="Calibri" w:cs="Calibri"/>
                <w:b/>
                <w:color w:val="000000"/>
                <w:sz w:val="18"/>
              </w:rPr>
            </w:pPr>
            <w:r>
              <w:rPr>
                <w:rFonts w:eastAsia="Calibri" w:cs="Calibri"/>
                <w:b/>
                <w:color w:val="000000"/>
                <w:sz w:val="18"/>
              </w:rPr>
              <w:t>44,82</w:t>
            </w:r>
            <w:r w:rsidR="00763F99">
              <w:rPr>
                <w:rFonts w:eastAsia="Calibri" w:cs="Calibri"/>
                <w:b/>
                <w:color w:val="000000"/>
                <w:sz w:val="18"/>
              </w:rPr>
              <w:t>7</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763F99">
            <w:pPr>
              <w:spacing w:before="0" w:after="0"/>
              <w:jc w:val="right"/>
              <w:rPr>
                <w:rFonts w:eastAsia="Calibri" w:cs="Calibri"/>
                <w:b/>
                <w:color w:val="000000"/>
                <w:sz w:val="18"/>
              </w:rPr>
            </w:pPr>
            <w:r>
              <w:rPr>
                <w:rFonts w:eastAsia="Calibri" w:cs="Calibri"/>
                <w:b/>
                <w:color w:val="000000"/>
                <w:sz w:val="18"/>
              </w:rPr>
              <w:t>38,78</w:t>
            </w:r>
            <w:r w:rsidR="00763F99">
              <w:rPr>
                <w:rFonts w:eastAsia="Calibri" w:cs="Calibri"/>
                <w:b/>
                <w:color w:val="000000"/>
                <w:sz w:val="18"/>
              </w:rPr>
              <w:t>2</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-13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763F99" w:rsidP="00174BAC">
            <w:pPr>
              <w:spacing w:before="0" w:after="0"/>
              <w:jc w:val="right"/>
              <w:rPr>
                <w:rFonts w:eastAsia="Calibri" w:cs="Calibri"/>
                <w:b/>
                <w:color w:val="000000"/>
                <w:sz w:val="18"/>
              </w:rPr>
            </w:pPr>
            <w:r>
              <w:rPr>
                <w:rFonts w:eastAsia="Calibri" w:cs="Calibri"/>
                <w:b/>
                <w:color w:val="000000"/>
                <w:sz w:val="18"/>
              </w:rPr>
              <w:t>24,702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763F99" w:rsidP="00174BAC">
            <w:pPr>
              <w:spacing w:before="0" w:after="0"/>
              <w:jc w:val="right"/>
              <w:rPr>
                <w:rFonts w:eastAsia="Calibri" w:cs="Calibri"/>
                <w:b/>
                <w:color w:val="000000"/>
                <w:sz w:val="18"/>
              </w:rPr>
            </w:pPr>
            <w:r>
              <w:rPr>
                <w:rFonts w:eastAsia="Calibri" w:cs="Calibri"/>
                <w:b/>
                <w:color w:val="000000"/>
                <w:sz w:val="18"/>
              </w:rPr>
              <w:t>9,960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763F99">
            <w:pPr>
              <w:spacing w:before="0" w:after="0"/>
              <w:jc w:val="right"/>
              <w:rPr>
                <w:rFonts w:eastAsia="Calibri" w:cs="Calibri"/>
                <w:b/>
                <w:color w:val="000000"/>
                <w:sz w:val="18"/>
              </w:rPr>
            </w:pPr>
            <w:r>
              <w:rPr>
                <w:rFonts w:eastAsia="Calibri" w:cs="Calibri"/>
                <w:b/>
                <w:color w:val="000000"/>
                <w:sz w:val="18"/>
              </w:rPr>
              <w:t>9,59</w:t>
            </w:r>
            <w:r w:rsidR="00763F99">
              <w:rPr>
                <w:rFonts w:eastAsia="Calibri" w:cs="Calibri"/>
                <w:b/>
                <w:color w:val="000000"/>
                <w:sz w:val="18"/>
              </w:rPr>
              <w:t>0</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nil"/>
              <w:right w:val="nil"/>
              <w:tl2br w:val="nil"/>
              <w:tr2bl w:val="nil"/>
            </w:tcBorders>
            <w:shd w:val="clear" w:color="auto" w:fill="auto"/>
            <w:noWrap/>
            <w:tcMar>
              <w:left w:w="0" w:type="dxa"/>
              <w:right w:w="0" w:type="dxa"/>
            </w:tcMar>
            <w:vAlign w:val="bottom"/>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nil"/>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763F99">
            <w:pPr>
              <w:spacing w:before="0" w:after="0"/>
              <w:jc w:val="right"/>
              <w:rPr>
                <w:rFonts w:eastAsia="Calibri" w:cs="Calibri"/>
                <w:b/>
                <w:color w:val="000000"/>
                <w:sz w:val="18"/>
              </w:rPr>
            </w:pPr>
            <w:r>
              <w:rPr>
                <w:rFonts w:eastAsia="Calibri" w:cs="Calibri"/>
                <w:b/>
                <w:color w:val="000000"/>
                <w:sz w:val="18"/>
              </w:rPr>
              <w:t>33,10</w:t>
            </w:r>
            <w:r w:rsidR="00763F99">
              <w:rPr>
                <w:rFonts w:eastAsia="Calibri" w:cs="Calibri"/>
                <w:b/>
                <w:color w:val="000000"/>
                <w:sz w:val="18"/>
              </w:rPr>
              <w:t>8</w:t>
            </w:r>
          </w:p>
        </w:tc>
        <w:tc>
          <w:tcPr>
            <w:tcW w:w="2513" w:type="dxa"/>
            <w:tcBorders>
              <w:top w:val="nil"/>
              <w:left w:val="nil"/>
              <w:bottom w:val="nil"/>
              <w:right w:val="nil"/>
              <w:tl2br w:val="nil"/>
              <w:tr2bl w:val="nil"/>
            </w:tcBorders>
            <w:shd w:val="clear" w:color="auto" w:fill="auto"/>
            <w:noWrap/>
            <w:tcMar>
              <w:left w:w="101" w:type="dxa"/>
              <w:right w:w="101" w:type="dxa"/>
            </w:tcMar>
            <w:vAlign w:val="bottom"/>
          </w:tcPr>
          <w:p w:rsidR="00B76273" w:rsidRDefault="00B76273" w:rsidP="00174BAC">
            <w:pPr>
              <w:spacing w:before="0" w:after="0"/>
              <w:rPr>
                <w:rFonts w:eastAsia="Calibri" w:cs="Calibri"/>
                <w:b/>
                <w:color w:val="000000"/>
                <w:sz w:val="18"/>
              </w:rPr>
            </w:pPr>
            <w:r>
              <w:rPr>
                <w:rFonts w:eastAsia="Calibri" w:cs="Calibri"/>
                <w:b/>
                <w:color w:val="000000"/>
                <w:sz w:val="18"/>
              </w:rPr>
              <w:t>CASH AT THE END OF REPORTING PERIOD</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763F99">
            <w:pPr>
              <w:spacing w:before="0" w:after="0"/>
              <w:jc w:val="right"/>
              <w:rPr>
                <w:rFonts w:eastAsia="Calibri" w:cs="Calibri"/>
                <w:b/>
                <w:color w:val="000000"/>
                <w:sz w:val="18"/>
              </w:rPr>
            </w:pPr>
            <w:r>
              <w:rPr>
                <w:rFonts w:eastAsia="Calibri" w:cs="Calibri"/>
                <w:b/>
                <w:color w:val="000000"/>
                <w:sz w:val="18"/>
              </w:rPr>
              <w:t>38,78</w:t>
            </w:r>
            <w:r w:rsidR="00763F99">
              <w:rPr>
                <w:rFonts w:eastAsia="Calibri" w:cs="Calibri"/>
                <w:b/>
                <w:color w:val="000000"/>
                <w:sz w:val="18"/>
              </w:rPr>
              <w:t>2</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2</w:t>
            </w:r>
            <w:r w:rsidR="00763F99">
              <w:rPr>
                <w:rFonts w:eastAsia="Calibri" w:cs="Calibri"/>
                <w:b/>
                <w:color w:val="000000"/>
                <w:sz w:val="18"/>
              </w:rPr>
              <w:t>4,702</w:t>
            </w:r>
          </w:p>
        </w:tc>
        <w:tc>
          <w:tcPr>
            <w:tcW w:w="632" w:type="dxa"/>
            <w:tcBorders>
              <w:top w:val="nil"/>
              <w:left w:val="nil"/>
              <w:bottom w:val="nil"/>
              <w:right w:val="nil"/>
              <w:tl2br w:val="nil"/>
              <w:tr2bl w:val="nil"/>
            </w:tcBorders>
            <w:shd w:val="clear" w:color="FFFFFF" w:fill="FFFFFF"/>
            <w:tcMar>
              <w:left w:w="101" w:type="dxa"/>
              <w:right w:w="101" w:type="dxa"/>
            </w:tcMar>
          </w:tcPr>
          <w:p w:rsidR="00B76273" w:rsidRDefault="00B76273" w:rsidP="00174BAC">
            <w:pPr>
              <w:spacing w:before="0" w:after="0"/>
              <w:jc w:val="right"/>
              <w:rPr>
                <w:rFonts w:eastAsia="Calibri" w:cs="Calibri"/>
                <w:b/>
                <w:color w:val="000000"/>
                <w:sz w:val="18"/>
              </w:rPr>
            </w:pPr>
            <w:r>
              <w:rPr>
                <w:rFonts w:eastAsia="Calibri" w:cs="Calibri"/>
                <w:b/>
                <w:color w:val="000000"/>
                <w:sz w:val="18"/>
              </w:rPr>
              <w:t xml:space="preserve">-36 </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763F99" w:rsidP="00174BAC">
            <w:pPr>
              <w:spacing w:before="0" w:after="0"/>
              <w:jc w:val="right"/>
              <w:rPr>
                <w:rFonts w:eastAsia="Calibri" w:cs="Calibri"/>
                <w:b/>
                <w:color w:val="000000"/>
                <w:sz w:val="18"/>
              </w:rPr>
            </w:pPr>
            <w:r>
              <w:rPr>
                <w:rFonts w:eastAsia="Calibri" w:cs="Calibri"/>
                <w:b/>
                <w:color w:val="000000"/>
                <w:sz w:val="18"/>
              </w:rPr>
              <w:t>9,960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763F99">
            <w:pPr>
              <w:spacing w:before="0" w:after="0"/>
              <w:jc w:val="right"/>
              <w:rPr>
                <w:rFonts w:eastAsia="Calibri" w:cs="Calibri"/>
                <w:b/>
                <w:color w:val="000000"/>
                <w:sz w:val="18"/>
              </w:rPr>
            </w:pPr>
            <w:r>
              <w:rPr>
                <w:rFonts w:eastAsia="Calibri" w:cs="Calibri"/>
                <w:b/>
                <w:color w:val="000000"/>
                <w:sz w:val="18"/>
              </w:rPr>
              <w:t>9,59</w:t>
            </w:r>
            <w:r w:rsidR="00763F99">
              <w:rPr>
                <w:rFonts w:eastAsia="Calibri" w:cs="Calibri"/>
                <w:b/>
                <w:color w:val="000000"/>
                <w:sz w:val="18"/>
              </w:rPr>
              <w:t>0</w:t>
            </w:r>
          </w:p>
        </w:tc>
        <w:tc>
          <w:tcPr>
            <w:tcW w:w="1090" w:type="dxa"/>
            <w:tcBorders>
              <w:top w:val="nil"/>
              <w:left w:val="nil"/>
              <w:bottom w:val="nil"/>
              <w:right w:val="nil"/>
              <w:tl2br w:val="nil"/>
              <w:tr2bl w:val="nil"/>
            </w:tcBorders>
            <w:shd w:val="clear" w:color="FFFFFF" w:fill="FFFFFF"/>
            <w:tcMar>
              <w:left w:w="101" w:type="dxa"/>
              <w:right w:w="101" w:type="dxa"/>
            </w:tcMar>
          </w:tcPr>
          <w:p w:rsidR="00B76273" w:rsidRDefault="00B76273" w:rsidP="00763F99">
            <w:pPr>
              <w:spacing w:before="0" w:after="0"/>
              <w:jc w:val="right"/>
              <w:rPr>
                <w:rFonts w:eastAsia="Calibri" w:cs="Calibri"/>
                <w:b/>
                <w:color w:val="000000"/>
                <w:sz w:val="18"/>
              </w:rPr>
            </w:pPr>
            <w:r>
              <w:rPr>
                <w:rFonts w:eastAsia="Calibri" w:cs="Calibri"/>
                <w:b/>
                <w:color w:val="000000"/>
                <w:sz w:val="18"/>
              </w:rPr>
              <w:t>7,61</w:t>
            </w:r>
            <w:r w:rsidR="00763F99">
              <w:rPr>
                <w:rFonts w:eastAsia="Calibri" w:cs="Calibri"/>
                <w:b/>
                <w:color w:val="000000"/>
                <w:sz w:val="18"/>
              </w:rPr>
              <w:t>1</w:t>
            </w:r>
          </w:p>
        </w:tc>
      </w:tr>
      <w:tr w:rsidR="00B76273" w:rsidTr="007D6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
        </w:trPr>
        <w:tc>
          <w:tcPr>
            <w:tcW w:w="1090"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2513"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632"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c>
          <w:tcPr>
            <w:tcW w:w="1090" w:type="dxa"/>
            <w:tcBorders>
              <w:top w:val="nil"/>
              <w:left w:val="nil"/>
              <w:bottom w:val="single" w:sz="4" w:space="0" w:color="000000"/>
              <w:right w:val="nil"/>
              <w:tl2br w:val="nil"/>
              <w:tr2bl w:val="nil"/>
            </w:tcBorders>
            <w:shd w:val="clear" w:color="FFFFFF" w:fill="FFFFFF"/>
            <w:tcMar>
              <w:left w:w="0" w:type="dxa"/>
              <w:right w:w="0" w:type="dxa"/>
            </w:tcMar>
          </w:tcPr>
          <w:p w:rsidR="00B76273" w:rsidRDefault="00B76273" w:rsidP="00174BAC">
            <w:pPr>
              <w:spacing w:before="0" w:after="0"/>
              <w:rPr>
                <w:rFonts w:eastAsia="Calibri" w:cs="Calibri"/>
                <w:color w:val="000000"/>
                <w:sz w:val="18"/>
              </w:rPr>
            </w:pPr>
          </w:p>
        </w:tc>
      </w:tr>
    </w:tbl>
    <w:p w:rsidR="00B76273" w:rsidRDefault="00B76273" w:rsidP="00B76273">
      <w:pPr>
        <w:pStyle w:val="Heading32"/>
        <w:pageBreakBefore/>
      </w:pPr>
      <w:bookmarkStart w:id="72" w:name="_Toc514926365"/>
      <w:r>
        <w:t>Notes to the Controlled Budget Statements</w:t>
      </w:r>
      <w:bookmarkEnd w:id="72"/>
    </w:p>
    <w:p w:rsidR="00B76273" w:rsidRDefault="00B76273" w:rsidP="00B76273">
      <w:pPr>
        <w:pStyle w:val="Normal5"/>
      </w:pPr>
      <w:r>
        <w:t>Significant variations are as follows:</w:t>
      </w:r>
    </w:p>
    <w:p w:rsidR="00B76273" w:rsidRDefault="00B76273" w:rsidP="00B76273">
      <w:pPr>
        <w:pStyle w:val="Normal5"/>
        <w:rPr>
          <w:b/>
          <w:i/>
        </w:rPr>
      </w:pPr>
      <w:r>
        <w:rPr>
          <w:b/>
          <w:i/>
        </w:rPr>
        <w:t>Operating Statement</w:t>
      </w:r>
    </w:p>
    <w:p w:rsidR="00B76273" w:rsidRDefault="00B76273" w:rsidP="00B76273">
      <w:pPr>
        <w:pStyle w:val="BSbullet10"/>
        <w:numPr>
          <w:ilvl w:val="0"/>
          <w:numId w:val="17"/>
        </w:numPr>
        <w:tabs>
          <w:tab w:val="num" w:pos="360"/>
        </w:tabs>
        <w:ind w:left="357" w:hanging="357"/>
        <w:jc w:val="left"/>
      </w:pPr>
      <w:r>
        <w:t xml:space="preserve">controlled recurrent payments:  </w:t>
      </w:r>
    </w:p>
    <w:p w:rsidR="00B76273" w:rsidRPr="00E7182E" w:rsidRDefault="00B76273" w:rsidP="007D648C">
      <w:pPr>
        <w:pStyle w:val="BSbullet2"/>
        <w:numPr>
          <w:ilvl w:val="0"/>
          <w:numId w:val="61"/>
        </w:numPr>
        <w:ind w:left="714" w:hanging="357"/>
      </w:pPr>
      <w:r w:rsidRPr="005A099E">
        <w:t xml:space="preserve">the </w:t>
      </w:r>
      <w:r w:rsidRPr="00E7182E">
        <w:t>increase of $0.4</w:t>
      </w:r>
      <w:r>
        <w:t>00</w:t>
      </w:r>
      <w:r w:rsidRPr="00E7182E">
        <w:t xml:space="preserve"> million in the 2017-18 estimated outcome from the original budget is due to funding adj</w:t>
      </w:r>
      <w:r>
        <w:t>ustments of Commonwealth grants; and</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increase of $1.445 million in the 2018-19 Budget from the 2017-18 estimated outcome is mainly due to additional funding for more frontline homelessness services and budget initiatives that will enhance service delivery to tenants and the community as well as indexation of Commonwealth grants.</w:t>
      </w:r>
    </w:p>
    <w:p w:rsidR="00B76273" w:rsidRPr="00E7182E" w:rsidRDefault="00B76273" w:rsidP="00B76273">
      <w:pPr>
        <w:pStyle w:val="BSbullet10"/>
        <w:numPr>
          <w:ilvl w:val="0"/>
          <w:numId w:val="17"/>
        </w:numPr>
        <w:tabs>
          <w:tab w:val="num" w:pos="360"/>
        </w:tabs>
        <w:ind w:left="357" w:hanging="357"/>
        <w:jc w:val="left"/>
      </w:pPr>
      <w:r w:rsidRPr="00E7182E">
        <w:t xml:space="preserve">user charges: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increase of $0.672 million in the 2018-19 Budget from the 2017-18 estimated outcome is mainly due to a small increase in rental revenue through indexation to welfare payments. </w:t>
      </w:r>
    </w:p>
    <w:p w:rsidR="00B76273" w:rsidRPr="00E7182E" w:rsidRDefault="00B76273" w:rsidP="00B76273">
      <w:pPr>
        <w:pStyle w:val="BSbullet10"/>
        <w:numPr>
          <w:ilvl w:val="0"/>
          <w:numId w:val="17"/>
        </w:numPr>
        <w:tabs>
          <w:tab w:val="num" w:pos="360"/>
        </w:tabs>
        <w:ind w:left="357" w:hanging="357"/>
        <w:jc w:val="left"/>
      </w:pPr>
      <w:r w:rsidRPr="00E7182E">
        <w:t xml:space="preserve">interest revenue: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decrease of $0.276 million in the 2018-19 Budget is due to reduction in cash holdings throughout the year, as funds are applied to meet operational expenses and outlays on capital projects. </w:t>
      </w:r>
    </w:p>
    <w:p w:rsidR="00B76273" w:rsidRPr="00E7182E" w:rsidRDefault="00B76273" w:rsidP="00B76273">
      <w:pPr>
        <w:pStyle w:val="BSbullet10"/>
        <w:numPr>
          <w:ilvl w:val="0"/>
          <w:numId w:val="17"/>
        </w:numPr>
        <w:tabs>
          <w:tab w:val="num" w:pos="360"/>
        </w:tabs>
        <w:ind w:left="357" w:hanging="357"/>
        <w:jc w:val="left"/>
      </w:pPr>
      <w:r w:rsidRPr="00E7182E">
        <w:t xml:space="preserve">other revenue: </w:t>
      </w:r>
    </w:p>
    <w:p w:rsidR="00B76273" w:rsidRPr="00E7182E" w:rsidRDefault="00B76273" w:rsidP="007D648C">
      <w:pPr>
        <w:pStyle w:val="BSbullet2"/>
        <w:numPr>
          <w:ilvl w:val="0"/>
          <w:numId w:val="61"/>
        </w:numPr>
        <w:ind w:left="714" w:hanging="357"/>
      </w:pPr>
      <w:r w:rsidRPr="00E7182E">
        <w:t>the increase of $3.992 million in the 2017-18 estimated outcome from the original budget is mainly due to higher profit on the sale of properties and higher other rec</w:t>
      </w:r>
      <w:r>
        <w:t>overies;</w:t>
      </w:r>
      <w:r w:rsidRPr="00E7182E">
        <w:t xml:space="preserve"> and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decrease of $5.581 million in the 2018-19 Budget is mainly due to other recoveries returning to a normal level. </w:t>
      </w:r>
    </w:p>
    <w:p w:rsidR="00B76273" w:rsidRPr="00E7182E" w:rsidRDefault="00B76273" w:rsidP="00B76273">
      <w:pPr>
        <w:pStyle w:val="BSbullet10"/>
        <w:numPr>
          <w:ilvl w:val="0"/>
          <w:numId w:val="17"/>
        </w:numPr>
        <w:tabs>
          <w:tab w:val="num" w:pos="360"/>
        </w:tabs>
        <w:ind w:left="357" w:hanging="357"/>
        <w:jc w:val="left"/>
        <w:rPr>
          <w:shd w:val="clear" w:color="auto" w:fill="FFFF99"/>
        </w:rPr>
      </w:pPr>
      <w:r w:rsidRPr="00E7182E">
        <w:t xml:space="preserve">employee expenses:  </w:t>
      </w:r>
    </w:p>
    <w:p w:rsidR="00B76273" w:rsidRPr="00E7182E" w:rsidRDefault="00B76273" w:rsidP="007D648C">
      <w:pPr>
        <w:pStyle w:val="BSbullet2"/>
        <w:numPr>
          <w:ilvl w:val="0"/>
          <w:numId w:val="61"/>
        </w:numPr>
        <w:ind w:left="714" w:hanging="357"/>
      </w:pPr>
      <w:r w:rsidRPr="00E7182E">
        <w:t>the decrease of $0.46</w:t>
      </w:r>
      <w:r>
        <w:t>0</w:t>
      </w:r>
      <w:r w:rsidRPr="00E7182E">
        <w:t> million in the 2017-18 estimated outcome from the original budget is mainly due to low</w:t>
      </w:r>
      <w:r>
        <w:t>er workers compensation premium;</w:t>
      </w:r>
      <w:r w:rsidRPr="00E7182E">
        <w:t xml:space="preserve"> and</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increase of $0.925 million in the 2018-19 Budget from the 2017-18 estimated outcome is mainly due to wages increase and additional staff to implement budget initiatives</w:t>
      </w:r>
      <w:r>
        <w:t xml:space="preserve"> as well as confirmation of ongoing graduate positions</w:t>
      </w:r>
      <w:r w:rsidRPr="00E7182E">
        <w:t>.</w:t>
      </w:r>
    </w:p>
    <w:p w:rsidR="00B76273" w:rsidRPr="00E7182E" w:rsidRDefault="00B76273" w:rsidP="00B76273">
      <w:pPr>
        <w:pStyle w:val="BSbullet10"/>
        <w:keepNext/>
        <w:numPr>
          <w:ilvl w:val="0"/>
          <w:numId w:val="17"/>
        </w:numPr>
        <w:tabs>
          <w:tab w:val="num" w:pos="360"/>
        </w:tabs>
        <w:ind w:left="357" w:hanging="357"/>
        <w:jc w:val="left"/>
      </w:pPr>
      <w:r w:rsidRPr="00E7182E">
        <w:t>supplies and services:</w:t>
      </w:r>
    </w:p>
    <w:p w:rsidR="00B76273" w:rsidRPr="00E7182E" w:rsidRDefault="00B76273" w:rsidP="007D648C">
      <w:pPr>
        <w:pStyle w:val="BSbullet2"/>
        <w:numPr>
          <w:ilvl w:val="0"/>
          <w:numId w:val="61"/>
        </w:numPr>
        <w:ind w:left="714" w:hanging="357"/>
      </w:pPr>
      <w:r w:rsidRPr="00E7182E">
        <w:t xml:space="preserve">the increase of $1.491 million in the 2017-18 estimated outcome from the original budget is mainly due to </w:t>
      </w:r>
      <w:r>
        <w:t>higher property ownership costs;</w:t>
      </w:r>
      <w:r w:rsidRPr="00E7182E">
        <w:t xml:space="preserve"> and</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increase of $4.549 million in the 2018-19 Budget from the 2017-18 estimated outcome is due to indexation costs, including the range of property ownerships costs</w:t>
      </w:r>
      <w:r>
        <w:t>.</w:t>
      </w:r>
    </w:p>
    <w:p w:rsidR="00B76273" w:rsidRPr="00E7182E" w:rsidRDefault="00B76273" w:rsidP="00B76273">
      <w:pPr>
        <w:pStyle w:val="BSbullet10"/>
        <w:numPr>
          <w:ilvl w:val="0"/>
          <w:numId w:val="17"/>
        </w:numPr>
        <w:tabs>
          <w:tab w:val="num" w:pos="360"/>
        </w:tabs>
        <w:ind w:left="357" w:hanging="357"/>
        <w:jc w:val="left"/>
      </w:pPr>
      <w:r w:rsidRPr="00E7182E">
        <w:t xml:space="preserve">depreciation and amortisation:  </w:t>
      </w:r>
    </w:p>
    <w:p w:rsidR="00B76273" w:rsidRPr="00E7182E" w:rsidRDefault="00B76273" w:rsidP="007D648C">
      <w:pPr>
        <w:pStyle w:val="BSbullet2"/>
        <w:numPr>
          <w:ilvl w:val="0"/>
          <w:numId w:val="61"/>
        </w:numPr>
        <w:ind w:left="714" w:hanging="357"/>
      </w:pPr>
      <w:r w:rsidRPr="00E7182E">
        <w:t>the decrease of $11.943  million in the 2017-18 estimated outcome from the original budget is mainly due to the timing and progress of the Public Housing Renewal Program as the building value is to be fully depreciated prior to the transfer of sites to Suburba</w:t>
      </w:r>
      <w:r>
        <w:t>n Land Agency under the program;</w:t>
      </w:r>
      <w:r w:rsidRPr="00E7182E">
        <w:t xml:space="preserve"> and </w:t>
      </w:r>
    </w:p>
    <w:p w:rsidR="00B76273" w:rsidRPr="00E7182E" w:rsidRDefault="00B76273" w:rsidP="007D648C">
      <w:pPr>
        <w:pStyle w:val="BSbullet2"/>
        <w:numPr>
          <w:ilvl w:val="0"/>
          <w:numId w:val="61"/>
        </w:numPr>
        <w:ind w:left="714" w:hanging="357"/>
      </w:pPr>
      <w:proofErr w:type="gramStart"/>
      <w:r w:rsidRPr="00E7182E">
        <w:t>similarly</w:t>
      </w:r>
      <w:proofErr w:type="gramEnd"/>
      <w:r w:rsidRPr="00E7182E">
        <w:t>, the decrease of $1.805 million in the 2018-19 Budget from the 2017-18 estimated outcome is mainly impacted by the timing and progress of the Public Housing Renewal Program.</w:t>
      </w:r>
    </w:p>
    <w:p w:rsidR="00B76273" w:rsidRPr="00E7182E" w:rsidRDefault="00B76273" w:rsidP="00B76273">
      <w:pPr>
        <w:pStyle w:val="BSbullet10"/>
        <w:numPr>
          <w:ilvl w:val="0"/>
          <w:numId w:val="17"/>
        </w:numPr>
        <w:tabs>
          <w:tab w:val="num" w:pos="360"/>
        </w:tabs>
        <w:ind w:left="357" w:hanging="357"/>
        <w:jc w:val="left"/>
      </w:pPr>
      <w:r w:rsidRPr="00E7182E">
        <w:t xml:space="preserve">grants and purchased services: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increase of $1.537 million in the 2018-19 Budget from the 2017-18 estimated outcome is due to additional funding to provide more frontline homelessness services and indexation on service funding agreements. </w:t>
      </w:r>
    </w:p>
    <w:p w:rsidR="00B76273" w:rsidRPr="00E7182E" w:rsidRDefault="00B76273" w:rsidP="00B76273">
      <w:pPr>
        <w:pStyle w:val="BSbullet10"/>
        <w:numPr>
          <w:ilvl w:val="0"/>
          <w:numId w:val="17"/>
        </w:numPr>
        <w:tabs>
          <w:tab w:val="num" w:pos="360"/>
        </w:tabs>
        <w:ind w:left="357" w:hanging="357"/>
        <w:jc w:val="left"/>
      </w:pPr>
      <w:r w:rsidRPr="00E7182E">
        <w:t xml:space="preserve">borrowing costs: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decrease of $0.211 million in the 2018-19 Budget from the 2017-18 estimated outcome is due to repayment of the Commonwealth loans in accordance w</w:t>
      </w:r>
      <w:r>
        <w:t>ith the loan repayment schedule</w:t>
      </w:r>
      <w:r w:rsidRPr="00E7182E">
        <w:t>.</w:t>
      </w:r>
    </w:p>
    <w:p w:rsidR="00B76273" w:rsidRPr="00E7182E" w:rsidRDefault="00B76273" w:rsidP="00B76273">
      <w:pPr>
        <w:pStyle w:val="BSbullet10"/>
        <w:numPr>
          <w:ilvl w:val="0"/>
          <w:numId w:val="17"/>
        </w:numPr>
        <w:tabs>
          <w:tab w:val="num" w:pos="360"/>
        </w:tabs>
        <w:ind w:left="357" w:hanging="357"/>
        <w:jc w:val="left"/>
      </w:pPr>
      <w:r w:rsidRPr="00E7182E">
        <w:t xml:space="preserve">other expenses:  </w:t>
      </w:r>
    </w:p>
    <w:p w:rsidR="00B76273" w:rsidRPr="00E7182E" w:rsidRDefault="00B76273" w:rsidP="007D648C">
      <w:pPr>
        <w:pStyle w:val="BSbullet2"/>
        <w:numPr>
          <w:ilvl w:val="0"/>
          <w:numId w:val="61"/>
        </w:numPr>
        <w:ind w:left="714" w:hanging="357"/>
      </w:pPr>
      <w:r w:rsidRPr="00E7182E">
        <w:t>the increase of $1.749 million in the 2017-18 estimated outcome from the original budget is mainly due to higher bad and doubtful debt provision and additional properties transferred to the Community Services Directorate und</w:t>
      </w:r>
      <w:r>
        <w:t>er the Affordable Rental Scheme;</w:t>
      </w:r>
      <w:r w:rsidRPr="00E7182E">
        <w:t xml:space="preserve"> and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decrease of $2.291 million in the 2018-19 Budget from the 2017-18 estimated outcome is due to other expenses returning to the normal level. </w:t>
      </w:r>
    </w:p>
    <w:p w:rsidR="00B76273" w:rsidRPr="00E7182E" w:rsidRDefault="00B76273" w:rsidP="00B76273">
      <w:pPr>
        <w:pStyle w:val="BSbullet2"/>
        <w:numPr>
          <w:ilvl w:val="0"/>
          <w:numId w:val="0"/>
        </w:numPr>
        <w:ind w:left="714" w:hanging="357"/>
      </w:pPr>
    </w:p>
    <w:p w:rsidR="00B76273" w:rsidRPr="00E7182E" w:rsidRDefault="00B76273" w:rsidP="007D648C">
      <w:pPr>
        <w:pStyle w:val="Heading42"/>
      </w:pPr>
      <w:r w:rsidRPr="00E7182E">
        <w:t>Balance Sheet</w:t>
      </w:r>
    </w:p>
    <w:p w:rsidR="00B76273" w:rsidRPr="00E7182E" w:rsidRDefault="00B76273" w:rsidP="00B76273">
      <w:pPr>
        <w:pStyle w:val="BSbullet10"/>
        <w:numPr>
          <w:ilvl w:val="0"/>
          <w:numId w:val="17"/>
        </w:numPr>
        <w:tabs>
          <w:tab w:val="num" w:pos="360"/>
        </w:tabs>
        <w:ind w:left="357" w:hanging="357"/>
        <w:jc w:val="left"/>
      </w:pPr>
      <w:r w:rsidRPr="00E7182E">
        <w:t xml:space="preserve">current assets:  </w:t>
      </w:r>
    </w:p>
    <w:p w:rsidR="00B76273" w:rsidRPr="00E7182E" w:rsidRDefault="00B76273" w:rsidP="007D648C">
      <w:pPr>
        <w:pStyle w:val="BSbullet2"/>
        <w:numPr>
          <w:ilvl w:val="0"/>
          <w:numId w:val="61"/>
        </w:numPr>
        <w:ind w:left="714" w:hanging="357"/>
      </w:pPr>
      <w:r w:rsidRPr="00E7182E">
        <w:t>the increase of $83.394 million in the 2017-18 estimated outcome from the original budget is mainly due to higher cash holdings as a result of an improved bottom line and an increase in assets held for distribution under the Public Housing Renewal Program</w:t>
      </w:r>
      <w:r>
        <w:t>;</w:t>
      </w:r>
      <w:r w:rsidRPr="00E7182E">
        <w:t xml:space="preserve"> and</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decrease of $126.661 million in the 2018-19 Budget from the 2017-18 estimated outcome is mainly due to a reduction in cash holdings as funds are required to meet operational expenses and </w:t>
      </w:r>
      <w:r>
        <w:t xml:space="preserve">a </w:t>
      </w:r>
      <w:r w:rsidRPr="00E7182E">
        <w:t xml:space="preserve">decrease in asset held for distribution post the Public Housing Renewal Program. </w:t>
      </w:r>
    </w:p>
    <w:p w:rsidR="00B76273" w:rsidRPr="00E7182E" w:rsidRDefault="00B76273" w:rsidP="00B76273">
      <w:pPr>
        <w:pStyle w:val="BSbullet10"/>
        <w:numPr>
          <w:ilvl w:val="0"/>
          <w:numId w:val="17"/>
        </w:numPr>
        <w:tabs>
          <w:tab w:val="num" w:pos="360"/>
        </w:tabs>
        <w:ind w:left="357" w:hanging="357"/>
        <w:jc w:val="left"/>
      </w:pPr>
      <w:r w:rsidRPr="00E7182E">
        <w:t xml:space="preserve">non-current assets: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increase of $289.457 million in the 2018-19 Budget from the 2017-18 estimated outcome is mainly due to an increase in the value of the property portfolio following the annual asset revaluation.</w:t>
      </w:r>
    </w:p>
    <w:p w:rsidR="00B76273" w:rsidRPr="00E7182E" w:rsidRDefault="00B76273" w:rsidP="00B76273">
      <w:pPr>
        <w:pStyle w:val="BSbullet10"/>
        <w:numPr>
          <w:ilvl w:val="0"/>
          <w:numId w:val="17"/>
        </w:numPr>
        <w:tabs>
          <w:tab w:val="num" w:pos="360"/>
        </w:tabs>
        <w:ind w:left="357" w:hanging="357"/>
        <w:jc w:val="left"/>
      </w:pPr>
      <w:r w:rsidRPr="00E7182E">
        <w:t xml:space="preserve">current liabilities:  </w:t>
      </w:r>
    </w:p>
    <w:p w:rsidR="00B76273" w:rsidRPr="00E7182E" w:rsidRDefault="00B76273" w:rsidP="007D648C">
      <w:pPr>
        <w:pStyle w:val="BSbullet2"/>
        <w:numPr>
          <w:ilvl w:val="0"/>
          <w:numId w:val="61"/>
        </w:numPr>
        <w:ind w:left="714" w:hanging="357"/>
      </w:pPr>
      <w:r w:rsidRPr="00E7182E">
        <w:t>the increase of $11.005 million in the 2017-18 estimated outcome from the original budget is mainly due to higher payables and revenue received in advance for the sale of properties</w:t>
      </w:r>
      <w:r>
        <w:t>;</w:t>
      </w:r>
      <w:r w:rsidRPr="00E7182E">
        <w:t xml:space="preserve"> and </w:t>
      </w:r>
    </w:p>
    <w:p w:rsidR="00B76273" w:rsidRPr="00E7182E" w:rsidRDefault="00B76273" w:rsidP="007D648C">
      <w:pPr>
        <w:pStyle w:val="BSbullet2"/>
        <w:numPr>
          <w:ilvl w:val="0"/>
          <w:numId w:val="61"/>
        </w:numPr>
        <w:ind w:left="714" w:hanging="357"/>
      </w:pPr>
      <w:proofErr w:type="gramStart"/>
      <w:r w:rsidRPr="00E7182E">
        <w:t>the</w:t>
      </w:r>
      <w:proofErr w:type="gramEnd"/>
      <w:r w:rsidRPr="00E7182E">
        <w:t xml:space="preserve"> decrease of $7.997 million in the 2018-19 Budget from the 2017-18 estimated outcome is mainly due to the one-off impact of the revenue received in advance for sale of properties in 2017-18.</w:t>
      </w:r>
    </w:p>
    <w:p w:rsidR="00B76273" w:rsidRPr="00E7182E" w:rsidRDefault="00B76273" w:rsidP="00B76273">
      <w:pPr>
        <w:pStyle w:val="BSbullet10"/>
        <w:numPr>
          <w:ilvl w:val="0"/>
          <w:numId w:val="17"/>
        </w:numPr>
        <w:tabs>
          <w:tab w:val="num" w:pos="360"/>
        </w:tabs>
        <w:ind w:left="357" w:hanging="357"/>
        <w:jc w:val="left"/>
      </w:pPr>
      <w:r w:rsidRPr="00E7182E">
        <w:t xml:space="preserve">non-current liabilities:  </w:t>
      </w:r>
    </w:p>
    <w:p w:rsidR="00B76273" w:rsidRDefault="00B76273" w:rsidP="007D648C">
      <w:pPr>
        <w:pStyle w:val="BSbullet2"/>
        <w:numPr>
          <w:ilvl w:val="0"/>
          <w:numId w:val="61"/>
        </w:numPr>
        <w:ind w:left="714" w:hanging="357"/>
      </w:pPr>
      <w:proofErr w:type="gramStart"/>
      <w:r w:rsidRPr="00E7182E">
        <w:t>the</w:t>
      </w:r>
      <w:proofErr w:type="gramEnd"/>
      <w:r w:rsidRPr="00E7182E">
        <w:t xml:space="preserve"> decrease of $4.480 million in the 2018-19 Budget from the 2017-18 estimated outcome is mainly due to the repayment of the Commonwealth loans in accordance with the loan repayment schedule.</w:t>
      </w:r>
    </w:p>
    <w:p w:rsidR="00B76273" w:rsidRPr="00E7182E" w:rsidRDefault="00B76273" w:rsidP="007D648C">
      <w:pPr>
        <w:pStyle w:val="Heading42"/>
      </w:pPr>
      <w:r w:rsidRPr="00E7182E">
        <w:t xml:space="preserve">Statement of Changes in Equity </w:t>
      </w:r>
    </w:p>
    <w:p w:rsidR="00B76273" w:rsidRPr="00E7182E" w:rsidRDefault="00B76273" w:rsidP="00B76273">
      <w:pPr>
        <w:pStyle w:val="BSbullet10"/>
        <w:numPr>
          <w:ilvl w:val="0"/>
          <w:numId w:val="17"/>
        </w:numPr>
        <w:tabs>
          <w:tab w:val="num" w:pos="360"/>
        </w:tabs>
        <w:ind w:left="357" w:hanging="357"/>
        <w:jc w:val="left"/>
      </w:pPr>
      <w:r w:rsidRPr="00E7182E">
        <w:t xml:space="preserve">asset revaluation reserve surpluses:  </w:t>
      </w:r>
    </w:p>
    <w:p w:rsidR="00B76273" w:rsidRPr="00E7182E" w:rsidRDefault="00B76273" w:rsidP="007D648C">
      <w:pPr>
        <w:pStyle w:val="BSbullet2"/>
        <w:numPr>
          <w:ilvl w:val="0"/>
          <w:numId w:val="61"/>
        </w:numPr>
        <w:ind w:left="714" w:hanging="357"/>
      </w:pPr>
      <w:proofErr w:type="gramStart"/>
      <w:r>
        <w:t>the</w:t>
      </w:r>
      <w:proofErr w:type="gramEnd"/>
      <w:r>
        <w:t xml:space="preserve"> increase of $2</w:t>
      </w:r>
      <w:r w:rsidRPr="00E7182E">
        <w:t>77.270 million in the 2018-19 Budget from the 2017-18 estimated outcome is consistent with the short to medium term market outlook.</w:t>
      </w:r>
    </w:p>
    <w:p w:rsidR="00B76273" w:rsidRPr="00E7182E" w:rsidRDefault="00B76273" w:rsidP="00B76273">
      <w:pPr>
        <w:pStyle w:val="BSbullet10"/>
        <w:numPr>
          <w:ilvl w:val="0"/>
          <w:numId w:val="17"/>
        </w:numPr>
        <w:tabs>
          <w:tab w:val="num" w:pos="360"/>
        </w:tabs>
        <w:ind w:left="357" w:hanging="357"/>
        <w:jc w:val="left"/>
      </w:pPr>
      <w:r w:rsidRPr="00E7182E">
        <w:t xml:space="preserve">transactions involving owners affecting accumulated funds:  </w:t>
      </w:r>
    </w:p>
    <w:p w:rsidR="00B76273" w:rsidRPr="00E7182E" w:rsidRDefault="00B76273" w:rsidP="007D648C">
      <w:pPr>
        <w:pStyle w:val="BSbullet2"/>
        <w:numPr>
          <w:ilvl w:val="0"/>
          <w:numId w:val="61"/>
        </w:numPr>
        <w:ind w:left="714" w:hanging="357"/>
      </w:pPr>
      <w:r w:rsidRPr="00E7182E">
        <w:t>the decrease of $44.642 million in the 2017-18 estimated outcome from the original budget is mainly due to the net impact and timing of the transfer of equity (properties to/from</w:t>
      </w:r>
      <w:r w:rsidR="00763F99">
        <w:t xml:space="preserve"> </w:t>
      </w:r>
      <w:r w:rsidRPr="00E7182E">
        <w:t>between Housing ACT and the Suburban Land Agency or the Public Housing Renewal Taskforce) under the</w:t>
      </w:r>
      <w:r>
        <w:t xml:space="preserve"> Public Housing Renewal Program;</w:t>
      </w:r>
      <w:r w:rsidRPr="00E7182E">
        <w:t xml:space="preserve"> and </w:t>
      </w:r>
    </w:p>
    <w:p w:rsidR="00B76273" w:rsidRPr="00E7182E" w:rsidRDefault="00B76273" w:rsidP="007D648C">
      <w:pPr>
        <w:pStyle w:val="BSbullet2"/>
        <w:numPr>
          <w:ilvl w:val="0"/>
          <w:numId w:val="61"/>
        </w:numPr>
        <w:ind w:left="714" w:hanging="357"/>
      </w:pPr>
      <w:proofErr w:type="gramStart"/>
      <w:r w:rsidRPr="00E7182E">
        <w:t>similarly</w:t>
      </w:r>
      <w:proofErr w:type="gramEnd"/>
      <w:r w:rsidRPr="00E7182E">
        <w:t>, the decrease of $26,797 million in the 2018-19 Budget from the 2017-18 estimated outcome is mainly due to the net impact of the Public Housing Renewal Program.</w:t>
      </w:r>
    </w:p>
    <w:p w:rsidR="00B76273" w:rsidRPr="00E7182E" w:rsidRDefault="00B76273" w:rsidP="007D648C">
      <w:pPr>
        <w:pStyle w:val="Heading42"/>
      </w:pPr>
      <w:r w:rsidRPr="00E7182E">
        <w:t>Cash Flow Statement</w:t>
      </w:r>
    </w:p>
    <w:p w:rsidR="00B76273" w:rsidRDefault="00B76273" w:rsidP="00B76273">
      <w:pPr>
        <w:pStyle w:val="Normal5"/>
      </w:pPr>
      <w:r w:rsidRPr="00E7182E">
        <w:t>Variations in the Statement are explained in the notes above.</w:t>
      </w:r>
    </w:p>
    <w:p w:rsidR="00B76273" w:rsidRPr="0004555B" w:rsidRDefault="00B76273" w:rsidP="00B76273">
      <w:pPr>
        <w:pStyle w:val="Normal5"/>
        <w:rPr>
          <w:rFonts w:eastAsia="TimesNewRomanPS-ItalicMT"/>
        </w:rPr>
      </w:pPr>
      <w:r>
        <w:t xml:space="preserve"> </w:t>
      </w:r>
    </w:p>
    <w:p w:rsidR="001651E4" w:rsidRDefault="001651E4"/>
    <w:sectPr w:rsidR="001651E4" w:rsidSect="00F14CF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51" w:right="1440" w:bottom="1729" w:left="1440" w:header="720" w:footer="624" w:gutter="0"/>
      <w:pgBorders>
        <w:top w:val="nil"/>
        <w:left w:val="nil"/>
        <w:bottom w:val="nil"/>
        <w:right w:val="nil"/>
      </w:pgBorder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2D4" w:rsidRDefault="00EB52D4">
      <w:pPr>
        <w:spacing w:before="0" w:after="0"/>
      </w:pPr>
      <w:r>
        <w:separator/>
      </w:r>
    </w:p>
  </w:endnote>
  <w:endnote w:type="continuationSeparator" w:id="0">
    <w:p w:rsidR="00EB52D4" w:rsidRDefault="00EB52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Pr="0004555B" w:rsidRDefault="00EB52D4" w:rsidP="0058349F">
    <w:pPr>
      <w:pBdr>
        <w:top w:val="nil"/>
        <w:left w:val="nil"/>
        <w:bottom w:val="nil"/>
        <w:right w:val="nil"/>
        <w:between w:val="nil"/>
        <w:bar w:val="nil"/>
      </w:pBdr>
      <w:rPr>
        <w:rFonts w:eastAsia="TimesNewRomanPS-ItalicMT"/>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Pr="0004555B" w:rsidRDefault="00EB52D4" w:rsidP="0058349F">
    <w:pPr>
      <w:pBdr>
        <w:top w:val="nil"/>
        <w:left w:val="nil"/>
        <w:bottom w:val="nil"/>
        <w:right w:val="nil"/>
        <w:between w:val="nil"/>
        <w:bar w:val="nil"/>
      </w:pBdr>
      <w:rPr>
        <w:rFonts w:eastAsia="TimesNewRomanPS-ItalicMT"/>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pBdr>
        <w:top w:val="nil"/>
        <w:left w:val="nil"/>
        <w:bottom w:val="nil"/>
        <w:right w:val="nil"/>
        <w:between w:val="nil"/>
        <w:bar w:val="nil"/>
      </w:pBdr>
      <w:rPr>
        <w:bdr w:val="ni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Pr="004B1382" w:rsidRDefault="00EB52D4" w:rsidP="0058349F">
    <w:pPr>
      <w:pStyle w:val="FooterBP"/>
      <w:pBdr>
        <w:left w:val="nil"/>
        <w:bottom w:val="nil"/>
        <w:right w:val="nil"/>
        <w:between w:val="nil"/>
        <w:bar w:val="nil"/>
      </w:pBdr>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Pr>
        <w:noProof/>
        <w:bdr w:val="nil"/>
      </w:rPr>
      <w:t>1</w:t>
    </w:r>
    <w:r>
      <w:rPr>
        <w:noProof/>
        <w:bdr w:val="nil"/>
      </w:rPr>
      <w:fldChar w:fldCharType="end"/>
    </w:r>
    <w:r>
      <w:rPr>
        <w:sz w:val="18"/>
        <w:szCs w:val="18"/>
        <w:bdr w:val="nil"/>
      </w:rPr>
      <w:tab/>
    </w:r>
    <w:r>
      <w:rPr>
        <w:bdr w:val="nil"/>
      </w:rPr>
      <w:t>Community Services Directorate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Pr="004B1382" w:rsidRDefault="00EB52D4" w:rsidP="00F14CFA">
    <w:pPr>
      <w:pStyle w:val="FooterBP"/>
      <w:pBdr>
        <w:left w:val="nil"/>
        <w:bottom w:val="nil"/>
        <w:right w:val="nil"/>
        <w:between w:val="nil"/>
        <w:bar w:val="nil"/>
      </w:pBdr>
      <w:spacing w:before="120" w:after="120"/>
      <w:rPr>
        <w:bdr w:val="nil"/>
      </w:rPr>
    </w:pPr>
    <w:r>
      <w:rPr>
        <w:bdr w:val="nil"/>
      </w:rPr>
      <w:t>2018-19 Budget Statements</w:t>
    </w:r>
    <w:r>
      <w:rPr>
        <w:bdr w:val="nil"/>
      </w:rPr>
      <w:tab/>
    </w:r>
    <w:r>
      <w:rPr>
        <w:bdr w:val="nil"/>
      </w:rPr>
      <w:fldChar w:fldCharType="begin"/>
    </w:r>
    <w:r>
      <w:rPr>
        <w:bdr w:val="nil"/>
      </w:rPr>
      <w:instrText xml:space="preserve"> PAGE   \* MERGEFORMAT </w:instrText>
    </w:r>
    <w:r>
      <w:rPr>
        <w:bdr w:val="nil"/>
      </w:rPr>
      <w:fldChar w:fldCharType="separate"/>
    </w:r>
    <w:r w:rsidR="005731B5">
      <w:rPr>
        <w:noProof/>
        <w:bdr w:val="nil"/>
      </w:rPr>
      <w:t>29</w:t>
    </w:r>
    <w:r>
      <w:rPr>
        <w:noProof/>
        <w:bdr w:val="nil"/>
      </w:rPr>
      <w:fldChar w:fldCharType="end"/>
    </w:r>
    <w:r>
      <w:rPr>
        <w:sz w:val="18"/>
        <w:szCs w:val="18"/>
        <w:bdr w:val="nil"/>
      </w:rPr>
      <w:tab/>
    </w:r>
    <w:r>
      <w:rPr>
        <w:bdr w:val="nil"/>
      </w:rPr>
      <w:t>Community Services Directorate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pStyle w:val="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2D4" w:rsidRDefault="00EB52D4">
      <w:pPr>
        <w:spacing w:before="0" w:after="0"/>
      </w:pPr>
      <w:r>
        <w:separator/>
      </w:r>
    </w:p>
  </w:footnote>
  <w:footnote w:type="continuationSeparator" w:id="0">
    <w:p w:rsidR="00EB52D4" w:rsidRDefault="00EB52D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suppressLineNumbers/>
      <w:pBdr>
        <w:top w:val="nil"/>
        <w:left w:val="nil"/>
        <w:bottom w:val="nil"/>
        <w:right w:val="nil"/>
        <w:between w:val="nil"/>
        <w:bar w:val="nil"/>
      </w:pBdr>
      <w:spacing w:before="0" w:after="0" w:line="14" w:lineRule="exact"/>
      <w:contextualSpacing/>
      <w:rPr>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suppressLineNumbers/>
      <w:pBdr>
        <w:top w:val="nil"/>
        <w:left w:val="nil"/>
        <w:bottom w:val="nil"/>
        <w:right w:val="nil"/>
        <w:between w:val="nil"/>
        <w:bar w:val="nil"/>
      </w:pBdr>
      <w:spacing w:before="0" w:after="0" w:line="14" w:lineRule="exact"/>
      <w:contextualSpacing/>
      <w:rPr>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pBdr>
        <w:top w:val="nil"/>
        <w:left w:val="nil"/>
        <w:bottom w:val="nil"/>
        <w:right w:val="nil"/>
        <w:between w:val="nil"/>
        <w:bar w:val="nil"/>
      </w:pBdr>
      <w:rPr>
        <w:bdr w:val="ni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pStyle w:val="Normal0"/>
      <w:suppressLineNumbers/>
      <w:spacing w:before="0" w:after="0" w:line="14" w:lineRule="exact"/>
      <w:contextualSpacing/>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pStyle w:val="Normal0"/>
      <w:suppressLineNumbers/>
      <w:spacing w:before="0" w:after="0" w:line="14" w:lineRule="exact"/>
      <w:contextualSpacing/>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D4" w:rsidRDefault="00EB52D4">
    <w:pPr>
      <w:pStyle w:val="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8E2"/>
    <w:multiLevelType w:val="hybridMultilevel"/>
    <w:tmpl w:val="08E807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F91595"/>
    <w:multiLevelType w:val="hybridMultilevel"/>
    <w:tmpl w:val="663223A4"/>
    <w:lvl w:ilvl="0" w:tplc="8C88B118">
      <w:start w:val="1"/>
      <w:numFmt w:val="decimal"/>
      <w:lvlText w:val="%1."/>
      <w:lvlJc w:val="left"/>
      <w:pPr>
        <w:ind w:left="426" w:hanging="360"/>
      </w:p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 w15:restartNumberingAfterBreak="0">
    <w:nsid w:val="16865543"/>
    <w:multiLevelType w:val="hybridMultilevel"/>
    <w:tmpl w:val="1804B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4B185E"/>
    <w:multiLevelType w:val="hybridMultilevel"/>
    <w:tmpl w:val="89E0F950"/>
    <w:lvl w:ilvl="0" w:tplc="A39065A4">
      <w:start w:val="1"/>
      <w:numFmt w:val="decimal"/>
      <w:lvlText w:val="%1."/>
      <w:lvlJc w:val="left"/>
      <w:pPr>
        <w:ind w:left="360" w:hanging="360"/>
      </w:pPr>
    </w:lvl>
    <w:lvl w:ilvl="1" w:tplc="9F96C906">
      <w:start w:val="1"/>
      <w:numFmt w:val="lowerLetter"/>
      <w:lvlText w:val="%2."/>
      <w:lvlJc w:val="left"/>
      <w:pPr>
        <w:ind w:left="1080" w:hanging="360"/>
      </w:pPr>
    </w:lvl>
    <w:lvl w:ilvl="2" w:tplc="8802579E">
      <w:start w:val="1"/>
      <w:numFmt w:val="lowerRoman"/>
      <w:lvlText w:val="%3."/>
      <w:lvlJc w:val="right"/>
      <w:pPr>
        <w:ind w:left="1800" w:hanging="180"/>
      </w:pPr>
    </w:lvl>
    <w:lvl w:ilvl="3" w:tplc="CF4AC7C2">
      <w:start w:val="1"/>
      <w:numFmt w:val="decimal"/>
      <w:lvlText w:val="%4."/>
      <w:lvlJc w:val="left"/>
      <w:pPr>
        <w:ind w:left="2520" w:hanging="360"/>
      </w:pPr>
    </w:lvl>
    <w:lvl w:ilvl="4" w:tplc="F1FCDE7E">
      <w:start w:val="1"/>
      <w:numFmt w:val="lowerLetter"/>
      <w:lvlText w:val="%5."/>
      <w:lvlJc w:val="left"/>
      <w:pPr>
        <w:ind w:left="3240" w:hanging="360"/>
      </w:pPr>
    </w:lvl>
    <w:lvl w:ilvl="5" w:tplc="1AA6B35E">
      <w:start w:val="1"/>
      <w:numFmt w:val="lowerRoman"/>
      <w:lvlText w:val="%6."/>
      <w:lvlJc w:val="right"/>
      <w:pPr>
        <w:ind w:left="3960" w:hanging="180"/>
      </w:pPr>
    </w:lvl>
    <w:lvl w:ilvl="6" w:tplc="C2A84558">
      <w:start w:val="1"/>
      <w:numFmt w:val="decimal"/>
      <w:lvlText w:val="%7."/>
      <w:lvlJc w:val="left"/>
      <w:pPr>
        <w:ind w:left="4680" w:hanging="360"/>
      </w:pPr>
    </w:lvl>
    <w:lvl w:ilvl="7" w:tplc="ACCA7272">
      <w:start w:val="1"/>
      <w:numFmt w:val="lowerLetter"/>
      <w:lvlText w:val="%8."/>
      <w:lvlJc w:val="left"/>
      <w:pPr>
        <w:ind w:left="5400" w:hanging="360"/>
      </w:pPr>
    </w:lvl>
    <w:lvl w:ilvl="8" w:tplc="F13080F0">
      <w:start w:val="1"/>
      <w:numFmt w:val="lowerRoman"/>
      <w:lvlText w:val="%9."/>
      <w:lvlJc w:val="right"/>
      <w:pPr>
        <w:ind w:left="6120" w:hanging="180"/>
      </w:pPr>
    </w:lvl>
  </w:abstractNum>
  <w:abstractNum w:abstractNumId="4" w15:restartNumberingAfterBreak="0">
    <w:nsid w:val="20103066"/>
    <w:multiLevelType w:val="hybridMultilevel"/>
    <w:tmpl w:val="EF24F32E"/>
    <w:lvl w:ilvl="0" w:tplc="5A980DD0">
      <w:start w:val="78"/>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806EE8"/>
    <w:multiLevelType w:val="hybridMultilevel"/>
    <w:tmpl w:val="1346D436"/>
    <w:lvl w:ilvl="0" w:tplc="5A980DD0">
      <w:start w:val="78"/>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4E3BDC"/>
    <w:multiLevelType w:val="hybridMultilevel"/>
    <w:tmpl w:val="747AF816"/>
    <w:lvl w:ilvl="0" w:tplc="EEAE3EEE">
      <w:start w:val="1"/>
      <w:numFmt w:val="bullet"/>
      <w:pStyle w:val="BodyTextIndent"/>
      <w:lvlText w:val=""/>
      <w:lvlJc w:val="left"/>
      <w:pPr>
        <w:tabs>
          <w:tab w:val="num" w:pos="360"/>
        </w:tabs>
        <w:ind w:left="360" w:hanging="360"/>
      </w:pPr>
      <w:rPr>
        <w:rFonts w:ascii="Symbol" w:hAnsi="Symbol" w:cs="Times New Roman" w:hint="default"/>
      </w:rPr>
    </w:lvl>
    <w:lvl w:ilvl="1" w:tplc="869A3BE0">
      <w:start w:val="1"/>
      <w:numFmt w:val="bullet"/>
      <w:lvlText w:val="o"/>
      <w:lvlJc w:val="left"/>
      <w:pPr>
        <w:tabs>
          <w:tab w:val="num" w:pos="360"/>
        </w:tabs>
        <w:ind w:left="360" w:hanging="360"/>
      </w:pPr>
      <w:rPr>
        <w:rFonts w:ascii="Courier New" w:hAnsi="Courier New" w:hint="default"/>
      </w:rPr>
    </w:lvl>
    <w:lvl w:ilvl="2" w:tplc="725473FE" w:tentative="1">
      <w:start w:val="1"/>
      <w:numFmt w:val="bullet"/>
      <w:lvlText w:val=""/>
      <w:lvlJc w:val="left"/>
      <w:pPr>
        <w:tabs>
          <w:tab w:val="num" w:pos="1080"/>
        </w:tabs>
        <w:ind w:left="1080" w:hanging="360"/>
      </w:pPr>
      <w:rPr>
        <w:rFonts w:ascii="Wingdings" w:hAnsi="Wingdings" w:hint="default"/>
      </w:rPr>
    </w:lvl>
    <w:lvl w:ilvl="3" w:tplc="64381DA0" w:tentative="1">
      <w:start w:val="1"/>
      <w:numFmt w:val="bullet"/>
      <w:lvlText w:val=""/>
      <w:lvlJc w:val="left"/>
      <w:pPr>
        <w:tabs>
          <w:tab w:val="num" w:pos="1800"/>
        </w:tabs>
        <w:ind w:left="1800" w:hanging="360"/>
      </w:pPr>
      <w:rPr>
        <w:rFonts w:ascii="Symbol" w:hAnsi="Symbol" w:hint="default"/>
      </w:rPr>
    </w:lvl>
    <w:lvl w:ilvl="4" w:tplc="FD4E62C6" w:tentative="1">
      <w:start w:val="1"/>
      <w:numFmt w:val="bullet"/>
      <w:lvlText w:val="o"/>
      <w:lvlJc w:val="left"/>
      <w:pPr>
        <w:tabs>
          <w:tab w:val="num" w:pos="2520"/>
        </w:tabs>
        <w:ind w:left="2520" w:hanging="360"/>
      </w:pPr>
      <w:rPr>
        <w:rFonts w:ascii="Courier New" w:hAnsi="Courier New" w:hint="default"/>
      </w:rPr>
    </w:lvl>
    <w:lvl w:ilvl="5" w:tplc="DA048DC8" w:tentative="1">
      <w:start w:val="1"/>
      <w:numFmt w:val="bullet"/>
      <w:lvlText w:val=""/>
      <w:lvlJc w:val="left"/>
      <w:pPr>
        <w:tabs>
          <w:tab w:val="num" w:pos="3240"/>
        </w:tabs>
        <w:ind w:left="3240" w:hanging="360"/>
      </w:pPr>
      <w:rPr>
        <w:rFonts w:ascii="Wingdings" w:hAnsi="Wingdings" w:hint="default"/>
      </w:rPr>
    </w:lvl>
    <w:lvl w:ilvl="6" w:tplc="A01E27E6" w:tentative="1">
      <w:start w:val="1"/>
      <w:numFmt w:val="bullet"/>
      <w:lvlText w:val=""/>
      <w:lvlJc w:val="left"/>
      <w:pPr>
        <w:tabs>
          <w:tab w:val="num" w:pos="3960"/>
        </w:tabs>
        <w:ind w:left="3960" w:hanging="360"/>
      </w:pPr>
      <w:rPr>
        <w:rFonts w:ascii="Symbol" w:hAnsi="Symbol" w:hint="default"/>
      </w:rPr>
    </w:lvl>
    <w:lvl w:ilvl="7" w:tplc="1F100E4E" w:tentative="1">
      <w:start w:val="1"/>
      <w:numFmt w:val="bullet"/>
      <w:lvlText w:val="o"/>
      <w:lvlJc w:val="left"/>
      <w:pPr>
        <w:tabs>
          <w:tab w:val="num" w:pos="4680"/>
        </w:tabs>
        <w:ind w:left="4680" w:hanging="360"/>
      </w:pPr>
      <w:rPr>
        <w:rFonts w:ascii="Courier New" w:hAnsi="Courier New" w:hint="default"/>
      </w:rPr>
    </w:lvl>
    <w:lvl w:ilvl="8" w:tplc="062E660C"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9056534"/>
    <w:multiLevelType w:val="hybridMultilevel"/>
    <w:tmpl w:val="8AB00FB0"/>
    <w:lvl w:ilvl="0" w:tplc="684EFE4E">
      <w:start w:val="31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03732A"/>
    <w:multiLevelType w:val="hybridMultilevel"/>
    <w:tmpl w:val="B0B0C1B0"/>
    <w:lvl w:ilvl="0" w:tplc="5A980DD0">
      <w:start w:val="78"/>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ED14C6"/>
    <w:multiLevelType w:val="hybridMultilevel"/>
    <w:tmpl w:val="5B1A60B8"/>
    <w:lvl w:ilvl="0" w:tplc="5A980DD0">
      <w:start w:val="78"/>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D2100D"/>
    <w:multiLevelType w:val="hybridMultilevel"/>
    <w:tmpl w:val="FD38E726"/>
    <w:lvl w:ilvl="0" w:tplc="5A980DD0">
      <w:start w:val="7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0B76C9"/>
    <w:multiLevelType w:val="hybridMultilevel"/>
    <w:tmpl w:val="9F503B4A"/>
    <w:lvl w:ilvl="0" w:tplc="A39065A4">
      <w:start w:val="1"/>
      <w:numFmt w:val="decimal"/>
      <w:lvlText w:val="%1."/>
      <w:lvlJc w:val="left"/>
      <w:pPr>
        <w:ind w:left="360" w:hanging="360"/>
      </w:pPr>
    </w:lvl>
    <w:lvl w:ilvl="1" w:tplc="9F96C906">
      <w:start w:val="1"/>
      <w:numFmt w:val="lowerLetter"/>
      <w:lvlText w:val="%2."/>
      <w:lvlJc w:val="left"/>
      <w:pPr>
        <w:ind w:left="1080" w:hanging="360"/>
      </w:pPr>
    </w:lvl>
    <w:lvl w:ilvl="2" w:tplc="8802579E">
      <w:start w:val="1"/>
      <w:numFmt w:val="lowerRoman"/>
      <w:lvlText w:val="%3."/>
      <w:lvlJc w:val="right"/>
      <w:pPr>
        <w:ind w:left="1800" w:hanging="180"/>
      </w:pPr>
    </w:lvl>
    <w:lvl w:ilvl="3" w:tplc="CF4AC7C2">
      <w:start w:val="1"/>
      <w:numFmt w:val="decimal"/>
      <w:lvlText w:val="%4."/>
      <w:lvlJc w:val="left"/>
      <w:pPr>
        <w:ind w:left="2520" w:hanging="360"/>
      </w:pPr>
    </w:lvl>
    <w:lvl w:ilvl="4" w:tplc="F1FCDE7E">
      <w:start w:val="1"/>
      <w:numFmt w:val="lowerLetter"/>
      <w:lvlText w:val="%5."/>
      <w:lvlJc w:val="left"/>
      <w:pPr>
        <w:ind w:left="3240" w:hanging="360"/>
      </w:pPr>
    </w:lvl>
    <w:lvl w:ilvl="5" w:tplc="1AA6B35E">
      <w:start w:val="1"/>
      <w:numFmt w:val="lowerRoman"/>
      <w:lvlText w:val="%6."/>
      <w:lvlJc w:val="right"/>
      <w:pPr>
        <w:ind w:left="3960" w:hanging="180"/>
      </w:pPr>
    </w:lvl>
    <w:lvl w:ilvl="6" w:tplc="C2A84558">
      <w:start w:val="1"/>
      <w:numFmt w:val="decimal"/>
      <w:lvlText w:val="%7."/>
      <w:lvlJc w:val="left"/>
      <w:pPr>
        <w:ind w:left="4680" w:hanging="360"/>
      </w:pPr>
    </w:lvl>
    <w:lvl w:ilvl="7" w:tplc="ACCA7272">
      <w:start w:val="1"/>
      <w:numFmt w:val="lowerLetter"/>
      <w:lvlText w:val="%8."/>
      <w:lvlJc w:val="left"/>
      <w:pPr>
        <w:ind w:left="5400" w:hanging="360"/>
      </w:pPr>
    </w:lvl>
    <w:lvl w:ilvl="8" w:tplc="F13080F0">
      <w:start w:val="1"/>
      <w:numFmt w:val="lowerRoman"/>
      <w:lvlText w:val="%9."/>
      <w:lvlJc w:val="right"/>
      <w:pPr>
        <w:ind w:left="6120" w:hanging="180"/>
      </w:pPr>
    </w:lvl>
  </w:abstractNum>
  <w:abstractNum w:abstractNumId="12" w15:restartNumberingAfterBreak="0">
    <w:nsid w:val="68B07093"/>
    <w:multiLevelType w:val="hybridMultilevel"/>
    <w:tmpl w:val="4104C73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B864962"/>
    <w:multiLevelType w:val="hybridMultilevel"/>
    <w:tmpl w:val="EAB0EDA0"/>
    <w:lvl w:ilvl="0" w:tplc="D9AC1526">
      <w:start w:val="1"/>
      <w:numFmt w:val="decimal"/>
      <w:lvlText w:val="%1."/>
      <w:lvlJc w:val="left"/>
      <w:pPr>
        <w:ind w:left="360" w:hanging="360"/>
      </w:pPr>
    </w:lvl>
    <w:lvl w:ilvl="1" w:tplc="C5364FD2">
      <w:start w:val="1"/>
      <w:numFmt w:val="lowerLetter"/>
      <w:lvlText w:val="%2."/>
      <w:lvlJc w:val="left"/>
      <w:pPr>
        <w:ind w:left="1080" w:hanging="360"/>
      </w:pPr>
    </w:lvl>
    <w:lvl w:ilvl="2" w:tplc="903CF31E">
      <w:start w:val="1"/>
      <w:numFmt w:val="lowerRoman"/>
      <w:lvlText w:val="%3."/>
      <w:lvlJc w:val="right"/>
      <w:pPr>
        <w:ind w:left="1800" w:hanging="180"/>
      </w:pPr>
    </w:lvl>
    <w:lvl w:ilvl="3" w:tplc="5F303646">
      <w:start w:val="1"/>
      <w:numFmt w:val="decimal"/>
      <w:lvlText w:val="%4."/>
      <w:lvlJc w:val="left"/>
      <w:pPr>
        <w:ind w:left="2520" w:hanging="360"/>
      </w:pPr>
    </w:lvl>
    <w:lvl w:ilvl="4" w:tplc="8526915C">
      <w:start w:val="1"/>
      <w:numFmt w:val="lowerLetter"/>
      <w:lvlText w:val="%5."/>
      <w:lvlJc w:val="left"/>
      <w:pPr>
        <w:ind w:left="3240" w:hanging="360"/>
      </w:pPr>
    </w:lvl>
    <w:lvl w:ilvl="5" w:tplc="00AE5C8C">
      <w:start w:val="1"/>
      <w:numFmt w:val="lowerRoman"/>
      <w:lvlText w:val="%6."/>
      <w:lvlJc w:val="right"/>
      <w:pPr>
        <w:ind w:left="3960" w:hanging="180"/>
      </w:pPr>
    </w:lvl>
    <w:lvl w:ilvl="6" w:tplc="CD909942">
      <w:start w:val="1"/>
      <w:numFmt w:val="decimal"/>
      <w:lvlText w:val="%7."/>
      <w:lvlJc w:val="left"/>
      <w:pPr>
        <w:ind w:left="4680" w:hanging="360"/>
      </w:pPr>
    </w:lvl>
    <w:lvl w:ilvl="7" w:tplc="F7A64400">
      <w:start w:val="1"/>
      <w:numFmt w:val="lowerLetter"/>
      <w:lvlText w:val="%8."/>
      <w:lvlJc w:val="left"/>
      <w:pPr>
        <w:ind w:left="5400" w:hanging="360"/>
      </w:pPr>
    </w:lvl>
    <w:lvl w:ilvl="8" w:tplc="1B2A58CE">
      <w:start w:val="1"/>
      <w:numFmt w:val="lowerRoman"/>
      <w:lvlText w:val="%9."/>
      <w:lvlJc w:val="right"/>
      <w:pPr>
        <w:ind w:left="6120" w:hanging="180"/>
      </w:pPr>
    </w:lvl>
  </w:abstractNum>
  <w:abstractNum w:abstractNumId="14" w15:restartNumberingAfterBreak="0">
    <w:nsid w:val="749F42E5"/>
    <w:multiLevelType w:val="hybridMultilevel"/>
    <w:tmpl w:val="6F0EF226"/>
    <w:lvl w:ilvl="0" w:tplc="0C090019">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70A1805"/>
    <w:multiLevelType w:val="hybridMultilevel"/>
    <w:tmpl w:val="4E243284"/>
    <w:lvl w:ilvl="0" w:tplc="5A980DD0">
      <w:start w:val="78"/>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3730AE"/>
    <w:multiLevelType w:val="hybridMultilevel"/>
    <w:tmpl w:val="B95EF64A"/>
    <w:lvl w:ilvl="0" w:tplc="4D0071FC">
      <w:start w:val="1"/>
      <w:numFmt w:val="bullet"/>
      <w:lvlText w:val=""/>
      <w:lvlJc w:val="left"/>
      <w:pPr>
        <w:ind w:left="360" w:hanging="360"/>
      </w:pPr>
      <w:rPr>
        <w:rFonts w:ascii="Symbol" w:hAnsi="Symbol" w:hint="default"/>
      </w:rPr>
    </w:lvl>
    <w:lvl w:ilvl="1" w:tplc="3FCCEAFA">
      <w:start w:val="1"/>
      <w:numFmt w:val="bullet"/>
      <w:lvlText w:val="o"/>
      <w:lvlJc w:val="left"/>
      <w:pPr>
        <w:ind w:left="1080" w:hanging="360"/>
      </w:pPr>
      <w:rPr>
        <w:rFonts w:ascii="Courier New" w:hAnsi="Courier New" w:cs="Courier New" w:hint="default"/>
      </w:rPr>
    </w:lvl>
    <w:lvl w:ilvl="2" w:tplc="4080B8DE">
      <w:start w:val="1"/>
      <w:numFmt w:val="bullet"/>
      <w:lvlText w:val=""/>
      <w:lvlJc w:val="left"/>
      <w:pPr>
        <w:ind w:left="1800" w:hanging="360"/>
      </w:pPr>
      <w:rPr>
        <w:rFonts w:ascii="Wingdings" w:hAnsi="Wingdings" w:hint="default"/>
      </w:rPr>
    </w:lvl>
    <w:lvl w:ilvl="3" w:tplc="A60A775E">
      <w:start w:val="1"/>
      <w:numFmt w:val="bullet"/>
      <w:lvlText w:val=""/>
      <w:lvlJc w:val="left"/>
      <w:pPr>
        <w:ind w:left="2520" w:hanging="360"/>
      </w:pPr>
      <w:rPr>
        <w:rFonts w:ascii="Symbol" w:hAnsi="Symbol" w:hint="default"/>
      </w:rPr>
    </w:lvl>
    <w:lvl w:ilvl="4" w:tplc="C4A80C1A">
      <w:start w:val="1"/>
      <w:numFmt w:val="bullet"/>
      <w:lvlText w:val="o"/>
      <w:lvlJc w:val="left"/>
      <w:pPr>
        <w:ind w:left="3240" w:hanging="360"/>
      </w:pPr>
      <w:rPr>
        <w:rFonts w:ascii="Courier New" w:hAnsi="Courier New" w:cs="Courier New" w:hint="default"/>
      </w:rPr>
    </w:lvl>
    <w:lvl w:ilvl="5" w:tplc="C6D0D434">
      <w:start w:val="1"/>
      <w:numFmt w:val="bullet"/>
      <w:lvlText w:val=""/>
      <w:lvlJc w:val="left"/>
      <w:pPr>
        <w:ind w:left="3960" w:hanging="360"/>
      </w:pPr>
      <w:rPr>
        <w:rFonts w:ascii="Wingdings" w:hAnsi="Wingdings" w:hint="default"/>
      </w:rPr>
    </w:lvl>
    <w:lvl w:ilvl="6" w:tplc="8FAC4E24">
      <w:start w:val="1"/>
      <w:numFmt w:val="bullet"/>
      <w:lvlText w:val=""/>
      <w:lvlJc w:val="left"/>
      <w:pPr>
        <w:ind w:left="4680" w:hanging="360"/>
      </w:pPr>
      <w:rPr>
        <w:rFonts w:ascii="Symbol" w:hAnsi="Symbol" w:hint="default"/>
      </w:rPr>
    </w:lvl>
    <w:lvl w:ilvl="7" w:tplc="4E9C295C">
      <w:start w:val="1"/>
      <w:numFmt w:val="bullet"/>
      <w:lvlText w:val="o"/>
      <w:lvlJc w:val="left"/>
      <w:pPr>
        <w:ind w:left="5400" w:hanging="360"/>
      </w:pPr>
      <w:rPr>
        <w:rFonts w:ascii="Courier New" w:hAnsi="Courier New" w:cs="Courier New" w:hint="default"/>
      </w:rPr>
    </w:lvl>
    <w:lvl w:ilvl="8" w:tplc="19FC6076">
      <w:start w:val="1"/>
      <w:numFmt w:val="bullet"/>
      <w:lvlText w:val=""/>
      <w:lvlJc w:val="left"/>
      <w:pPr>
        <w:ind w:left="6120" w:hanging="360"/>
      </w:pPr>
      <w:rPr>
        <w:rFonts w:ascii="Wingdings" w:hAnsi="Wingdings" w:hint="default"/>
      </w:rPr>
    </w:lvl>
  </w:abstractNum>
  <w:abstractNum w:abstractNumId="17" w15:restartNumberingAfterBreak="0">
    <w:nsid w:val="7B3730AF"/>
    <w:multiLevelType w:val="hybridMultilevel"/>
    <w:tmpl w:val="ECA61E9E"/>
    <w:lvl w:ilvl="0" w:tplc="A20AFEF0">
      <w:start w:val="1"/>
      <w:numFmt w:val="bullet"/>
      <w:pStyle w:val="BSbullet1"/>
      <w:lvlText w:val=""/>
      <w:lvlJc w:val="left"/>
      <w:pPr>
        <w:tabs>
          <w:tab w:val="num" w:pos="360"/>
        </w:tabs>
        <w:ind w:left="357" w:hanging="357"/>
      </w:pPr>
      <w:rPr>
        <w:rFonts w:ascii="Symbol" w:hAnsi="Symbol" w:hint="default"/>
        <w:sz w:val="24"/>
      </w:rPr>
    </w:lvl>
    <w:lvl w:ilvl="1" w:tplc="DDAA6474">
      <w:start w:val="1"/>
      <w:numFmt w:val="bullet"/>
      <w:lvlText w:val="o"/>
      <w:lvlJc w:val="left"/>
      <w:pPr>
        <w:tabs>
          <w:tab w:val="num" w:pos="1800"/>
        </w:tabs>
        <w:ind w:left="1800" w:hanging="360"/>
      </w:pPr>
      <w:rPr>
        <w:rFonts w:ascii="Courier New" w:hAnsi="Courier New" w:hint="default"/>
      </w:rPr>
    </w:lvl>
    <w:lvl w:ilvl="2" w:tplc="1F52ED96">
      <w:start w:val="1"/>
      <w:numFmt w:val="bullet"/>
      <w:lvlText w:val=""/>
      <w:lvlJc w:val="left"/>
      <w:pPr>
        <w:tabs>
          <w:tab w:val="num" w:pos="2520"/>
        </w:tabs>
        <w:ind w:left="2520" w:hanging="360"/>
      </w:pPr>
      <w:rPr>
        <w:rFonts w:ascii="Wingdings" w:hAnsi="Wingdings" w:hint="default"/>
      </w:rPr>
    </w:lvl>
    <w:lvl w:ilvl="3" w:tplc="1D98C272">
      <w:start w:val="1"/>
      <w:numFmt w:val="bullet"/>
      <w:lvlText w:val=""/>
      <w:lvlJc w:val="left"/>
      <w:pPr>
        <w:tabs>
          <w:tab w:val="num" w:pos="3240"/>
        </w:tabs>
        <w:ind w:left="3240" w:hanging="360"/>
      </w:pPr>
      <w:rPr>
        <w:rFonts w:ascii="Symbol" w:hAnsi="Symbol" w:hint="default"/>
      </w:rPr>
    </w:lvl>
    <w:lvl w:ilvl="4" w:tplc="1A965776">
      <w:start w:val="1"/>
      <w:numFmt w:val="bullet"/>
      <w:lvlText w:val="o"/>
      <w:lvlJc w:val="left"/>
      <w:pPr>
        <w:tabs>
          <w:tab w:val="num" w:pos="3960"/>
        </w:tabs>
        <w:ind w:left="3960" w:hanging="360"/>
      </w:pPr>
      <w:rPr>
        <w:rFonts w:ascii="Courier New" w:hAnsi="Courier New" w:hint="default"/>
      </w:rPr>
    </w:lvl>
    <w:lvl w:ilvl="5" w:tplc="C7BC088C">
      <w:start w:val="1"/>
      <w:numFmt w:val="bullet"/>
      <w:lvlText w:val=""/>
      <w:lvlJc w:val="left"/>
      <w:pPr>
        <w:tabs>
          <w:tab w:val="num" w:pos="4680"/>
        </w:tabs>
        <w:ind w:left="4680" w:hanging="360"/>
      </w:pPr>
      <w:rPr>
        <w:rFonts w:ascii="Wingdings" w:hAnsi="Wingdings" w:hint="default"/>
      </w:rPr>
    </w:lvl>
    <w:lvl w:ilvl="6" w:tplc="27E032EA">
      <w:start w:val="1"/>
      <w:numFmt w:val="bullet"/>
      <w:lvlText w:val=""/>
      <w:lvlJc w:val="left"/>
      <w:pPr>
        <w:tabs>
          <w:tab w:val="num" w:pos="5400"/>
        </w:tabs>
        <w:ind w:left="5400" w:hanging="360"/>
      </w:pPr>
      <w:rPr>
        <w:rFonts w:ascii="Symbol" w:hAnsi="Symbol" w:hint="default"/>
      </w:rPr>
    </w:lvl>
    <w:lvl w:ilvl="7" w:tplc="A0265818">
      <w:start w:val="1"/>
      <w:numFmt w:val="bullet"/>
      <w:lvlText w:val="o"/>
      <w:lvlJc w:val="left"/>
      <w:pPr>
        <w:tabs>
          <w:tab w:val="num" w:pos="6120"/>
        </w:tabs>
        <w:ind w:left="6120" w:hanging="360"/>
      </w:pPr>
      <w:rPr>
        <w:rFonts w:ascii="Courier New" w:hAnsi="Courier New" w:hint="default"/>
      </w:rPr>
    </w:lvl>
    <w:lvl w:ilvl="8" w:tplc="FDC27F24">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3730B0"/>
    <w:multiLevelType w:val="hybridMultilevel"/>
    <w:tmpl w:val="C868B8B4"/>
    <w:lvl w:ilvl="0" w:tplc="8C88B118">
      <w:start w:val="1"/>
      <w:numFmt w:val="decimal"/>
      <w:lvlText w:val="%1."/>
      <w:lvlJc w:val="left"/>
      <w:pPr>
        <w:ind w:left="360" w:hanging="360"/>
      </w:pPr>
    </w:lvl>
    <w:lvl w:ilvl="1" w:tplc="91DE9F84">
      <w:start w:val="1"/>
      <w:numFmt w:val="decimal"/>
      <w:lvlText w:val="%2."/>
      <w:lvlJc w:val="left"/>
      <w:pPr>
        <w:tabs>
          <w:tab w:val="num" w:pos="1440"/>
        </w:tabs>
        <w:ind w:left="1440" w:hanging="360"/>
      </w:pPr>
    </w:lvl>
    <w:lvl w:ilvl="2" w:tplc="0484BBDA">
      <w:start w:val="1"/>
      <w:numFmt w:val="decimal"/>
      <w:lvlText w:val="%3."/>
      <w:lvlJc w:val="left"/>
      <w:pPr>
        <w:tabs>
          <w:tab w:val="num" w:pos="2160"/>
        </w:tabs>
        <w:ind w:left="2160" w:hanging="360"/>
      </w:pPr>
    </w:lvl>
    <w:lvl w:ilvl="3" w:tplc="42145016">
      <w:start w:val="1"/>
      <w:numFmt w:val="decimal"/>
      <w:lvlText w:val="%4."/>
      <w:lvlJc w:val="left"/>
      <w:pPr>
        <w:tabs>
          <w:tab w:val="num" w:pos="2880"/>
        </w:tabs>
        <w:ind w:left="2880" w:hanging="360"/>
      </w:pPr>
    </w:lvl>
    <w:lvl w:ilvl="4" w:tplc="D110E71C">
      <w:start w:val="1"/>
      <w:numFmt w:val="decimal"/>
      <w:lvlText w:val="%5."/>
      <w:lvlJc w:val="left"/>
      <w:pPr>
        <w:tabs>
          <w:tab w:val="num" w:pos="3600"/>
        </w:tabs>
        <w:ind w:left="3600" w:hanging="360"/>
      </w:pPr>
    </w:lvl>
    <w:lvl w:ilvl="5" w:tplc="A7645BA0">
      <w:start w:val="1"/>
      <w:numFmt w:val="decimal"/>
      <w:lvlText w:val="%6."/>
      <w:lvlJc w:val="left"/>
      <w:pPr>
        <w:tabs>
          <w:tab w:val="num" w:pos="4320"/>
        </w:tabs>
        <w:ind w:left="4320" w:hanging="360"/>
      </w:pPr>
    </w:lvl>
    <w:lvl w:ilvl="6" w:tplc="810069DA">
      <w:start w:val="1"/>
      <w:numFmt w:val="decimal"/>
      <w:lvlText w:val="%7."/>
      <w:lvlJc w:val="left"/>
      <w:pPr>
        <w:tabs>
          <w:tab w:val="num" w:pos="5040"/>
        </w:tabs>
        <w:ind w:left="5040" w:hanging="360"/>
      </w:pPr>
    </w:lvl>
    <w:lvl w:ilvl="7" w:tplc="5D1EC778">
      <w:start w:val="1"/>
      <w:numFmt w:val="decimal"/>
      <w:lvlText w:val="%8."/>
      <w:lvlJc w:val="left"/>
      <w:pPr>
        <w:tabs>
          <w:tab w:val="num" w:pos="5760"/>
        </w:tabs>
        <w:ind w:left="5760" w:hanging="360"/>
      </w:pPr>
    </w:lvl>
    <w:lvl w:ilvl="8" w:tplc="E430B082">
      <w:start w:val="1"/>
      <w:numFmt w:val="decimal"/>
      <w:lvlText w:val="%9."/>
      <w:lvlJc w:val="left"/>
      <w:pPr>
        <w:tabs>
          <w:tab w:val="num" w:pos="6480"/>
        </w:tabs>
        <w:ind w:left="6480" w:hanging="360"/>
      </w:pPr>
    </w:lvl>
  </w:abstractNum>
  <w:abstractNum w:abstractNumId="19" w15:restartNumberingAfterBreak="0">
    <w:nsid w:val="7B3730B1"/>
    <w:multiLevelType w:val="hybridMultilevel"/>
    <w:tmpl w:val="6D2455A2"/>
    <w:lvl w:ilvl="0" w:tplc="71E25BF4">
      <w:start w:val="1"/>
      <w:numFmt w:val="decimal"/>
      <w:pStyle w:val="BSnoteslist"/>
      <w:lvlText w:val="%1."/>
      <w:lvlJc w:val="left"/>
      <w:pPr>
        <w:ind w:left="360" w:hanging="360"/>
      </w:pPr>
    </w:lvl>
    <w:lvl w:ilvl="1" w:tplc="1270CCE2" w:tentative="1">
      <w:start w:val="1"/>
      <w:numFmt w:val="lowerLetter"/>
      <w:lvlText w:val="%2."/>
      <w:lvlJc w:val="left"/>
      <w:pPr>
        <w:ind w:left="1080" w:hanging="360"/>
      </w:pPr>
    </w:lvl>
    <w:lvl w:ilvl="2" w:tplc="828CACF4" w:tentative="1">
      <w:start w:val="1"/>
      <w:numFmt w:val="lowerRoman"/>
      <w:lvlText w:val="%3."/>
      <w:lvlJc w:val="right"/>
      <w:pPr>
        <w:ind w:left="1800" w:hanging="180"/>
      </w:pPr>
    </w:lvl>
    <w:lvl w:ilvl="3" w:tplc="9A04FE50" w:tentative="1">
      <w:start w:val="1"/>
      <w:numFmt w:val="decimal"/>
      <w:lvlText w:val="%4."/>
      <w:lvlJc w:val="left"/>
      <w:pPr>
        <w:ind w:left="2520" w:hanging="360"/>
      </w:pPr>
    </w:lvl>
    <w:lvl w:ilvl="4" w:tplc="0B1A4B98" w:tentative="1">
      <w:start w:val="1"/>
      <w:numFmt w:val="lowerLetter"/>
      <w:lvlText w:val="%5."/>
      <w:lvlJc w:val="left"/>
      <w:pPr>
        <w:ind w:left="3240" w:hanging="360"/>
      </w:pPr>
    </w:lvl>
    <w:lvl w:ilvl="5" w:tplc="5C548C8E" w:tentative="1">
      <w:start w:val="1"/>
      <w:numFmt w:val="lowerRoman"/>
      <w:lvlText w:val="%6."/>
      <w:lvlJc w:val="right"/>
      <w:pPr>
        <w:ind w:left="3960" w:hanging="180"/>
      </w:pPr>
    </w:lvl>
    <w:lvl w:ilvl="6" w:tplc="A2528A9E" w:tentative="1">
      <w:start w:val="1"/>
      <w:numFmt w:val="decimal"/>
      <w:lvlText w:val="%7."/>
      <w:lvlJc w:val="left"/>
      <w:pPr>
        <w:ind w:left="4680" w:hanging="360"/>
      </w:pPr>
    </w:lvl>
    <w:lvl w:ilvl="7" w:tplc="6A3E410E" w:tentative="1">
      <w:start w:val="1"/>
      <w:numFmt w:val="lowerLetter"/>
      <w:lvlText w:val="%8."/>
      <w:lvlJc w:val="left"/>
      <w:pPr>
        <w:ind w:left="5400" w:hanging="360"/>
      </w:pPr>
    </w:lvl>
    <w:lvl w:ilvl="8" w:tplc="1C0C49E6" w:tentative="1">
      <w:start w:val="1"/>
      <w:numFmt w:val="lowerRoman"/>
      <w:lvlText w:val="%9."/>
      <w:lvlJc w:val="right"/>
      <w:pPr>
        <w:ind w:left="6120" w:hanging="180"/>
      </w:pPr>
    </w:lvl>
  </w:abstractNum>
  <w:abstractNum w:abstractNumId="20" w15:restartNumberingAfterBreak="0">
    <w:nsid w:val="7B3730B2"/>
    <w:multiLevelType w:val="hybridMultilevel"/>
    <w:tmpl w:val="63D67E68"/>
    <w:lvl w:ilvl="0" w:tplc="C226AC36">
      <w:start w:val="1"/>
      <w:numFmt w:val="decimal"/>
      <w:pStyle w:val="Alnotes"/>
      <w:lvlText w:val="%1."/>
      <w:lvlJc w:val="left"/>
      <w:pPr>
        <w:ind w:left="360" w:hanging="360"/>
      </w:pPr>
      <w:rPr>
        <w:rFonts w:hint="default"/>
      </w:rPr>
    </w:lvl>
    <w:lvl w:ilvl="1" w:tplc="016C08C8" w:tentative="1">
      <w:start w:val="1"/>
      <w:numFmt w:val="lowerLetter"/>
      <w:lvlText w:val="%2."/>
      <w:lvlJc w:val="left"/>
      <w:pPr>
        <w:ind w:left="1080" w:hanging="360"/>
      </w:pPr>
    </w:lvl>
    <w:lvl w:ilvl="2" w:tplc="54A00E16" w:tentative="1">
      <w:start w:val="1"/>
      <w:numFmt w:val="lowerRoman"/>
      <w:lvlText w:val="%3."/>
      <w:lvlJc w:val="right"/>
      <w:pPr>
        <w:ind w:left="1800" w:hanging="180"/>
      </w:pPr>
    </w:lvl>
    <w:lvl w:ilvl="3" w:tplc="B3483FB6" w:tentative="1">
      <w:start w:val="1"/>
      <w:numFmt w:val="decimal"/>
      <w:lvlText w:val="%4."/>
      <w:lvlJc w:val="left"/>
      <w:pPr>
        <w:ind w:left="2520" w:hanging="360"/>
      </w:pPr>
    </w:lvl>
    <w:lvl w:ilvl="4" w:tplc="778252E2" w:tentative="1">
      <w:start w:val="1"/>
      <w:numFmt w:val="lowerLetter"/>
      <w:lvlText w:val="%5."/>
      <w:lvlJc w:val="left"/>
      <w:pPr>
        <w:ind w:left="3240" w:hanging="360"/>
      </w:pPr>
    </w:lvl>
    <w:lvl w:ilvl="5" w:tplc="42CE322A" w:tentative="1">
      <w:start w:val="1"/>
      <w:numFmt w:val="lowerRoman"/>
      <w:lvlText w:val="%6."/>
      <w:lvlJc w:val="right"/>
      <w:pPr>
        <w:ind w:left="3960" w:hanging="180"/>
      </w:pPr>
    </w:lvl>
    <w:lvl w:ilvl="6" w:tplc="FC3055DC" w:tentative="1">
      <w:start w:val="1"/>
      <w:numFmt w:val="decimal"/>
      <w:lvlText w:val="%7."/>
      <w:lvlJc w:val="left"/>
      <w:pPr>
        <w:ind w:left="4680" w:hanging="360"/>
      </w:pPr>
    </w:lvl>
    <w:lvl w:ilvl="7" w:tplc="526A3E5E" w:tentative="1">
      <w:start w:val="1"/>
      <w:numFmt w:val="lowerLetter"/>
      <w:lvlText w:val="%8."/>
      <w:lvlJc w:val="left"/>
      <w:pPr>
        <w:ind w:left="5400" w:hanging="360"/>
      </w:pPr>
    </w:lvl>
    <w:lvl w:ilvl="8" w:tplc="EE1AE1CE" w:tentative="1">
      <w:start w:val="1"/>
      <w:numFmt w:val="lowerRoman"/>
      <w:lvlText w:val="%9."/>
      <w:lvlJc w:val="right"/>
      <w:pPr>
        <w:ind w:left="6120" w:hanging="180"/>
      </w:pPr>
    </w:lvl>
  </w:abstractNum>
  <w:abstractNum w:abstractNumId="21" w15:restartNumberingAfterBreak="0">
    <w:nsid w:val="7B3730B3"/>
    <w:multiLevelType w:val="hybridMultilevel"/>
    <w:tmpl w:val="38B6031E"/>
    <w:lvl w:ilvl="0" w:tplc="89642520">
      <w:start w:val="1"/>
      <w:numFmt w:val="decimal"/>
      <w:pStyle w:val="BSnoteslist0"/>
      <w:lvlText w:val="%1."/>
      <w:lvlJc w:val="left"/>
      <w:pPr>
        <w:ind w:left="360" w:hanging="360"/>
      </w:pPr>
      <w:rPr>
        <w:color w:val="auto"/>
      </w:rPr>
    </w:lvl>
    <w:lvl w:ilvl="1" w:tplc="BD365D90">
      <w:start w:val="1"/>
      <w:numFmt w:val="lowerLetter"/>
      <w:lvlText w:val="%2."/>
      <w:lvlJc w:val="left"/>
      <w:pPr>
        <w:ind w:left="1080" w:hanging="360"/>
      </w:pPr>
    </w:lvl>
    <w:lvl w:ilvl="2" w:tplc="E2CE948C">
      <w:start w:val="1"/>
      <w:numFmt w:val="lowerRoman"/>
      <w:lvlText w:val="%3."/>
      <w:lvlJc w:val="right"/>
      <w:pPr>
        <w:ind w:left="1800" w:hanging="180"/>
      </w:pPr>
    </w:lvl>
    <w:lvl w:ilvl="3" w:tplc="390E53AE">
      <w:start w:val="1"/>
      <w:numFmt w:val="decimal"/>
      <w:lvlText w:val="%4."/>
      <w:lvlJc w:val="left"/>
      <w:pPr>
        <w:ind w:left="2520" w:hanging="360"/>
      </w:pPr>
    </w:lvl>
    <w:lvl w:ilvl="4" w:tplc="ADA2D128">
      <w:start w:val="1"/>
      <w:numFmt w:val="lowerLetter"/>
      <w:lvlText w:val="%5."/>
      <w:lvlJc w:val="left"/>
      <w:pPr>
        <w:ind w:left="3240" w:hanging="360"/>
      </w:pPr>
    </w:lvl>
    <w:lvl w:ilvl="5" w:tplc="6EA8AA5E">
      <w:start w:val="1"/>
      <w:numFmt w:val="lowerRoman"/>
      <w:lvlText w:val="%6."/>
      <w:lvlJc w:val="right"/>
      <w:pPr>
        <w:ind w:left="3960" w:hanging="180"/>
      </w:pPr>
    </w:lvl>
    <w:lvl w:ilvl="6" w:tplc="7D4C565E">
      <w:start w:val="1"/>
      <w:numFmt w:val="decimal"/>
      <w:lvlText w:val="%7."/>
      <w:lvlJc w:val="left"/>
      <w:pPr>
        <w:ind w:left="4680" w:hanging="360"/>
      </w:pPr>
    </w:lvl>
    <w:lvl w:ilvl="7" w:tplc="AB80F91E">
      <w:start w:val="1"/>
      <w:numFmt w:val="lowerLetter"/>
      <w:lvlText w:val="%8."/>
      <w:lvlJc w:val="left"/>
      <w:pPr>
        <w:ind w:left="5400" w:hanging="360"/>
      </w:pPr>
    </w:lvl>
    <w:lvl w:ilvl="8" w:tplc="BA76DBF6">
      <w:start w:val="1"/>
      <w:numFmt w:val="lowerRoman"/>
      <w:lvlText w:val="%9."/>
      <w:lvlJc w:val="right"/>
      <w:pPr>
        <w:ind w:left="6120" w:hanging="180"/>
      </w:pPr>
    </w:lvl>
  </w:abstractNum>
  <w:abstractNum w:abstractNumId="22" w15:restartNumberingAfterBreak="0">
    <w:nsid w:val="7B3730B4"/>
    <w:multiLevelType w:val="hybridMultilevel"/>
    <w:tmpl w:val="3B50FD64"/>
    <w:lvl w:ilvl="0" w:tplc="5E242796">
      <w:start w:val="1"/>
      <w:numFmt w:val="decimal"/>
      <w:pStyle w:val="BSnoteslist1"/>
      <w:lvlText w:val="%1."/>
      <w:lvlJc w:val="left"/>
      <w:pPr>
        <w:ind w:left="360" w:hanging="360"/>
      </w:pPr>
    </w:lvl>
    <w:lvl w:ilvl="1" w:tplc="E83CDA64" w:tentative="1">
      <w:start w:val="1"/>
      <w:numFmt w:val="lowerLetter"/>
      <w:lvlText w:val="%2."/>
      <w:lvlJc w:val="left"/>
      <w:pPr>
        <w:ind w:left="1080" w:hanging="360"/>
      </w:pPr>
    </w:lvl>
    <w:lvl w:ilvl="2" w:tplc="E6F87574" w:tentative="1">
      <w:start w:val="1"/>
      <w:numFmt w:val="lowerRoman"/>
      <w:lvlText w:val="%3."/>
      <w:lvlJc w:val="right"/>
      <w:pPr>
        <w:ind w:left="1800" w:hanging="180"/>
      </w:pPr>
    </w:lvl>
    <w:lvl w:ilvl="3" w:tplc="85C4342A" w:tentative="1">
      <w:start w:val="1"/>
      <w:numFmt w:val="decimal"/>
      <w:lvlText w:val="%4."/>
      <w:lvlJc w:val="left"/>
      <w:pPr>
        <w:ind w:left="2520" w:hanging="360"/>
      </w:pPr>
    </w:lvl>
    <w:lvl w:ilvl="4" w:tplc="90582942" w:tentative="1">
      <w:start w:val="1"/>
      <w:numFmt w:val="lowerLetter"/>
      <w:lvlText w:val="%5."/>
      <w:lvlJc w:val="left"/>
      <w:pPr>
        <w:ind w:left="3240" w:hanging="360"/>
      </w:pPr>
    </w:lvl>
    <w:lvl w:ilvl="5" w:tplc="3FEE0CC0" w:tentative="1">
      <w:start w:val="1"/>
      <w:numFmt w:val="lowerRoman"/>
      <w:lvlText w:val="%6."/>
      <w:lvlJc w:val="right"/>
      <w:pPr>
        <w:ind w:left="3960" w:hanging="180"/>
      </w:pPr>
    </w:lvl>
    <w:lvl w:ilvl="6" w:tplc="7C9E5234" w:tentative="1">
      <w:start w:val="1"/>
      <w:numFmt w:val="decimal"/>
      <w:lvlText w:val="%7."/>
      <w:lvlJc w:val="left"/>
      <w:pPr>
        <w:ind w:left="4680" w:hanging="360"/>
      </w:pPr>
    </w:lvl>
    <w:lvl w:ilvl="7" w:tplc="F9AAA846" w:tentative="1">
      <w:start w:val="1"/>
      <w:numFmt w:val="lowerLetter"/>
      <w:lvlText w:val="%8."/>
      <w:lvlJc w:val="left"/>
      <w:pPr>
        <w:ind w:left="5400" w:hanging="360"/>
      </w:pPr>
    </w:lvl>
    <w:lvl w:ilvl="8" w:tplc="0CE4051E" w:tentative="1">
      <w:start w:val="1"/>
      <w:numFmt w:val="lowerRoman"/>
      <w:lvlText w:val="%9."/>
      <w:lvlJc w:val="right"/>
      <w:pPr>
        <w:ind w:left="6120" w:hanging="180"/>
      </w:pPr>
    </w:lvl>
  </w:abstractNum>
  <w:abstractNum w:abstractNumId="23" w15:restartNumberingAfterBreak="0">
    <w:nsid w:val="7B3730B5"/>
    <w:multiLevelType w:val="hybridMultilevel"/>
    <w:tmpl w:val="63D67E68"/>
    <w:lvl w:ilvl="0" w:tplc="8110E472">
      <w:start w:val="1"/>
      <w:numFmt w:val="decimal"/>
      <w:pStyle w:val="Alnotes0"/>
      <w:lvlText w:val="%1."/>
      <w:lvlJc w:val="left"/>
      <w:pPr>
        <w:ind w:left="360" w:hanging="360"/>
      </w:pPr>
      <w:rPr>
        <w:rFonts w:hint="default"/>
      </w:rPr>
    </w:lvl>
    <w:lvl w:ilvl="1" w:tplc="945274A8" w:tentative="1">
      <w:start w:val="1"/>
      <w:numFmt w:val="lowerLetter"/>
      <w:lvlText w:val="%2."/>
      <w:lvlJc w:val="left"/>
      <w:pPr>
        <w:ind w:left="1080" w:hanging="360"/>
      </w:pPr>
    </w:lvl>
    <w:lvl w:ilvl="2" w:tplc="D6841560" w:tentative="1">
      <w:start w:val="1"/>
      <w:numFmt w:val="lowerRoman"/>
      <w:lvlText w:val="%3."/>
      <w:lvlJc w:val="right"/>
      <w:pPr>
        <w:ind w:left="1800" w:hanging="180"/>
      </w:pPr>
    </w:lvl>
    <w:lvl w:ilvl="3" w:tplc="57E8B2F2" w:tentative="1">
      <w:start w:val="1"/>
      <w:numFmt w:val="decimal"/>
      <w:lvlText w:val="%4."/>
      <w:lvlJc w:val="left"/>
      <w:pPr>
        <w:ind w:left="2520" w:hanging="360"/>
      </w:pPr>
    </w:lvl>
    <w:lvl w:ilvl="4" w:tplc="69CE7398" w:tentative="1">
      <w:start w:val="1"/>
      <w:numFmt w:val="lowerLetter"/>
      <w:lvlText w:val="%5."/>
      <w:lvlJc w:val="left"/>
      <w:pPr>
        <w:ind w:left="3240" w:hanging="360"/>
      </w:pPr>
    </w:lvl>
    <w:lvl w:ilvl="5" w:tplc="1102E302" w:tentative="1">
      <w:start w:val="1"/>
      <w:numFmt w:val="lowerRoman"/>
      <w:lvlText w:val="%6."/>
      <w:lvlJc w:val="right"/>
      <w:pPr>
        <w:ind w:left="3960" w:hanging="180"/>
      </w:pPr>
    </w:lvl>
    <w:lvl w:ilvl="6" w:tplc="87181852" w:tentative="1">
      <w:start w:val="1"/>
      <w:numFmt w:val="decimal"/>
      <w:lvlText w:val="%7."/>
      <w:lvlJc w:val="left"/>
      <w:pPr>
        <w:ind w:left="4680" w:hanging="360"/>
      </w:pPr>
    </w:lvl>
    <w:lvl w:ilvl="7" w:tplc="4BD24998" w:tentative="1">
      <w:start w:val="1"/>
      <w:numFmt w:val="lowerLetter"/>
      <w:lvlText w:val="%8."/>
      <w:lvlJc w:val="left"/>
      <w:pPr>
        <w:ind w:left="5400" w:hanging="360"/>
      </w:pPr>
    </w:lvl>
    <w:lvl w:ilvl="8" w:tplc="DA823E06" w:tentative="1">
      <w:start w:val="1"/>
      <w:numFmt w:val="lowerRoman"/>
      <w:lvlText w:val="%9."/>
      <w:lvlJc w:val="right"/>
      <w:pPr>
        <w:ind w:left="6120" w:hanging="180"/>
      </w:pPr>
    </w:lvl>
  </w:abstractNum>
  <w:abstractNum w:abstractNumId="24" w15:restartNumberingAfterBreak="0">
    <w:nsid w:val="7B3730B6"/>
    <w:multiLevelType w:val="hybridMultilevel"/>
    <w:tmpl w:val="4E7EACC2"/>
    <w:lvl w:ilvl="0" w:tplc="BC849C3A">
      <w:start w:val="1"/>
      <w:numFmt w:val="bullet"/>
      <w:pStyle w:val="BSbullet10"/>
      <w:lvlText w:val=""/>
      <w:lvlJc w:val="left"/>
      <w:pPr>
        <w:tabs>
          <w:tab w:val="num" w:pos="360"/>
        </w:tabs>
        <w:ind w:left="357" w:hanging="357"/>
      </w:pPr>
      <w:rPr>
        <w:rFonts w:ascii="Symbol" w:hAnsi="Symbol" w:hint="default"/>
        <w:sz w:val="24"/>
      </w:rPr>
    </w:lvl>
    <w:lvl w:ilvl="1" w:tplc="D570BE06">
      <w:start w:val="1"/>
      <w:numFmt w:val="bullet"/>
      <w:lvlText w:val="o"/>
      <w:lvlJc w:val="left"/>
      <w:pPr>
        <w:tabs>
          <w:tab w:val="num" w:pos="1800"/>
        </w:tabs>
        <w:ind w:left="1800" w:hanging="360"/>
      </w:pPr>
      <w:rPr>
        <w:rFonts w:ascii="Courier New" w:hAnsi="Courier New" w:hint="default"/>
      </w:rPr>
    </w:lvl>
    <w:lvl w:ilvl="2" w:tplc="638A2CE2">
      <w:start w:val="1"/>
      <w:numFmt w:val="bullet"/>
      <w:lvlText w:val=""/>
      <w:lvlJc w:val="left"/>
      <w:pPr>
        <w:tabs>
          <w:tab w:val="num" w:pos="2520"/>
        </w:tabs>
        <w:ind w:left="2520" w:hanging="360"/>
      </w:pPr>
      <w:rPr>
        <w:rFonts w:ascii="Wingdings" w:hAnsi="Wingdings" w:hint="default"/>
      </w:rPr>
    </w:lvl>
    <w:lvl w:ilvl="3" w:tplc="396A153E">
      <w:start w:val="1"/>
      <w:numFmt w:val="bullet"/>
      <w:lvlText w:val=""/>
      <w:lvlJc w:val="left"/>
      <w:pPr>
        <w:tabs>
          <w:tab w:val="num" w:pos="3240"/>
        </w:tabs>
        <w:ind w:left="3240" w:hanging="360"/>
      </w:pPr>
      <w:rPr>
        <w:rFonts w:ascii="Symbol" w:hAnsi="Symbol" w:hint="default"/>
      </w:rPr>
    </w:lvl>
    <w:lvl w:ilvl="4" w:tplc="2B4C8E90">
      <w:start w:val="1"/>
      <w:numFmt w:val="bullet"/>
      <w:lvlText w:val="o"/>
      <w:lvlJc w:val="left"/>
      <w:pPr>
        <w:tabs>
          <w:tab w:val="num" w:pos="3960"/>
        </w:tabs>
        <w:ind w:left="3960" w:hanging="360"/>
      </w:pPr>
      <w:rPr>
        <w:rFonts w:ascii="Courier New" w:hAnsi="Courier New" w:hint="default"/>
      </w:rPr>
    </w:lvl>
    <w:lvl w:ilvl="5" w:tplc="CBC26FF2">
      <w:start w:val="1"/>
      <w:numFmt w:val="bullet"/>
      <w:lvlText w:val=""/>
      <w:lvlJc w:val="left"/>
      <w:pPr>
        <w:tabs>
          <w:tab w:val="num" w:pos="4680"/>
        </w:tabs>
        <w:ind w:left="4680" w:hanging="360"/>
      </w:pPr>
      <w:rPr>
        <w:rFonts w:ascii="Wingdings" w:hAnsi="Wingdings" w:hint="default"/>
      </w:rPr>
    </w:lvl>
    <w:lvl w:ilvl="6" w:tplc="33C44AB6">
      <w:start w:val="1"/>
      <w:numFmt w:val="bullet"/>
      <w:lvlText w:val=""/>
      <w:lvlJc w:val="left"/>
      <w:pPr>
        <w:tabs>
          <w:tab w:val="num" w:pos="5400"/>
        </w:tabs>
        <w:ind w:left="5400" w:hanging="360"/>
      </w:pPr>
      <w:rPr>
        <w:rFonts w:ascii="Symbol" w:hAnsi="Symbol" w:hint="default"/>
      </w:rPr>
    </w:lvl>
    <w:lvl w:ilvl="7" w:tplc="C04A8938">
      <w:start w:val="1"/>
      <w:numFmt w:val="bullet"/>
      <w:lvlText w:val="o"/>
      <w:lvlJc w:val="left"/>
      <w:pPr>
        <w:tabs>
          <w:tab w:val="num" w:pos="6120"/>
        </w:tabs>
        <w:ind w:left="6120" w:hanging="360"/>
      </w:pPr>
      <w:rPr>
        <w:rFonts w:ascii="Courier New" w:hAnsi="Courier New" w:hint="default"/>
      </w:rPr>
    </w:lvl>
    <w:lvl w:ilvl="8" w:tplc="B7943D0C">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3730B7"/>
    <w:multiLevelType w:val="hybridMultilevel"/>
    <w:tmpl w:val="0EF2D1DA"/>
    <w:lvl w:ilvl="0" w:tplc="D9AC1526">
      <w:start w:val="1"/>
      <w:numFmt w:val="decimal"/>
      <w:lvlText w:val="%1."/>
      <w:lvlJc w:val="left"/>
      <w:pPr>
        <w:ind w:left="360" w:hanging="360"/>
      </w:pPr>
    </w:lvl>
    <w:lvl w:ilvl="1" w:tplc="C5364FD2">
      <w:start w:val="1"/>
      <w:numFmt w:val="lowerLetter"/>
      <w:lvlText w:val="%2."/>
      <w:lvlJc w:val="left"/>
      <w:pPr>
        <w:ind w:left="1080" w:hanging="360"/>
      </w:pPr>
    </w:lvl>
    <w:lvl w:ilvl="2" w:tplc="903CF31E">
      <w:start w:val="1"/>
      <w:numFmt w:val="lowerRoman"/>
      <w:lvlText w:val="%3."/>
      <w:lvlJc w:val="right"/>
      <w:pPr>
        <w:ind w:left="1800" w:hanging="180"/>
      </w:pPr>
    </w:lvl>
    <w:lvl w:ilvl="3" w:tplc="5F303646">
      <w:start w:val="1"/>
      <w:numFmt w:val="decimal"/>
      <w:lvlText w:val="%4."/>
      <w:lvlJc w:val="left"/>
      <w:pPr>
        <w:ind w:left="2520" w:hanging="360"/>
      </w:pPr>
    </w:lvl>
    <w:lvl w:ilvl="4" w:tplc="8526915C">
      <w:start w:val="1"/>
      <w:numFmt w:val="lowerLetter"/>
      <w:lvlText w:val="%5."/>
      <w:lvlJc w:val="left"/>
      <w:pPr>
        <w:ind w:left="3240" w:hanging="360"/>
      </w:pPr>
    </w:lvl>
    <w:lvl w:ilvl="5" w:tplc="00AE5C8C">
      <w:start w:val="1"/>
      <w:numFmt w:val="lowerRoman"/>
      <w:lvlText w:val="%6."/>
      <w:lvlJc w:val="right"/>
      <w:pPr>
        <w:ind w:left="3960" w:hanging="180"/>
      </w:pPr>
    </w:lvl>
    <w:lvl w:ilvl="6" w:tplc="CD909942">
      <w:start w:val="1"/>
      <w:numFmt w:val="decimal"/>
      <w:lvlText w:val="%7."/>
      <w:lvlJc w:val="left"/>
      <w:pPr>
        <w:ind w:left="4680" w:hanging="360"/>
      </w:pPr>
    </w:lvl>
    <w:lvl w:ilvl="7" w:tplc="F7A64400">
      <w:start w:val="1"/>
      <w:numFmt w:val="lowerLetter"/>
      <w:lvlText w:val="%8."/>
      <w:lvlJc w:val="left"/>
      <w:pPr>
        <w:ind w:left="5400" w:hanging="360"/>
      </w:pPr>
    </w:lvl>
    <w:lvl w:ilvl="8" w:tplc="1B2A58CE">
      <w:start w:val="1"/>
      <w:numFmt w:val="lowerRoman"/>
      <w:lvlText w:val="%9."/>
      <w:lvlJc w:val="right"/>
      <w:pPr>
        <w:ind w:left="6120" w:hanging="180"/>
      </w:pPr>
    </w:lvl>
  </w:abstractNum>
  <w:abstractNum w:abstractNumId="26" w15:restartNumberingAfterBreak="0">
    <w:nsid w:val="7B3730B8"/>
    <w:multiLevelType w:val="hybridMultilevel"/>
    <w:tmpl w:val="89E0F950"/>
    <w:lvl w:ilvl="0" w:tplc="A39065A4">
      <w:start w:val="1"/>
      <w:numFmt w:val="decimal"/>
      <w:lvlText w:val="%1."/>
      <w:lvlJc w:val="left"/>
      <w:pPr>
        <w:ind w:left="360" w:hanging="360"/>
      </w:pPr>
    </w:lvl>
    <w:lvl w:ilvl="1" w:tplc="9F96C906">
      <w:start w:val="1"/>
      <w:numFmt w:val="lowerLetter"/>
      <w:lvlText w:val="%2."/>
      <w:lvlJc w:val="left"/>
      <w:pPr>
        <w:ind w:left="1080" w:hanging="360"/>
      </w:pPr>
    </w:lvl>
    <w:lvl w:ilvl="2" w:tplc="8802579E">
      <w:start w:val="1"/>
      <w:numFmt w:val="lowerRoman"/>
      <w:lvlText w:val="%3."/>
      <w:lvlJc w:val="right"/>
      <w:pPr>
        <w:ind w:left="1800" w:hanging="180"/>
      </w:pPr>
    </w:lvl>
    <w:lvl w:ilvl="3" w:tplc="CF4AC7C2">
      <w:start w:val="1"/>
      <w:numFmt w:val="decimal"/>
      <w:lvlText w:val="%4."/>
      <w:lvlJc w:val="left"/>
      <w:pPr>
        <w:ind w:left="2520" w:hanging="360"/>
      </w:pPr>
    </w:lvl>
    <w:lvl w:ilvl="4" w:tplc="F1FCDE7E">
      <w:start w:val="1"/>
      <w:numFmt w:val="lowerLetter"/>
      <w:lvlText w:val="%5."/>
      <w:lvlJc w:val="left"/>
      <w:pPr>
        <w:ind w:left="3240" w:hanging="360"/>
      </w:pPr>
    </w:lvl>
    <w:lvl w:ilvl="5" w:tplc="1AA6B35E">
      <w:start w:val="1"/>
      <w:numFmt w:val="lowerRoman"/>
      <w:lvlText w:val="%6."/>
      <w:lvlJc w:val="right"/>
      <w:pPr>
        <w:ind w:left="3960" w:hanging="180"/>
      </w:pPr>
    </w:lvl>
    <w:lvl w:ilvl="6" w:tplc="C2A84558">
      <w:start w:val="1"/>
      <w:numFmt w:val="decimal"/>
      <w:lvlText w:val="%7."/>
      <w:lvlJc w:val="left"/>
      <w:pPr>
        <w:ind w:left="4680" w:hanging="360"/>
      </w:pPr>
    </w:lvl>
    <w:lvl w:ilvl="7" w:tplc="ACCA7272">
      <w:start w:val="1"/>
      <w:numFmt w:val="lowerLetter"/>
      <w:lvlText w:val="%8."/>
      <w:lvlJc w:val="left"/>
      <w:pPr>
        <w:ind w:left="5400" w:hanging="360"/>
      </w:pPr>
    </w:lvl>
    <w:lvl w:ilvl="8" w:tplc="F13080F0">
      <w:start w:val="1"/>
      <w:numFmt w:val="lowerRoman"/>
      <w:lvlText w:val="%9."/>
      <w:lvlJc w:val="right"/>
      <w:pPr>
        <w:ind w:left="6120" w:hanging="180"/>
      </w:pPr>
    </w:lvl>
  </w:abstractNum>
  <w:abstractNum w:abstractNumId="27" w15:restartNumberingAfterBreak="0">
    <w:nsid w:val="7B3730B9"/>
    <w:multiLevelType w:val="hybridMultilevel"/>
    <w:tmpl w:val="EAB0EDA0"/>
    <w:lvl w:ilvl="0" w:tplc="90EC2C8A">
      <w:start w:val="1"/>
      <w:numFmt w:val="decimal"/>
      <w:pStyle w:val="BSnoteslist2"/>
      <w:lvlText w:val="%1."/>
      <w:lvlJc w:val="left"/>
      <w:pPr>
        <w:ind w:left="360" w:hanging="360"/>
      </w:pPr>
    </w:lvl>
    <w:lvl w:ilvl="1" w:tplc="0C7E7DD4">
      <w:start w:val="1"/>
      <w:numFmt w:val="lowerLetter"/>
      <w:lvlText w:val="%2."/>
      <w:lvlJc w:val="left"/>
      <w:pPr>
        <w:ind w:left="1080" w:hanging="360"/>
      </w:pPr>
    </w:lvl>
    <w:lvl w:ilvl="2" w:tplc="CDA02B5C">
      <w:start w:val="1"/>
      <w:numFmt w:val="lowerRoman"/>
      <w:lvlText w:val="%3."/>
      <w:lvlJc w:val="right"/>
      <w:pPr>
        <w:ind w:left="1800" w:hanging="180"/>
      </w:pPr>
    </w:lvl>
    <w:lvl w:ilvl="3" w:tplc="CDFAAD6C">
      <w:start w:val="1"/>
      <w:numFmt w:val="decimal"/>
      <w:lvlText w:val="%4."/>
      <w:lvlJc w:val="left"/>
      <w:pPr>
        <w:ind w:left="2520" w:hanging="360"/>
      </w:pPr>
    </w:lvl>
    <w:lvl w:ilvl="4" w:tplc="9430701A">
      <w:start w:val="1"/>
      <w:numFmt w:val="lowerLetter"/>
      <w:lvlText w:val="%5."/>
      <w:lvlJc w:val="left"/>
      <w:pPr>
        <w:ind w:left="3240" w:hanging="360"/>
      </w:pPr>
    </w:lvl>
    <w:lvl w:ilvl="5" w:tplc="208AD040">
      <w:start w:val="1"/>
      <w:numFmt w:val="lowerRoman"/>
      <w:lvlText w:val="%6."/>
      <w:lvlJc w:val="right"/>
      <w:pPr>
        <w:ind w:left="3960" w:hanging="180"/>
      </w:pPr>
    </w:lvl>
    <w:lvl w:ilvl="6" w:tplc="D43CA1B0">
      <w:start w:val="1"/>
      <w:numFmt w:val="decimal"/>
      <w:lvlText w:val="%7."/>
      <w:lvlJc w:val="left"/>
      <w:pPr>
        <w:ind w:left="4680" w:hanging="360"/>
      </w:pPr>
    </w:lvl>
    <w:lvl w:ilvl="7" w:tplc="73E0D034">
      <w:start w:val="1"/>
      <w:numFmt w:val="lowerLetter"/>
      <w:lvlText w:val="%8."/>
      <w:lvlJc w:val="left"/>
      <w:pPr>
        <w:ind w:left="5400" w:hanging="360"/>
      </w:pPr>
    </w:lvl>
    <w:lvl w:ilvl="8" w:tplc="11486AE2">
      <w:start w:val="1"/>
      <w:numFmt w:val="lowerRoman"/>
      <w:lvlText w:val="%9."/>
      <w:lvlJc w:val="right"/>
      <w:pPr>
        <w:ind w:left="6120" w:hanging="180"/>
      </w:pPr>
    </w:lvl>
  </w:abstractNum>
  <w:abstractNum w:abstractNumId="28" w15:restartNumberingAfterBreak="0">
    <w:nsid w:val="7B3730BA"/>
    <w:multiLevelType w:val="hybridMultilevel"/>
    <w:tmpl w:val="5BC61E26"/>
    <w:lvl w:ilvl="0" w:tplc="0C090001">
      <w:start w:val="1"/>
      <w:numFmt w:val="bullet"/>
      <w:lvlText w:val=""/>
      <w:lvlJc w:val="left"/>
      <w:pPr>
        <w:ind w:left="360" w:hanging="360"/>
      </w:pPr>
      <w:rPr>
        <w:rFonts w:ascii="Symbol" w:hAnsi="Symbol" w:hint="default"/>
      </w:rPr>
    </w:lvl>
    <w:lvl w:ilvl="1" w:tplc="A32EAD1A">
      <w:start w:val="1"/>
      <w:numFmt w:val="lowerLetter"/>
      <w:lvlText w:val="%2."/>
      <w:lvlJc w:val="left"/>
      <w:pPr>
        <w:ind w:left="1080" w:hanging="360"/>
      </w:pPr>
    </w:lvl>
    <w:lvl w:ilvl="2" w:tplc="523EA0EA">
      <w:start w:val="1"/>
      <w:numFmt w:val="lowerRoman"/>
      <w:lvlText w:val="%3."/>
      <w:lvlJc w:val="right"/>
      <w:pPr>
        <w:ind w:left="1800" w:hanging="180"/>
      </w:pPr>
    </w:lvl>
    <w:lvl w:ilvl="3" w:tplc="A53C82A4">
      <w:start w:val="1"/>
      <w:numFmt w:val="decimal"/>
      <w:lvlText w:val="%4."/>
      <w:lvlJc w:val="left"/>
      <w:pPr>
        <w:ind w:left="2520" w:hanging="360"/>
      </w:pPr>
    </w:lvl>
    <w:lvl w:ilvl="4" w:tplc="5B14820A">
      <w:start w:val="1"/>
      <w:numFmt w:val="lowerLetter"/>
      <w:lvlText w:val="%5."/>
      <w:lvlJc w:val="left"/>
      <w:pPr>
        <w:ind w:left="3240" w:hanging="360"/>
      </w:pPr>
    </w:lvl>
    <w:lvl w:ilvl="5" w:tplc="3DAA23DE">
      <w:start w:val="1"/>
      <w:numFmt w:val="lowerRoman"/>
      <w:lvlText w:val="%6."/>
      <w:lvlJc w:val="right"/>
      <w:pPr>
        <w:ind w:left="3960" w:hanging="180"/>
      </w:pPr>
    </w:lvl>
    <w:lvl w:ilvl="6" w:tplc="4E4E67BC">
      <w:start w:val="1"/>
      <w:numFmt w:val="decimal"/>
      <w:lvlText w:val="%7."/>
      <w:lvlJc w:val="left"/>
      <w:pPr>
        <w:ind w:left="4680" w:hanging="360"/>
      </w:pPr>
    </w:lvl>
    <w:lvl w:ilvl="7" w:tplc="23C6D89A">
      <w:start w:val="1"/>
      <w:numFmt w:val="lowerLetter"/>
      <w:lvlText w:val="%8."/>
      <w:lvlJc w:val="left"/>
      <w:pPr>
        <w:ind w:left="5400" w:hanging="360"/>
      </w:pPr>
    </w:lvl>
    <w:lvl w:ilvl="8" w:tplc="27F89FFE">
      <w:start w:val="1"/>
      <w:numFmt w:val="lowerRoman"/>
      <w:lvlText w:val="%9."/>
      <w:lvlJc w:val="right"/>
      <w:pPr>
        <w:ind w:left="6120" w:hanging="180"/>
      </w:pPr>
    </w:lvl>
  </w:abstractNum>
  <w:abstractNum w:abstractNumId="29" w15:restartNumberingAfterBreak="0">
    <w:nsid w:val="7B3730BB"/>
    <w:multiLevelType w:val="hybridMultilevel"/>
    <w:tmpl w:val="79A4F234"/>
    <w:lvl w:ilvl="0" w:tplc="5A980DD0">
      <w:start w:val="78"/>
      <w:numFmt w:val="bullet"/>
      <w:lvlText w:val="-"/>
      <w:lvlJc w:val="left"/>
      <w:pPr>
        <w:ind w:left="720" w:hanging="360"/>
      </w:pPr>
      <w:rPr>
        <w:rFonts w:ascii="Calibri" w:eastAsia="Calibri" w:hAnsi="Calibri" w:cs="Calibri" w:hint="default"/>
      </w:rPr>
    </w:lvl>
    <w:lvl w:ilvl="1" w:tplc="D1DA2534">
      <w:start w:val="1"/>
      <w:numFmt w:val="lowerLetter"/>
      <w:lvlText w:val="%2."/>
      <w:lvlJc w:val="left"/>
      <w:pPr>
        <w:ind w:left="1440" w:hanging="360"/>
      </w:pPr>
    </w:lvl>
    <w:lvl w:ilvl="2" w:tplc="9438A142">
      <w:start w:val="1"/>
      <w:numFmt w:val="lowerRoman"/>
      <w:lvlText w:val="%3."/>
      <w:lvlJc w:val="right"/>
      <w:pPr>
        <w:ind w:left="2160" w:hanging="180"/>
      </w:pPr>
    </w:lvl>
    <w:lvl w:ilvl="3" w:tplc="EF3ED38C">
      <w:start w:val="1"/>
      <w:numFmt w:val="decimal"/>
      <w:lvlText w:val="%4."/>
      <w:lvlJc w:val="left"/>
      <w:pPr>
        <w:ind w:left="2880" w:hanging="360"/>
      </w:pPr>
    </w:lvl>
    <w:lvl w:ilvl="4" w:tplc="381600B8">
      <w:start w:val="1"/>
      <w:numFmt w:val="lowerLetter"/>
      <w:lvlText w:val="%5."/>
      <w:lvlJc w:val="left"/>
      <w:pPr>
        <w:ind w:left="3600" w:hanging="360"/>
      </w:pPr>
    </w:lvl>
    <w:lvl w:ilvl="5" w:tplc="D06C7B7E">
      <w:start w:val="1"/>
      <w:numFmt w:val="lowerRoman"/>
      <w:lvlText w:val="%6."/>
      <w:lvlJc w:val="right"/>
      <w:pPr>
        <w:ind w:left="4320" w:hanging="180"/>
      </w:pPr>
    </w:lvl>
    <w:lvl w:ilvl="6" w:tplc="F266CAD6">
      <w:start w:val="1"/>
      <w:numFmt w:val="decimal"/>
      <w:lvlText w:val="%7."/>
      <w:lvlJc w:val="left"/>
      <w:pPr>
        <w:ind w:left="5040" w:hanging="360"/>
      </w:pPr>
    </w:lvl>
    <w:lvl w:ilvl="7" w:tplc="14E84E88">
      <w:start w:val="1"/>
      <w:numFmt w:val="lowerLetter"/>
      <w:lvlText w:val="%8."/>
      <w:lvlJc w:val="left"/>
      <w:pPr>
        <w:ind w:left="5760" w:hanging="360"/>
      </w:pPr>
    </w:lvl>
    <w:lvl w:ilvl="8" w:tplc="4A503CE4">
      <w:start w:val="1"/>
      <w:numFmt w:val="lowerRoman"/>
      <w:lvlText w:val="%9."/>
      <w:lvlJc w:val="right"/>
      <w:pPr>
        <w:ind w:left="6480" w:hanging="180"/>
      </w:pPr>
    </w:lvl>
  </w:abstractNum>
  <w:abstractNum w:abstractNumId="30" w15:restartNumberingAfterBreak="0">
    <w:nsid w:val="7B3730BC"/>
    <w:multiLevelType w:val="hybridMultilevel"/>
    <w:tmpl w:val="EAB0EDA0"/>
    <w:lvl w:ilvl="0" w:tplc="EED4C91E">
      <w:start w:val="1"/>
      <w:numFmt w:val="decimal"/>
      <w:lvlText w:val="%1."/>
      <w:lvlJc w:val="left"/>
      <w:pPr>
        <w:ind w:left="360" w:hanging="360"/>
      </w:pPr>
    </w:lvl>
    <w:lvl w:ilvl="1" w:tplc="0354F508">
      <w:start w:val="1"/>
      <w:numFmt w:val="lowerLetter"/>
      <w:lvlText w:val="%2."/>
      <w:lvlJc w:val="left"/>
      <w:pPr>
        <w:ind w:left="1080" w:hanging="360"/>
      </w:pPr>
    </w:lvl>
    <w:lvl w:ilvl="2" w:tplc="B8F2AF7E">
      <w:start w:val="1"/>
      <w:numFmt w:val="lowerRoman"/>
      <w:lvlText w:val="%3."/>
      <w:lvlJc w:val="right"/>
      <w:pPr>
        <w:ind w:left="1800" w:hanging="180"/>
      </w:pPr>
    </w:lvl>
    <w:lvl w:ilvl="3" w:tplc="EBFA87C4">
      <w:start w:val="1"/>
      <w:numFmt w:val="decimal"/>
      <w:lvlText w:val="%4."/>
      <w:lvlJc w:val="left"/>
      <w:pPr>
        <w:ind w:left="2520" w:hanging="360"/>
      </w:pPr>
    </w:lvl>
    <w:lvl w:ilvl="4" w:tplc="D8863F1C">
      <w:start w:val="1"/>
      <w:numFmt w:val="lowerLetter"/>
      <w:lvlText w:val="%5."/>
      <w:lvlJc w:val="left"/>
      <w:pPr>
        <w:ind w:left="3240" w:hanging="360"/>
      </w:pPr>
    </w:lvl>
    <w:lvl w:ilvl="5" w:tplc="88EE7776">
      <w:start w:val="1"/>
      <w:numFmt w:val="lowerRoman"/>
      <w:lvlText w:val="%6."/>
      <w:lvlJc w:val="right"/>
      <w:pPr>
        <w:ind w:left="3960" w:hanging="180"/>
      </w:pPr>
    </w:lvl>
    <w:lvl w:ilvl="6" w:tplc="6CE40512">
      <w:start w:val="1"/>
      <w:numFmt w:val="decimal"/>
      <w:lvlText w:val="%7."/>
      <w:lvlJc w:val="left"/>
      <w:pPr>
        <w:ind w:left="4680" w:hanging="360"/>
      </w:pPr>
    </w:lvl>
    <w:lvl w:ilvl="7" w:tplc="FC645574">
      <w:start w:val="1"/>
      <w:numFmt w:val="lowerLetter"/>
      <w:lvlText w:val="%8."/>
      <w:lvlJc w:val="left"/>
      <w:pPr>
        <w:ind w:left="5400" w:hanging="360"/>
      </w:pPr>
    </w:lvl>
    <w:lvl w:ilvl="8" w:tplc="B77EEFDC">
      <w:start w:val="1"/>
      <w:numFmt w:val="lowerRoman"/>
      <w:lvlText w:val="%9."/>
      <w:lvlJc w:val="right"/>
      <w:pPr>
        <w:ind w:left="6120" w:hanging="180"/>
      </w:pPr>
    </w:lvl>
  </w:abstractNum>
  <w:abstractNum w:abstractNumId="31" w15:restartNumberingAfterBreak="0">
    <w:nsid w:val="7B3730BD"/>
    <w:multiLevelType w:val="hybridMultilevel"/>
    <w:tmpl w:val="BA0616E2"/>
    <w:lvl w:ilvl="0" w:tplc="C284C050">
      <w:start w:val="1"/>
      <w:numFmt w:val="decimal"/>
      <w:lvlText w:val="%1."/>
      <w:lvlJc w:val="left"/>
      <w:pPr>
        <w:ind w:left="360" w:hanging="360"/>
      </w:pPr>
      <w:rPr>
        <w:b w:val="0"/>
      </w:rPr>
    </w:lvl>
    <w:lvl w:ilvl="1" w:tplc="42D68246">
      <w:start w:val="1"/>
      <w:numFmt w:val="lowerLetter"/>
      <w:lvlText w:val="%2."/>
      <w:lvlJc w:val="left"/>
      <w:pPr>
        <w:ind w:left="1080" w:hanging="360"/>
      </w:pPr>
    </w:lvl>
    <w:lvl w:ilvl="2" w:tplc="2DD6BE36">
      <w:start w:val="1"/>
      <w:numFmt w:val="lowerRoman"/>
      <w:lvlText w:val="%3."/>
      <w:lvlJc w:val="right"/>
      <w:pPr>
        <w:ind w:left="1800" w:hanging="180"/>
      </w:pPr>
    </w:lvl>
    <w:lvl w:ilvl="3" w:tplc="BFDCFD78">
      <w:start w:val="1"/>
      <w:numFmt w:val="decimal"/>
      <w:lvlText w:val="%4."/>
      <w:lvlJc w:val="left"/>
      <w:pPr>
        <w:ind w:left="2520" w:hanging="360"/>
      </w:pPr>
    </w:lvl>
    <w:lvl w:ilvl="4" w:tplc="A6661470">
      <w:start w:val="1"/>
      <w:numFmt w:val="lowerLetter"/>
      <w:lvlText w:val="%5."/>
      <w:lvlJc w:val="left"/>
      <w:pPr>
        <w:ind w:left="3240" w:hanging="360"/>
      </w:pPr>
    </w:lvl>
    <w:lvl w:ilvl="5" w:tplc="60749BDA">
      <w:start w:val="1"/>
      <w:numFmt w:val="lowerRoman"/>
      <w:lvlText w:val="%6."/>
      <w:lvlJc w:val="right"/>
      <w:pPr>
        <w:ind w:left="3960" w:hanging="180"/>
      </w:pPr>
    </w:lvl>
    <w:lvl w:ilvl="6" w:tplc="9684ED56">
      <w:start w:val="1"/>
      <w:numFmt w:val="decimal"/>
      <w:lvlText w:val="%7."/>
      <w:lvlJc w:val="left"/>
      <w:pPr>
        <w:ind w:left="4680" w:hanging="360"/>
      </w:pPr>
    </w:lvl>
    <w:lvl w:ilvl="7" w:tplc="80582D1E">
      <w:start w:val="1"/>
      <w:numFmt w:val="lowerLetter"/>
      <w:lvlText w:val="%8."/>
      <w:lvlJc w:val="left"/>
      <w:pPr>
        <w:ind w:left="5400" w:hanging="360"/>
      </w:pPr>
    </w:lvl>
    <w:lvl w:ilvl="8" w:tplc="253E0F70">
      <w:start w:val="1"/>
      <w:numFmt w:val="lowerRoman"/>
      <w:lvlText w:val="%9."/>
      <w:lvlJc w:val="right"/>
      <w:pPr>
        <w:ind w:left="6120" w:hanging="180"/>
      </w:pPr>
    </w:lvl>
  </w:abstractNum>
  <w:abstractNum w:abstractNumId="32" w15:restartNumberingAfterBreak="0">
    <w:nsid w:val="7B3730BE"/>
    <w:multiLevelType w:val="hybridMultilevel"/>
    <w:tmpl w:val="BA0616E2"/>
    <w:lvl w:ilvl="0" w:tplc="A51CA53A">
      <w:start w:val="1"/>
      <w:numFmt w:val="decimal"/>
      <w:lvlText w:val="%1."/>
      <w:lvlJc w:val="left"/>
      <w:pPr>
        <w:ind w:left="360" w:hanging="360"/>
      </w:pPr>
      <w:rPr>
        <w:b w:val="0"/>
      </w:rPr>
    </w:lvl>
    <w:lvl w:ilvl="1" w:tplc="3B06C5C8">
      <w:start w:val="1"/>
      <w:numFmt w:val="lowerLetter"/>
      <w:lvlText w:val="%2."/>
      <w:lvlJc w:val="left"/>
      <w:pPr>
        <w:ind w:left="1080" w:hanging="360"/>
      </w:pPr>
    </w:lvl>
    <w:lvl w:ilvl="2" w:tplc="2B662C9E">
      <w:start w:val="1"/>
      <w:numFmt w:val="lowerRoman"/>
      <w:lvlText w:val="%3."/>
      <w:lvlJc w:val="right"/>
      <w:pPr>
        <w:ind w:left="1800" w:hanging="180"/>
      </w:pPr>
    </w:lvl>
    <w:lvl w:ilvl="3" w:tplc="FE1C0330">
      <w:start w:val="1"/>
      <w:numFmt w:val="decimal"/>
      <w:lvlText w:val="%4."/>
      <w:lvlJc w:val="left"/>
      <w:pPr>
        <w:ind w:left="2520" w:hanging="360"/>
      </w:pPr>
    </w:lvl>
    <w:lvl w:ilvl="4" w:tplc="C1E4CB04">
      <w:start w:val="1"/>
      <w:numFmt w:val="lowerLetter"/>
      <w:lvlText w:val="%5."/>
      <w:lvlJc w:val="left"/>
      <w:pPr>
        <w:ind w:left="3240" w:hanging="360"/>
      </w:pPr>
    </w:lvl>
    <w:lvl w:ilvl="5" w:tplc="F40C34AA">
      <w:start w:val="1"/>
      <w:numFmt w:val="lowerRoman"/>
      <w:lvlText w:val="%6."/>
      <w:lvlJc w:val="right"/>
      <w:pPr>
        <w:ind w:left="3960" w:hanging="180"/>
      </w:pPr>
    </w:lvl>
    <w:lvl w:ilvl="6" w:tplc="D7A6A61E">
      <w:start w:val="1"/>
      <w:numFmt w:val="decimal"/>
      <w:lvlText w:val="%7."/>
      <w:lvlJc w:val="left"/>
      <w:pPr>
        <w:ind w:left="4680" w:hanging="360"/>
      </w:pPr>
    </w:lvl>
    <w:lvl w:ilvl="7" w:tplc="51B6020E">
      <w:start w:val="1"/>
      <w:numFmt w:val="lowerLetter"/>
      <w:lvlText w:val="%8."/>
      <w:lvlJc w:val="left"/>
      <w:pPr>
        <w:ind w:left="5400" w:hanging="360"/>
      </w:pPr>
    </w:lvl>
    <w:lvl w:ilvl="8" w:tplc="3B26B106">
      <w:start w:val="1"/>
      <w:numFmt w:val="lowerRoman"/>
      <w:lvlText w:val="%9."/>
      <w:lvlJc w:val="right"/>
      <w:pPr>
        <w:ind w:left="6120" w:hanging="180"/>
      </w:pPr>
    </w:lvl>
  </w:abstractNum>
  <w:abstractNum w:abstractNumId="33" w15:restartNumberingAfterBreak="0">
    <w:nsid w:val="7B3730BF"/>
    <w:multiLevelType w:val="hybridMultilevel"/>
    <w:tmpl w:val="EAB0EDA0"/>
    <w:lvl w:ilvl="0" w:tplc="A5CADF1C">
      <w:start w:val="1"/>
      <w:numFmt w:val="decimal"/>
      <w:lvlText w:val="%1."/>
      <w:lvlJc w:val="left"/>
      <w:pPr>
        <w:ind w:left="360" w:hanging="360"/>
      </w:pPr>
    </w:lvl>
    <w:lvl w:ilvl="1" w:tplc="C1B6E52A">
      <w:start w:val="1"/>
      <w:numFmt w:val="lowerLetter"/>
      <w:lvlText w:val="%2."/>
      <w:lvlJc w:val="left"/>
      <w:pPr>
        <w:ind w:left="1080" w:hanging="360"/>
      </w:pPr>
    </w:lvl>
    <w:lvl w:ilvl="2" w:tplc="38080A4C">
      <w:start w:val="1"/>
      <w:numFmt w:val="lowerRoman"/>
      <w:lvlText w:val="%3."/>
      <w:lvlJc w:val="right"/>
      <w:pPr>
        <w:ind w:left="1800" w:hanging="180"/>
      </w:pPr>
    </w:lvl>
    <w:lvl w:ilvl="3" w:tplc="669E1E6C">
      <w:start w:val="1"/>
      <w:numFmt w:val="decimal"/>
      <w:lvlText w:val="%4."/>
      <w:lvlJc w:val="left"/>
      <w:pPr>
        <w:ind w:left="2520" w:hanging="360"/>
      </w:pPr>
    </w:lvl>
    <w:lvl w:ilvl="4" w:tplc="765E9750">
      <w:start w:val="1"/>
      <w:numFmt w:val="lowerLetter"/>
      <w:lvlText w:val="%5."/>
      <w:lvlJc w:val="left"/>
      <w:pPr>
        <w:ind w:left="3240" w:hanging="360"/>
      </w:pPr>
    </w:lvl>
    <w:lvl w:ilvl="5" w:tplc="6E3A07EC">
      <w:start w:val="1"/>
      <w:numFmt w:val="lowerRoman"/>
      <w:lvlText w:val="%6."/>
      <w:lvlJc w:val="right"/>
      <w:pPr>
        <w:ind w:left="3960" w:hanging="180"/>
      </w:pPr>
    </w:lvl>
    <w:lvl w:ilvl="6" w:tplc="406AA256">
      <w:start w:val="1"/>
      <w:numFmt w:val="decimal"/>
      <w:lvlText w:val="%7."/>
      <w:lvlJc w:val="left"/>
      <w:pPr>
        <w:ind w:left="4680" w:hanging="360"/>
      </w:pPr>
    </w:lvl>
    <w:lvl w:ilvl="7" w:tplc="402A1AE0">
      <w:start w:val="1"/>
      <w:numFmt w:val="lowerLetter"/>
      <w:lvlText w:val="%8."/>
      <w:lvlJc w:val="left"/>
      <w:pPr>
        <w:ind w:left="5400" w:hanging="360"/>
      </w:pPr>
    </w:lvl>
    <w:lvl w:ilvl="8" w:tplc="87203F7E">
      <w:start w:val="1"/>
      <w:numFmt w:val="lowerRoman"/>
      <w:lvlText w:val="%9."/>
      <w:lvlJc w:val="right"/>
      <w:pPr>
        <w:ind w:left="6120" w:hanging="180"/>
      </w:pPr>
    </w:lvl>
  </w:abstractNum>
  <w:abstractNum w:abstractNumId="34" w15:restartNumberingAfterBreak="0">
    <w:nsid w:val="7B3730C0"/>
    <w:multiLevelType w:val="hybridMultilevel"/>
    <w:tmpl w:val="EAB0EDA0"/>
    <w:lvl w:ilvl="0" w:tplc="A6241E4E">
      <w:start w:val="1"/>
      <w:numFmt w:val="decimal"/>
      <w:lvlText w:val="%1."/>
      <w:lvlJc w:val="left"/>
      <w:pPr>
        <w:ind w:left="360" w:hanging="360"/>
      </w:pPr>
    </w:lvl>
    <w:lvl w:ilvl="1" w:tplc="EAE29588">
      <w:start w:val="1"/>
      <w:numFmt w:val="lowerLetter"/>
      <w:lvlText w:val="%2."/>
      <w:lvlJc w:val="left"/>
      <w:pPr>
        <w:ind w:left="1080" w:hanging="360"/>
      </w:pPr>
    </w:lvl>
    <w:lvl w:ilvl="2" w:tplc="EBE2E156">
      <w:start w:val="1"/>
      <w:numFmt w:val="lowerRoman"/>
      <w:lvlText w:val="%3."/>
      <w:lvlJc w:val="right"/>
      <w:pPr>
        <w:ind w:left="1800" w:hanging="180"/>
      </w:pPr>
    </w:lvl>
    <w:lvl w:ilvl="3" w:tplc="5BD68716">
      <w:start w:val="1"/>
      <w:numFmt w:val="decimal"/>
      <w:lvlText w:val="%4."/>
      <w:lvlJc w:val="left"/>
      <w:pPr>
        <w:ind w:left="2520" w:hanging="360"/>
      </w:pPr>
    </w:lvl>
    <w:lvl w:ilvl="4" w:tplc="D5A80DBC">
      <w:start w:val="1"/>
      <w:numFmt w:val="lowerLetter"/>
      <w:lvlText w:val="%5."/>
      <w:lvlJc w:val="left"/>
      <w:pPr>
        <w:ind w:left="3240" w:hanging="360"/>
      </w:pPr>
    </w:lvl>
    <w:lvl w:ilvl="5" w:tplc="44A4BD9E">
      <w:start w:val="1"/>
      <w:numFmt w:val="lowerRoman"/>
      <w:lvlText w:val="%6."/>
      <w:lvlJc w:val="right"/>
      <w:pPr>
        <w:ind w:left="3960" w:hanging="180"/>
      </w:pPr>
    </w:lvl>
    <w:lvl w:ilvl="6" w:tplc="D12C2648">
      <w:start w:val="1"/>
      <w:numFmt w:val="decimal"/>
      <w:lvlText w:val="%7."/>
      <w:lvlJc w:val="left"/>
      <w:pPr>
        <w:ind w:left="4680" w:hanging="360"/>
      </w:pPr>
    </w:lvl>
    <w:lvl w:ilvl="7" w:tplc="0428DA00">
      <w:start w:val="1"/>
      <w:numFmt w:val="lowerLetter"/>
      <w:lvlText w:val="%8."/>
      <w:lvlJc w:val="left"/>
      <w:pPr>
        <w:ind w:left="5400" w:hanging="360"/>
      </w:pPr>
    </w:lvl>
    <w:lvl w:ilvl="8" w:tplc="E3A60B8A">
      <w:start w:val="1"/>
      <w:numFmt w:val="lowerRoman"/>
      <w:lvlText w:val="%9."/>
      <w:lvlJc w:val="right"/>
      <w:pPr>
        <w:ind w:left="6120" w:hanging="180"/>
      </w:pPr>
    </w:lvl>
  </w:abstractNum>
  <w:abstractNum w:abstractNumId="35" w15:restartNumberingAfterBreak="0">
    <w:nsid w:val="7B3730C1"/>
    <w:multiLevelType w:val="hybridMultilevel"/>
    <w:tmpl w:val="ABCA0A62"/>
    <w:lvl w:ilvl="0" w:tplc="13A61572">
      <w:start w:val="1"/>
      <w:numFmt w:val="decimal"/>
      <w:lvlText w:val="%1."/>
      <w:lvlJc w:val="left"/>
      <w:pPr>
        <w:ind w:left="360" w:hanging="360"/>
      </w:pPr>
    </w:lvl>
    <w:lvl w:ilvl="1" w:tplc="34841A1A">
      <w:start w:val="1"/>
      <w:numFmt w:val="lowerLetter"/>
      <w:lvlText w:val="%2."/>
      <w:lvlJc w:val="left"/>
      <w:pPr>
        <w:ind w:left="1080" w:hanging="360"/>
      </w:pPr>
    </w:lvl>
    <w:lvl w:ilvl="2" w:tplc="A6CC6CDA">
      <w:start w:val="1"/>
      <w:numFmt w:val="lowerRoman"/>
      <w:lvlText w:val="%3."/>
      <w:lvlJc w:val="right"/>
      <w:pPr>
        <w:ind w:left="1800" w:hanging="180"/>
      </w:pPr>
    </w:lvl>
    <w:lvl w:ilvl="3" w:tplc="5698945E">
      <w:start w:val="1"/>
      <w:numFmt w:val="decimal"/>
      <w:lvlText w:val="%4."/>
      <w:lvlJc w:val="left"/>
      <w:pPr>
        <w:ind w:left="2520" w:hanging="360"/>
      </w:pPr>
    </w:lvl>
    <w:lvl w:ilvl="4" w:tplc="7C6A7D98">
      <w:start w:val="1"/>
      <w:numFmt w:val="lowerLetter"/>
      <w:lvlText w:val="%5."/>
      <w:lvlJc w:val="left"/>
      <w:pPr>
        <w:ind w:left="3240" w:hanging="360"/>
      </w:pPr>
    </w:lvl>
    <w:lvl w:ilvl="5" w:tplc="C2D4C736">
      <w:start w:val="1"/>
      <w:numFmt w:val="lowerRoman"/>
      <w:lvlText w:val="%6."/>
      <w:lvlJc w:val="right"/>
      <w:pPr>
        <w:ind w:left="3960" w:hanging="180"/>
      </w:pPr>
    </w:lvl>
    <w:lvl w:ilvl="6" w:tplc="E5DA84E6">
      <w:start w:val="1"/>
      <w:numFmt w:val="decimal"/>
      <w:lvlText w:val="%7."/>
      <w:lvlJc w:val="left"/>
      <w:pPr>
        <w:ind w:left="4680" w:hanging="360"/>
      </w:pPr>
    </w:lvl>
    <w:lvl w:ilvl="7" w:tplc="DDB8991C">
      <w:start w:val="1"/>
      <w:numFmt w:val="lowerLetter"/>
      <w:lvlText w:val="%8."/>
      <w:lvlJc w:val="left"/>
      <w:pPr>
        <w:ind w:left="5400" w:hanging="360"/>
      </w:pPr>
    </w:lvl>
    <w:lvl w:ilvl="8" w:tplc="5336B6B4">
      <w:start w:val="1"/>
      <w:numFmt w:val="lowerRoman"/>
      <w:lvlText w:val="%9."/>
      <w:lvlJc w:val="right"/>
      <w:pPr>
        <w:ind w:left="6120" w:hanging="180"/>
      </w:pPr>
    </w:lvl>
  </w:abstractNum>
  <w:abstractNum w:abstractNumId="36" w15:restartNumberingAfterBreak="0">
    <w:nsid w:val="7B3730C2"/>
    <w:multiLevelType w:val="hybridMultilevel"/>
    <w:tmpl w:val="EC143888"/>
    <w:lvl w:ilvl="0" w:tplc="7F7053B2">
      <w:start w:val="1"/>
      <w:numFmt w:val="lowerLetter"/>
      <w:pStyle w:val="BStablelist"/>
      <w:lvlText w:val="%1."/>
      <w:lvlJc w:val="left"/>
      <w:pPr>
        <w:ind w:left="360" w:hanging="360"/>
      </w:pPr>
      <w:rPr>
        <w:rFonts w:hint="default"/>
      </w:rPr>
    </w:lvl>
    <w:lvl w:ilvl="1" w:tplc="3B685E68" w:tentative="1">
      <w:start w:val="1"/>
      <w:numFmt w:val="lowerLetter"/>
      <w:lvlText w:val="%2."/>
      <w:lvlJc w:val="left"/>
      <w:pPr>
        <w:tabs>
          <w:tab w:val="num" w:pos="1080"/>
        </w:tabs>
        <w:ind w:left="1080" w:hanging="360"/>
      </w:pPr>
      <w:rPr>
        <w:rFonts w:cs="Times New Roman"/>
      </w:rPr>
    </w:lvl>
    <w:lvl w:ilvl="2" w:tplc="1F1AA146" w:tentative="1">
      <w:start w:val="1"/>
      <w:numFmt w:val="lowerRoman"/>
      <w:lvlText w:val="%3."/>
      <w:lvlJc w:val="right"/>
      <w:pPr>
        <w:tabs>
          <w:tab w:val="num" w:pos="1800"/>
        </w:tabs>
        <w:ind w:left="1800" w:hanging="180"/>
      </w:pPr>
      <w:rPr>
        <w:rFonts w:cs="Times New Roman"/>
      </w:rPr>
    </w:lvl>
    <w:lvl w:ilvl="3" w:tplc="A780760E" w:tentative="1">
      <w:start w:val="1"/>
      <w:numFmt w:val="decimal"/>
      <w:lvlText w:val="%4."/>
      <w:lvlJc w:val="left"/>
      <w:pPr>
        <w:tabs>
          <w:tab w:val="num" w:pos="2520"/>
        </w:tabs>
        <w:ind w:left="2520" w:hanging="360"/>
      </w:pPr>
      <w:rPr>
        <w:rFonts w:cs="Times New Roman"/>
      </w:rPr>
    </w:lvl>
    <w:lvl w:ilvl="4" w:tplc="81AE6A2C" w:tentative="1">
      <w:start w:val="1"/>
      <w:numFmt w:val="lowerLetter"/>
      <w:lvlText w:val="%5."/>
      <w:lvlJc w:val="left"/>
      <w:pPr>
        <w:tabs>
          <w:tab w:val="num" w:pos="3240"/>
        </w:tabs>
        <w:ind w:left="3240" w:hanging="360"/>
      </w:pPr>
      <w:rPr>
        <w:rFonts w:cs="Times New Roman"/>
      </w:rPr>
    </w:lvl>
    <w:lvl w:ilvl="5" w:tplc="72602720" w:tentative="1">
      <w:start w:val="1"/>
      <w:numFmt w:val="lowerRoman"/>
      <w:lvlText w:val="%6."/>
      <w:lvlJc w:val="right"/>
      <w:pPr>
        <w:tabs>
          <w:tab w:val="num" w:pos="3960"/>
        </w:tabs>
        <w:ind w:left="3960" w:hanging="180"/>
      </w:pPr>
      <w:rPr>
        <w:rFonts w:cs="Times New Roman"/>
      </w:rPr>
    </w:lvl>
    <w:lvl w:ilvl="6" w:tplc="38B6FD7A" w:tentative="1">
      <w:start w:val="1"/>
      <w:numFmt w:val="decimal"/>
      <w:lvlText w:val="%7."/>
      <w:lvlJc w:val="left"/>
      <w:pPr>
        <w:tabs>
          <w:tab w:val="num" w:pos="4680"/>
        </w:tabs>
        <w:ind w:left="4680" w:hanging="360"/>
      </w:pPr>
      <w:rPr>
        <w:rFonts w:cs="Times New Roman"/>
      </w:rPr>
    </w:lvl>
    <w:lvl w:ilvl="7" w:tplc="DB18B662" w:tentative="1">
      <w:start w:val="1"/>
      <w:numFmt w:val="lowerLetter"/>
      <w:lvlText w:val="%8."/>
      <w:lvlJc w:val="left"/>
      <w:pPr>
        <w:tabs>
          <w:tab w:val="num" w:pos="5400"/>
        </w:tabs>
        <w:ind w:left="5400" w:hanging="360"/>
      </w:pPr>
      <w:rPr>
        <w:rFonts w:cs="Times New Roman"/>
      </w:rPr>
    </w:lvl>
    <w:lvl w:ilvl="8" w:tplc="3FDC677A" w:tentative="1">
      <w:start w:val="1"/>
      <w:numFmt w:val="lowerRoman"/>
      <w:lvlText w:val="%9."/>
      <w:lvlJc w:val="right"/>
      <w:pPr>
        <w:tabs>
          <w:tab w:val="num" w:pos="6120"/>
        </w:tabs>
        <w:ind w:left="6120" w:hanging="180"/>
      </w:pPr>
      <w:rPr>
        <w:rFonts w:cs="Times New Roman"/>
      </w:rPr>
    </w:lvl>
  </w:abstractNum>
  <w:abstractNum w:abstractNumId="37" w15:restartNumberingAfterBreak="0">
    <w:nsid w:val="7B3730C3"/>
    <w:multiLevelType w:val="hybridMultilevel"/>
    <w:tmpl w:val="9CA6317A"/>
    <w:lvl w:ilvl="0" w:tplc="B5C60B22">
      <w:start w:val="1"/>
      <w:numFmt w:val="lowerLetter"/>
      <w:lvlText w:val="%1."/>
      <w:lvlJc w:val="left"/>
      <w:pPr>
        <w:ind w:left="360" w:hanging="360"/>
      </w:pPr>
      <w:rPr>
        <w:b w:val="0"/>
      </w:rPr>
    </w:lvl>
    <w:lvl w:ilvl="1" w:tplc="82FC7862">
      <w:start w:val="1"/>
      <w:numFmt w:val="decimal"/>
      <w:lvlText w:val="%2."/>
      <w:lvlJc w:val="left"/>
      <w:pPr>
        <w:tabs>
          <w:tab w:val="num" w:pos="1440"/>
        </w:tabs>
        <w:ind w:left="1440" w:hanging="360"/>
      </w:pPr>
    </w:lvl>
    <w:lvl w:ilvl="2" w:tplc="CDFE3C06">
      <w:start w:val="1"/>
      <w:numFmt w:val="decimal"/>
      <w:lvlText w:val="%3."/>
      <w:lvlJc w:val="left"/>
      <w:pPr>
        <w:tabs>
          <w:tab w:val="num" w:pos="2160"/>
        </w:tabs>
        <w:ind w:left="2160" w:hanging="360"/>
      </w:pPr>
    </w:lvl>
    <w:lvl w:ilvl="3" w:tplc="35600034">
      <w:start w:val="1"/>
      <w:numFmt w:val="decimal"/>
      <w:lvlText w:val="%4."/>
      <w:lvlJc w:val="left"/>
      <w:pPr>
        <w:tabs>
          <w:tab w:val="num" w:pos="2880"/>
        </w:tabs>
        <w:ind w:left="2880" w:hanging="360"/>
      </w:pPr>
    </w:lvl>
    <w:lvl w:ilvl="4" w:tplc="3168DA5E">
      <w:start w:val="1"/>
      <w:numFmt w:val="decimal"/>
      <w:lvlText w:val="%5."/>
      <w:lvlJc w:val="left"/>
      <w:pPr>
        <w:tabs>
          <w:tab w:val="num" w:pos="3600"/>
        </w:tabs>
        <w:ind w:left="3600" w:hanging="360"/>
      </w:pPr>
    </w:lvl>
    <w:lvl w:ilvl="5" w:tplc="C30AE914">
      <w:start w:val="1"/>
      <w:numFmt w:val="decimal"/>
      <w:lvlText w:val="%6."/>
      <w:lvlJc w:val="left"/>
      <w:pPr>
        <w:tabs>
          <w:tab w:val="num" w:pos="4320"/>
        </w:tabs>
        <w:ind w:left="4320" w:hanging="360"/>
      </w:pPr>
    </w:lvl>
    <w:lvl w:ilvl="6" w:tplc="219000B0">
      <w:start w:val="1"/>
      <w:numFmt w:val="decimal"/>
      <w:lvlText w:val="%7."/>
      <w:lvlJc w:val="left"/>
      <w:pPr>
        <w:tabs>
          <w:tab w:val="num" w:pos="5040"/>
        </w:tabs>
        <w:ind w:left="5040" w:hanging="360"/>
      </w:pPr>
    </w:lvl>
    <w:lvl w:ilvl="7" w:tplc="DF46121C">
      <w:start w:val="1"/>
      <w:numFmt w:val="decimal"/>
      <w:lvlText w:val="%8."/>
      <w:lvlJc w:val="left"/>
      <w:pPr>
        <w:tabs>
          <w:tab w:val="num" w:pos="5760"/>
        </w:tabs>
        <w:ind w:left="5760" w:hanging="360"/>
      </w:pPr>
    </w:lvl>
    <w:lvl w:ilvl="8" w:tplc="01707F28">
      <w:start w:val="1"/>
      <w:numFmt w:val="decimal"/>
      <w:lvlText w:val="%9."/>
      <w:lvlJc w:val="left"/>
      <w:pPr>
        <w:tabs>
          <w:tab w:val="num" w:pos="6480"/>
        </w:tabs>
        <w:ind w:left="6480" w:hanging="360"/>
      </w:pPr>
    </w:lvl>
  </w:abstractNum>
  <w:abstractNum w:abstractNumId="38" w15:restartNumberingAfterBreak="0">
    <w:nsid w:val="7B3730C4"/>
    <w:multiLevelType w:val="hybridMultilevel"/>
    <w:tmpl w:val="0CA0C85C"/>
    <w:lvl w:ilvl="0" w:tplc="23D636F2">
      <w:start w:val="1"/>
      <w:numFmt w:val="decimal"/>
      <w:lvlText w:val="%1."/>
      <w:lvlJc w:val="left"/>
      <w:pPr>
        <w:ind w:left="360" w:hanging="360"/>
      </w:pPr>
      <w:rPr>
        <w:color w:val="auto"/>
      </w:rPr>
    </w:lvl>
    <w:lvl w:ilvl="1" w:tplc="4A423E12">
      <w:start w:val="1"/>
      <w:numFmt w:val="lowerLetter"/>
      <w:lvlText w:val="%2."/>
      <w:lvlJc w:val="left"/>
      <w:pPr>
        <w:ind w:left="1080" w:hanging="360"/>
      </w:pPr>
    </w:lvl>
    <w:lvl w:ilvl="2" w:tplc="9EC4720A">
      <w:start w:val="1"/>
      <w:numFmt w:val="lowerRoman"/>
      <w:lvlText w:val="%3."/>
      <w:lvlJc w:val="right"/>
      <w:pPr>
        <w:ind w:left="1800" w:hanging="180"/>
      </w:pPr>
    </w:lvl>
    <w:lvl w:ilvl="3" w:tplc="678494E0">
      <w:start w:val="1"/>
      <w:numFmt w:val="decimal"/>
      <w:lvlText w:val="%4."/>
      <w:lvlJc w:val="left"/>
      <w:pPr>
        <w:ind w:left="2520" w:hanging="360"/>
      </w:pPr>
    </w:lvl>
    <w:lvl w:ilvl="4" w:tplc="DC903760">
      <w:start w:val="1"/>
      <w:numFmt w:val="lowerLetter"/>
      <w:lvlText w:val="%5."/>
      <w:lvlJc w:val="left"/>
      <w:pPr>
        <w:ind w:left="3240" w:hanging="360"/>
      </w:pPr>
    </w:lvl>
    <w:lvl w:ilvl="5" w:tplc="A5BA5040">
      <w:start w:val="1"/>
      <w:numFmt w:val="lowerRoman"/>
      <w:lvlText w:val="%6."/>
      <w:lvlJc w:val="right"/>
      <w:pPr>
        <w:ind w:left="3960" w:hanging="180"/>
      </w:pPr>
    </w:lvl>
    <w:lvl w:ilvl="6" w:tplc="169A8394">
      <w:start w:val="1"/>
      <w:numFmt w:val="decimal"/>
      <w:lvlText w:val="%7."/>
      <w:lvlJc w:val="left"/>
      <w:pPr>
        <w:ind w:left="4680" w:hanging="360"/>
      </w:pPr>
    </w:lvl>
    <w:lvl w:ilvl="7" w:tplc="55621C6A">
      <w:start w:val="1"/>
      <w:numFmt w:val="lowerLetter"/>
      <w:lvlText w:val="%8."/>
      <w:lvlJc w:val="left"/>
      <w:pPr>
        <w:ind w:left="5400" w:hanging="360"/>
      </w:pPr>
    </w:lvl>
    <w:lvl w:ilvl="8" w:tplc="9562689A">
      <w:start w:val="1"/>
      <w:numFmt w:val="lowerRoman"/>
      <w:lvlText w:val="%9."/>
      <w:lvlJc w:val="right"/>
      <w:pPr>
        <w:ind w:left="6120" w:hanging="180"/>
      </w:pPr>
    </w:lvl>
  </w:abstractNum>
  <w:abstractNum w:abstractNumId="39" w15:restartNumberingAfterBreak="0">
    <w:nsid w:val="7B3730C5"/>
    <w:multiLevelType w:val="hybridMultilevel"/>
    <w:tmpl w:val="71A8B2AA"/>
    <w:lvl w:ilvl="0" w:tplc="7EBC9964">
      <w:start w:val="1"/>
      <w:numFmt w:val="lowerLetter"/>
      <w:lvlText w:val="%1."/>
      <w:lvlJc w:val="left"/>
      <w:pPr>
        <w:ind w:left="360" w:hanging="360"/>
      </w:pPr>
      <w:rPr>
        <w:b w:val="0"/>
      </w:rPr>
    </w:lvl>
    <w:lvl w:ilvl="1" w:tplc="07164586">
      <w:start w:val="1"/>
      <w:numFmt w:val="lowerLetter"/>
      <w:lvlText w:val="%2."/>
      <w:lvlJc w:val="left"/>
      <w:pPr>
        <w:tabs>
          <w:tab w:val="num" w:pos="1080"/>
        </w:tabs>
        <w:ind w:left="1080" w:hanging="360"/>
      </w:pPr>
      <w:rPr>
        <w:rFonts w:cs="Times New Roman"/>
      </w:rPr>
    </w:lvl>
    <w:lvl w:ilvl="2" w:tplc="903832DE">
      <w:start w:val="1"/>
      <w:numFmt w:val="lowerRoman"/>
      <w:lvlText w:val="%3."/>
      <w:lvlJc w:val="right"/>
      <w:pPr>
        <w:tabs>
          <w:tab w:val="num" w:pos="1800"/>
        </w:tabs>
        <w:ind w:left="1800" w:hanging="180"/>
      </w:pPr>
      <w:rPr>
        <w:rFonts w:cs="Times New Roman"/>
      </w:rPr>
    </w:lvl>
    <w:lvl w:ilvl="3" w:tplc="D302ADD2">
      <w:start w:val="1"/>
      <w:numFmt w:val="decimal"/>
      <w:lvlText w:val="%4."/>
      <w:lvlJc w:val="left"/>
      <w:pPr>
        <w:tabs>
          <w:tab w:val="num" w:pos="2520"/>
        </w:tabs>
        <w:ind w:left="2520" w:hanging="360"/>
      </w:pPr>
      <w:rPr>
        <w:rFonts w:cs="Times New Roman"/>
      </w:rPr>
    </w:lvl>
    <w:lvl w:ilvl="4" w:tplc="E938B9E6">
      <w:start w:val="1"/>
      <w:numFmt w:val="lowerLetter"/>
      <w:lvlText w:val="%5."/>
      <w:lvlJc w:val="left"/>
      <w:pPr>
        <w:tabs>
          <w:tab w:val="num" w:pos="3240"/>
        </w:tabs>
        <w:ind w:left="3240" w:hanging="360"/>
      </w:pPr>
      <w:rPr>
        <w:rFonts w:cs="Times New Roman"/>
      </w:rPr>
    </w:lvl>
    <w:lvl w:ilvl="5" w:tplc="2B245596">
      <w:start w:val="1"/>
      <w:numFmt w:val="lowerRoman"/>
      <w:lvlText w:val="%6."/>
      <w:lvlJc w:val="right"/>
      <w:pPr>
        <w:tabs>
          <w:tab w:val="num" w:pos="3960"/>
        </w:tabs>
        <w:ind w:left="3960" w:hanging="180"/>
      </w:pPr>
      <w:rPr>
        <w:rFonts w:cs="Times New Roman"/>
      </w:rPr>
    </w:lvl>
    <w:lvl w:ilvl="6" w:tplc="C8309358">
      <w:start w:val="1"/>
      <w:numFmt w:val="decimal"/>
      <w:lvlText w:val="%7."/>
      <w:lvlJc w:val="left"/>
      <w:pPr>
        <w:tabs>
          <w:tab w:val="num" w:pos="4680"/>
        </w:tabs>
        <w:ind w:left="4680" w:hanging="360"/>
      </w:pPr>
      <w:rPr>
        <w:rFonts w:cs="Times New Roman"/>
      </w:rPr>
    </w:lvl>
    <w:lvl w:ilvl="7" w:tplc="FE5C9AD4">
      <w:start w:val="1"/>
      <w:numFmt w:val="lowerLetter"/>
      <w:lvlText w:val="%8."/>
      <w:lvlJc w:val="left"/>
      <w:pPr>
        <w:tabs>
          <w:tab w:val="num" w:pos="5400"/>
        </w:tabs>
        <w:ind w:left="5400" w:hanging="360"/>
      </w:pPr>
      <w:rPr>
        <w:rFonts w:cs="Times New Roman"/>
      </w:rPr>
    </w:lvl>
    <w:lvl w:ilvl="8" w:tplc="57B40008">
      <w:start w:val="1"/>
      <w:numFmt w:val="lowerRoman"/>
      <w:lvlText w:val="%9."/>
      <w:lvlJc w:val="right"/>
      <w:pPr>
        <w:tabs>
          <w:tab w:val="num" w:pos="6120"/>
        </w:tabs>
        <w:ind w:left="6120" w:hanging="180"/>
      </w:pPr>
      <w:rPr>
        <w:rFonts w:cs="Times New Roman"/>
      </w:rPr>
    </w:lvl>
  </w:abstractNum>
  <w:abstractNum w:abstractNumId="40" w15:restartNumberingAfterBreak="0">
    <w:nsid w:val="7B3730C6"/>
    <w:multiLevelType w:val="hybridMultilevel"/>
    <w:tmpl w:val="71A8B2AA"/>
    <w:lvl w:ilvl="0" w:tplc="3DAA0E40">
      <w:start w:val="1"/>
      <w:numFmt w:val="lowerLetter"/>
      <w:lvlText w:val="%1."/>
      <w:lvlJc w:val="left"/>
      <w:pPr>
        <w:ind w:left="360" w:hanging="360"/>
      </w:pPr>
      <w:rPr>
        <w:b w:val="0"/>
      </w:rPr>
    </w:lvl>
    <w:lvl w:ilvl="1" w:tplc="EDAC5CD4">
      <w:start w:val="1"/>
      <w:numFmt w:val="lowerLetter"/>
      <w:lvlText w:val="%2."/>
      <w:lvlJc w:val="left"/>
      <w:pPr>
        <w:tabs>
          <w:tab w:val="num" w:pos="1080"/>
        </w:tabs>
        <w:ind w:left="1080" w:hanging="360"/>
      </w:pPr>
      <w:rPr>
        <w:rFonts w:cs="Times New Roman"/>
      </w:rPr>
    </w:lvl>
    <w:lvl w:ilvl="2" w:tplc="94CA8B00">
      <w:start w:val="1"/>
      <w:numFmt w:val="lowerRoman"/>
      <w:lvlText w:val="%3."/>
      <w:lvlJc w:val="right"/>
      <w:pPr>
        <w:tabs>
          <w:tab w:val="num" w:pos="1800"/>
        </w:tabs>
        <w:ind w:left="1800" w:hanging="180"/>
      </w:pPr>
      <w:rPr>
        <w:rFonts w:cs="Times New Roman"/>
      </w:rPr>
    </w:lvl>
    <w:lvl w:ilvl="3" w:tplc="0178A5A4">
      <w:start w:val="1"/>
      <w:numFmt w:val="decimal"/>
      <w:lvlText w:val="%4."/>
      <w:lvlJc w:val="left"/>
      <w:pPr>
        <w:tabs>
          <w:tab w:val="num" w:pos="2520"/>
        </w:tabs>
        <w:ind w:left="2520" w:hanging="360"/>
      </w:pPr>
      <w:rPr>
        <w:rFonts w:cs="Times New Roman"/>
      </w:rPr>
    </w:lvl>
    <w:lvl w:ilvl="4" w:tplc="2D2C46D8">
      <w:start w:val="1"/>
      <w:numFmt w:val="lowerLetter"/>
      <w:lvlText w:val="%5."/>
      <w:lvlJc w:val="left"/>
      <w:pPr>
        <w:tabs>
          <w:tab w:val="num" w:pos="3240"/>
        </w:tabs>
        <w:ind w:left="3240" w:hanging="360"/>
      </w:pPr>
      <w:rPr>
        <w:rFonts w:cs="Times New Roman"/>
      </w:rPr>
    </w:lvl>
    <w:lvl w:ilvl="5" w:tplc="61125110">
      <w:start w:val="1"/>
      <w:numFmt w:val="lowerRoman"/>
      <w:lvlText w:val="%6."/>
      <w:lvlJc w:val="right"/>
      <w:pPr>
        <w:tabs>
          <w:tab w:val="num" w:pos="3960"/>
        </w:tabs>
        <w:ind w:left="3960" w:hanging="180"/>
      </w:pPr>
      <w:rPr>
        <w:rFonts w:cs="Times New Roman"/>
      </w:rPr>
    </w:lvl>
    <w:lvl w:ilvl="6" w:tplc="4BC8BC82">
      <w:start w:val="1"/>
      <w:numFmt w:val="decimal"/>
      <w:lvlText w:val="%7."/>
      <w:lvlJc w:val="left"/>
      <w:pPr>
        <w:tabs>
          <w:tab w:val="num" w:pos="4680"/>
        </w:tabs>
        <w:ind w:left="4680" w:hanging="360"/>
      </w:pPr>
      <w:rPr>
        <w:rFonts w:cs="Times New Roman"/>
      </w:rPr>
    </w:lvl>
    <w:lvl w:ilvl="7" w:tplc="7D9EBB48">
      <w:start w:val="1"/>
      <w:numFmt w:val="lowerLetter"/>
      <w:lvlText w:val="%8."/>
      <w:lvlJc w:val="left"/>
      <w:pPr>
        <w:tabs>
          <w:tab w:val="num" w:pos="5400"/>
        </w:tabs>
        <w:ind w:left="5400" w:hanging="360"/>
      </w:pPr>
      <w:rPr>
        <w:rFonts w:cs="Times New Roman"/>
      </w:rPr>
    </w:lvl>
    <w:lvl w:ilvl="8" w:tplc="36584920">
      <w:start w:val="1"/>
      <w:numFmt w:val="lowerRoman"/>
      <w:lvlText w:val="%9."/>
      <w:lvlJc w:val="right"/>
      <w:pPr>
        <w:tabs>
          <w:tab w:val="num" w:pos="6120"/>
        </w:tabs>
        <w:ind w:left="6120" w:hanging="180"/>
      </w:pPr>
      <w:rPr>
        <w:rFonts w:cs="Times New Roman"/>
      </w:rPr>
    </w:lvl>
  </w:abstractNum>
  <w:abstractNum w:abstractNumId="41" w15:restartNumberingAfterBreak="0">
    <w:nsid w:val="7B3730C7"/>
    <w:multiLevelType w:val="hybridMultilevel"/>
    <w:tmpl w:val="71A8B2AA"/>
    <w:lvl w:ilvl="0" w:tplc="F872C43C">
      <w:start w:val="1"/>
      <w:numFmt w:val="lowerLetter"/>
      <w:lvlText w:val="%1."/>
      <w:lvlJc w:val="left"/>
      <w:pPr>
        <w:ind w:left="360" w:hanging="360"/>
      </w:pPr>
      <w:rPr>
        <w:b w:val="0"/>
      </w:rPr>
    </w:lvl>
    <w:lvl w:ilvl="1" w:tplc="A9128CEE">
      <w:start w:val="1"/>
      <w:numFmt w:val="lowerLetter"/>
      <w:lvlText w:val="%2."/>
      <w:lvlJc w:val="left"/>
      <w:pPr>
        <w:tabs>
          <w:tab w:val="num" w:pos="1080"/>
        </w:tabs>
        <w:ind w:left="1080" w:hanging="360"/>
      </w:pPr>
      <w:rPr>
        <w:rFonts w:cs="Times New Roman"/>
      </w:rPr>
    </w:lvl>
    <w:lvl w:ilvl="2" w:tplc="04627356">
      <w:start w:val="1"/>
      <w:numFmt w:val="lowerRoman"/>
      <w:lvlText w:val="%3."/>
      <w:lvlJc w:val="right"/>
      <w:pPr>
        <w:tabs>
          <w:tab w:val="num" w:pos="1800"/>
        </w:tabs>
        <w:ind w:left="1800" w:hanging="180"/>
      </w:pPr>
      <w:rPr>
        <w:rFonts w:cs="Times New Roman"/>
      </w:rPr>
    </w:lvl>
    <w:lvl w:ilvl="3" w:tplc="16E83370">
      <w:start w:val="1"/>
      <w:numFmt w:val="decimal"/>
      <w:lvlText w:val="%4."/>
      <w:lvlJc w:val="left"/>
      <w:pPr>
        <w:tabs>
          <w:tab w:val="num" w:pos="2520"/>
        </w:tabs>
        <w:ind w:left="2520" w:hanging="360"/>
      </w:pPr>
      <w:rPr>
        <w:rFonts w:cs="Times New Roman"/>
      </w:rPr>
    </w:lvl>
    <w:lvl w:ilvl="4" w:tplc="ADE60626">
      <w:start w:val="1"/>
      <w:numFmt w:val="lowerLetter"/>
      <w:lvlText w:val="%5."/>
      <w:lvlJc w:val="left"/>
      <w:pPr>
        <w:tabs>
          <w:tab w:val="num" w:pos="3240"/>
        </w:tabs>
        <w:ind w:left="3240" w:hanging="360"/>
      </w:pPr>
      <w:rPr>
        <w:rFonts w:cs="Times New Roman"/>
      </w:rPr>
    </w:lvl>
    <w:lvl w:ilvl="5" w:tplc="57DE6B02">
      <w:start w:val="1"/>
      <w:numFmt w:val="lowerRoman"/>
      <w:lvlText w:val="%6."/>
      <w:lvlJc w:val="right"/>
      <w:pPr>
        <w:tabs>
          <w:tab w:val="num" w:pos="3960"/>
        </w:tabs>
        <w:ind w:left="3960" w:hanging="180"/>
      </w:pPr>
      <w:rPr>
        <w:rFonts w:cs="Times New Roman"/>
      </w:rPr>
    </w:lvl>
    <w:lvl w:ilvl="6" w:tplc="C110076E">
      <w:start w:val="1"/>
      <w:numFmt w:val="decimal"/>
      <w:lvlText w:val="%7."/>
      <w:lvlJc w:val="left"/>
      <w:pPr>
        <w:tabs>
          <w:tab w:val="num" w:pos="4680"/>
        </w:tabs>
        <w:ind w:left="4680" w:hanging="360"/>
      </w:pPr>
      <w:rPr>
        <w:rFonts w:cs="Times New Roman"/>
      </w:rPr>
    </w:lvl>
    <w:lvl w:ilvl="7" w:tplc="60A2917A">
      <w:start w:val="1"/>
      <w:numFmt w:val="lowerLetter"/>
      <w:lvlText w:val="%8."/>
      <w:lvlJc w:val="left"/>
      <w:pPr>
        <w:tabs>
          <w:tab w:val="num" w:pos="5400"/>
        </w:tabs>
        <w:ind w:left="5400" w:hanging="360"/>
      </w:pPr>
      <w:rPr>
        <w:rFonts w:cs="Times New Roman"/>
      </w:rPr>
    </w:lvl>
    <w:lvl w:ilvl="8" w:tplc="895C3838">
      <w:start w:val="1"/>
      <w:numFmt w:val="lowerRoman"/>
      <w:lvlText w:val="%9."/>
      <w:lvlJc w:val="right"/>
      <w:pPr>
        <w:tabs>
          <w:tab w:val="num" w:pos="6120"/>
        </w:tabs>
        <w:ind w:left="6120" w:hanging="180"/>
      </w:pPr>
      <w:rPr>
        <w:rFonts w:cs="Times New Roman"/>
      </w:rPr>
    </w:lvl>
  </w:abstractNum>
  <w:abstractNum w:abstractNumId="42" w15:restartNumberingAfterBreak="0">
    <w:nsid w:val="7B3730C8"/>
    <w:multiLevelType w:val="hybridMultilevel"/>
    <w:tmpl w:val="71A8B2AA"/>
    <w:lvl w:ilvl="0" w:tplc="B6B0EE78">
      <w:start w:val="1"/>
      <w:numFmt w:val="lowerLetter"/>
      <w:lvlText w:val="%1."/>
      <w:lvlJc w:val="left"/>
      <w:pPr>
        <w:ind w:left="360" w:hanging="360"/>
      </w:pPr>
      <w:rPr>
        <w:b w:val="0"/>
      </w:rPr>
    </w:lvl>
    <w:lvl w:ilvl="1" w:tplc="10109F64">
      <w:start w:val="1"/>
      <w:numFmt w:val="lowerLetter"/>
      <w:lvlText w:val="%2."/>
      <w:lvlJc w:val="left"/>
      <w:pPr>
        <w:tabs>
          <w:tab w:val="num" w:pos="1080"/>
        </w:tabs>
        <w:ind w:left="1080" w:hanging="360"/>
      </w:pPr>
      <w:rPr>
        <w:rFonts w:cs="Times New Roman"/>
      </w:rPr>
    </w:lvl>
    <w:lvl w:ilvl="2" w:tplc="4C665A50">
      <w:start w:val="1"/>
      <w:numFmt w:val="lowerRoman"/>
      <w:lvlText w:val="%3."/>
      <w:lvlJc w:val="right"/>
      <w:pPr>
        <w:tabs>
          <w:tab w:val="num" w:pos="1800"/>
        </w:tabs>
        <w:ind w:left="1800" w:hanging="180"/>
      </w:pPr>
      <w:rPr>
        <w:rFonts w:cs="Times New Roman"/>
      </w:rPr>
    </w:lvl>
    <w:lvl w:ilvl="3" w:tplc="218EB8AE">
      <w:start w:val="1"/>
      <w:numFmt w:val="decimal"/>
      <w:lvlText w:val="%4."/>
      <w:lvlJc w:val="left"/>
      <w:pPr>
        <w:tabs>
          <w:tab w:val="num" w:pos="2520"/>
        </w:tabs>
        <w:ind w:left="2520" w:hanging="360"/>
      </w:pPr>
      <w:rPr>
        <w:rFonts w:cs="Times New Roman"/>
      </w:rPr>
    </w:lvl>
    <w:lvl w:ilvl="4" w:tplc="8CAC0C5C">
      <w:start w:val="1"/>
      <w:numFmt w:val="lowerLetter"/>
      <w:lvlText w:val="%5."/>
      <w:lvlJc w:val="left"/>
      <w:pPr>
        <w:tabs>
          <w:tab w:val="num" w:pos="3240"/>
        </w:tabs>
        <w:ind w:left="3240" w:hanging="360"/>
      </w:pPr>
      <w:rPr>
        <w:rFonts w:cs="Times New Roman"/>
      </w:rPr>
    </w:lvl>
    <w:lvl w:ilvl="5" w:tplc="90E076BA">
      <w:start w:val="1"/>
      <w:numFmt w:val="lowerRoman"/>
      <w:lvlText w:val="%6."/>
      <w:lvlJc w:val="right"/>
      <w:pPr>
        <w:tabs>
          <w:tab w:val="num" w:pos="3960"/>
        </w:tabs>
        <w:ind w:left="3960" w:hanging="180"/>
      </w:pPr>
      <w:rPr>
        <w:rFonts w:cs="Times New Roman"/>
      </w:rPr>
    </w:lvl>
    <w:lvl w:ilvl="6" w:tplc="55563A16">
      <w:start w:val="1"/>
      <w:numFmt w:val="decimal"/>
      <w:lvlText w:val="%7."/>
      <w:lvlJc w:val="left"/>
      <w:pPr>
        <w:tabs>
          <w:tab w:val="num" w:pos="4680"/>
        </w:tabs>
        <w:ind w:left="4680" w:hanging="360"/>
      </w:pPr>
      <w:rPr>
        <w:rFonts w:cs="Times New Roman"/>
      </w:rPr>
    </w:lvl>
    <w:lvl w:ilvl="7" w:tplc="D818A1E6">
      <w:start w:val="1"/>
      <w:numFmt w:val="lowerLetter"/>
      <w:lvlText w:val="%8."/>
      <w:lvlJc w:val="left"/>
      <w:pPr>
        <w:tabs>
          <w:tab w:val="num" w:pos="5400"/>
        </w:tabs>
        <w:ind w:left="5400" w:hanging="360"/>
      </w:pPr>
      <w:rPr>
        <w:rFonts w:cs="Times New Roman"/>
      </w:rPr>
    </w:lvl>
    <w:lvl w:ilvl="8" w:tplc="A75E62FA">
      <w:start w:val="1"/>
      <w:numFmt w:val="lowerRoman"/>
      <w:lvlText w:val="%9."/>
      <w:lvlJc w:val="right"/>
      <w:pPr>
        <w:tabs>
          <w:tab w:val="num" w:pos="6120"/>
        </w:tabs>
        <w:ind w:left="6120" w:hanging="180"/>
      </w:pPr>
      <w:rPr>
        <w:rFonts w:cs="Times New Roman"/>
      </w:rPr>
    </w:lvl>
  </w:abstractNum>
  <w:abstractNum w:abstractNumId="43" w15:restartNumberingAfterBreak="0">
    <w:nsid w:val="7B3730C9"/>
    <w:multiLevelType w:val="hybridMultilevel"/>
    <w:tmpl w:val="71A8B2AA"/>
    <w:lvl w:ilvl="0" w:tplc="70029336">
      <w:start w:val="1"/>
      <w:numFmt w:val="lowerLetter"/>
      <w:lvlText w:val="%1."/>
      <w:lvlJc w:val="left"/>
      <w:pPr>
        <w:ind w:left="360" w:hanging="360"/>
      </w:pPr>
      <w:rPr>
        <w:b w:val="0"/>
      </w:rPr>
    </w:lvl>
    <w:lvl w:ilvl="1" w:tplc="110430E6">
      <w:start w:val="1"/>
      <w:numFmt w:val="lowerLetter"/>
      <w:lvlText w:val="%2."/>
      <w:lvlJc w:val="left"/>
      <w:pPr>
        <w:tabs>
          <w:tab w:val="num" w:pos="1080"/>
        </w:tabs>
        <w:ind w:left="1080" w:hanging="360"/>
      </w:pPr>
      <w:rPr>
        <w:rFonts w:cs="Times New Roman"/>
      </w:rPr>
    </w:lvl>
    <w:lvl w:ilvl="2" w:tplc="62D4B2E4">
      <w:start w:val="1"/>
      <w:numFmt w:val="lowerRoman"/>
      <w:lvlText w:val="%3."/>
      <w:lvlJc w:val="right"/>
      <w:pPr>
        <w:tabs>
          <w:tab w:val="num" w:pos="1800"/>
        </w:tabs>
        <w:ind w:left="1800" w:hanging="180"/>
      </w:pPr>
      <w:rPr>
        <w:rFonts w:cs="Times New Roman"/>
      </w:rPr>
    </w:lvl>
    <w:lvl w:ilvl="3" w:tplc="5FBC4074">
      <w:start w:val="1"/>
      <w:numFmt w:val="decimal"/>
      <w:lvlText w:val="%4."/>
      <w:lvlJc w:val="left"/>
      <w:pPr>
        <w:tabs>
          <w:tab w:val="num" w:pos="2520"/>
        </w:tabs>
        <w:ind w:left="2520" w:hanging="360"/>
      </w:pPr>
      <w:rPr>
        <w:rFonts w:cs="Times New Roman"/>
      </w:rPr>
    </w:lvl>
    <w:lvl w:ilvl="4" w:tplc="1292E072">
      <w:start w:val="1"/>
      <w:numFmt w:val="lowerLetter"/>
      <w:lvlText w:val="%5."/>
      <w:lvlJc w:val="left"/>
      <w:pPr>
        <w:tabs>
          <w:tab w:val="num" w:pos="3240"/>
        </w:tabs>
        <w:ind w:left="3240" w:hanging="360"/>
      </w:pPr>
      <w:rPr>
        <w:rFonts w:cs="Times New Roman"/>
      </w:rPr>
    </w:lvl>
    <w:lvl w:ilvl="5" w:tplc="211816D4">
      <w:start w:val="1"/>
      <w:numFmt w:val="lowerRoman"/>
      <w:lvlText w:val="%6."/>
      <w:lvlJc w:val="right"/>
      <w:pPr>
        <w:tabs>
          <w:tab w:val="num" w:pos="3960"/>
        </w:tabs>
        <w:ind w:left="3960" w:hanging="180"/>
      </w:pPr>
      <w:rPr>
        <w:rFonts w:cs="Times New Roman"/>
      </w:rPr>
    </w:lvl>
    <w:lvl w:ilvl="6" w:tplc="4B463DFE">
      <w:start w:val="1"/>
      <w:numFmt w:val="decimal"/>
      <w:lvlText w:val="%7."/>
      <w:lvlJc w:val="left"/>
      <w:pPr>
        <w:tabs>
          <w:tab w:val="num" w:pos="4680"/>
        </w:tabs>
        <w:ind w:left="4680" w:hanging="360"/>
      </w:pPr>
      <w:rPr>
        <w:rFonts w:cs="Times New Roman"/>
      </w:rPr>
    </w:lvl>
    <w:lvl w:ilvl="7" w:tplc="93B4C8E0">
      <w:start w:val="1"/>
      <w:numFmt w:val="lowerLetter"/>
      <w:lvlText w:val="%8."/>
      <w:lvlJc w:val="left"/>
      <w:pPr>
        <w:tabs>
          <w:tab w:val="num" w:pos="5400"/>
        </w:tabs>
        <w:ind w:left="5400" w:hanging="360"/>
      </w:pPr>
      <w:rPr>
        <w:rFonts w:cs="Times New Roman"/>
      </w:rPr>
    </w:lvl>
    <w:lvl w:ilvl="8" w:tplc="E0B87EFC">
      <w:start w:val="1"/>
      <w:numFmt w:val="lowerRoman"/>
      <w:lvlText w:val="%9."/>
      <w:lvlJc w:val="right"/>
      <w:pPr>
        <w:tabs>
          <w:tab w:val="num" w:pos="6120"/>
        </w:tabs>
        <w:ind w:left="6120" w:hanging="180"/>
      </w:pPr>
      <w:rPr>
        <w:rFonts w:cs="Times New Roman"/>
      </w:rPr>
    </w:lvl>
  </w:abstractNum>
  <w:abstractNum w:abstractNumId="44" w15:restartNumberingAfterBreak="0">
    <w:nsid w:val="7B3730CA"/>
    <w:multiLevelType w:val="hybridMultilevel"/>
    <w:tmpl w:val="71A8B2AA"/>
    <w:lvl w:ilvl="0" w:tplc="4DE22606">
      <w:start w:val="1"/>
      <w:numFmt w:val="lowerLetter"/>
      <w:lvlText w:val="%1."/>
      <w:lvlJc w:val="left"/>
      <w:pPr>
        <w:ind w:left="360" w:hanging="360"/>
      </w:pPr>
      <w:rPr>
        <w:b w:val="0"/>
      </w:rPr>
    </w:lvl>
    <w:lvl w:ilvl="1" w:tplc="19C291F2">
      <w:start w:val="1"/>
      <w:numFmt w:val="lowerLetter"/>
      <w:lvlText w:val="%2."/>
      <w:lvlJc w:val="left"/>
      <w:pPr>
        <w:tabs>
          <w:tab w:val="num" w:pos="1080"/>
        </w:tabs>
        <w:ind w:left="1080" w:hanging="360"/>
      </w:pPr>
      <w:rPr>
        <w:rFonts w:cs="Times New Roman"/>
      </w:rPr>
    </w:lvl>
    <w:lvl w:ilvl="2" w:tplc="8B9A32CC">
      <w:start w:val="1"/>
      <w:numFmt w:val="lowerRoman"/>
      <w:lvlText w:val="%3."/>
      <w:lvlJc w:val="right"/>
      <w:pPr>
        <w:tabs>
          <w:tab w:val="num" w:pos="1800"/>
        </w:tabs>
        <w:ind w:left="1800" w:hanging="180"/>
      </w:pPr>
      <w:rPr>
        <w:rFonts w:cs="Times New Roman"/>
      </w:rPr>
    </w:lvl>
    <w:lvl w:ilvl="3" w:tplc="1BF61A2A">
      <w:start w:val="1"/>
      <w:numFmt w:val="decimal"/>
      <w:lvlText w:val="%4."/>
      <w:lvlJc w:val="left"/>
      <w:pPr>
        <w:tabs>
          <w:tab w:val="num" w:pos="2520"/>
        </w:tabs>
        <w:ind w:left="2520" w:hanging="360"/>
      </w:pPr>
      <w:rPr>
        <w:rFonts w:cs="Times New Roman"/>
      </w:rPr>
    </w:lvl>
    <w:lvl w:ilvl="4" w:tplc="37B69080">
      <w:start w:val="1"/>
      <w:numFmt w:val="lowerLetter"/>
      <w:lvlText w:val="%5."/>
      <w:lvlJc w:val="left"/>
      <w:pPr>
        <w:tabs>
          <w:tab w:val="num" w:pos="3240"/>
        </w:tabs>
        <w:ind w:left="3240" w:hanging="360"/>
      </w:pPr>
      <w:rPr>
        <w:rFonts w:cs="Times New Roman"/>
      </w:rPr>
    </w:lvl>
    <w:lvl w:ilvl="5" w:tplc="192E6204">
      <w:start w:val="1"/>
      <w:numFmt w:val="lowerRoman"/>
      <w:lvlText w:val="%6."/>
      <w:lvlJc w:val="right"/>
      <w:pPr>
        <w:tabs>
          <w:tab w:val="num" w:pos="3960"/>
        </w:tabs>
        <w:ind w:left="3960" w:hanging="180"/>
      </w:pPr>
      <w:rPr>
        <w:rFonts w:cs="Times New Roman"/>
      </w:rPr>
    </w:lvl>
    <w:lvl w:ilvl="6" w:tplc="A49A4A7E">
      <w:start w:val="1"/>
      <w:numFmt w:val="decimal"/>
      <w:lvlText w:val="%7."/>
      <w:lvlJc w:val="left"/>
      <w:pPr>
        <w:tabs>
          <w:tab w:val="num" w:pos="4680"/>
        </w:tabs>
        <w:ind w:left="4680" w:hanging="360"/>
      </w:pPr>
      <w:rPr>
        <w:rFonts w:cs="Times New Roman"/>
      </w:rPr>
    </w:lvl>
    <w:lvl w:ilvl="7" w:tplc="27F64AC0">
      <w:start w:val="1"/>
      <w:numFmt w:val="lowerLetter"/>
      <w:lvlText w:val="%8."/>
      <w:lvlJc w:val="left"/>
      <w:pPr>
        <w:tabs>
          <w:tab w:val="num" w:pos="5400"/>
        </w:tabs>
        <w:ind w:left="5400" w:hanging="360"/>
      </w:pPr>
      <w:rPr>
        <w:rFonts w:cs="Times New Roman"/>
      </w:rPr>
    </w:lvl>
    <w:lvl w:ilvl="8" w:tplc="25FA4C00">
      <w:start w:val="1"/>
      <w:numFmt w:val="lowerRoman"/>
      <w:lvlText w:val="%9."/>
      <w:lvlJc w:val="right"/>
      <w:pPr>
        <w:tabs>
          <w:tab w:val="num" w:pos="6120"/>
        </w:tabs>
        <w:ind w:left="6120" w:hanging="180"/>
      </w:pPr>
      <w:rPr>
        <w:rFonts w:cs="Times New Roman"/>
      </w:rPr>
    </w:lvl>
  </w:abstractNum>
  <w:abstractNum w:abstractNumId="45" w15:restartNumberingAfterBreak="0">
    <w:nsid w:val="7B3730CB"/>
    <w:multiLevelType w:val="hybridMultilevel"/>
    <w:tmpl w:val="9CA6317A"/>
    <w:lvl w:ilvl="0" w:tplc="C5AE3FDC">
      <w:start w:val="1"/>
      <w:numFmt w:val="lowerLetter"/>
      <w:lvlText w:val="%1."/>
      <w:lvlJc w:val="left"/>
      <w:pPr>
        <w:ind w:left="360" w:hanging="360"/>
      </w:pPr>
      <w:rPr>
        <w:b w:val="0"/>
      </w:rPr>
    </w:lvl>
    <w:lvl w:ilvl="1" w:tplc="37F877EE">
      <w:start w:val="1"/>
      <w:numFmt w:val="decimal"/>
      <w:lvlText w:val="%2."/>
      <w:lvlJc w:val="left"/>
      <w:pPr>
        <w:tabs>
          <w:tab w:val="num" w:pos="1440"/>
        </w:tabs>
        <w:ind w:left="1440" w:hanging="360"/>
      </w:pPr>
    </w:lvl>
    <w:lvl w:ilvl="2" w:tplc="723AB702">
      <w:start w:val="1"/>
      <w:numFmt w:val="decimal"/>
      <w:lvlText w:val="%3."/>
      <w:lvlJc w:val="left"/>
      <w:pPr>
        <w:tabs>
          <w:tab w:val="num" w:pos="2160"/>
        </w:tabs>
        <w:ind w:left="2160" w:hanging="360"/>
      </w:pPr>
    </w:lvl>
    <w:lvl w:ilvl="3" w:tplc="3F7E1A76">
      <w:start w:val="1"/>
      <w:numFmt w:val="decimal"/>
      <w:lvlText w:val="%4."/>
      <w:lvlJc w:val="left"/>
      <w:pPr>
        <w:tabs>
          <w:tab w:val="num" w:pos="2880"/>
        </w:tabs>
        <w:ind w:left="2880" w:hanging="360"/>
      </w:pPr>
    </w:lvl>
    <w:lvl w:ilvl="4" w:tplc="89BA0C4E">
      <w:start w:val="1"/>
      <w:numFmt w:val="decimal"/>
      <w:lvlText w:val="%5."/>
      <w:lvlJc w:val="left"/>
      <w:pPr>
        <w:tabs>
          <w:tab w:val="num" w:pos="3600"/>
        </w:tabs>
        <w:ind w:left="3600" w:hanging="360"/>
      </w:pPr>
    </w:lvl>
    <w:lvl w:ilvl="5" w:tplc="5224BC58">
      <w:start w:val="1"/>
      <w:numFmt w:val="decimal"/>
      <w:lvlText w:val="%6."/>
      <w:lvlJc w:val="left"/>
      <w:pPr>
        <w:tabs>
          <w:tab w:val="num" w:pos="4320"/>
        </w:tabs>
        <w:ind w:left="4320" w:hanging="360"/>
      </w:pPr>
    </w:lvl>
    <w:lvl w:ilvl="6" w:tplc="30C2EEE6">
      <w:start w:val="1"/>
      <w:numFmt w:val="decimal"/>
      <w:lvlText w:val="%7."/>
      <w:lvlJc w:val="left"/>
      <w:pPr>
        <w:tabs>
          <w:tab w:val="num" w:pos="5040"/>
        </w:tabs>
        <w:ind w:left="5040" w:hanging="360"/>
      </w:pPr>
    </w:lvl>
    <w:lvl w:ilvl="7" w:tplc="A24A9D68">
      <w:start w:val="1"/>
      <w:numFmt w:val="decimal"/>
      <w:lvlText w:val="%8."/>
      <w:lvlJc w:val="left"/>
      <w:pPr>
        <w:tabs>
          <w:tab w:val="num" w:pos="5760"/>
        </w:tabs>
        <w:ind w:left="5760" w:hanging="360"/>
      </w:pPr>
    </w:lvl>
    <w:lvl w:ilvl="8" w:tplc="24C030C6">
      <w:start w:val="1"/>
      <w:numFmt w:val="decimal"/>
      <w:lvlText w:val="%9."/>
      <w:lvlJc w:val="left"/>
      <w:pPr>
        <w:tabs>
          <w:tab w:val="num" w:pos="6480"/>
        </w:tabs>
        <w:ind w:left="6480" w:hanging="360"/>
      </w:pPr>
    </w:lvl>
  </w:abstractNum>
  <w:abstractNum w:abstractNumId="46" w15:restartNumberingAfterBreak="0">
    <w:nsid w:val="7B3730CC"/>
    <w:multiLevelType w:val="hybridMultilevel"/>
    <w:tmpl w:val="71A8B2AA"/>
    <w:lvl w:ilvl="0" w:tplc="7E40036C">
      <w:start w:val="1"/>
      <w:numFmt w:val="lowerLetter"/>
      <w:lvlText w:val="%1."/>
      <w:lvlJc w:val="left"/>
      <w:pPr>
        <w:ind w:left="360" w:hanging="360"/>
      </w:pPr>
      <w:rPr>
        <w:b w:val="0"/>
      </w:rPr>
    </w:lvl>
    <w:lvl w:ilvl="1" w:tplc="ACE45908">
      <w:start w:val="1"/>
      <w:numFmt w:val="lowerLetter"/>
      <w:lvlText w:val="%2."/>
      <w:lvlJc w:val="left"/>
      <w:pPr>
        <w:tabs>
          <w:tab w:val="num" w:pos="1080"/>
        </w:tabs>
        <w:ind w:left="1080" w:hanging="360"/>
      </w:pPr>
      <w:rPr>
        <w:rFonts w:cs="Times New Roman"/>
      </w:rPr>
    </w:lvl>
    <w:lvl w:ilvl="2" w:tplc="01EAF004">
      <w:start w:val="1"/>
      <w:numFmt w:val="lowerRoman"/>
      <w:lvlText w:val="%3."/>
      <w:lvlJc w:val="right"/>
      <w:pPr>
        <w:tabs>
          <w:tab w:val="num" w:pos="1800"/>
        </w:tabs>
        <w:ind w:left="1800" w:hanging="180"/>
      </w:pPr>
      <w:rPr>
        <w:rFonts w:cs="Times New Roman"/>
      </w:rPr>
    </w:lvl>
    <w:lvl w:ilvl="3" w:tplc="506833FE">
      <w:start w:val="1"/>
      <w:numFmt w:val="decimal"/>
      <w:lvlText w:val="%4."/>
      <w:lvlJc w:val="left"/>
      <w:pPr>
        <w:tabs>
          <w:tab w:val="num" w:pos="2520"/>
        </w:tabs>
        <w:ind w:left="2520" w:hanging="360"/>
      </w:pPr>
      <w:rPr>
        <w:rFonts w:cs="Times New Roman"/>
      </w:rPr>
    </w:lvl>
    <w:lvl w:ilvl="4" w:tplc="FB72DE56">
      <w:start w:val="1"/>
      <w:numFmt w:val="lowerLetter"/>
      <w:lvlText w:val="%5."/>
      <w:lvlJc w:val="left"/>
      <w:pPr>
        <w:tabs>
          <w:tab w:val="num" w:pos="3240"/>
        </w:tabs>
        <w:ind w:left="3240" w:hanging="360"/>
      </w:pPr>
      <w:rPr>
        <w:rFonts w:cs="Times New Roman"/>
      </w:rPr>
    </w:lvl>
    <w:lvl w:ilvl="5" w:tplc="22EACDAE">
      <w:start w:val="1"/>
      <w:numFmt w:val="lowerRoman"/>
      <w:lvlText w:val="%6."/>
      <w:lvlJc w:val="right"/>
      <w:pPr>
        <w:tabs>
          <w:tab w:val="num" w:pos="3960"/>
        </w:tabs>
        <w:ind w:left="3960" w:hanging="180"/>
      </w:pPr>
      <w:rPr>
        <w:rFonts w:cs="Times New Roman"/>
      </w:rPr>
    </w:lvl>
    <w:lvl w:ilvl="6" w:tplc="393C0662">
      <w:start w:val="1"/>
      <w:numFmt w:val="decimal"/>
      <w:lvlText w:val="%7."/>
      <w:lvlJc w:val="left"/>
      <w:pPr>
        <w:tabs>
          <w:tab w:val="num" w:pos="4680"/>
        </w:tabs>
        <w:ind w:left="4680" w:hanging="360"/>
      </w:pPr>
      <w:rPr>
        <w:rFonts w:cs="Times New Roman"/>
      </w:rPr>
    </w:lvl>
    <w:lvl w:ilvl="7" w:tplc="4B3C95FA">
      <w:start w:val="1"/>
      <w:numFmt w:val="lowerLetter"/>
      <w:lvlText w:val="%8."/>
      <w:lvlJc w:val="left"/>
      <w:pPr>
        <w:tabs>
          <w:tab w:val="num" w:pos="5400"/>
        </w:tabs>
        <w:ind w:left="5400" w:hanging="360"/>
      </w:pPr>
      <w:rPr>
        <w:rFonts w:cs="Times New Roman"/>
      </w:rPr>
    </w:lvl>
    <w:lvl w:ilvl="8" w:tplc="205016B2">
      <w:start w:val="1"/>
      <w:numFmt w:val="lowerRoman"/>
      <w:lvlText w:val="%9."/>
      <w:lvlJc w:val="right"/>
      <w:pPr>
        <w:tabs>
          <w:tab w:val="num" w:pos="6120"/>
        </w:tabs>
        <w:ind w:left="6120" w:hanging="180"/>
      </w:pPr>
      <w:rPr>
        <w:rFonts w:cs="Times New Roman"/>
      </w:rPr>
    </w:lvl>
  </w:abstractNum>
  <w:abstractNum w:abstractNumId="47" w15:restartNumberingAfterBreak="0">
    <w:nsid w:val="7B3730CD"/>
    <w:multiLevelType w:val="hybridMultilevel"/>
    <w:tmpl w:val="71A8B2AA"/>
    <w:lvl w:ilvl="0" w:tplc="EB801F0E">
      <w:start w:val="1"/>
      <w:numFmt w:val="lowerLetter"/>
      <w:lvlText w:val="%1."/>
      <w:lvlJc w:val="left"/>
      <w:pPr>
        <w:ind w:left="360" w:hanging="360"/>
      </w:pPr>
      <w:rPr>
        <w:b w:val="0"/>
      </w:rPr>
    </w:lvl>
    <w:lvl w:ilvl="1" w:tplc="D9A2CEFE">
      <w:start w:val="1"/>
      <w:numFmt w:val="lowerLetter"/>
      <w:lvlText w:val="%2."/>
      <w:lvlJc w:val="left"/>
      <w:pPr>
        <w:tabs>
          <w:tab w:val="num" w:pos="1080"/>
        </w:tabs>
        <w:ind w:left="1080" w:hanging="360"/>
      </w:pPr>
      <w:rPr>
        <w:rFonts w:cs="Times New Roman"/>
      </w:rPr>
    </w:lvl>
    <w:lvl w:ilvl="2" w:tplc="9508D45A">
      <w:start w:val="1"/>
      <w:numFmt w:val="lowerRoman"/>
      <w:lvlText w:val="%3."/>
      <w:lvlJc w:val="right"/>
      <w:pPr>
        <w:tabs>
          <w:tab w:val="num" w:pos="1800"/>
        </w:tabs>
        <w:ind w:left="1800" w:hanging="180"/>
      </w:pPr>
      <w:rPr>
        <w:rFonts w:cs="Times New Roman"/>
      </w:rPr>
    </w:lvl>
    <w:lvl w:ilvl="3" w:tplc="1076C06C">
      <w:start w:val="1"/>
      <w:numFmt w:val="decimal"/>
      <w:lvlText w:val="%4."/>
      <w:lvlJc w:val="left"/>
      <w:pPr>
        <w:tabs>
          <w:tab w:val="num" w:pos="2520"/>
        </w:tabs>
        <w:ind w:left="2520" w:hanging="360"/>
      </w:pPr>
      <w:rPr>
        <w:rFonts w:cs="Times New Roman"/>
      </w:rPr>
    </w:lvl>
    <w:lvl w:ilvl="4" w:tplc="8D6E2B46">
      <w:start w:val="1"/>
      <w:numFmt w:val="lowerLetter"/>
      <w:lvlText w:val="%5."/>
      <w:lvlJc w:val="left"/>
      <w:pPr>
        <w:tabs>
          <w:tab w:val="num" w:pos="3240"/>
        </w:tabs>
        <w:ind w:left="3240" w:hanging="360"/>
      </w:pPr>
      <w:rPr>
        <w:rFonts w:cs="Times New Roman"/>
      </w:rPr>
    </w:lvl>
    <w:lvl w:ilvl="5" w:tplc="9FC2821A">
      <w:start w:val="1"/>
      <w:numFmt w:val="lowerRoman"/>
      <w:lvlText w:val="%6."/>
      <w:lvlJc w:val="right"/>
      <w:pPr>
        <w:tabs>
          <w:tab w:val="num" w:pos="3960"/>
        </w:tabs>
        <w:ind w:left="3960" w:hanging="180"/>
      </w:pPr>
      <w:rPr>
        <w:rFonts w:cs="Times New Roman"/>
      </w:rPr>
    </w:lvl>
    <w:lvl w:ilvl="6" w:tplc="B420A1F8">
      <w:start w:val="1"/>
      <w:numFmt w:val="decimal"/>
      <w:lvlText w:val="%7."/>
      <w:lvlJc w:val="left"/>
      <w:pPr>
        <w:tabs>
          <w:tab w:val="num" w:pos="4680"/>
        </w:tabs>
        <w:ind w:left="4680" w:hanging="360"/>
      </w:pPr>
      <w:rPr>
        <w:rFonts w:cs="Times New Roman"/>
      </w:rPr>
    </w:lvl>
    <w:lvl w:ilvl="7" w:tplc="1F0A4DA2">
      <w:start w:val="1"/>
      <w:numFmt w:val="lowerLetter"/>
      <w:lvlText w:val="%8."/>
      <w:lvlJc w:val="left"/>
      <w:pPr>
        <w:tabs>
          <w:tab w:val="num" w:pos="5400"/>
        </w:tabs>
        <w:ind w:left="5400" w:hanging="360"/>
      </w:pPr>
      <w:rPr>
        <w:rFonts w:cs="Times New Roman"/>
      </w:rPr>
    </w:lvl>
    <w:lvl w:ilvl="8" w:tplc="D6F4CAE8">
      <w:start w:val="1"/>
      <w:numFmt w:val="lowerRoman"/>
      <w:lvlText w:val="%9."/>
      <w:lvlJc w:val="right"/>
      <w:pPr>
        <w:tabs>
          <w:tab w:val="num" w:pos="6120"/>
        </w:tabs>
        <w:ind w:left="6120" w:hanging="180"/>
      </w:pPr>
      <w:rPr>
        <w:rFonts w:cs="Times New Roman"/>
      </w:rPr>
    </w:lvl>
  </w:abstractNum>
  <w:abstractNum w:abstractNumId="48" w15:restartNumberingAfterBreak="0">
    <w:nsid w:val="7B3730CE"/>
    <w:multiLevelType w:val="hybridMultilevel"/>
    <w:tmpl w:val="4E7EACC2"/>
    <w:lvl w:ilvl="0" w:tplc="06263310">
      <w:start w:val="1"/>
      <w:numFmt w:val="bullet"/>
      <w:pStyle w:val="BSbullet11"/>
      <w:lvlText w:val=""/>
      <w:lvlJc w:val="left"/>
      <w:pPr>
        <w:tabs>
          <w:tab w:val="num" w:pos="360"/>
        </w:tabs>
        <w:ind w:left="357" w:hanging="357"/>
      </w:pPr>
      <w:rPr>
        <w:rFonts w:ascii="Symbol" w:hAnsi="Symbol" w:hint="default"/>
        <w:sz w:val="24"/>
      </w:rPr>
    </w:lvl>
    <w:lvl w:ilvl="1" w:tplc="49CEEC48">
      <w:start w:val="1"/>
      <w:numFmt w:val="bullet"/>
      <w:lvlText w:val="o"/>
      <w:lvlJc w:val="left"/>
      <w:pPr>
        <w:tabs>
          <w:tab w:val="num" w:pos="1800"/>
        </w:tabs>
        <w:ind w:left="1800" w:hanging="360"/>
      </w:pPr>
      <w:rPr>
        <w:rFonts w:ascii="Courier New" w:hAnsi="Courier New" w:hint="default"/>
      </w:rPr>
    </w:lvl>
    <w:lvl w:ilvl="2" w:tplc="19E6F3CE">
      <w:start w:val="1"/>
      <w:numFmt w:val="bullet"/>
      <w:lvlText w:val=""/>
      <w:lvlJc w:val="left"/>
      <w:pPr>
        <w:tabs>
          <w:tab w:val="num" w:pos="2520"/>
        </w:tabs>
        <w:ind w:left="2520" w:hanging="360"/>
      </w:pPr>
      <w:rPr>
        <w:rFonts w:ascii="Wingdings" w:hAnsi="Wingdings" w:hint="default"/>
      </w:rPr>
    </w:lvl>
    <w:lvl w:ilvl="3" w:tplc="A6EE9CFA">
      <w:start w:val="1"/>
      <w:numFmt w:val="bullet"/>
      <w:lvlText w:val=""/>
      <w:lvlJc w:val="left"/>
      <w:pPr>
        <w:tabs>
          <w:tab w:val="num" w:pos="3240"/>
        </w:tabs>
        <w:ind w:left="3240" w:hanging="360"/>
      </w:pPr>
      <w:rPr>
        <w:rFonts w:ascii="Symbol" w:hAnsi="Symbol" w:hint="default"/>
      </w:rPr>
    </w:lvl>
    <w:lvl w:ilvl="4" w:tplc="8CB22E7C">
      <w:start w:val="1"/>
      <w:numFmt w:val="bullet"/>
      <w:lvlText w:val="o"/>
      <w:lvlJc w:val="left"/>
      <w:pPr>
        <w:tabs>
          <w:tab w:val="num" w:pos="3960"/>
        </w:tabs>
        <w:ind w:left="3960" w:hanging="360"/>
      </w:pPr>
      <w:rPr>
        <w:rFonts w:ascii="Courier New" w:hAnsi="Courier New" w:hint="default"/>
      </w:rPr>
    </w:lvl>
    <w:lvl w:ilvl="5" w:tplc="D1FAFE88">
      <w:start w:val="1"/>
      <w:numFmt w:val="bullet"/>
      <w:lvlText w:val=""/>
      <w:lvlJc w:val="left"/>
      <w:pPr>
        <w:tabs>
          <w:tab w:val="num" w:pos="4680"/>
        </w:tabs>
        <w:ind w:left="4680" w:hanging="360"/>
      </w:pPr>
      <w:rPr>
        <w:rFonts w:ascii="Wingdings" w:hAnsi="Wingdings" w:hint="default"/>
      </w:rPr>
    </w:lvl>
    <w:lvl w:ilvl="6" w:tplc="3022DC18">
      <w:start w:val="1"/>
      <w:numFmt w:val="bullet"/>
      <w:lvlText w:val=""/>
      <w:lvlJc w:val="left"/>
      <w:pPr>
        <w:tabs>
          <w:tab w:val="num" w:pos="5400"/>
        </w:tabs>
        <w:ind w:left="5400" w:hanging="360"/>
      </w:pPr>
      <w:rPr>
        <w:rFonts w:ascii="Symbol" w:hAnsi="Symbol" w:hint="default"/>
      </w:rPr>
    </w:lvl>
    <w:lvl w:ilvl="7" w:tplc="29B089D0">
      <w:start w:val="1"/>
      <w:numFmt w:val="bullet"/>
      <w:lvlText w:val="o"/>
      <w:lvlJc w:val="left"/>
      <w:pPr>
        <w:tabs>
          <w:tab w:val="num" w:pos="6120"/>
        </w:tabs>
        <w:ind w:left="6120" w:hanging="360"/>
      </w:pPr>
      <w:rPr>
        <w:rFonts w:ascii="Courier New" w:hAnsi="Courier New" w:hint="default"/>
      </w:rPr>
    </w:lvl>
    <w:lvl w:ilvl="8" w:tplc="64885424">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B3730CF"/>
    <w:multiLevelType w:val="hybridMultilevel"/>
    <w:tmpl w:val="2C643DB6"/>
    <w:lvl w:ilvl="0" w:tplc="63FE7986">
      <w:start w:val="1"/>
      <w:numFmt w:val="bullet"/>
      <w:pStyle w:val="BSbullet2"/>
      <w:lvlText w:val="-"/>
      <w:lvlJc w:val="left"/>
      <w:pPr>
        <w:ind w:left="717" w:hanging="360"/>
      </w:pPr>
      <w:rPr>
        <w:rFonts w:ascii="Calibri" w:hAnsi="Calibri" w:hint="default"/>
      </w:rPr>
    </w:lvl>
    <w:lvl w:ilvl="1" w:tplc="91C22222" w:tentative="1">
      <w:start w:val="1"/>
      <w:numFmt w:val="bullet"/>
      <w:lvlText w:val="o"/>
      <w:lvlJc w:val="left"/>
      <w:pPr>
        <w:ind w:left="1437" w:hanging="360"/>
      </w:pPr>
      <w:rPr>
        <w:rFonts w:ascii="Courier New" w:hAnsi="Courier New" w:cs="Courier New" w:hint="default"/>
      </w:rPr>
    </w:lvl>
    <w:lvl w:ilvl="2" w:tplc="D7C2BF6E" w:tentative="1">
      <w:start w:val="1"/>
      <w:numFmt w:val="bullet"/>
      <w:lvlText w:val=""/>
      <w:lvlJc w:val="left"/>
      <w:pPr>
        <w:ind w:left="2157" w:hanging="360"/>
      </w:pPr>
      <w:rPr>
        <w:rFonts w:ascii="Wingdings" w:hAnsi="Wingdings" w:hint="default"/>
      </w:rPr>
    </w:lvl>
    <w:lvl w:ilvl="3" w:tplc="767CDA98" w:tentative="1">
      <w:start w:val="1"/>
      <w:numFmt w:val="bullet"/>
      <w:lvlText w:val=""/>
      <w:lvlJc w:val="left"/>
      <w:pPr>
        <w:ind w:left="2877" w:hanging="360"/>
      </w:pPr>
      <w:rPr>
        <w:rFonts w:ascii="Symbol" w:hAnsi="Symbol" w:hint="default"/>
      </w:rPr>
    </w:lvl>
    <w:lvl w:ilvl="4" w:tplc="A936F968" w:tentative="1">
      <w:start w:val="1"/>
      <w:numFmt w:val="bullet"/>
      <w:lvlText w:val="o"/>
      <w:lvlJc w:val="left"/>
      <w:pPr>
        <w:ind w:left="3597" w:hanging="360"/>
      </w:pPr>
      <w:rPr>
        <w:rFonts w:ascii="Courier New" w:hAnsi="Courier New" w:cs="Courier New" w:hint="default"/>
      </w:rPr>
    </w:lvl>
    <w:lvl w:ilvl="5" w:tplc="90F823B2" w:tentative="1">
      <w:start w:val="1"/>
      <w:numFmt w:val="bullet"/>
      <w:lvlText w:val=""/>
      <w:lvlJc w:val="left"/>
      <w:pPr>
        <w:ind w:left="4317" w:hanging="360"/>
      </w:pPr>
      <w:rPr>
        <w:rFonts w:ascii="Wingdings" w:hAnsi="Wingdings" w:hint="default"/>
      </w:rPr>
    </w:lvl>
    <w:lvl w:ilvl="6" w:tplc="E3921B20" w:tentative="1">
      <w:start w:val="1"/>
      <w:numFmt w:val="bullet"/>
      <w:lvlText w:val=""/>
      <w:lvlJc w:val="left"/>
      <w:pPr>
        <w:ind w:left="5037" w:hanging="360"/>
      </w:pPr>
      <w:rPr>
        <w:rFonts w:ascii="Symbol" w:hAnsi="Symbol" w:hint="default"/>
      </w:rPr>
    </w:lvl>
    <w:lvl w:ilvl="7" w:tplc="FDE0FFF2" w:tentative="1">
      <w:start w:val="1"/>
      <w:numFmt w:val="bullet"/>
      <w:lvlText w:val="o"/>
      <w:lvlJc w:val="left"/>
      <w:pPr>
        <w:ind w:left="5757" w:hanging="360"/>
      </w:pPr>
      <w:rPr>
        <w:rFonts w:ascii="Courier New" w:hAnsi="Courier New" w:cs="Courier New" w:hint="default"/>
      </w:rPr>
    </w:lvl>
    <w:lvl w:ilvl="8" w:tplc="93C8E1D6" w:tentative="1">
      <w:start w:val="1"/>
      <w:numFmt w:val="bullet"/>
      <w:lvlText w:val=""/>
      <w:lvlJc w:val="left"/>
      <w:pPr>
        <w:ind w:left="6477" w:hanging="360"/>
      </w:pPr>
      <w:rPr>
        <w:rFonts w:ascii="Wingdings" w:hAnsi="Wingdings" w:hint="default"/>
      </w:rPr>
    </w:lvl>
  </w:abstractNum>
  <w:num w:numId="1">
    <w:abstractNumId w:val="6"/>
  </w:num>
  <w:num w:numId="2">
    <w:abstractNumId w:val="16"/>
  </w:num>
  <w:num w:numId="3">
    <w:abstractNumId w:val="1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num>
  <w:num w:numId="9">
    <w:abstractNumId w:val="21"/>
    <w:lvlOverride w:ilvl="0">
      <w:startOverride w:val="1"/>
    </w:lvlOverride>
  </w:num>
  <w:num w:numId="10">
    <w:abstractNumId w:val="22"/>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num>
  <w:num w:numId="28">
    <w:abstractNumId w:val="39"/>
  </w:num>
  <w:num w:numId="29">
    <w:abstractNumId w:val="38"/>
    <w:lvlOverride w:ilvl="0">
      <w:startOverride w:val="1"/>
    </w:lvlOverride>
  </w:num>
  <w:num w:numId="30">
    <w:abstractNumId w:val="40"/>
  </w:num>
  <w:num w:numId="31">
    <w:abstractNumId w:val="38"/>
    <w:lvlOverride w:ilvl="0">
      <w:startOverride w:val="1"/>
    </w:lvlOverride>
  </w:num>
  <w:num w:numId="32">
    <w:abstractNumId w:val="41"/>
  </w:num>
  <w:num w:numId="33">
    <w:abstractNumId w:val="38"/>
    <w:lvlOverride w:ilvl="0">
      <w:startOverride w:val="1"/>
    </w:lvlOverride>
  </w:num>
  <w:num w:numId="34">
    <w:abstractNumId w:val="42"/>
  </w:num>
  <w:num w:numId="35">
    <w:abstractNumId w:val="38"/>
    <w:lvlOverride w:ilvl="0">
      <w:startOverride w:val="1"/>
    </w:lvlOverride>
  </w:num>
  <w:num w:numId="36">
    <w:abstractNumId w:val="43"/>
  </w:num>
  <w:num w:numId="37">
    <w:abstractNumId w:val="38"/>
    <w:lvlOverride w:ilvl="0">
      <w:startOverride w:val="1"/>
    </w:lvlOverride>
  </w:num>
  <w:num w:numId="38">
    <w:abstractNumId w:val="44"/>
  </w:num>
  <w:num w:numId="39">
    <w:abstractNumId w:val="38"/>
    <w:lvlOverride w:ilvl="0">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38"/>
    <w:lvlOverride w:ilvl="0">
      <w:startOverride w:val="1"/>
    </w:lvlOverride>
  </w:num>
  <w:num w:numId="44">
    <w:abstractNumId w:val="47"/>
  </w:num>
  <w:num w:numId="45">
    <w:abstractNumId w:val="38"/>
    <w:lvlOverride w:ilvl="0">
      <w:startOverride w:val="1"/>
    </w:lvlOverride>
  </w:num>
  <w:num w:numId="46">
    <w:abstractNumId w:val="48"/>
  </w:num>
  <w:num w:numId="47">
    <w:abstractNumId w:val="48"/>
  </w:num>
  <w:num w:numId="48">
    <w:abstractNumId w:val="49"/>
  </w:num>
  <w:num w:numId="49">
    <w:abstractNumId w:val="22"/>
    <w:lvlOverride w:ilvl="0">
      <w:startOverride w:val="1"/>
    </w:lvlOverride>
  </w:num>
  <w:num w:numId="50">
    <w:abstractNumId w:val="14"/>
  </w:num>
  <w:num w:numId="51">
    <w:abstractNumId w:val="27"/>
    <w:lvlOverride w:ilvl="0">
      <w:startOverride w:val="1"/>
    </w:lvlOverride>
  </w:num>
  <w:num w:numId="52">
    <w:abstractNumId w:val="2"/>
  </w:num>
  <w:num w:numId="53">
    <w:abstractNumId w:val="7"/>
  </w:num>
  <w:num w:numId="54">
    <w:abstractNumId w:val="8"/>
  </w:num>
  <w:num w:numId="55">
    <w:abstractNumId w:val="5"/>
  </w:num>
  <w:num w:numId="56">
    <w:abstractNumId w:val="4"/>
  </w:num>
  <w:num w:numId="57">
    <w:abstractNumId w:val="9"/>
  </w:num>
  <w:num w:numId="58">
    <w:abstractNumId w:val="15"/>
  </w:num>
  <w:num w:numId="59">
    <w:abstractNumId w:val="10"/>
  </w:num>
  <w:num w:numId="60">
    <w:abstractNumId w:val="21"/>
    <w:lvlOverride w:ilvl="0">
      <w:startOverride w:val="1"/>
    </w:lvlOverride>
  </w:num>
  <w:num w:numId="61">
    <w:abstractNumId w:val="29"/>
  </w:num>
  <w:num w:numId="62">
    <w:abstractNumId w:val="0"/>
  </w:num>
  <w:num w:numId="63">
    <w:abstractNumId w:val="21"/>
    <w:lvlOverride w:ilvl="0">
      <w:startOverride w:val="1"/>
    </w:lvlOverride>
  </w:num>
  <w:num w:numId="64">
    <w:abstractNumId w:val="22"/>
    <w:lvlOverride w:ilvl="0">
      <w:startOverride w:val="1"/>
    </w:lvlOverride>
  </w:num>
  <w:num w:numId="65">
    <w:abstractNumId w:val="13"/>
  </w:num>
  <w:num w:numId="66">
    <w:abstractNumId w:val="11"/>
  </w:num>
  <w:num w:numId="67">
    <w:abstractNumId w:val="3"/>
  </w:num>
  <w:num w:numId="68">
    <w:abstractNumId w:val="27"/>
    <w:lvlOverride w:ilvl="0">
      <w:startOverride w:val="1"/>
    </w:lvlOverride>
  </w:num>
  <w:num w:numId="69">
    <w:abstractNumId w:val="18"/>
  </w:num>
  <w:num w:numId="70">
    <w:abstractNumId w:val="1"/>
  </w:num>
  <w:num w:numId="71">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E4"/>
    <w:rsid w:val="00011D1F"/>
    <w:rsid w:val="00034204"/>
    <w:rsid w:val="00056583"/>
    <w:rsid w:val="000A0A61"/>
    <w:rsid w:val="00121BA9"/>
    <w:rsid w:val="001418A1"/>
    <w:rsid w:val="001651E4"/>
    <w:rsid w:val="00174BAC"/>
    <w:rsid w:val="001B518A"/>
    <w:rsid w:val="001D230E"/>
    <w:rsid w:val="001E007C"/>
    <w:rsid w:val="002049CF"/>
    <w:rsid w:val="00212724"/>
    <w:rsid w:val="00221C68"/>
    <w:rsid w:val="0022624C"/>
    <w:rsid w:val="00237918"/>
    <w:rsid w:val="00244C2C"/>
    <w:rsid w:val="00257F5C"/>
    <w:rsid w:val="0026393F"/>
    <w:rsid w:val="002E02C9"/>
    <w:rsid w:val="002E184F"/>
    <w:rsid w:val="00316847"/>
    <w:rsid w:val="00353ACA"/>
    <w:rsid w:val="00353D5D"/>
    <w:rsid w:val="00362887"/>
    <w:rsid w:val="00371379"/>
    <w:rsid w:val="003D3B48"/>
    <w:rsid w:val="00445D15"/>
    <w:rsid w:val="004C56A7"/>
    <w:rsid w:val="005731B5"/>
    <w:rsid w:val="005751D9"/>
    <w:rsid w:val="0058349F"/>
    <w:rsid w:val="0059657D"/>
    <w:rsid w:val="005F348E"/>
    <w:rsid w:val="00617363"/>
    <w:rsid w:val="00641AC8"/>
    <w:rsid w:val="006971D9"/>
    <w:rsid w:val="006A7A83"/>
    <w:rsid w:val="006E09C8"/>
    <w:rsid w:val="006E22B7"/>
    <w:rsid w:val="00763F99"/>
    <w:rsid w:val="007A5B2B"/>
    <w:rsid w:val="007C47F2"/>
    <w:rsid w:val="007C5E7C"/>
    <w:rsid w:val="007D5696"/>
    <w:rsid w:val="007D648C"/>
    <w:rsid w:val="008552E7"/>
    <w:rsid w:val="00864210"/>
    <w:rsid w:val="00877971"/>
    <w:rsid w:val="008D2D13"/>
    <w:rsid w:val="00986312"/>
    <w:rsid w:val="009973B4"/>
    <w:rsid w:val="009C7D6A"/>
    <w:rsid w:val="00A064E3"/>
    <w:rsid w:val="00A44227"/>
    <w:rsid w:val="00AA3D17"/>
    <w:rsid w:val="00AA4734"/>
    <w:rsid w:val="00AB1383"/>
    <w:rsid w:val="00AD718D"/>
    <w:rsid w:val="00AF3D05"/>
    <w:rsid w:val="00B10097"/>
    <w:rsid w:val="00B7132D"/>
    <w:rsid w:val="00B76273"/>
    <w:rsid w:val="00BB6BE6"/>
    <w:rsid w:val="00BD0202"/>
    <w:rsid w:val="00BD264F"/>
    <w:rsid w:val="00C65772"/>
    <w:rsid w:val="00C84286"/>
    <w:rsid w:val="00C861D4"/>
    <w:rsid w:val="00CD0DE0"/>
    <w:rsid w:val="00CD5C52"/>
    <w:rsid w:val="00CF6FA3"/>
    <w:rsid w:val="00CF7E5D"/>
    <w:rsid w:val="00D3082E"/>
    <w:rsid w:val="00D92958"/>
    <w:rsid w:val="00DA69BA"/>
    <w:rsid w:val="00DB5FB0"/>
    <w:rsid w:val="00DE3A7C"/>
    <w:rsid w:val="00E169B3"/>
    <w:rsid w:val="00E21BA2"/>
    <w:rsid w:val="00E23CA9"/>
    <w:rsid w:val="00E515D9"/>
    <w:rsid w:val="00EB52D4"/>
    <w:rsid w:val="00EC6641"/>
    <w:rsid w:val="00EE4DE4"/>
    <w:rsid w:val="00F14CFA"/>
    <w:rsid w:val="00F202C7"/>
    <w:rsid w:val="00F8258C"/>
    <w:rsid w:val="00FC72EA"/>
    <w:rsid w:val="00FD4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28D3D19-8BDC-45D1-A92A-31D5E43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uiPriority="9"/>
    <w:lsdException w:name="heading 7" w:locked="1" w:semiHidden="1" w:uiPriority="9"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A4C"/>
    <w:pPr>
      <w:spacing w:before="200" w:after="200"/>
    </w:pPr>
    <w:rPr>
      <w:rFonts w:ascii="Calibri" w:hAnsi="Calibri"/>
      <w:sz w:val="24"/>
      <w:lang w:eastAsia="en-US"/>
    </w:rPr>
  </w:style>
  <w:style w:type="paragraph" w:styleId="Heading1">
    <w:name w:val="heading 1"/>
    <w:basedOn w:val="Normal"/>
    <w:next w:val="Normal"/>
    <w:link w:val="Heading1Char"/>
    <w:qFormat/>
    <w:rsid w:val="00EE4D16"/>
    <w:pPr>
      <w:keepNext/>
      <w:pBdr>
        <w:bottom w:val="single" w:sz="18" w:space="2" w:color="auto"/>
      </w:pBdr>
      <w:spacing w:after="480"/>
      <w:outlineLvl w:val="0"/>
    </w:pPr>
    <w:rPr>
      <w:b/>
      <w:kern w:val="28"/>
      <w:sz w:val="48"/>
    </w:rPr>
  </w:style>
  <w:style w:type="paragraph" w:styleId="Heading2">
    <w:name w:val="heading 2"/>
    <w:basedOn w:val="Normal0"/>
    <w:next w:val="Normal0"/>
    <w:link w:val="Heading2Char"/>
    <w:qFormat/>
    <w:rsid w:val="00EE4D16"/>
    <w:pPr>
      <w:keepNext/>
      <w:spacing w:before="360"/>
      <w:outlineLvl w:val="1"/>
    </w:pPr>
    <w:rPr>
      <w:b/>
      <w:snapToGrid w:val="0"/>
      <w:sz w:val="32"/>
    </w:rPr>
  </w:style>
  <w:style w:type="paragraph" w:styleId="Heading3">
    <w:name w:val="heading 3"/>
    <w:basedOn w:val="Normal1"/>
    <w:next w:val="Normal1"/>
    <w:link w:val="Heading3Char"/>
    <w:autoRedefine/>
    <w:qFormat/>
    <w:rsid w:val="00C83975"/>
    <w:pPr>
      <w:keepNext/>
      <w:keepLines/>
      <w:spacing w:before="360"/>
      <w:contextualSpacing/>
      <w:outlineLvl w:val="2"/>
    </w:pPr>
    <w:rPr>
      <w:b/>
      <w:bCs/>
      <w:szCs w:val="26"/>
    </w:rPr>
  </w:style>
  <w:style w:type="paragraph" w:styleId="Heading4">
    <w:name w:val="heading 4"/>
    <w:basedOn w:val="Normal3"/>
    <w:next w:val="Normal3"/>
    <w:link w:val="Heading4Char"/>
    <w:autoRedefine/>
    <w:qFormat/>
    <w:rsid w:val="00EE4D16"/>
    <w:pPr>
      <w:keepNext/>
      <w:keepLines/>
      <w:spacing w:before="240" w:after="120"/>
      <w:outlineLvl w:val="3"/>
    </w:pPr>
    <w:rPr>
      <w:b/>
      <w:i/>
    </w:rPr>
  </w:style>
  <w:style w:type="paragraph" w:styleId="Heading6">
    <w:name w:val="heading 6"/>
    <w:basedOn w:val="Normal5"/>
    <w:next w:val="Normal5"/>
    <w:link w:val="Heading6Char"/>
    <w:uiPriority w:val="9"/>
    <w:qFormat/>
    <w:rsid w:val="00FB4CEC"/>
    <w:pPr>
      <w:keepNext/>
      <w:jc w:val="righ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qFormat/>
    <w:tblPr/>
  </w:style>
  <w:style w:type="table" w:customStyle="1" w:styleId="CDMRange2">
    <w:name w:val="CDM Range 2"/>
    <w:basedOn w:val="TableNormal"/>
    <w:next w:val="TableNormal"/>
    <w:uiPriority w:val="99"/>
    <w:semiHidden/>
    <w:unhideWhenUsed/>
    <w:qFormat/>
    <w:tblPr/>
  </w:style>
  <w:style w:type="paragraph" w:styleId="TOCHeading">
    <w:name w:val="TOC Heading"/>
    <w:basedOn w:val="Heading1"/>
    <w:next w:val="Normal"/>
    <w:uiPriority w:val="39"/>
    <w:unhideWhenUsed/>
    <w:qFormat/>
    <w:rsid w:val="00863652"/>
    <w:pPr>
      <w:keepLines/>
      <w:pBdr>
        <w:bottom w:val="none" w:sz="0" w:space="0" w:color="auto"/>
      </w:pBdr>
      <w:spacing w:before="480" w:after="0" w:line="276" w:lineRule="auto"/>
      <w:outlineLvl w:val="9"/>
    </w:pPr>
    <w:rPr>
      <w:bCs/>
      <w:kern w:val="0"/>
      <w:sz w:val="40"/>
      <w:szCs w:val="28"/>
      <w:lang w:val="en-US"/>
    </w:rPr>
  </w:style>
  <w:style w:type="character" w:customStyle="1" w:styleId="Heading1Char">
    <w:name w:val="Heading 1 Char"/>
    <w:link w:val="Heading1"/>
    <w:locked/>
    <w:rsid w:val="00EE4D16"/>
    <w:rPr>
      <w:rFonts w:ascii="Calibri" w:hAnsi="Calibri"/>
      <w:b/>
      <w:kern w:val="28"/>
      <w:sz w:val="48"/>
      <w:lang w:eastAsia="en-US"/>
    </w:rPr>
  </w:style>
  <w:style w:type="paragraph" w:customStyle="1" w:styleId="Heading10">
    <w:name w:val="Heading 1_0"/>
    <w:basedOn w:val="Normal0"/>
    <w:next w:val="Normal0"/>
    <w:link w:val="Heading1Char0"/>
    <w:qFormat/>
    <w:rsid w:val="00AB5AA0"/>
    <w:pPr>
      <w:keepNext/>
      <w:pBdr>
        <w:bottom w:val="single" w:sz="18" w:space="2" w:color="auto"/>
      </w:pBdr>
      <w:spacing w:after="480"/>
      <w:outlineLvl w:val="0"/>
    </w:pPr>
    <w:rPr>
      <w:b/>
      <w:kern w:val="28"/>
      <w:sz w:val="36"/>
      <w:szCs w:val="36"/>
    </w:rPr>
  </w:style>
  <w:style w:type="paragraph" w:customStyle="1" w:styleId="Normal0">
    <w:name w:val="Normal_0"/>
    <w:qFormat/>
    <w:rsid w:val="00530EF5"/>
    <w:pPr>
      <w:spacing w:before="200" w:after="200"/>
    </w:pPr>
    <w:rPr>
      <w:rFonts w:ascii="Calibri" w:hAnsi="Calibri"/>
      <w:sz w:val="24"/>
      <w:lang w:eastAsia="en-US"/>
    </w:rPr>
  </w:style>
  <w:style w:type="character" w:customStyle="1" w:styleId="Heading1Char0">
    <w:name w:val="Heading 1 Char_0"/>
    <w:link w:val="Heading10"/>
    <w:locked/>
    <w:rsid w:val="00AB5AA0"/>
    <w:rPr>
      <w:rFonts w:ascii="Calibri" w:hAnsi="Calibri"/>
      <w:b/>
      <w:kern w:val="28"/>
      <w:sz w:val="36"/>
      <w:szCs w:val="36"/>
      <w:lang w:eastAsia="en-US"/>
    </w:rPr>
  </w:style>
  <w:style w:type="character" w:customStyle="1" w:styleId="Heading2Char">
    <w:name w:val="Heading 2 Char"/>
    <w:link w:val="Heading2"/>
    <w:locked/>
    <w:rsid w:val="00EE4D16"/>
    <w:rPr>
      <w:rFonts w:ascii="Calibri" w:hAnsi="Calibri"/>
      <w:b/>
      <w:snapToGrid w:val="0"/>
      <w:sz w:val="32"/>
      <w:lang w:eastAsia="en-US"/>
    </w:rPr>
  </w:style>
  <w:style w:type="paragraph" w:customStyle="1" w:styleId="Intro">
    <w:name w:val="Intro"/>
    <w:basedOn w:val="Normal0"/>
    <w:rsid w:val="0028494C"/>
    <w:pPr>
      <w:spacing w:before="0" w:line="300" w:lineRule="exact"/>
    </w:pPr>
    <w:rPr>
      <w:rFonts w:eastAsiaTheme="minorHAnsi"/>
      <w:color w:val="5B9BD5"/>
      <w:sz w:val="25"/>
      <w:szCs w:val="25"/>
      <w:lang w:eastAsia="en-AU"/>
    </w:rPr>
  </w:style>
  <w:style w:type="paragraph" w:customStyle="1" w:styleId="FooterBP">
    <w:name w:val="Footer BP"/>
    <w:basedOn w:val="Normal0"/>
    <w:next w:val="Normal0"/>
    <w:rsid w:val="00FB4CEC"/>
    <w:pPr>
      <w:pBdr>
        <w:top w:val="single" w:sz="4" w:space="1" w:color="auto"/>
      </w:pBdr>
      <w:tabs>
        <w:tab w:val="center" w:pos="4536"/>
        <w:tab w:val="right" w:pos="9356"/>
      </w:tabs>
      <w:ind w:left="-284" w:right="-329"/>
    </w:pPr>
    <w:rPr>
      <w:i/>
      <w:sz w:val="20"/>
    </w:rPr>
  </w:style>
  <w:style w:type="paragraph" w:customStyle="1" w:styleId="Heading20">
    <w:name w:val="Heading 2_0"/>
    <w:basedOn w:val="Normal1"/>
    <w:next w:val="Normal1"/>
    <w:link w:val="Heading2Char0"/>
    <w:qFormat/>
    <w:rsid w:val="00EE4D16"/>
    <w:pPr>
      <w:keepNext/>
      <w:spacing w:before="360"/>
      <w:outlineLvl w:val="1"/>
    </w:pPr>
    <w:rPr>
      <w:b/>
      <w:snapToGrid w:val="0"/>
      <w:sz w:val="32"/>
    </w:rPr>
  </w:style>
  <w:style w:type="paragraph" w:customStyle="1" w:styleId="Normal1">
    <w:name w:val="Normal_1"/>
    <w:qFormat/>
    <w:rsid w:val="00530EF5"/>
    <w:pPr>
      <w:spacing w:before="200" w:after="200"/>
    </w:pPr>
    <w:rPr>
      <w:rFonts w:ascii="Calibri" w:hAnsi="Calibri"/>
      <w:sz w:val="24"/>
      <w:lang w:eastAsia="en-US"/>
    </w:rPr>
  </w:style>
  <w:style w:type="character" w:customStyle="1" w:styleId="Heading2Char0">
    <w:name w:val="Heading 2 Char_0"/>
    <w:link w:val="Heading20"/>
    <w:locked/>
    <w:rsid w:val="00EE4D16"/>
    <w:rPr>
      <w:rFonts w:ascii="Calibri" w:hAnsi="Calibri"/>
      <w:b/>
      <w:snapToGrid w:val="0"/>
      <w:sz w:val="32"/>
      <w:lang w:eastAsia="en-US"/>
    </w:rPr>
  </w:style>
  <w:style w:type="paragraph" w:customStyle="1" w:styleId="BSbullet1">
    <w:name w:val="BS_bullet 1"/>
    <w:basedOn w:val="BodyTextIndent"/>
    <w:link w:val="BSbullet1Char"/>
    <w:qFormat/>
    <w:rsid w:val="009E4D5F"/>
    <w:pPr>
      <w:keepNext w:val="0"/>
      <w:keepLines w:val="0"/>
      <w:numPr>
        <w:numId w:val="3"/>
      </w:numPr>
      <w:jc w:val="left"/>
    </w:pPr>
  </w:style>
  <w:style w:type="paragraph" w:styleId="BodyTextIndent">
    <w:name w:val="Body Text Indent"/>
    <w:basedOn w:val="Normal1"/>
    <w:next w:val="BodyText"/>
    <w:link w:val="BodyTextIndentChar"/>
    <w:rsid w:val="00FB4CEC"/>
    <w:pPr>
      <w:keepNext/>
      <w:keepLines/>
      <w:numPr>
        <w:numId w:val="1"/>
      </w:numPr>
      <w:spacing w:after="120"/>
      <w:jc w:val="both"/>
    </w:pPr>
    <w:rPr>
      <w:szCs w:val="24"/>
    </w:rPr>
  </w:style>
  <w:style w:type="paragraph" w:styleId="BodyText">
    <w:name w:val="Body Text"/>
    <w:basedOn w:val="Normal1"/>
    <w:link w:val="BodyTextChar"/>
    <w:uiPriority w:val="99"/>
    <w:rsid w:val="00FB4CEC"/>
    <w:pPr>
      <w:keepNext/>
      <w:keepLines/>
      <w:spacing w:before="120" w:after="120"/>
      <w:jc w:val="both"/>
    </w:pPr>
  </w:style>
  <w:style w:type="character" w:customStyle="1" w:styleId="BodyTextChar">
    <w:name w:val="Body Text Char"/>
    <w:link w:val="BodyText"/>
    <w:uiPriority w:val="99"/>
    <w:locked/>
    <w:rsid w:val="007316E2"/>
    <w:rPr>
      <w:rFonts w:ascii="Calibri" w:hAnsi="Calibri"/>
      <w:sz w:val="24"/>
      <w:szCs w:val="20"/>
      <w:lang w:eastAsia="en-US"/>
    </w:rPr>
  </w:style>
  <w:style w:type="character" w:customStyle="1" w:styleId="BodyTextIndentChar">
    <w:name w:val="Body Text Indent Char"/>
    <w:link w:val="BodyTextIndent"/>
    <w:locked/>
    <w:rsid w:val="00BF50D3"/>
    <w:rPr>
      <w:rFonts w:ascii="Calibri" w:hAnsi="Calibri"/>
      <w:sz w:val="24"/>
      <w:szCs w:val="24"/>
      <w:lang w:eastAsia="en-US"/>
    </w:rPr>
  </w:style>
  <w:style w:type="character" w:customStyle="1" w:styleId="BSbullet1Char">
    <w:name w:val="BS_bullet 1 Char"/>
    <w:basedOn w:val="BodyTextIndentChar"/>
    <w:link w:val="BSbullet1"/>
    <w:rsid w:val="009E4D5F"/>
    <w:rPr>
      <w:rFonts w:ascii="Calibri" w:hAnsi="Calibri"/>
      <w:sz w:val="24"/>
      <w:szCs w:val="24"/>
      <w:lang w:eastAsia="en-US"/>
    </w:rPr>
  </w:style>
  <w:style w:type="character" w:customStyle="1" w:styleId="Heading3Char">
    <w:name w:val="Heading 3 Char"/>
    <w:link w:val="Heading3"/>
    <w:locked/>
    <w:rsid w:val="00C83975"/>
    <w:rPr>
      <w:rFonts w:ascii="Calibri" w:hAnsi="Calibri"/>
      <w:b/>
      <w:bCs/>
      <w:sz w:val="24"/>
      <w:szCs w:val="26"/>
      <w:lang w:eastAsia="en-US"/>
    </w:rPr>
  </w:style>
  <w:style w:type="paragraph" w:customStyle="1" w:styleId="Heading21">
    <w:name w:val="Heading 2_1"/>
    <w:basedOn w:val="Normal2"/>
    <w:next w:val="Normal2"/>
    <w:link w:val="Heading2Char1"/>
    <w:qFormat/>
    <w:rsid w:val="00EE4D16"/>
    <w:pPr>
      <w:keepNext/>
      <w:spacing w:before="360"/>
      <w:outlineLvl w:val="1"/>
    </w:pPr>
    <w:rPr>
      <w:b/>
      <w:snapToGrid w:val="0"/>
      <w:sz w:val="32"/>
    </w:rPr>
  </w:style>
  <w:style w:type="paragraph" w:customStyle="1" w:styleId="Normal2">
    <w:name w:val="Normal_2"/>
    <w:qFormat/>
    <w:rsid w:val="00530EF5"/>
    <w:pPr>
      <w:spacing w:before="200" w:after="200"/>
    </w:pPr>
    <w:rPr>
      <w:rFonts w:ascii="Calibri" w:hAnsi="Calibri"/>
      <w:sz w:val="24"/>
      <w:lang w:eastAsia="en-US"/>
    </w:rPr>
  </w:style>
  <w:style w:type="character" w:customStyle="1" w:styleId="Heading2Char1">
    <w:name w:val="Heading 2 Char_1"/>
    <w:link w:val="Heading21"/>
    <w:locked/>
    <w:rsid w:val="00EE4D16"/>
    <w:rPr>
      <w:rFonts w:ascii="Calibri" w:hAnsi="Calibri"/>
      <w:b/>
      <w:snapToGrid w:val="0"/>
      <w:sz w:val="32"/>
      <w:lang w:eastAsia="en-US"/>
    </w:rPr>
  </w:style>
  <w:style w:type="paragraph" w:styleId="Caption">
    <w:name w:val="caption"/>
    <w:basedOn w:val="Normal2"/>
    <w:next w:val="Normal2"/>
    <w:unhideWhenUsed/>
    <w:qFormat/>
    <w:locked/>
    <w:rsid w:val="00F31EEF"/>
    <w:pPr>
      <w:keepNext/>
      <w:spacing w:before="240"/>
    </w:pPr>
    <w:rPr>
      <w:b/>
      <w:bCs/>
      <w:color w:val="000000"/>
      <w:sz w:val="22"/>
      <w:szCs w:val="18"/>
    </w:rPr>
  </w:style>
  <w:style w:type="paragraph" w:customStyle="1" w:styleId="BStabletext">
    <w:name w:val="BS_table text"/>
    <w:basedOn w:val="BStableheading1"/>
    <w:link w:val="BStabletextChar"/>
    <w:autoRedefine/>
    <w:qFormat/>
    <w:rsid w:val="00F45AED"/>
    <w:pPr>
      <w:framePr w:wrap="auto" w:vAnchor="margin" w:yAlign="inline"/>
      <w:ind w:left="227" w:hanging="227"/>
      <w:jc w:val="left"/>
    </w:pPr>
    <w:rPr>
      <w:b w:val="0"/>
      <w:lang w:eastAsia="en-AU"/>
    </w:rPr>
  </w:style>
  <w:style w:type="paragraph" w:customStyle="1" w:styleId="BStableheading1">
    <w:name w:val="BS_table heading 1"/>
    <w:basedOn w:val="NoSpacing"/>
    <w:link w:val="BStableheading1Char"/>
    <w:rsid w:val="007D71D2"/>
    <w:pPr>
      <w:framePr w:wrap="around" w:vAnchor="text" w:hAnchor="text" w:y="1"/>
      <w:jc w:val="right"/>
    </w:pPr>
    <w:rPr>
      <w:b/>
      <w:bCs/>
    </w:rPr>
  </w:style>
  <w:style w:type="paragraph" w:styleId="NoSpacing">
    <w:name w:val="No Spacing"/>
    <w:link w:val="NoSpacingChar"/>
    <w:uiPriority w:val="1"/>
    <w:qFormat/>
    <w:rsid w:val="007A4C99"/>
    <w:rPr>
      <w:rFonts w:ascii="Calibri" w:hAnsi="Calibri"/>
      <w:lang w:eastAsia="en-US"/>
    </w:rPr>
  </w:style>
  <w:style w:type="character" w:customStyle="1" w:styleId="NoSpacingChar">
    <w:name w:val="No Spacing Char"/>
    <w:link w:val="NoSpacing"/>
    <w:uiPriority w:val="1"/>
    <w:rsid w:val="007A4C99"/>
    <w:rPr>
      <w:rFonts w:ascii="Calibri" w:hAnsi="Calibri"/>
      <w:lang w:eastAsia="en-US" w:bidi="ar-SA"/>
    </w:rPr>
  </w:style>
  <w:style w:type="character" w:customStyle="1" w:styleId="BStableheading1Char">
    <w:name w:val="BS_table heading 1 Char"/>
    <w:basedOn w:val="NoSpacingChar"/>
    <w:link w:val="BStableheading1"/>
    <w:rsid w:val="007D71D2"/>
    <w:rPr>
      <w:rFonts w:ascii="Calibri" w:hAnsi="Calibri"/>
      <w:b/>
      <w:bCs/>
      <w:lang w:eastAsia="en-US" w:bidi="ar-SA"/>
    </w:rPr>
  </w:style>
  <w:style w:type="character" w:customStyle="1" w:styleId="BStabletextChar">
    <w:name w:val="BS_table text Char"/>
    <w:basedOn w:val="BStableheading1Char"/>
    <w:link w:val="BStabletext"/>
    <w:rsid w:val="00F45AED"/>
    <w:rPr>
      <w:rFonts w:ascii="Calibri" w:hAnsi="Calibri"/>
      <w:b/>
      <w:bCs/>
      <w:lang w:eastAsia="en-US" w:bidi="ar-SA"/>
    </w:rPr>
  </w:style>
  <w:style w:type="character" w:styleId="Strong">
    <w:name w:val="Strong"/>
    <w:qFormat/>
    <w:rsid w:val="00D746DB"/>
    <w:rPr>
      <w:rFonts w:ascii="Calibri" w:hAnsi="Calibri"/>
      <w:b/>
      <w:bCs/>
      <w:lang w:eastAsia="en-US"/>
    </w:rPr>
  </w:style>
  <w:style w:type="paragraph" w:customStyle="1" w:styleId="BStablefigures">
    <w:name w:val="BS_table figures"/>
    <w:basedOn w:val="BStabletext"/>
    <w:link w:val="BStablefiguresChar"/>
    <w:autoRedefine/>
    <w:qFormat/>
    <w:rsid w:val="006E57FD"/>
    <w:pPr>
      <w:jc w:val="right"/>
    </w:pPr>
    <w:rPr>
      <w:bCs w:val="0"/>
    </w:rPr>
  </w:style>
  <w:style w:type="character" w:customStyle="1" w:styleId="BStablefiguresChar">
    <w:name w:val="BS_table figures Char"/>
    <w:basedOn w:val="AITableTextChar"/>
    <w:link w:val="BStablefigures"/>
    <w:rsid w:val="006E57FD"/>
    <w:rPr>
      <w:rFonts w:ascii="Calibri" w:hAnsi="Calibri"/>
      <w:sz w:val="20"/>
      <w:szCs w:val="24"/>
      <w:lang w:eastAsia="en-US"/>
    </w:rPr>
  </w:style>
  <w:style w:type="character" w:customStyle="1" w:styleId="AITableTextChar">
    <w:name w:val="AI Table Text Char"/>
    <w:link w:val="AITableText"/>
    <w:locked/>
    <w:rsid w:val="007316E2"/>
    <w:rPr>
      <w:rFonts w:ascii="Calibri" w:hAnsi="Calibri"/>
      <w:sz w:val="20"/>
      <w:szCs w:val="24"/>
      <w:lang w:eastAsia="en-US"/>
    </w:rPr>
  </w:style>
  <w:style w:type="paragraph" w:customStyle="1" w:styleId="AITableText">
    <w:name w:val="AI Table Text"/>
    <w:basedOn w:val="Normal2"/>
    <w:link w:val="AITableTextChar"/>
    <w:rsid w:val="00FB4CEC"/>
    <w:pPr>
      <w:jc w:val="right"/>
    </w:pPr>
    <w:rPr>
      <w:sz w:val="20"/>
      <w:szCs w:val="24"/>
    </w:rPr>
  </w:style>
  <w:style w:type="paragraph" w:customStyle="1" w:styleId="BSnote">
    <w:name w:val="BS_note"/>
    <w:basedOn w:val="NoteHeading2"/>
    <w:link w:val="BSnoteChar"/>
    <w:qFormat/>
    <w:rsid w:val="00EE4D16"/>
    <w:pPr>
      <w:keepNext/>
      <w:spacing w:after="0"/>
    </w:pPr>
    <w:rPr>
      <w:sz w:val="18"/>
      <w:szCs w:val="16"/>
    </w:rPr>
  </w:style>
  <w:style w:type="paragraph" w:customStyle="1" w:styleId="NoteHeading2">
    <w:name w:val="Note Heading2"/>
    <w:basedOn w:val="Normal2"/>
    <w:next w:val="Normal2"/>
    <w:link w:val="NoteHeadingChar"/>
    <w:rsid w:val="00FB4CEC"/>
    <w:pPr>
      <w:spacing w:before="120"/>
    </w:pPr>
    <w:rPr>
      <w:b/>
      <w:sz w:val="16"/>
    </w:rPr>
  </w:style>
  <w:style w:type="character" w:customStyle="1" w:styleId="NoteHeadingChar">
    <w:name w:val="Note Heading Char"/>
    <w:link w:val="NoteHeading2"/>
    <w:locked/>
    <w:rsid w:val="007316E2"/>
    <w:rPr>
      <w:rFonts w:ascii="Calibri" w:hAnsi="Calibri"/>
      <w:b/>
      <w:sz w:val="16"/>
      <w:szCs w:val="20"/>
      <w:lang w:eastAsia="en-US"/>
    </w:rPr>
  </w:style>
  <w:style w:type="character" w:customStyle="1" w:styleId="BSnoteChar">
    <w:name w:val="BS_note Char"/>
    <w:link w:val="BSnote"/>
    <w:rsid w:val="00EE4D16"/>
    <w:rPr>
      <w:rFonts w:ascii="Calibri" w:hAnsi="Calibri"/>
      <w:b/>
      <w:sz w:val="18"/>
      <w:szCs w:val="16"/>
      <w:lang w:eastAsia="en-US"/>
    </w:rPr>
  </w:style>
  <w:style w:type="paragraph" w:customStyle="1" w:styleId="BSnoteslist">
    <w:name w:val="BS_notes list"/>
    <w:basedOn w:val="Alnotes"/>
    <w:link w:val="BSnoteslistChar"/>
    <w:qFormat/>
    <w:rsid w:val="00833051"/>
    <w:pPr>
      <w:numPr>
        <w:numId w:val="5"/>
      </w:numPr>
    </w:pPr>
  </w:style>
  <w:style w:type="paragraph" w:customStyle="1" w:styleId="Alnotes">
    <w:name w:val="Al notes"/>
    <w:basedOn w:val="ListParagraph"/>
    <w:next w:val="Normal2"/>
    <w:link w:val="AlnotesChar"/>
    <w:autoRedefine/>
    <w:rsid w:val="00C0540A"/>
    <w:pPr>
      <w:numPr>
        <w:numId w:val="6"/>
      </w:numPr>
      <w:spacing w:before="0"/>
    </w:pPr>
    <w:rPr>
      <w:sz w:val="18"/>
    </w:rPr>
  </w:style>
  <w:style w:type="paragraph" w:styleId="ListParagraph">
    <w:name w:val="List Paragraph"/>
    <w:basedOn w:val="Normal2"/>
    <w:link w:val="ListParagraphChar"/>
    <w:qFormat/>
    <w:rsid w:val="009E567D"/>
    <w:pPr>
      <w:spacing w:after="0"/>
      <w:ind w:left="357" w:hanging="357"/>
    </w:pPr>
    <w:rPr>
      <w:sz w:val="16"/>
      <w:szCs w:val="24"/>
    </w:rPr>
  </w:style>
  <w:style w:type="character" w:customStyle="1" w:styleId="ListParagraphChar">
    <w:name w:val="List Paragraph Char"/>
    <w:link w:val="ListParagraph"/>
    <w:rsid w:val="005B5A37"/>
    <w:rPr>
      <w:rFonts w:ascii="Calibri" w:hAnsi="Calibri"/>
      <w:sz w:val="16"/>
      <w:szCs w:val="24"/>
      <w:lang w:eastAsia="en-US"/>
    </w:rPr>
  </w:style>
  <w:style w:type="character" w:customStyle="1" w:styleId="AlnotesChar">
    <w:name w:val="Al notes Char"/>
    <w:link w:val="Alnotes"/>
    <w:rsid w:val="00C0540A"/>
    <w:rPr>
      <w:rFonts w:ascii="Calibri" w:hAnsi="Calibri"/>
      <w:sz w:val="18"/>
      <w:szCs w:val="24"/>
      <w:lang w:eastAsia="en-US"/>
    </w:rPr>
  </w:style>
  <w:style w:type="character" w:customStyle="1" w:styleId="BSnoteslistChar">
    <w:name w:val="BS_notes list Char"/>
    <w:basedOn w:val="AlnotesChar"/>
    <w:link w:val="BSnoteslist"/>
    <w:rsid w:val="00833051"/>
    <w:rPr>
      <w:rFonts w:ascii="Calibri" w:hAnsi="Calibri"/>
      <w:sz w:val="18"/>
      <w:szCs w:val="24"/>
      <w:lang w:eastAsia="en-US"/>
    </w:rPr>
  </w:style>
  <w:style w:type="paragraph" w:customStyle="1" w:styleId="Heading22">
    <w:name w:val="Heading 2_2"/>
    <w:basedOn w:val="Normal3"/>
    <w:next w:val="Normal3"/>
    <w:link w:val="Heading2Char2"/>
    <w:qFormat/>
    <w:rsid w:val="00EE4D16"/>
    <w:pPr>
      <w:keepNext/>
      <w:spacing w:before="360"/>
      <w:outlineLvl w:val="1"/>
    </w:pPr>
    <w:rPr>
      <w:b/>
      <w:snapToGrid w:val="0"/>
      <w:sz w:val="32"/>
    </w:rPr>
  </w:style>
  <w:style w:type="paragraph" w:customStyle="1" w:styleId="Normal3">
    <w:name w:val="Normal_3"/>
    <w:qFormat/>
    <w:rsid w:val="005D4CEA"/>
    <w:pPr>
      <w:spacing w:before="200" w:after="200"/>
    </w:pPr>
    <w:rPr>
      <w:rFonts w:ascii="Calibri" w:hAnsi="Calibri"/>
      <w:sz w:val="24"/>
      <w:lang w:eastAsia="en-US"/>
    </w:rPr>
  </w:style>
  <w:style w:type="character" w:customStyle="1" w:styleId="Heading2Char2">
    <w:name w:val="Heading 2 Char_2"/>
    <w:link w:val="Heading22"/>
    <w:locked/>
    <w:rsid w:val="00EE4D16"/>
    <w:rPr>
      <w:rFonts w:ascii="Calibri" w:hAnsi="Calibri"/>
      <w:b/>
      <w:snapToGrid w:val="0"/>
      <w:sz w:val="32"/>
      <w:lang w:eastAsia="en-US"/>
    </w:rPr>
  </w:style>
  <w:style w:type="paragraph" w:customStyle="1" w:styleId="Heading30">
    <w:name w:val="Heading 3_0"/>
    <w:basedOn w:val="Normal20"/>
    <w:next w:val="Normal20"/>
    <w:link w:val="Heading3Char0"/>
    <w:autoRedefine/>
    <w:qFormat/>
    <w:rsid w:val="00F24588"/>
    <w:pPr>
      <w:keepNext/>
      <w:keepLines/>
      <w:spacing w:before="360"/>
      <w:contextualSpacing/>
      <w:outlineLvl w:val="2"/>
    </w:pPr>
    <w:rPr>
      <w:b/>
      <w:bCs/>
      <w:sz w:val="28"/>
      <w:szCs w:val="26"/>
    </w:rPr>
  </w:style>
  <w:style w:type="paragraph" w:customStyle="1" w:styleId="Normal20">
    <w:name w:val="Normal_2_0"/>
    <w:qFormat/>
    <w:rsid w:val="00F24588"/>
    <w:pPr>
      <w:spacing w:before="200" w:after="200"/>
    </w:pPr>
    <w:rPr>
      <w:rFonts w:ascii="Calibri" w:hAnsi="Calibri"/>
      <w:sz w:val="24"/>
      <w:lang w:eastAsia="en-US"/>
    </w:rPr>
  </w:style>
  <w:style w:type="character" w:customStyle="1" w:styleId="Heading3Char0">
    <w:name w:val="Heading 3 Char_0"/>
    <w:link w:val="Heading30"/>
    <w:locked/>
    <w:rsid w:val="00F24588"/>
    <w:rPr>
      <w:rFonts w:ascii="Calibri" w:hAnsi="Calibri"/>
      <w:b/>
      <w:bCs/>
      <w:sz w:val="28"/>
      <w:szCs w:val="26"/>
      <w:lang w:eastAsia="en-US"/>
    </w:rPr>
  </w:style>
  <w:style w:type="character" w:customStyle="1" w:styleId="Heading4Char">
    <w:name w:val="Heading 4 Char"/>
    <w:link w:val="Heading4"/>
    <w:locked/>
    <w:rsid w:val="00EE4D16"/>
    <w:rPr>
      <w:rFonts w:ascii="Calibri" w:hAnsi="Calibri"/>
      <w:b/>
      <w:i/>
      <w:sz w:val="24"/>
      <w:lang w:eastAsia="en-US"/>
    </w:rPr>
  </w:style>
  <w:style w:type="paragraph" w:customStyle="1" w:styleId="TableTextHeading1">
    <w:name w:val="Table Text Heading 1"/>
    <w:basedOn w:val="Normal3"/>
    <w:rsid w:val="00260CAA"/>
    <w:pPr>
      <w:spacing w:before="0" w:after="0"/>
      <w:jc w:val="right"/>
    </w:pPr>
    <w:rPr>
      <w:rFonts w:ascii="Times New Roman" w:hAnsi="Times New Roman"/>
      <w:b/>
      <w:sz w:val="18"/>
      <w:lang w:eastAsia="en-AU"/>
    </w:rPr>
  </w:style>
  <w:style w:type="paragraph" w:customStyle="1" w:styleId="AITableText0">
    <w:name w:val="AI Table Text_0"/>
    <w:basedOn w:val="Normal20"/>
    <w:link w:val="AITableTextChar0"/>
    <w:rsid w:val="00F24588"/>
    <w:pPr>
      <w:jc w:val="right"/>
    </w:pPr>
    <w:rPr>
      <w:sz w:val="20"/>
      <w:szCs w:val="24"/>
    </w:rPr>
  </w:style>
  <w:style w:type="character" w:customStyle="1" w:styleId="AITableTextChar0">
    <w:name w:val="AI Table Text Char_0"/>
    <w:link w:val="AITableText0"/>
    <w:locked/>
    <w:rsid w:val="00F24588"/>
    <w:rPr>
      <w:rFonts w:ascii="Calibri" w:hAnsi="Calibri"/>
      <w:szCs w:val="24"/>
      <w:lang w:eastAsia="en-US"/>
    </w:rPr>
  </w:style>
  <w:style w:type="paragraph" w:customStyle="1" w:styleId="BSnote0">
    <w:name w:val="BS_note_0"/>
    <w:basedOn w:val="Normal3"/>
    <w:link w:val="BSnoteChar0"/>
    <w:qFormat/>
    <w:rsid w:val="00F24588"/>
    <w:pPr>
      <w:keepNext/>
      <w:spacing w:before="120" w:after="0"/>
    </w:pPr>
    <w:rPr>
      <w:b/>
      <w:sz w:val="18"/>
      <w:szCs w:val="16"/>
    </w:rPr>
  </w:style>
  <w:style w:type="character" w:customStyle="1" w:styleId="BSnoteChar0">
    <w:name w:val="BS_note Char_0"/>
    <w:link w:val="BSnote0"/>
    <w:locked/>
    <w:rsid w:val="00F24588"/>
    <w:rPr>
      <w:rFonts w:ascii="Calibri" w:hAnsi="Calibri"/>
      <w:b/>
      <w:sz w:val="18"/>
      <w:szCs w:val="16"/>
      <w:lang w:eastAsia="en-US"/>
    </w:rPr>
  </w:style>
  <w:style w:type="paragraph" w:customStyle="1" w:styleId="BSnoteslist0">
    <w:name w:val="BS_notes list_0"/>
    <w:basedOn w:val="Normal3"/>
    <w:link w:val="BSnoteslistChar0"/>
    <w:qFormat/>
    <w:rsid w:val="00F24588"/>
    <w:pPr>
      <w:numPr>
        <w:numId w:val="7"/>
      </w:numPr>
      <w:spacing w:before="0" w:after="0"/>
    </w:pPr>
    <w:rPr>
      <w:sz w:val="18"/>
      <w:szCs w:val="24"/>
    </w:rPr>
  </w:style>
  <w:style w:type="character" w:customStyle="1" w:styleId="BSnoteslistChar0">
    <w:name w:val="BS_notes list Char_0"/>
    <w:basedOn w:val="DefaultParagraphFont"/>
    <w:link w:val="BSnoteslist0"/>
    <w:locked/>
    <w:rsid w:val="00F24588"/>
    <w:rPr>
      <w:rFonts w:ascii="Calibri" w:hAnsi="Calibri"/>
      <w:sz w:val="18"/>
      <w:szCs w:val="24"/>
      <w:lang w:eastAsia="en-US"/>
    </w:rPr>
  </w:style>
  <w:style w:type="paragraph" w:customStyle="1" w:styleId="BStablefiguresbold">
    <w:name w:val="BS_table figures bold"/>
    <w:basedOn w:val="BStablefigures0"/>
    <w:qFormat/>
    <w:rsid w:val="006E57FD"/>
    <w:rPr>
      <w:b/>
    </w:rPr>
  </w:style>
  <w:style w:type="paragraph" w:customStyle="1" w:styleId="BStablefigures0">
    <w:name w:val="BS_table figures_0"/>
    <w:basedOn w:val="BStabletext0"/>
    <w:link w:val="BStablefiguresChar0"/>
    <w:autoRedefine/>
    <w:qFormat/>
    <w:rsid w:val="006E57FD"/>
    <w:pPr>
      <w:jc w:val="right"/>
    </w:pPr>
    <w:rPr>
      <w:bCs w:val="0"/>
    </w:rPr>
  </w:style>
  <w:style w:type="paragraph" w:customStyle="1" w:styleId="BStabletext0">
    <w:name w:val="BS_table text_0"/>
    <w:basedOn w:val="BStableheading10"/>
    <w:link w:val="BStabletextChar0"/>
    <w:autoRedefine/>
    <w:qFormat/>
    <w:rsid w:val="00F80175"/>
    <w:pPr>
      <w:framePr w:wrap="auto" w:vAnchor="margin" w:yAlign="inline"/>
      <w:ind w:left="227" w:hanging="227"/>
      <w:jc w:val="left"/>
    </w:pPr>
    <w:rPr>
      <w:b w:val="0"/>
      <w:lang w:eastAsia="en-AU"/>
    </w:rPr>
  </w:style>
  <w:style w:type="paragraph" w:customStyle="1" w:styleId="BStableheading10">
    <w:name w:val="BS_table heading 1_0"/>
    <w:basedOn w:val="NoSpacing0"/>
    <w:link w:val="BStableheading1Char0"/>
    <w:rsid w:val="007D71D2"/>
    <w:pPr>
      <w:framePr w:wrap="around" w:vAnchor="text" w:hAnchor="text" w:y="1"/>
      <w:jc w:val="right"/>
    </w:pPr>
    <w:rPr>
      <w:b/>
      <w:bCs/>
    </w:rPr>
  </w:style>
  <w:style w:type="paragraph" w:customStyle="1" w:styleId="NoSpacing0">
    <w:name w:val="No Spacing_0"/>
    <w:link w:val="NoSpacingChar0"/>
    <w:uiPriority w:val="1"/>
    <w:qFormat/>
    <w:rsid w:val="007A4C99"/>
    <w:rPr>
      <w:rFonts w:ascii="Calibri" w:hAnsi="Calibri"/>
      <w:lang w:eastAsia="en-US"/>
    </w:rPr>
  </w:style>
  <w:style w:type="character" w:customStyle="1" w:styleId="NoSpacingChar0">
    <w:name w:val="No Spacing Char_0"/>
    <w:link w:val="NoSpacing0"/>
    <w:uiPriority w:val="1"/>
    <w:rsid w:val="007A4C99"/>
    <w:rPr>
      <w:rFonts w:ascii="Calibri" w:hAnsi="Calibri"/>
      <w:lang w:eastAsia="en-US" w:bidi="ar-SA"/>
    </w:rPr>
  </w:style>
  <w:style w:type="character" w:customStyle="1" w:styleId="BStableheading1Char0">
    <w:name w:val="BS_table heading 1 Char_0"/>
    <w:basedOn w:val="NoSpacingChar0"/>
    <w:link w:val="BStableheading10"/>
    <w:rsid w:val="007D71D2"/>
    <w:rPr>
      <w:rFonts w:ascii="Calibri" w:hAnsi="Calibri"/>
      <w:b/>
      <w:bCs/>
      <w:lang w:eastAsia="en-US" w:bidi="ar-SA"/>
    </w:rPr>
  </w:style>
  <w:style w:type="character" w:customStyle="1" w:styleId="BStabletextChar0">
    <w:name w:val="BS_table text Char_0"/>
    <w:basedOn w:val="BStableheading1Char0"/>
    <w:link w:val="BStabletext0"/>
    <w:rsid w:val="00F80175"/>
    <w:rPr>
      <w:rFonts w:ascii="Calibri" w:hAnsi="Calibri"/>
      <w:b/>
      <w:bCs/>
      <w:lang w:eastAsia="en-US" w:bidi="ar-SA"/>
    </w:rPr>
  </w:style>
  <w:style w:type="character" w:customStyle="1" w:styleId="BStablefiguresChar0">
    <w:name w:val="BS_table figures Char_0"/>
    <w:basedOn w:val="AITableTextChar1"/>
    <w:link w:val="BStablefigures0"/>
    <w:rsid w:val="006E57FD"/>
    <w:rPr>
      <w:rFonts w:ascii="Calibri" w:hAnsi="Calibri"/>
      <w:sz w:val="20"/>
      <w:szCs w:val="24"/>
      <w:lang w:eastAsia="en-US"/>
    </w:rPr>
  </w:style>
  <w:style w:type="character" w:customStyle="1" w:styleId="AITableTextChar1">
    <w:name w:val="AI Table Text Char_1"/>
    <w:link w:val="AITableText1"/>
    <w:locked/>
    <w:rsid w:val="007316E2"/>
    <w:rPr>
      <w:rFonts w:ascii="Calibri" w:hAnsi="Calibri"/>
      <w:sz w:val="20"/>
      <w:szCs w:val="24"/>
      <w:lang w:eastAsia="en-US"/>
    </w:rPr>
  </w:style>
  <w:style w:type="paragraph" w:customStyle="1" w:styleId="AITableText1">
    <w:name w:val="AI Table Text_1"/>
    <w:basedOn w:val="Normal3"/>
    <w:link w:val="AITableTextChar1"/>
    <w:rsid w:val="00FB4CEC"/>
    <w:pPr>
      <w:jc w:val="right"/>
    </w:pPr>
    <w:rPr>
      <w:sz w:val="20"/>
      <w:szCs w:val="24"/>
    </w:rPr>
  </w:style>
  <w:style w:type="paragraph" w:customStyle="1" w:styleId="BStablefigures00">
    <w:name w:val="BS_table figures_0_0"/>
    <w:basedOn w:val="BStabletext00"/>
    <w:link w:val="BStablefiguresChar00"/>
    <w:autoRedefine/>
    <w:qFormat/>
    <w:rsid w:val="00034204"/>
    <w:rPr>
      <w:bCs w:val="0"/>
      <w:lang w:eastAsia="en-US"/>
    </w:rPr>
  </w:style>
  <w:style w:type="paragraph" w:customStyle="1" w:styleId="BStabletext00">
    <w:name w:val="BS_table text_0_0"/>
    <w:basedOn w:val="Normal3"/>
    <w:link w:val="BStabletextChar00"/>
    <w:autoRedefine/>
    <w:qFormat/>
    <w:rsid w:val="00174BAC"/>
    <w:pPr>
      <w:spacing w:before="0" w:after="0"/>
      <w:jc w:val="right"/>
    </w:pPr>
    <w:rPr>
      <w:rFonts w:eastAsia="Calibri"/>
      <w:bCs/>
      <w:sz w:val="18"/>
      <w:szCs w:val="18"/>
      <w:lang w:eastAsia="en-AU"/>
    </w:rPr>
  </w:style>
  <w:style w:type="character" w:customStyle="1" w:styleId="BStabletextChar00">
    <w:name w:val="BS_table text Char_0_0"/>
    <w:basedOn w:val="DefaultParagraphFont"/>
    <w:link w:val="BStabletext00"/>
    <w:locked/>
    <w:rsid w:val="00174BAC"/>
    <w:rPr>
      <w:rFonts w:ascii="Calibri" w:eastAsia="Calibri" w:hAnsi="Calibri"/>
      <w:bCs/>
      <w:sz w:val="18"/>
      <w:szCs w:val="18"/>
    </w:rPr>
  </w:style>
  <w:style w:type="character" w:customStyle="1" w:styleId="BStablefiguresChar00">
    <w:name w:val="BS_table figures Char_0_0"/>
    <w:basedOn w:val="AITableTextChar0"/>
    <w:link w:val="BStablefigures00"/>
    <w:locked/>
    <w:rsid w:val="00034204"/>
    <w:rPr>
      <w:rFonts w:ascii="Calibri" w:eastAsia="Calibri" w:hAnsi="Calibri"/>
      <w:sz w:val="18"/>
      <w:szCs w:val="18"/>
      <w:lang w:eastAsia="en-US"/>
    </w:rPr>
  </w:style>
  <w:style w:type="paragraph" w:customStyle="1" w:styleId="BStabletextbold">
    <w:name w:val="BS_table text bold"/>
    <w:basedOn w:val="BStabletext0"/>
    <w:link w:val="BStabletextboldChar"/>
    <w:qFormat/>
    <w:rsid w:val="00404AA2"/>
    <w:rPr>
      <w:b/>
    </w:rPr>
  </w:style>
  <w:style w:type="character" w:customStyle="1" w:styleId="BStabletextboldChar">
    <w:name w:val="BS_table text bold Char"/>
    <w:link w:val="BStabletextbold"/>
    <w:locked/>
    <w:rsid w:val="00D41F5F"/>
    <w:rPr>
      <w:rFonts w:ascii="Calibri" w:hAnsi="Calibri"/>
      <w:b/>
      <w:bCs/>
    </w:rPr>
  </w:style>
  <w:style w:type="paragraph" w:customStyle="1" w:styleId="Heading23">
    <w:name w:val="Heading 2_3"/>
    <w:basedOn w:val="Normal4"/>
    <w:next w:val="Normal4"/>
    <w:link w:val="Heading2Char3"/>
    <w:qFormat/>
    <w:rsid w:val="00EE4D16"/>
    <w:pPr>
      <w:keepNext/>
      <w:spacing w:before="360"/>
      <w:outlineLvl w:val="1"/>
    </w:pPr>
    <w:rPr>
      <w:b/>
      <w:snapToGrid w:val="0"/>
      <w:sz w:val="32"/>
    </w:rPr>
  </w:style>
  <w:style w:type="paragraph" w:customStyle="1" w:styleId="Normal4">
    <w:name w:val="Normal_4"/>
    <w:qFormat/>
    <w:rsid w:val="00127A4C"/>
    <w:pPr>
      <w:spacing w:before="200" w:after="200"/>
    </w:pPr>
    <w:rPr>
      <w:rFonts w:ascii="Calibri" w:hAnsi="Calibri"/>
      <w:sz w:val="24"/>
      <w:lang w:eastAsia="en-US"/>
    </w:rPr>
  </w:style>
  <w:style w:type="character" w:customStyle="1" w:styleId="Heading2Char3">
    <w:name w:val="Heading 2 Char_3"/>
    <w:link w:val="Heading23"/>
    <w:locked/>
    <w:rsid w:val="00EE4D16"/>
    <w:rPr>
      <w:rFonts w:ascii="Calibri" w:hAnsi="Calibri"/>
      <w:b/>
      <w:snapToGrid w:val="0"/>
      <w:sz w:val="32"/>
      <w:lang w:eastAsia="en-US"/>
    </w:rPr>
  </w:style>
  <w:style w:type="paragraph" w:customStyle="1" w:styleId="Heading31">
    <w:name w:val="Heading 3_1"/>
    <w:basedOn w:val="Normal4"/>
    <w:next w:val="Normal4"/>
    <w:link w:val="Heading3Char1"/>
    <w:autoRedefine/>
    <w:qFormat/>
    <w:rsid w:val="00EE4D16"/>
    <w:pPr>
      <w:keepNext/>
      <w:keepLines/>
      <w:spacing w:before="360"/>
      <w:contextualSpacing/>
      <w:outlineLvl w:val="2"/>
    </w:pPr>
    <w:rPr>
      <w:b/>
      <w:bCs/>
      <w:sz w:val="28"/>
      <w:szCs w:val="26"/>
    </w:rPr>
  </w:style>
  <w:style w:type="character" w:customStyle="1" w:styleId="Heading3Char1">
    <w:name w:val="Heading 3 Char_1"/>
    <w:link w:val="Heading31"/>
    <w:locked/>
    <w:rsid w:val="00EE4D16"/>
    <w:rPr>
      <w:rFonts w:ascii="Calibri" w:hAnsi="Calibri" w:cs="Arial"/>
      <w:b/>
      <w:bCs/>
      <w:sz w:val="28"/>
      <w:szCs w:val="26"/>
      <w:lang w:eastAsia="en-US"/>
    </w:rPr>
  </w:style>
  <w:style w:type="paragraph" w:customStyle="1" w:styleId="Caption0">
    <w:name w:val="Caption_0"/>
    <w:basedOn w:val="Normal4"/>
    <w:next w:val="Normal4"/>
    <w:unhideWhenUsed/>
    <w:qFormat/>
    <w:locked/>
    <w:rsid w:val="00F31EEF"/>
    <w:pPr>
      <w:keepNext/>
      <w:spacing w:before="240"/>
    </w:pPr>
    <w:rPr>
      <w:b/>
      <w:bCs/>
      <w:color w:val="000000"/>
      <w:sz w:val="22"/>
      <w:szCs w:val="18"/>
    </w:rPr>
  </w:style>
  <w:style w:type="paragraph" w:customStyle="1" w:styleId="BSnote1">
    <w:name w:val="BS_note_1"/>
    <w:basedOn w:val="NoteHeading20"/>
    <w:link w:val="BSnoteChar1"/>
    <w:qFormat/>
    <w:rsid w:val="00EE4D16"/>
    <w:pPr>
      <w:keepNext/>
      <w:spacing w:after="0"/>
    </w:pPr>
    <w:rPr>
      <w:sz w:val="18"/>
      <w:szCs w:val="16"/>
    </w:rPr>
  </w:style>
  <w:style w:type="paragraph" w:customStyle="1" w:styleId="NoteHeading20">
    <w:name w:val="Note Heading2_0"/>
    <w:basedOn w:val="Normal4"/>
    <w:next w:val="Normal4"/>
    <w:link w:val="NoteHeadingChar0"/>
    <w:rsid w:val="00FB4CEC"/>
    <w:pPr>
      <w:spacing w:before="120"/>
    </w:pPr>
    <w:rPr>
      <w:b/>
      <w:sz w:val="16"/>
    </w:rPr>
  </w:style>
  <w:style w:type="character" w:customStyle="1" w:styleId="NoteHeadingChar0">
    <w:name w:val="Note Heading Char_0"/>
    <w:link w:val="NoteHeading20"/>
    <w:locked/>
    <w:rsid w:val="007316E2"/>
    <w:rPr>
      <w:rFonts w:ascii="Calibri" w:hAnsi="Calibri"/>
      <w:b/>
      <w:sz w:val="16"/>
      <w:szCs w:val="20"/>
      <w:lang w:eastAsia="en-US"/>
    </w:rPr>
  </w:style>
  <w:style w:type="character" w:customStyle="1" w:styleId="BSnoteChar1">
    <w:name w:val="BS_note Char_1"/>
    <w:link w:val="BSnote1"/>
    <w:rsid w:val="00EE4D16"/>
    <w:rPr>
      <w:rFonts w:ascii="Calibri" w:hAnsi="Calibri"/>
      <w:b/>
      <w:sz w:val="18"/>
      <w:szCs w:val="16"/>
      <w:lang w:eastAsia="en-US"/>
    </w:rPr>
  </w:style>
  <w:style w:type="paragraph" w:customStyle="1" w:styleId="BSnoteslist1">
    <w:name w:val="BS_notes list_1"/>
    <w:basedOn w:val="Alnotes0"/>
    <w:link w:val="BSnoteslistChar1"/>
    <w:qFormat/>
    <w:rsid w:val="00833051"/>
    <w:pPr>
      <w:numPr>
        <w:numId w:val="10"/>
      </w:numPr>
    </w:pPr>
  </w:style>
  <w:style w:type="paragraph" w:customStyle="1" w:styleId="Alnotes0">
    <w:name w:val="Al notes_0"/>
    <w:basedOn w:val="ListParagraph0"/>
    <w:next w:val="Normal4"/>
    <w:link w:val="AlnotesChar0"/>
    <w:autoRedefine/>
    <w:rsid w:val="00C0540A"/>
    <w:pPr>
      <w:numPr>
        <w:numId w:val="11"/>
      </w:numPr>
      <w:spacing w:before="0"/>
    </w:pPr>
    <w:rPr>
      <w:sz w:val="18"/>
    </w:rPr>
  </w:style>
  <w:style w:type="paragraph" w:customStyle="1" w:styleId="ListParagraph0">
    <w:name w:val="List Paragraph_0"/>
    <w:basedOn w:val="Normal4"/>
    <w:link w:val="ListParagraphChar0"/>
    <w:uiPriority w:val="34"/>
    <w:qFormat/>
    <w:rsid w:val="009E567D"/>
    <w:pPr>
      <w:spacing w:after="0"/>
      <w:ind w:left="357" w:hanging="357"/>
    </w:pPr>
    <w:rPr>
      <w:sz w:val="16"/>
      <w:szCs w:val="24"/>
    </w:rPr>
  </w:style>
  <w:style w:type="character" w:customStyle="1" w:styleId="ListParagraphChar0">
    <w:name w:val="List Paragraph Char_0"/>
    <w:link w:val="ListParagraph0"/>
    <w:uiPriority w:val="34"/>
    <w:rsid w:val="005B5A37"/>
    <w:rPr>
      <w:rFonts w:ascii="Calibri" w:hAnsi="Calibri"/>
      <w:sz w:val="16"/>
      <w:szCs w:val="24"/>
      <w:lang w:eastAsia="en-US"/>
    </w:rPr>
  </w:style>
  <w:style w:type="character" w:customStyle="1" w:styleId="AlnotesChar0">
    <w:name w:val="Al notes Char_0"/>
    <w:link w:val="Alnotes0"/>
    <w:rsid w:val="00C0540A"/>
    <w:rPr>
      <w:rFonts w:ascii="Calibri" w:hAnsi="Calibri"/>
      <w:sz w:val="18"/>
      <w:szCs w:val="24"/>
      <w:lang w:eastAsia="en-US"/>
    </w:rPr>
  </w:style>
  <w:style w:type="character" w:customStyle="1" w:styleId="BSnoteslistChar1">
    <w:name w:val="BS_notes list Char_1"/>
    <w:basedOn w:val="AlnotesChar0"/>
    <w:link w:val="BSnoteslist1"/>
    <w:rsid w:val="00833051"/>
    <w:rPr>
      <w:rFonts w:ascii="Calibri" w:hAnsi="Calibri"/>
      <w:sz w:val="18"/>
      <w:szCs w:val="24"/>
      <w:lang w:eastAsia="en-US"/>
    </w:rPr>
  </w:style>
  <w:style w:type="paragraph" w:customStyle="1" w:styleId="Heading40">
    <w:name w:val="Heading 4_0"/>
    <w:basedOn w:val="Normal4"/>
    <w:next w:val="Normal4"/>
    <w:link w:val="Heading4Char0"/>
    <w:autoRedefine/>
    <w:qFormat/>
    <w:rsid w:val="007D441E"/>
    <w:pPr>
      <w:keepNext/>
      <w:keepLines/>
      <w:spacing w:before="240" w:after="120"/>
      <w:outlineLvl w:val="3"/>
    </w:pPr>
    <w:rPr>
      <w:b/>
      <w:i/>
    </w:rPr>
  </w:style>
  <w:style w:type="character" w:customStyle="1" w:styleId="Heading4Char0">
    <w:name w:val="Heading 4 Char_0"/>
    <w:link w:val="Heading40"/>
    <w:locked/>
    <w:rsid w:val="007D441E"/>
    <w:rPr>
      <w:rFonts w:ascii="Calibri" w:hAnsi="Calibri"/>
      <w:b/>
      <w:i/>
      <w:sz w:val="24"/>
      <w:lang w:eastAsia="en-US"/>
    </w:rPr>
  </w:style>
  <w:style w:type="paragraph" w:customStyle="1" w:styleId="Normal30">
    <w:name w:val="Normal_3_0"/>
    <w:qFormat/>
    <w:rsid w:val="00BF6A8E"/>
    <w:pPr>
      <w:spacing w:before="200" w:after="200"/>
    </w:pPr>
    <w:rPr>
      <w:rFonts w:ascii="Calibri" w:hAnsi="Calibri"/>
      <w:sz w:val="24"/>
      <w:lang w:eastAsia="en-US"/>
    </w:rPr>
  </w:style>
  <w:style w:type="paragraph" w:customStyle="1" w:styleId="BSbullet10">
    <w:name w:val="BS_bullet 1_0"/>
    <w:basedOn w:val="BodyTextIndent0"/>
    <w:link w:val="BSbullet1Char0"/>
    <w:qFormat/>
    <w:rsid w:val="009E567D"/>
    <w:pPr>
      <w:keepNext w:val="0"/>
      <w:keepLines w:val="0"/>
      <w:numPr>
        <w:numId w:val="13"/>
      </w:numPr>
    </w:pPr>
  </w:style>
  <w:style w:type="paragraph" w:customStyle="1" w:styleId="BodyTextIndent0">
    <w:name w:val="Body Text Indent_0"/>
    <w:basedOn w:val="Normal4"/>
    <w:link w:val="BodyTextIndentChar0"/>
    <w:rsid w:val="00FB4CEC"/>
    <w:pPr>
      <w:keepNext/>
      <w:keepLines/>
      <w:tabs>
        <w:tab w:val="num" w:pos="360"/>
      </w:tabs>
      <w:spacing w:after="120"/>
      <w:ind w:left="360" w:hanging="360"/>
      <w:jc w:val="both"/>
    </w:pPr>
    <w:rPr>
      <w:szCs w:val="24"/>
    </w:rPr>
  </w:style>
  <w:style w:type="character" w:customStyle="1" w:styleId="BodyTextIndentChar0">
    <w:name w:val="Body Text Indent Char_0"/>
    <w:link w:val="BodyTextIndent0"/>
    <w:locked/>
    <w:rsid w:val="00BF50D3"/>
    <w:rPr>
      <w:rFonts w:ascii="Calibri" w:hAnsi="Calibri"/>
      <w:sz w:val="24"/>
      <w:szCs w:val="24"/>
      <w:lang w:eastAsia="en-US"/>
    </w:rPr>
  </w:style>
  <w:style w:type="character" w:customStyle="1" w:styleId="BSbullet1Char0">
    <w:name w:val="BS_bullet 1 Char_0"/>
    <w:basedOn w:val="BodyTextIndentChar0"/>
    <w:link w:val="BSbullet10"/>
    <w:rsid w:val="009E567D"/>
    <w:rPr>
      <w:rFonts w:ascii="Calibri" w:hAnsi="Calibri"/>
      <w:sz w:val="24"/>
      <w:szCs w:val="24"/>
      <w:lang w:eastAsia="en-US"/>
    </w:rPr>
  </w:style>
  <w:style w:type="paragraph" w:customStyle="1" w:styleId="BSnoteslist10">
    <w:name w:val="BS_notes list_1_0"/>
    <w:basedOn w:val="Normal4"/>
    <w:link w:val="BSnoteslistChar10"/>
    <w:qFormat/>
    <w:rsid w:val="00EF7CAA"/>
    <w:pPr>
      <w:spacing w:before="0" w:after="0"/>
    </w:pPr>
    <w:rPr>
      <w:sz w:val="18"/>
      <w:szCs w:val="24"/>
    </w:rPr>
  </w:style>
  <w:style w:type="character" w:customStyle="1" w:styleId="BSnoteslistChar10">
    <w:name w:val="BS_notes list Char_1_0"/>
    <w:basedOn w:val="DefaultParagraphFont"/>
    <w:link w:val="BSnoteslist10"/>
    <w:locked/>
    <w:rsid w:val="00EF7CAA"/>
    <w:rPr>
      <w:rFonts w:ascii="Calibri" w:hAnsi="Calibri"/>
      <w:sz w:val="18"/>
      <w:szCs w:val="24"/>
      <w:lang w:eastAsia="en-US"/>
    </w:rPr>
  </w:style>
  <w:style w:type="paragraph" w:customStyle="1" w:styleId="Normal10">
    <w:name w:val="Normal_1_0"/>
    <w:qFormat/>
    <w:rsid w:val="00EF7CAA"/>
    <w:pPr>
      <w:spacing w:before="200" w:after="200"/>
    </w:pPr>
    <w:rPr>
      <w:rFonts w:ascii="Calibri" w:hAnsi="Calibri"/>
      <w:sz w:val="24"/>
      <w:lang w:eastAsia="en-US"/>
    </w:rPr>
  </w:style>
  <w:style w:type="paragraph" w:customStyle="1" w:styleId="Heading24">
    <w:name w:val="Heading 2_4"/>
    <w:basedOn w:val="Normal5"/>
    <w:next w:val="Normal5"/>
    <w:link w:val="Heading2Char4"/>
    <w:qFormat/>
    <w:rsid w:val="00EE4D16"/>
    <w:pPr>
      <w:keepNext/>
      <w:spacing w:before="360"/>
      <w:outlineLvl w:val="1"/>
    </w:pPr>
    <w:rPr>
      <w:b/>
      <w:snapToGrid w:val="0"/>
      <w:sz w:val="32"/>
    </w:rPr>
  </w:style>
  <w:style w:type="paragraph" w:customStyle="1" w:styleId="Normal5">
    <w:name w:val="Normal_5"/>
    <w:qFormat/>
    <w:rsid w:val="000106FD"/>
    <w:pPr>
      <w:spacing w:before="200" w:after="200"/>
    </w:pPr>
    <w:rPr>
      <w:rFonts w:ascii="Calibri" w:hAnsi="Calibri"/>
      <w:sz w:val="24"/>
      <w:lang w:eastAsia="en-US"/>
    </w:rPr>
  </w:style>
  <w:style w:type="character" w:customStyle="1" w:styleId="Heading2Char4">
    <w:name w:val="Heading 2 Char_4"/>
    <w:link w:val="Heading24"/>
    <w:locked/>
    <w:rsid w:val="00EE4D16"/>
    <w:rPr>
      <w:rFonts w:ascii="Calibri" w:hAnsi="Calibri"/>
      <w:b/>
      <w:snapToGrid w:val="0"/>
      <w:sz w:val="32"/>
      <w:lang w:eastAsia="en-US"/>
    </w:rPr>
  </w:style>
  <w:style w:type="paragraph" w:customStyle="1" w:styleId="Heading32">
    <w:name w:val="Heading 3_2"/>
    <w:basedOn w:val="Normal5"/>
    <w:next w:val="Normal5"/>
    <w:link w:val="Heading3Char2"/>
    <w:autoRedefine/>
    <w:qFormat/>
    <w:rsid w:val="00EE4D16"/>
    <w:pPr>
      <w:keepNext/>
      <w:keepLines/>
      <w:spacing w:before="360"/>
      <w:contextualSpacing/>
      <w:outlineLvl w:val="2"/>
    </w:pPr>
    <w:rPr>
      <w:b/>
      <w:bCs/>
      <w:sz w:val="28"/>
      <w:szCs w:val="26"/>
    </w:rPr>
  </w:style>
  <w:style w:type="character" w:customStyle="1" w:styleId="Heading3Char2">
    <w:name w:val="Heading 3 Char_2"/>
    <w:link w:val="Heading32"/>
    <w:locked/>
    <w:rsid w:val="00EE4D16"/>
    <w:rPr>
      <w:rFonts w:ascii="Calibri" w:hAnsi="Calibri" w:cs="Arial"/>
      <w:b/>
      <w:bCs/>
      <w:sz w:val="28"/>
      <w:szCs w:val="26"/>
      <w:lang w:eastAsia="en-US"/>
    </w:rPr>
  </w:style>
  <w:style w:type="paragraph" w:customStyle="1" w:styleId="Heading41">
    <w:name w:val="Heading 4_1"/>
    <w:basedOn w:val="Normal5"/>
    <w:next w:val="Normal5"/>
    <w:link w:val="Heading4Char1"/>
    <w:autoRedefine/>
    <w:qFormat/>
    <w:rsid w:val="00140801"/>
    <w:pPr>
      <w:keepLines/>
      <w:spacing w:before="240" w:after="120"/>
      <w:outlineLvl w:val="3"/>
    </w:pPr>
    <w:rPr>
      <w:b/>
      <w:i/>
    </w:rPr>
  </w:style>
  <w:style w:type="character" w:customStyle="1" w:styleId="Heading4Char1">
    <w:name w:val="Heading 4 Char_1"/>
    <w:link w:val="Heading41"/>
    <w:locked/>
    <w:rsid w:val="00140801"/>
    <w:rPr>
      <w:rFonts w:ascii="Calibri" w:hAnsi="Calibri"/>
      <w:b/>
      <w:i/>
      <w:sz w:val="24"/>
      <w:lang w:eastAsia="en-US"/>
    </w:rPr>
  </w:style>
  <w:style w:type="paragraph" w:customStyle="1" w:styleId="Caption1">
    <w:name w:val="Caption_1"/>
    <w:basedOn w:val="Normal5"/>
    <w:next w:val="Normal5"/>
    <w:unhideWhenUsed/>
    <w:qFormat/>
    <w:locked/>
    <w:rsid w:val="00F31EEF"/>
    <w:pPr>
      <w:keepNext/>
      <w:spacing w:before="240"/>
    </w:pPr>
    <w:rPr>
      <w:b/>
      <w:bCs/>
      <w:color w:val="000000"/>
      <w:sz w:val="22"/>
      <w:szCs w:val="18"/>
    </w:rPr>
  </w:style>
  <w:style w:type="paragraph" w:customStyle="1" w:styleId="BStabletext1">
    <w:name w:val="BS_table text_1"/>
    <w:basedOn w:val="BStableheading11"/>
    <w:link w:val="BStabletextChar1"/>
    <w:autoRedefine/>
    <w:qFormat/>
    <w:rsid w:val="00604AB5"/>
    <w:pPr>
      <w:framePr w:wrap="auto" w:vAnchor="margin" w:yAlign="inline"/>
      <w:ind w:left="227" w:hanging="227"/>
      <w:jc w:val="left"/>
    </w:pPr>
  </w:style>
  <w:style w:type="paragraph" w:customStyle="1" w:styleId="BStableheading11">
    <w:name w:val="BS_table heading 1_1"/>
    <w:basedOn w:val="Normal5"/>
    <w:link w:val="BStableheading1Char1"/>
    <w:rsid w:val="00604AB5"/>
    <w:pPr>
      <w:framePr w:wrap="around" w:vAnchor="text" w:hAnchor="text" w:y="1"/>
      <w:spacing w:before="0" w:after="0"/>
      <w:jc w:val="right"/>
    </w:pPr>
    <w:rPr>
      <w:b/>
      <w:bCs/>
      <w:sz w:val="20"/>
    </w:rPr>
  </w:style>
  <w:style w:type="character" w:customStyle="1" w:styleId="BStableheading1Char1">
    <w:name w:val="BS_table heading 1 Char_1"/>
    <w:basedOn w:val="DefaultParagraphFont"/>
    <w:link w:val="BStableheading11"/>
    <w:locked/>
    <w:rsid w:val="00604AB5"/>
    <w:rPr>
      <w:rFonts w:ascii="Calibri" w:hAnsi="Calibri"/>
      <w:b/>
      <w:bCs/>
      <w:lang w:eastAsia="en-US"/>
    </w:rPr>
  </w:style>
  <w:style w:type="character" w:customStyle="1" w:styleId="BStabletextChar1">
    <w:name w:val="BS_table text Char_1"/>
    <w:basedOn w:val="BStableheading1Char1"/>
    <w:link w:val="BStabletext1"/>
    <w:locked/>
    <w:rsid w:val="00604AB5"/>
    <w:rPr>
      <w:rFonts w:ascii="Calibri" w:hAnsi="Calibri"/>
      <w:b/>
      <w:bCs/>
      <w:lang w:eastAsia="en-US"/>
    </w:rPr>
  </w:style>
  <w:style w:type="character" w:customStyle="1" w:styleId="Strong0">
    <w:name w:val="Strong_0"/>
    <w:qFormat/>
    <w:rsid w:val="00604AB5"/>
    <w:rPr>
      <w:rFonts w:ascii="Calibri" w:hAnsi="Calibri" w:hint="default"/>
      <w:b/>
      <w:bCs/>
      <w:lang w:eastAsia="en-US"/>
    </w:rPr>
  </w:style>
  <w:style w:type="paragraph" w:customStyle="1" w:styleId="BStablelist">
    <w:name w:val="BS_table list"/>
    <w:basedOn w:val="AIIndent"/>
    <w:link w:val="BStablelistChar"/>
    <w:qFormat/>
    <w:rsid w:val="009D6846"/>
    <w:pPr>
      <w:numPr>
        <w:numId w:val="25"/>
      </w:numPr>
      <w:spacing w:before="0" w:after="0"/>
    </w:pPr>
  </w:style>
  <w:style w:type="paragraph" w:customStyle="1" w:styleId="AIIndent">
    <w:name w:val="AI Indent"/>
    <w:basedOn w:val="Normal5"/>
    <w:link w:val="AIIndentChar"/>
    <w:rsid w:val="00FB4CEC"/>
    <w:pPr>
      <w:tabs>
        <w:tab w:val="num" w:pos="360"/>
      </w:tabs>
      <w:ind w:left="357" w:hanging="357"/>
    </w:pPr>
    <w:rPr>
      <w:sz w:val="20"/>
    </w:rPr>
  </w:style>
  <w:style w:type="character" w:customStyle="1" w:styleId="AIIndentChar">
    <w:name w:val="AI Indent Char"/>
    <w:link w:val="AIIndent"/>
    <w:locked/>
    <w:rsid w:val="007316E2"/>
    <w:rPr>
      <w:rFonts w:ascii="Calibri" w:hAnsi="Calibri"/>
      <w:sz w:val="20"/>
      <w:szCs w:val="20"/>
      <w:lang w:eastAsia="en-US"/>
    </w:rPr>
  </w:style>
  <w:style w:type="character" w:customStyle="1" w:styleId="BStablelistChar">
    <w:name w:val="BS_table list Char"/>
    <w:basedOn w:val="AIIndentChar"/>
    <w:link w:val="BStablelist"/>
    <w:rsid w:val="009D6846"/>
    <w:rPr>
      <w:rFonts w:ascii="Calibri" w:hAnsi="Calibri"/>
      <w:sz w:val="20"/>
      <w:szCs w:val="20"/>
      <w:lang w:eastAsia="en-US"/>
    </w:rPr>
  </w:style>
  <w:style w:type="paragraph" w:customStyle="1" w:styleId="BStablefigures1">
    <w:name w:val="BS_table figures_1"/>
    <w:basedOn w:val="BStabletext1"/>
    <w:link w:val="BStablefiguresChar1"/>
    <w:autoRedefine/>
    <w:qFormat/>
    <w:rsid w:val="00604AB5"/>
    <w:pPr>
      <w:jc w:val="right"/>
    </w:pPr>
    <w:rPr>
      <w:bCs w:val="0"/>
    </w:rPr>
  </w:style>
  <w:style w:type="character" w:customStyle="1" w:styleId="BStablefiguresChar1">
    <w:name w:val="BS_table figures Char_1"/>
    <w:basedOn w:val="DefaultParagraphFont"/>
    <w:link w:val="BStablefigures1"/>
    <w:locked/>
    <w:rsid w:val="00604AB5"/>
    <w:rPr>
      <w:rFonts w:ascii="Calibri" w:hAnsi="Calibri"/>
      <w:b/>
      <w:lang w:eastAsia="en-US"/>
    </w:rPr>
  </w:style>
  <w:style w:type="paragraph" w:customStyle="1" w:styleId="BSnote2">
    <w:name w:val="BS_note_2"/>
    <w:basedOn w:val="NoteHeading21"/>
    <w:link w:val="BSnoteChar2"/>
    <w:qFormat/>
    <w:rsid w:val="00EE4D16"/>
    <w:pPr>
      <w:keepNext/>
      <w:spacing w:after="0"/>
    </w:pPr>
    <w:rPr>
      <w:sz w:val="18"/>
      <w:szCs w:val="16"/>
    </w:rPr>
  </w:style>
  <w:style w:type="paragraph" w:customStyle="1" w:styleId="NoteHeading21">
    <w:name w:val="Note Heading2_1"/>
    <w:basedOn w:val="Normal5"/>
    <w:next w:val="Normal5"/>
    <w:link w:val="NoteHeadingChar1"/>
    <w:rsid w:val="00FB4CEC"/>
    <w:pPr>
      <w:spacing w:before="120"/>
    </w:pPr>
    <w:rPr>
      <w:b/>
      <w:sz w:val="16"/>
    </w:rPr>
  </w:style>
  <w:style w:type="character" w:customStyle="1" w:styleId="NoteHeadingChar1">
    <w:name w:val="Note Heading Char_1"/>
    <w:link w:val="NoteHeading21"/>
    <w:locked/>
    <w:rsid w:val="007316E2"/>
    <w:rPr>
      <w:rFonts w:ascii="Calibri" w:hAnsi="Calibri"/>
      <w:b/>
      <w:sz w:val="16"/>
      <w:szCs w:val="20"/>
      <w:lang w:eastAsia="en-US"/>
    </w:rPr>
  </w:style>
  <w:style w:type="character" w:customStyle="1" w:styleId="BSnoteChar2">
    <w:name w:val="BS_note Char_2"/>
    <w:link w:val="BSnote2"/>
    <w:rsid w:val="00EE4D16"/>
    <w:rPr>
      <w:rFonts w:ascii="Calibri" w:hAnsi="Calibri"/>
      <w:b/>
      <w:sz w:val="18"/>
      <w:szCs w:val="16"/>
      <w:lang w:eastAsia="en-US"/>
    </w:rPr>
  </w:style>
  <w:style w:type="paragraph" w:customStyle="1" w:styleId="BSnoteslist2">
    <w:name w:val="BS_notes list_2"/>
    <w:basedOn w:val="Normal5"/>
    <w:link w:val="BSnoteslistChar2"/>
    <w:qFormat/>
    <w:rsid w:val="00604AB5"/>
    <w:pPr>
      <w:numPr>
        <w:numId w:val="16"/>
      </w:numPr>
      <w:spacing w:before="0" w:after="0"/>
    </w:pPr>
    <w:rPr>
      <w:sz w:val="18"/>
      <w:szCs w:val="24"/>
    </w:rPr>
  </w:style>
  <w:style w:type="character" w:customStyle="1" w:styleId="BSnoteslistChar2">
    <w:name w:val="BS_notes list Char_2"/>
    <w:basedOn w:val="DefaultParagraphFont"/>
    <w:link w:val="BSnoteslist2"/>
    <w:locked/>
    <w:rsid w:val="00604AB5"/>
    <w:rPr>
      <w:rFonts w:ascii="Calibri" w:hAnsi="Calibri"/>
      <w:sz w:val="18"/>
      <w:szCs w:val="24"/>
      <w:lang w:eastAsia="en-US"/>
    </w:rPr>
  </w:style>
  <w:style w:type="character" w:customStyle="1" w:styleId="Heading6Char">
    <w:name w:val="Heading 6 Char"/>
    <w:link w:val="Heading6"/>
    <w:uiPriority w:val="9"/>
    <w:locked/>
    <w:rsid w:val="007316E2"/>
    <w:rPr>
      <w:rFonts w:ascii="Calibri" w:hAnsi="Calibri"/>
      <w:b/>
      <w:sz w:val="20"/>
      <w:szCs w:val="20"/>
      <w:lang w:eastAsia="en-US"/>
    </w:rPr>
  </w:style>
  <w:style w:type="paragraph" w:customStyle="1" w:styleId="BSnote20">
    <w:name w:val="BS_note_2_0"/>
    <w:basedOn w:val="Normal5"/>
    <w:link w:val="BSnoteChar20"/>
    <w:qFormat/>
    <w:rsid w:val="00140801"/>
    <w:pPr>
      <w:keepNext/>
      <w:spacing w:before="120" w:after="0"/>
    </w:pPr>
    <w:rPr>
      <w:b/>
      <w:sz w:val="18"/>
      <w:szCs w:val="16"/>
    </w:rPr>
  </w:style>
  <w:style w:type="character" w:customStyle="1" w:styleId="BSnoteChar20">
    <w:name w:val="BS_note Char_2_0"/>
    <w:link w:val="BSnote20"/>
    <w:locked/>
    <w:rsid w:val="00140801"/>
    <w:rPr>
      <w:rFonts w:ascii="Calibri" w:hAnsi="Calibri"/>
      <w:b/>
      <w:sz w:val="18"/>
      <w:szCs w:val="16"/>
      <w:lang w:eastAsia="en-US"/>
    </w:rPr>
  </w:style>
  <w:style w:type="paragraph" w:customStyle="1" w:styleId="Heading410">
    <w:name w:val="Heading 4_1_0"/>
    <w:basedOn w:val="Normal5"/>
    <w:next w:val="Normal5"/>
    <w:link w:val="Heading4Char10"/>
    <w:autoRedefine/>
    <w:qFormat/>
    <w:rsid w:val="00645BD9"/>
    <w:pPr>
      <w:keepNext/>
      <w:keepLines/>
      <w:spacing w:before="240" w:after="120"/>
      <w:outlineLvl w:val="3"/>
    </w:pPr>
    <w:rPr>
      <w:b/>
      <w:i/>
    </w:rPr>
  </w:style>
  <w:style w:type="character" w:customStyle="1" w:styleId="Heading4Char10">
    <w:name w:val="Heading 4 Char_1_0"/>
    <w:link w:val="Heading410"/>
    <w:locked/>
    <w:rsid w:val="00645BD9"/>
    <w:rPr>
      <w:rFonts w:ascii="Calibri" w:hAnsi="Calibri"/>
      <w:b/>
      <w:i/>
      <w:sz w:val="24"/>
      <w:lang w:eastAsia="en-US"/>
    </w:rPr>
  </w:style>
  <w:style w:type="paragraph" w:customStyle="1" w:styleId="BStabletextbold0">
    <w:name w:val="BS_table text bold_0"/>
    <w:basedOn w:val="BStabletext2"/>
    <w:link w:val="BStabletextboldChar0"/>
    <w:qFormat/>
    <w:rsid w:val="00404AA2"/>
    <w:rPr>
      <w:b/>
    </w:rPr>
  </w:style>
  <w:style w:type="paragraph" w:customStyle="1" w:styleId="BStabletext2">
    <w:name w:val="BS_table text_2"/>
    <w:basedOn w:val="BStableheading12"/>
    <w:link w:val="BStabletextChar2"/>
    <w:autoRedefine/>
    <w:qFormat/>
    <w:rsid w:val="00F80175"/>
    <w:pPr>
      <w:framePr w:wrap="auto" w:vAnchor="margin" w:yAlign="inline"/>
      <w:ind w:left="227" w:hanging="227"/>
      <w:jc w:val="left"/>
    </w:pPr>
    <w:rPr>
      <w:b w:val="0"/>
      <w:lang w:eastAsia="en-AU"/>
    </w:rPr>
  </w:style>
  <w:style w:type="paragraph" w:customStyle="1" w:styleId="BStableheading12">
    <w:name w:val="BS_table heading 1_2"/>
    <w:basedOn w:val="NoSpacing1"/>
    <w:link w:val="BStableheading1Char2"/>
    <w:rsid w:val="007D71D2"/>
    <w:pPr>
      <w:framePr w:wrap="around" w:vAnchor="text" w:hAnchor="text" w:y="1"/>
      <w:jc w:val="right"/>
    </w:pPr>
    <w:rPr>
      <w:b/>
      <w:bCs/>
    </w:rPr>
  </w:style>
  <w:style w:type="paragraph" w:customStyle="1" w:styleId="NoSpacing1">
    <w:name w:val="No Spacing_1"/>
    <w:link w:val="NoSpacingChar1"/>
    <w:uiPriority w:val="1"/>
    <w:qFormat/>
    <w:rsid w:val="007A4C99"/>
    <w:rPr>
      <w:rFonts w:ascii="Calibri" w:hAnsi="Calibri"/>
      <w:lang w:eastAsia="en-US"/>
    </w:rPr>
  </w:style>
  <w:style w:type="character" w:customStyle="1" w:styleId="NoSpacingChar1">
    <w:name w:val="No Spacing Char_1"/>
    <w:link w:val="NoSpacing1"/>
    <w:uiPriority w:val="1"/>
    <w:rsid w:val="007A4C99"/>
    <w:rPr>
      <w:rFonts w:ascii="Calibri" w:hAnsi="Calibri"/>
      <w:lang w:eastAsia="en-US" w:bidi="ar-SA"/>
    </w:rPr>
  </w:style>
  <w:style w:type="character" w:customStyle="1" w:styleId="BStableheading1Char2">
    <w:name w:val="BS_table heading 1 Char_2"/>
    <w:basedOn w:val="NoSpacingChar1"/>
    <w:link w:val="BStableheading12"/>
    <w:rsid w:val="007D71D2"/>
    <w:rPr>
      <w:rFonts w:ascii="Calibri" w:hAnsi="Calibri"/>
      <w:b/>
      <w:bCs/>
      <w:lang w:eastAsia="en-US" w:bidi="ar-SA"/>
    </w:rPr>
  </w:style>
  <w:style w:type="character" w:customStyle="1" w:styleId="BStabletextChar2">
    <w:name w:val="BS_table text Char_2"/>
    <w:basedOn w:val="BStableheading1Char2"/>
    <w:link w:val="BStabletext2"/>
    <w:rsid w:val="00F80175"/>
    <w:rPr>
      <w:rFonts w:ascii="Calibri" w:hAnsi="Calibri"/>
      <w:b/>
      <w:bCs/>
      <w:lang w:eastAsia="en-US" w:bidi="ar-SA"/>
    </w:rPr>
  </w:style>
  <w:style w:type="character" w:customStyle="1" w:styleId="BStabletextboldChar0">
    <w:name w:val="BS_table text bold Char_0"/>
    <w:link w:val="BStabletextbold0"/>
    <w:locked/>
    <w:rsid w:val="00645BD9"/>
    <w:rPr>
      <w:rFonts w:ascii="Calibri" w:hAnsi="Calibri"/>
      <w:b/>
      <w:bCs/>
    </w:rPr>
  </w:style>
  <w:style w:type="paragraph" w:customStyle="1" w:styleId="Heading33">
    <w:name w:val="Heading 3_3"/>
    <w:basedOn w:val="Normal6"/>
    <w:next w:val="Normal6"/>
    <w:link w:val="Heading3Char3"/>
    <w:autoRedefine/>
    <w:qFormat/>
    <w:rsid w:val="00EE4D16"/>
    <w:pPr>
      <w:keepNext/>
      <w:keepLines/>
      <w:spacing w:before="360"/>
      <w:contextualSpacing/>
      <w:outlineLvl w:val="2"/>
    </w:pPr>
    <w:rPr>
      <w:b/>
      <w:bCs/>
      <w:sz w:val="28"/>
      <w:szCs w:val="26"/>
    </w:rPr>
  </w:style>
  <w:style w:type="paragraph" w:customStyle="1" w:styleId="Normal6">
    <w:name w:val="Normal_6"/>
    <w:qFormat/>
    <w:rsid w:val="00127A4C"/>
    <w:pPr>
      <w:spacing w:before="200" w:after="200"/>
    </w:pPr>
    <w:rPr>
      <w:rFonts w:ascii="Calibri" w:hAnsi="Calibri"/>
      <w:sz w:val="24"/>
      <w:lang w:eastAsia="en-US"/>
    </w:rPr>
  </w:style>
  <w:style w:type="character" w:customStyle="1" w:styleId="Heading3Char3">
    <w:name w:val="Heading 3 Char_3"/>
    <w:link w:val="Heading33"/>
    <w:locked/>
    <w:rsid w:val="00EE4D16"/>
    <w:rPr>
      <w:rFonts w:ascii="Calibri" w:hAnsi="Calibri" w:cs="Arial"/>
      <w:b/>
      <w:bCs/>
      <w:sz w:val="28"/>
      <w:szCs w:val="26"/>
      <w:lang w:eastAsia="en-US"/>
    </w:rPr>
  </w:style>
  <w:style w:type="paragraph" w:customStyle="1" w:styleId="BSbullet11">
    <w:name w:val="BS_bullet 1_1"/>
    <w:basedOn w:val="BodyTextIndent1"/>
    <w:link w:val="BSbullet1Char1"/>
    <w:qFormat/>
    <w:rsid w:val="009E567D"/>
    <w:pPr>
      <w:keepNext w:val="0"/>
      <w:keepLines w:val="0"/>
      <w:numPr>
        <w:numId w:val="46"/>
      </w:numPr>
    </w:pPr>
  </w:style>
  <w:style w:type="paragraph" w:customStyle="1" w:styleId="BodyTextIndent1">
    <w:name w:val="Body Text Indent_1"/>
    <w:basedOn w:val="Normal6"/>
    <w:link w:val="BodyTextIndentChar1"/>
    <w:rsid w:val="00FB4CEC"/>
    <w:pPr>
      <w:keepNext/>
      <w:keepLines/>
      <w:tabs>
        <w:tab w:val="num" w:pos="360"/>
      </w:tabs>
      <w:spacing w:after="120"/>
      <w:ind w:left="360" w:hanging="360"/>
      <w:jc w:val="both"/>
    </w:pPr>
    <w:rPr>
      <w:szCs w:val="24"/>
    </w:rPr>
  </w:style>
  <w:style w:type="character" w:customStyle="1" w:styleId="BodyTextIndentChar1">
    <w:name w:val="Body Text Indent Char_1"/>
    <w:link w:val="BodyTextIndent1"/>
    <w:locked/>
    <w:rsid w:val="00BF50D3"/>
    <w:rPr>
      <w:rFonts w:ascii="Calibri" w:hAnsi="Calibri"/>
      <w:sz w:val="24"/>
      <w:szCs w:val="24"/>
      <w:lang w:eastAsia="en-US"/>
    </w:rPr>
  </w:style>
  <w:style w:type="character" w:customStyle="1" w:styleId="BSbullet1Char1">
    <w:name w:val="BS_bullet 1 Char_1"/>
    <w:basedOn w:val="BodyTextIndentChar1"/>
    <w:link w:val="BSbullet11"/>
    <w:rsid w:val="009E567D"/>
    <w:rPr>
      <w:rFonts w:ascii="Calibri" w:hAnsi="Calibri"/>
      <w:sz w:val="24"/>
      <w:szCs w:val="24"/>
      <w:lang w:eastAsia="en-US"/>
    </w:rPr>
  </w:style>
  <w:style w:type="paragraph" w:customStyle="1" w:styleId="BSbullet2">
    <w:name w:val="BS_bullet 2"/>
    <w:basedOn w:val="BSbullet11"/>
    <w:link w:val="BSbullet2Char"/>
    <w:qFormat/>
    <w:rsid w:val="009D76F0"/>
    <w:pPr>
      <w:numPr>
        <w:numId w:val="48"/>
      </w:numPr>
      <w:jc w:val="left"/>
    </w:pPr>
  </w:style>
  <w:style w:type="character" w:customStyle="1" w:styleId="BSbullet2Char">
    <w:name w:val="BS_bullet 2 Char"/>
    <w:basedOn w:val="BSbullet1Char1"/>
    <w:link w:val="BSbullet2"/>
    <w:rsid w:val="009D76F0"/>
    <w:rPr>
      <w:rFonts w:ascii="Calibri" w:hAnsi="Calibri"/>
      <w:sz w:val="24"/>
      <w:szCs w:val="24"/>
      <w:lang w:eastAsia="en-US"/>
    </w:rPr>
  </w:style>
  <w:style w:type="paragraph" w:customStyle="1" w:styleId="Heading42">
    <w:name w:val="Heading 4_2"/>
    <w:basedOn w:val="Normal6"/>
    <w:next w:val="Normal6"/>
    <w:link w:val="Heading4Char2"/>
    <w:autoRedefine/>
    <w:qFormat/>
    <w:rsid w:val="007D648C"/>
    <w:pPr>
      <w:keepNext/>
      <w:keepLines/>
      <w:spacing w:before="240" w:after="120"/>
      <w:outlineLvl w:val="3"/>
    </w:pPr>
    <w:rPr>
      <w:b/>
      <w:i/>
    </w:rPr>
  </w:style>
  <w:style w:type="character" w:customStyle="1" w:styleId="Heading4Char2">
    <w:name w:val="Heading 4 Char_2"/>
    <w:link w:val="Heading42"/>
    <w:locked/>
    <w:rsid w:val="007D648C"/>
    <w:rPr>
      <w:rFonts w:ascii="Calibri" w:hAnsi="Calibri"/>
      <w:b/>
      <w:i/>
      <w:sz w:val="24"/>
      <w:lang w:eastAsia="en-US"/>
    </w:rPr>
  </w:style>
  <w:style w:type="paragraph" w:styleId="BalloonText">
    <w:name w:val="Balloon Text"/>
    <w:basedOn w:val="Normal"/>
    <w:link w:val="BalloonTextChar"/>
    <w:semiHidden/>
    <w:unhideWhenUsed/>
    <w:rsid w:val="00BD0202"/>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BD0202"/>
    <w:rPr>
      <w:rFonts w:ascii="Segoe UI" w:hAnsi="Segoe UI" w:cs="Segoe UI"/>
      <w:sz w:val="18"/>
      <w:szCs w:val="18"/>
      <w:lang w:eastAsia="en-US"/>
    </w:rPr>
  </w:style>
  <w:style w:type="paragraph" w:customStyle="1" w:styleId="Alnotes1">
    <w:name w:val="Al notes_1"/>
    <w:basedOn w:val="ListParagraph1"/>
    <w:next w:val="Normal3"/>
    <w:link w:val="AlnotesChar1"/>
    <w:autoRedefine/>
    <w:rsid w:val="00B76273"/>
    <w:pPr>
      <w:spacing w:before="0"/>
      <w:ind w:left="360" w:hanging="360"/>
    </w:pPr>
    <w:rPr>
      <w:sz w:val="18"/>
    </w:rPr>
  </w:style>
  <w:style w:type="paragraph" w:customStyle="1" w:styleId="ListParagraph1">
    <w:name w:val="List Paragraph_1"/>
    <w:basedOn w:val="Normal3"/>
    <w:link w:val="ListParagraphChar1"/>
    <w:uiPriority w:val="34"/>
    <w:qFormat/>
    <w:rsid w:val="00B76273"/>
    <w:pPr>
      <w:spacing w:after="0"/>
      <w:ind w:left="357" w:hanging="357"/>
    </w:pPr>
    <w:rPr>
      <w:sz w:val="16"/>
      <w:szCs w:val="24"/>
    </w:rPr>
  </w:style>
  <w:style w:type="character" w:customStyle="1" w:styleId="ListParagraphChar1">
    <w:name w:val="List Paragraph Char_1"/>
    <w:link w:val="ListParagraph1"/>
    <w:uiPriority w:val="34"/>
    <w:rsid w:val="00B76273"/>
    <w:rPr>
      <w:rFonts w:ascii="Calibri" w:hAnsi="Calibri"/>
      <w:sz w:val="16"/>
      <w:szCs w:val="24"/>
      <w:lang w:eastAsia="en-US"/>
    </w:rPr>
  </w:style>
  <w:style w:type="character" w:customStyle="1" w:styleId="AlnotesChar1">
    <w:name w:val="Al notes Char_1"/>
    <w:link w:val="Alnotes1"/>
    <w:rsid w:val="00B76273"/>
    <w:rPr>
      <w:rFonts w:ascii="Calibri" w:hAnsi="Calibri"/>
      <w:sz w:val="18"/>
      <w:szCs w:val="24"/>
      <w:lang w:eastAsia="en-US"/>
    </w:rPr>
  </w:style>
  <w:style w:type="paragraph" w:customStyle="1" w:styleId="Alnotes2">
    <w:name w:val="Al notes_2"/>
    <w:basedOn w:val="ListParagraph2"/>
    <w:next w:val="Normal4"/>
    <w:link w:val="AlnotesChar2"/>
    <w:autoRedefine/>
    <w:rsid w:val="00B76273"/>
    <w:pPr>
      <w:spacing w:before="0"/>
      <w:ind w:left="360" w:hanging="360"/>
    </w:pPr>
    <w:rPr>
      <w:sz w:val="18"/>
    </w:rPr>
  </w:style>
  <w:style w:type="paragraph" w:customStyle="1" w:styleId="ListParagraph2">
    <w:name w:val="List Paragraph_2"/>
    <w:basedOn w:val="Normal4"/>
    <w:link w:val="ListParagraphChar2"/>
    <w:uiPriority w:val="34"/>
    <w:qFormat/>
    <w:rsid w:val="00B76273"/>
    <w:pPr>
      <w:spacing w:after="0"/>
      <w:ind w:left="357" w:hanging="357"/>
    </w:pPr>
    <w:rPr>
      <w:sz w:val="16"/>
      <w:szCs w:val="24"/>
    </w:rPr>
  </w:style>
  <w:style w:type="character" w:customStyle="1" w:styleId="ListParagraphChar2">
    <w:name w:val="List Paragraph Char_2"/>
    <w:link w:val="ListParagraph2"/>
    <w:uiPriority w:val="34"/>
    <w:rsid w:val="00B76273"/>
    <w:rPr>
      <w:rFonts w:ascii="Calibri" w:hAnsi="Calibri"/>
      <w:sz w:val="16"/>
      <w:szCs w:val="24"/>
      <w:lang w:eastAsia="en-US"/>
    </w:rPr>
  </w:style>
  <w:style w:type="character" w:customStyle="1" w:styleId="AlnotesChar2">
    <w:name w:val="Al notes Char_2"/>
    <w:link w:val="Alnotes2"/>
    <w:rsid w:val="00B76273"/>
    <w:rPr>
      <w:rFonts w:ascii="Calibri" w:hAnsi="Calibri"/>
      <w:sz w:val="18"/>
      <w:szCs w:val="24"/>
      <w:lang w:eastAsia="en-US"/>
    </w:rPr>
  </w:style>
  <w:style w:type="paragraph" w:customStyle="1" w:styleId="BSbullet20">
    <w:name w:val="BS_bullet 2_0"/>
    <w:basedOn w:val="BSbullet11"/>
    <w:link w:val="BSbullet2Char0"/>
    <w:qFormat/>
    <w:rsid w:val="00B76273"/>
    <w:pPr>
      <w:numPr>
        <w:numId w:val="0"/>
      </w:numPr>
      <w:ind w:left="714" w:hanging="357"/>
      <w:jc w:val="left"/>
    </w:pPr>
  </w:style>
  <w:style w:type="character" w:customStyle="1" w:styleId="BSbullet2Char0">
    <w:name w:val="BS_bullet 2 Char_0"/>
    <w:basedOn w:val="BSbullet1Char1"/>
    <w:link w:val="BSbullet20"/>
    <w:rsid w:val="00B76273"/>
    <w:rPr>
      <w:rFonts w:ascii="Calibri" w:hAnsi="Calibri"/>
      <w:sz w:val="24"/>
      <w:szCs w:val="24"/>
      <w:lang w:eastAsia="en-US"/>
    </w:rPr>
  </w:style>
  <w:style w:type="paragraph" w:customStyle="1" w:styleId="Heading43">
    <w:name w:val="Heading 4_3"/>
    <w:basedOn w:val="Normal6"/>
    <w:next w:val="Normal6"/>
    <w:link w:val="Heading4Char3"/>
    <w:autoRedefine/>
    <w:qFormat/>
    <w:rsid w:val="00B76273"/>
    <w:pPr>
      <w:keepNext/>
      <w:keepLines/>
      <w:spacing w:before="240" w:after="120"/>
      <w:outlineLvl w:val="3"/>
    </w:pPr>
    <w:rPr>
      <w:b/>
      <w:i/>
    </w:rPr>
  </w:style>
  <w:style w:type="character" w:customStyle="1" w:styleId="Heading4Char3">
    <w:name w:val="Heading 4 Char_3"/>
    <w:link w:val="Heading43"/>
    <w:locked/>
    <w:rsid w:val="00B76273"/>
    <w:rPr>
      <w:rFonts w:ascii="Calibri" w:hAnsi="Calibri"/>
      <w:b/>
      <w:i/>
      <w:sz w:val="24"/>
      <w:lang w:eastAsia="en-US"/>
    </w:rPr>
  </w:style>
  <w:style w:type="paragraph" w:styleId="TOC1">
    <w:name w:val="toc 1"/>
    <w:basedOn w:val="Normal"/>
    <w:next w:val="Normal"/>
    <w:autoRedefine/>
    <w:uiPriority w:val="39"/>
    <w:unhideWhenUsed/>
    <w:qFormat/>
    <w:locked/>
    <w:rsid w:val="001418A1"/>
    <w:pPr>
      <w:spacing w:after="100"/>
    </w:pPr>
  </w:style>
  <w:style w:type="paragraph" w:styleId="TOC2">
    <w:name w:val="toc 2"/>
    <w:basedOn w:val="Normal"/>
    <w:next w:val="Normal"/>
    <w:autoRedefine/>
    <w:uiPriority w:val="39"/>
    <w:unhideWhenUsed/>
    <w:qFormat/>
    <w:locked/>
    <w:rsid w:val="001418A1"/>
    <w:pPr>
      <w:spacing w:after="100"/>
      <w:ind w:left="240"/>
    </w:pPr>
  </w:style>
  <w:style w:type="character" w:styleId="Hyperlink">
    <w:name w:val="Hyperlink"/>
    <w:uiPriority w:val="99"/>
    <w:rsid w:val="001418A1"/>
    <w:rPr>
      <w:color w:val="0000FF"/>
      <w:u w:val="single"/>
    </w:rPr>
  </w:style>
  <w:style w:type="paragraph" w:styleId="TOC3">
    <w:name w:val="toc 3"/>
    <w:basedOn w:val="Normal"/>
    <w:next w:val="Normal"/>
    <w:autoRedefine/>
    <w:uiPriority w:val="39"/>
    <w:unhideWhenUsed/>
    <w:locked/>
    <w:rsid w:val="007C47F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5EF5F265F7D458D1FEEFD48F7BFA4" ma:contentTypeVersion="0" ma:contentTypeDescription="Create a new document." ma:contentTypeScope="" ma:versionID="dddae15455901e30546d578d0a837a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4EF5B-89DB-42DE-A108-5054DD84C58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3773338-2623-4C9A-81A2-2E84E09D9D45}">
  <ds:schemaRefs>
    <ds:schemaRef ds:uri="http://schemas.microsoft.com/sharepoint/v3/contenttype/forms"/>
  </ds:schemaRefs>
</ds:datastoreItem>
</file>

<file path=customXml/itemProps3.xml><?xml version="1.0" encoding="utf-8"?>
<ds:datastoreItem xmlns:ds="http://schemas.openxmlformats.org/officeDocument/2006/customXml" ds:itemID="{1E2E6925-80EF-48A9-AF59-38BCFA3F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C8B2CB-D09C-4329-A12A-2634D599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13301</Words>
  <Characters>79387</Characters>
  <Application>Microsoft Office Word</Application>
  <DocSecurity>0</DocSecurity>
  <Lines>661</Lines>
  <Paragraphs>185</Paragraphs>
  <ScaleCrop>false</ScaleCrop>
  <HeadingPairs>
    <vt:vector size="2" baseType="variant">
      <vt:variant>
        <vt:lpstr>Title</vt:lpstr>
      </vt:variant>
      <vt:variant>
        <vt:i4>1</vt:i4>
      </vt:variant>
    </vt:vector>
  </HeadingPairs>
  <TitlesOfParts>
    <vt:vector size="1" baseType="lpstr">
      <vt:lpstr>2018-19 Community Services Directorate Budget Statement</vt:lpstr>
    </vt:vector>
  </TitlesOfParts>
  <Company>Community Services Directorate, ACT Government</Company>
  <LinksUpToDate>false</LinksUpToDate>
  <CharactersWithSpaces>92503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2018-19. Budget Statements G</dc:title>
  <dc:subject>2018-19 Budget Statement Community Services Directorate</dc:subject>
  <dc:creator>ACT Government</dc:creator>
  <cp:keywords>2018-19 Community Services Directorate Budget Statement</cp:keywords>
  <cp:lastModifiedBy>Chambers, Kate</cp:lastModifiedBy>
  <cp:revision>3</cp:revision>
  <cp:lastPrinted>2018-05-25T03:45:00Z</cp:lastPrinted>
  <dcterms:created xsi:type="dcterms:W3CDTF">2018-05-25T03:45:00Z</dcterms:created>
  <dcterms:modified xsi:type="dcterms:W3CDTF">2018-06-01T04:12:00Z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escription">
    <vt:lpwstr>Community Services Directorate Budget Statements includes finanical statements, output classes, descriptions of functions, roles and responsibilities, together with major priorities</vt:lpwstr>
  </property>
</Properties>
</file>