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14A" w:rsidRPr="008B12A7" w:rsidRDefault="00F05047" w:rsidP="008B12A7">
      <w:pPr>
        <w:pStyle w:val="Heading1"/>
      </w:pPr>
      <w:r w:rsidRPr="008B12A7">
        <w:t>3.3</w:t>
      </w:r>
      <w:r w:rsidR="000304C9" w:rsidRPr="008B12A7">
        <w:tab/>
      </w:r>
      <w:r w:rsidR="00537D88" w:rsidRPr="008B12A7">
        <w:t>Taxation ref</w:t>
      </w:r>
      <w:r w:rsidR="00D90E06" w:rsidRPr="008B12A7">
        <w:t>o</w:t>
      </w:r>
      <w:r w:rsidR="00537D88" w:rsidRPr="008B12A7">
        <w:t>R</w:t>
      </w:r>
      <w:r w:rsidR="00E67F78" w:rsidRPr="008B12A7">
        <w:t>m</w:t>
      </w:r>
    </w:p>
    <w:p w:rsidR="000F7C7A" w:rsidRPr="008101D1" w:rsidRDefault="000F7C7A" w:rsidP="008101D1">
      <w:pPr>
        <w:pStyle w:val="BodyText"/>
      </w:pPr>
      <w:r w:rsidRPr="008101D1">
        <w:t>The Government is committed to</w:t>
      </w:r>
      <w:r w:rsidR="005C1D92" w:rsidRPr="008101D1">
        <w:t xml:space="preserve"> making the Territory’s taxation system fairer, </w:t>
      </w:r>
      <w:r w:rsidRPr="008101D1">
        <w:t>simpler and more efficient</w:t>
      </w:r>
      <w:r w:rsidR="00EF57CF" w:rsidRPr="008101D1">
        <w:t xml:space="preserve"> for the future</w:t>
      </w:r>
      <w:r w:rsidRPr="008101D1">
        <w:t xml:space="preserve">. </w:t>
      </w:r>
      <w:r w:rsidR="0026216B" w:rsidRPr="008101D1">
        <w:t xml:space="preserve">The ACT Government is the only jurisdiction in Australia to go down the path of major tax reform.  </w:t>
      </w:r>
      <w:r w:rsidR="005C1D92" w:rsidRPr="008101D1">
        <w:t>Significant reform</w:t>
      </w:r>
      <w:r w:rsidR="008328FA" w:rsidRPr="008101D1">
        <w:t>s</w:t>
      </w:r>
      <w:r w:rsidR="005C1D92" w:rsidRPr="008101D1">
        <w:t xml:space="preserve"> to the Territory’s taxation system commenced in the 2012-13 Budget.  </w:t>
      </w:r>
      <w:r w:rsidRPr="008101D1">
        <w:t xml:space="preserve"> </w:t>
      </w:r>
    </w:p>
    <w:p w:rsidR="009D309C" w:rsidRPr="008101D1" w:rsidRDefault="000F7C7A" w:rsidP="008101D1">
      <w:pPr>
        <w:pStyle w:val="BodyText"/>
      </w:pPr>
      <w:r w:rsidRPr="008101D1">
        <w:t>The first tranche of major reforms announced include</w:t>
      </w:r>
      <w:r w:rsidR="005C1D92" w:rsidRPr="008101D1">
        <w:t>d</w:t>
      </w:r>
      <w:r w:rsidRPr="008101D1">
        <w:t xml:space="preserve">:   </w:t>
      </w:r>
    </w:p>
    <w:p w:rsidR="009D309C" w:rsidRPr="008101D1" w:rsidRDefault="009D309C" w:rsidP="008101D1">
      <w:pPr>
        <w:pStyle w:val="BodyTextIndent"/>
      </w:pPr>
      <w:r w:rsidRPr="008101D1">
        <w:t>abolishing duty on insurance policies over five years;</w:t>
      </w:r>
    </w:p>
    <w:p w:rsidR="009D309C" w:rsidRPr="008101D1" w:rsidRDefault="009D309C" w:rsidP="008101D1">
      <w:pPr>
        <w:pStyle w:val="BodyTextIndent"/>
      </w:pPr>
      <w:r w:rsidRPr="008101D1">
        <w:t>abolishing conveyance duty over 20 years;</w:t>
      </w:r>
    </w:p>
    <w:p w:rsidR="009D309C" w:rsidRPr="008101D1" w:rsidRDefault="009D309C" w:rsidP="008101D1">
      <w:pPr>
        <w:pStyle w:val="BodyTextIndent"/>
      </w:pPr>
      <w:r w:rsidRPr="008101D1">
        <w:t>abolishing commercial land tax;</w:t>
      </w:r>
    </w:p>
    <w:p w:rsidR="009D309C" w:rsidRPr="008101D1" w:rsidRDefault="009D309C" w:rsidP="008101D1">
      <w:pPr>
        <w:pStyle w:val="BodyTextIndent"/>
      </w:pPr>
      <w:r w:rsidRPr="008101D1">
        <w:t>increasing the tax free threshold for payroll tax;</w:t>
      </w:r>
      <w:r w:rsidR="00A82397" w:rsidRPr="008101D1">
        <w:t xml:space="preserve"> and </w:t>
      </w:r>
    </w:p>
    <w:p w:rsidR="00A82397" w:rsidRPr="008101D1" w:rsidRDefault="009D309C" w:rsidP="008101D1">
      <w:pPr>
        <w:pStyle w:val="BodyTextIndent"/>
      </w:pPr>
      <w:proofErr w:type="gramStart"/>
      <w:r w:rsidRPr="008101D1">
        <w:t>making</w:t>
      </w:r>
      <w:proofErr w:type="gramEnd"/>
      <w:r w:rsidRPr="008101D1">
        <w:t xml:space="preserve"> residential land tax and the general rates system more progressive</w:t>
      </w:r>
      <w:r w:rsidR="00A82397" w:rsidRPr="008101D1">
        <w:t xml:space="preserve">.  </w:t>
      </w:r>
    </w:p>
    <w:p w:rsidR="00A82397" w:rsidRPr="008101D1" w:rsidRDefault="00A82397" w:rsidP="008101D1">
      <w:pPr>
        <w:pStyle w:val="BodyText"/>
        <w:rPr>
          <w:szCs w:val="24"/>
        </w:rPr>
      </w:pPr>
      <w:r w:rsidRPr="008101D1">
        <w:t xml:space="preserve">These reforms are being undertaken in a staged approach to allow </w:t>
      </w:r>
      <w:r w:rsidR="00EF57CF" w:rsidRPr="008101D1">
        <w:t>ACT</w:t>
      </w:r>
      <w:r w:rsidRPr="008101D1">
        <w:t xml:space="preserve"> </w:t>
      </w:r>
      <w:r w:rsidR="00BD635D" w:rsidRPr="008101D1">
        <w:t>households</w:t>
      </w:r>
      <w:r w:rsidR="00EF57CF" w:rsidRPr="008101D1">
        <w:t xml:space="preserve"> and the economy</w:t>
      </w:r>
      <w:r w:rsidRPr="008101D1">
        <w:t xml:space="preserve"> time to adjust</w:t>
      </w:r>
      <w:r w:rsidR="00000DE5" w:rsidRPr="008101D1">
        <w:t xml:space="preserve">.  Reforms have been funded through General Rates to ensure revenue neutrality overall, while preserving capacity for government services and ensuring future generations do not bear the </w:t>
      </w:r>
      <w:r w:rsidRPr="008101D1">
        <w:rPr>
          <w:szCs w:val="24"/>
        </w:rPr>
        <w:t>higher economic costs of an unfair and inefficient tax system.</w:t>
      </w:r>
    </w:p>
    <w:p w:rsidR="009D309C" w:rsidRPr="008101D1" w:rsidRDefault="00EF57CF" w:rsidP="008101D1">
      <w:pPr>
        <w:pStyle w:val="BodyText"/>
      </w:pPr>
      <w:r w:rsidRPr="008101D1">
        <w:t>To assist households and cushion the impacts of taxation reform, a</w:t>
      </w:r>
      <w:r w:rsidR="00000DE5" w:rsidRPr="008101D1">
        <w:t xml:space="preserve"> number of concession scheme</w:t>
      </w:r>
      <w:r w:rsidR="00A43240" w:rsidRPr="008101D1">
        <w:t>s</w:t>
      </w:r>
      <w:r w:rsidR="00000DE5" w:rsidRPr="008101D1">
        <w:t xml:space="preserve"> </w:t>
      </w:r>
      <w:r w:rsidR="00A82397" w:rsidRPr="008101D1">
        <w:t>were provided in the 2012-13 Budget</w:t>
      </w:r>
      <w:r w:rsidRPr="008101D1">
        <w:t xml:space="preserve">.  </w:t>
      </w:r>
      <w:r w:rsidR="00A82397" w:rsidRPr="008101D1">
        <w:t>Th</w:t>
      </w:r>
      <w:r w:rsidRPr="008101D1">
        <w:t>e</w:t>
      </w:r>
      <w:r w:rsidR="00A82397" w:rsidRPr="008101D1">
        <w:t>se measures include</w:t>
      </w:r>
      <w:r w:rsidRPr="008101D1">
        <w:t>d</w:t>
      </w:r>
      <w:r w:rsidR="00A82397" w:rsidRPr="008101D1">
        <w:t xml:space="preserve">: </w:t>
      </w:r>
    </w:p>
    <w:p w:rsidR="009D309C" w:rsidRPr="008101D1" w:rsidRDefault="009D309C" w:rsidP="008101D1">
      <w:pPr>
        <w:pStyle w:val="BodyTextIndent"/>
      </w:pPr>
      <w:r w:rsidRPr="008101D1">
        <w:t>expanding the Home Buyer Concession Scheme;</w:t>
      </w:r>
    </w:p>
    <w:p w:rsidR="009D309C" w:rsidRPr="008101D1" w:rsidRDefault="009D309C" w:rsidP="008101D1">
      <w:pPr>
        <w:pStyle w:val="BodyTextIndent"/>
      </w:pPr>
      <w:r w:rsidRPr="008101D1">
        <w:t>extending the Pensioner Duty Concession Scheme;</w:t>
      </w:r>
    </w:p>
    <w:p w:rsidR="009D309C" w:rsidRPr="008101D1" w:rsidRDefault="009D309C" w:rsidP="008101D1">
      <w:pPr>
        <w:pStyle w:val="BodyTextIndent"/>
      </w:pPr>
      <w:r w:rsidRPr="008101D1">
        <w:t>increasing the rates rebate</w:t>
      </w:r>
      <w:r w:rsidR="00A82397" w:rsidRPr="008101D1">
        <w:t xml:space="preserve"> scheme</w:t>
      </w:r>
      <w:r w:rsidRPr="008101D1">
        <w:t>; and</w:t>
      </w:r>
    </w:p>
    <w:p w:rsidR="009D309C" w:rsidRPr="008101D1" w:rsidRDefault="009D309C" w:rsidP="008101D1">
      <w:pPr>
        <w:pStyle w:val="BodyTextIndent"/>
      </w:pPr>
      <w:proofErr w:type="gramStart"/>
      <w:r w:rsidRPr="008101D1">
        <w:t>expanding</w:t>
      </w:r>
      <w:proofErr w:type="gramEnd"/>
      <w:r w:rsidRPr="008101D1">
        <w:t xml:space="preserve"> the eligibility for the Rates Deferral Scheme</w:t>
      </w:r>
      <w:r w:rsidR="00A82397" w:rsidRPr="008101D1">
        <w:t xml:space="preserve">.  </w:t>
      </w:r>
    </w:p>
    <w:p w:rsidR="00000DE5" w:rsidRPr="008101D1" w:rsidRDefault="00000DE5" w:rsidP="008101D1">
      <w:pPr>
        <w:pStyle w:val="BodyText"/>
      </w:pPr>
      <w:r w:rsidRPr="008101D1">
        <w:t>These tax reforms and targeted assistance measure</w:t>
      </w:r>
      <w:r w:rsidR="00A43240" w:rsidRPr="008101D1">
        <w:t xml:space="preserve">s have all been implemented.  </w:t>
      </w:r>
      <w:r w:rsidRPr="008101D1">
        <w:t xml:space="preserve"> </w:t>
      </w:r>
    </w:p>
    <w:p w:rsidR="0099576D" w:rsidRPr="008101D1" w:rsidRDefault="0099576D" w:rsidP="008101D1">
      <w:pPr>
        <w:pStyle w:val="BodyText"/>
      </w:pPr>
      <w:r w:rsidRPr="008101D1">
        <w:t xml:space="preserve">Each year the Government will announce a rolling five year strategy for tax reform.  This will be announced later in 2013 and will propose conveyance rates for 2017-18 </w:t>
      </w:r>
      <w:r w:rsidR="0026216B" w:rsidRPr="008101D1">
        <w:t>which does not form part of the forward estimates.</w:t>
      </w:r>
    </w:p>
    <w:p w:rsidR="00000DE5" w:rsidRPr="008101D1" w:rsidRDefault="00000DE5" w:rsidP="008101D1">
      <w:pPr>
        <w:pStyle w:val="Heading3"/>
      </w:pPr>
      <w:r w:rsidRPr="008101D1">
        <w:t xml:space="preserve">Building on the </w:t>
      </w:r>
      <w:r w:rsidR="008B12A7" w:rsidRPr="008101D1">
        <w:t>F</w:t>
      </w:r>
      <w:r w:rsidRPr="008101D1">
        <w:t xml:space="preserve">irst </w:t>
      </w:r>
      <w:r w:rsidR="008B12A7" w:rsidRPr="008101D1">
        <w:t>T</w:t>
      </w:r>
      <w:r w:rsidRPr="008101D1">
        <w:t xml:space="preserve">ranche of </w:t>
      </w:r>
      <w:r w:rsidR="008B12A7" w:rsidRPr="008101D1">
        <w:t>R</w:t>
      </w:r>
      <w:r w:rsidRPr="008101D1">
        <w:t xml:space="preserve">eform from 2012-13 </w:t>
      </w:r>
    </w:p>
    <w:p w:rsidR="00000DE5" w:rsidRPr="008101D1" w:rsidRDefault="003F3267" w:rsidP="008101D1">
      <w:pPr>
        <w:pStyle w:val="BodyText"/>
      </w:pPr>
      <w:r w:rsidRPr="008101D1">
        <w:t>The reforms to abolish conveyance duty and duty on insurance policies will continue in 2013-14</w:t>
      </w:r>
      <w:r w:rsidR="00A43240" w:rsidRPr="008101D1">
        <w:t xml:space="preserve">.  </w:t>
      </w:r>
      <w:r w:rsidR="00000DE5" w:rsidRPr="008101D1">
        <w:t xml:space="preserve">These reforms are outlined below. </w:t>
      </w:r>
    </w:p>
    <w:p w:rsidR="00000DE5" w:rsidRPr="00716435" w:rsidRDefault="00210E41" w:rsidP="008101D1">
      <w:pPr>
        <w:pStyle w:val="Sub-Heading"/>
      </w:pPr>
      <w:r w:rsidRPr="00716435">
        <w:t xml:space="preserve">Duty on Insurance </w:t>
      </w:r>
    </w:p>
    <w:p w:rsidR="00000DE5" w:rsidRPr="008101D1" w:rsidRDefault="00000DE5" w:rsidP="008101D1">
      <w:pPr>
        <w:pStyle w:val="BodyText"/>
      </w:pPr>
      <w:r w:rsidRPr="008101D1">
        <w:t xml:space="preserve">The 2012-13 Budget announced the abolition of duty on insurance policies over a five year period.  As part of the 2012-13 Budget, </w:t>
      </w:r>
      <w:r w:rsidR="00BD635D" w:rsidRPr="008101D1">
        <w:t xml:space="preserve">the Government reduced </w:t>
      </w:r>
      <w:r w:rsidRPr="008101D1">
        <w:t>duty rates on ge</w:t>
      </w:r>
      <w:r w:rsidR="00A43240" w:rsidRPr="008101D1">
        <w:t>neral insurance from 10 </w:t>
      </w:r>
      <w:r w:rsidRPr="008101D1">
        <w:t>per</w:t>
      </w:r>
      <w:r w:rsidR="00A43240" w:rsidRPr="008101D1">
        <w:t> </w:t>
      </w:r>
      <w:r w:rsidRPr="008101D1">
        <w:t xml:space="preserve">cent to 8 per cent, and duty on life insurance </w:t>
      </w:r>
      <w:r w:rsidR="00716435" w:rsidRPr="008101D1">
        <w:t>from 5 per cent to 4 per </w:t>
      </w:r>
      <w:r w:rsidRPr="008101D1">
        <w:t>cent.</w:t>
      </w:r>
    </w:p>
    <w:p w:rsidR="00000DE5" w:rsidRPr="008101D1" w:rsidRDefault="00000DE5" w:rsidP="008101D1">
      <w:pPr>
        <w:pStyle w:val="BodyText"/>
      </w:pPr>
      <w:r w:rsidRPr="008101D1">
        <w:t xml:space="preserve">From 1 July 2013, </w:t>
      </w:r>
      <w:r w:rsidR="00BD635D" w:rsidRPr="008101D1">
        <w:t xml:space="preserve">the Government will reduce </w:t>
      </w:r>
      <w:r w:rsidRPr="008101D1">
        <w:t>duty on insurance policies from 8 per cent to 6 per cent</w:t>
      </w:r>
      <w:r w:rsidR="00BD635D" w:rsidRPr="008101D1">
        <w:t>, and d</w:t>
      </w:r>
      <w:r w:rsidRPr="008101D1">
        <w:t xml:space="preserve">uty on life insurance from 4 per cent to 3 per cent.  </w:t>
      </w:r>
      <w:r w:rsidR="00210E41" w:rsidRPr="008101D1">
        <w:t>The reduc</w:t>
      </w:r>
      <w:r w:rsidR="003F3267" w:rsidRPr="008101D1">
        <w:t xml:space="preserve">ed rates for </w:t>
      </w:r>
      <w:r w:rsidR="00210E41" w:rsidRPr="008101D1">
        <w:t xml:space="preserve">insurance duty in the budget forward years </w:t>
      </w:r>
      <w:r w:rsidR="00A43240" w:rsidRPr="008101D1">
        <w:t>are</w:t>
      </w:r>
      <w:r w:rsidR="00210E41" w:rsidRPr="008101D1">
        <w:t xml:space="preserve"> shown in Table </w:t>
      </w:r>
      <w:r w:rsidR="003325D7" w:rsidRPr="008101D1">
        <w:t>3.3.1</w:t>
      </w:r>
      <w:r w:rsidR="00E0160B" w:rsidRPr="008101D1">
        <w:t>.</w:t>
      </w:r>
      <w:r w:rsidR="00210E41" w:rsidRPr="008101D1">
        <w:t xml:space="preserve"> </w:t>
      </w:r>
    </w:p>
    <w:p w:rsidR="008B12A7" w:rsidRPr="00716435" w:rsidRDefault="00210E41" w:rsidP="008101D1">
      <w:pPr>
        <w:pStyle w:val="TableNumber"/>
        <w:spacing w:before="0"/>
      </w:pPr>
      <w:r w:rsidRPr="00716435">
        <w:lastRenderedPageBreak/>
        <w:t xml:space="preserve">Table </w:t>
      </w:r>
      <w:r w:rsidR="003325D7" w:rsidRPr="00716435">
        <w:t>3.3.1</w:t>
      </w:r>
    </w:p>
    <w:p w:rsidR="00210E41" w:rsidRPr="00210E41" w:rsidRDefault="00210E41" w:rsidP="008B12A7">
      <w:pPr>
        <w:pStyle w:val="TableName"/>
      </w:pPr>
      <w:r w:rsidRPr="003325D7">
        <w:t xml:space="preserve">Duty on </w:t>
      </w:r>
      <w:r w:rsidR="003325D7">
        <w:t>I</w:t>
      </w:r>
      <w:r w:rsidRPr="003325D7">
        <w:t xml:space="preserve">nsurance </w:t>
      </w:r>
      <w:r w:rsidR="003325D7">
        <w:t>T</w:t>
      </w:r>
      <w:r w:rsidRPr="003325D7">
        <w:t>axes</w:t>
      </w:r>
      <w:r w:rsidRPr="00210E41">
        <w:t xml:space="preserve"> </w:t>
      </w:r>
    </w:p>
    <w:tbl>
      <w:tblPr>
        <w:tblW w:w="6968" w:type="dxa"/>
        <w:jc w:val="center"/>
        <w:tblLook w:val="04A0"/>
      </w:tblPr>
      <w:tblGrid>
        <w:gridCol w:w="2252"/>
        <w:gridCol w:w="1179"/>
        <w:gridCol w:w="1179"/>
        <w:gridCol w:w="1179"/>
        <w:gridCol w:w="1179"/>
      </w:tblGrid>
      <w:tr w:rsidR="00000DE5" w:rsidRPr="004055EA" w:rsidTr="00E0160B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0DE5" w:rsidRPr="004055EA" w:rsidRDefault="00000DE5" w:rsidP="00000DE5">
            <w:pPr>
              <w:jc w:val="center"/>
              <w:rPr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0DE5" w:rsidRDefault="00000DE5" w:rsidP="008B12A7">
            <w:pPr>
              <w:pStyle w:val="TableTextRight-BP3"/>
              <w:rPr>
                <w:lang w:eastAsia="en-AU"/>
              </w:rPr>
            </w:pPr>
            <w:r w:rsidRPr="004055EA">
              <w:rPr>
                <w:lang w:eastAsia="en-AU"/>
              </w:rPr>
              <w:t>2013-14</w:t>
            </w:r>
          </w:p>
          <w:p w:rsidR="00000DE5" w:rsidRPr="004055EA" w:rsidRDefault="00000DE5" w:rsidP="008B12A7">
            <w:pPr>
              <w:pStyle w:val="TableTextRight-BP3"/>
              <w:rPr>
                <w:lang w:eastAsia="en-AU"/>
              </w:rPr>
            </w:pPr>
            <w:r>
              <w:rPr>
                <w:lang w:eastAsia="en-AU"/>
              </w:rPr>
              <w:t>(%)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0DE5" w:rsidRDefault="00000DE5" w:rsidP="008B12A7">
            <w:pPr>
              <w:pStyle w:val="TableTextRight-BP3"/>
              <w:rPr>
                <w:lang w:eastAsia="en-AU"/>
              </w:rPr>
            </w:pPr>
            <w:r w:rsidRPr="004055EA">
              <w:rPr>
                <w:lang w:eastAsia="en-AU"/>
              </w:rPr>
              <w:t>2014-15</w:t>
            </w:r>
          </w:p>
          <w:p w:rsidR="00000DE5" w:rsidRPr="004055EA" w:rsidRDefault="00000DE5" w:rsidP="008B12A7">
            <w:pPr>
              <w:pStyle w:val="TableTextRight-BP3"/>
              <w:rPr>
                <w:lang w:eastAsia="en-AU"/>
              </w:rPr>
            </w:pPr>
            <w:r>
              <w:rPr>
                <w:lang w:eastAsia="en-AU"/>
              </w:rPr>
              <w:t>(%)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0DE5" w:rsidRDefault="00000DE5" w:rsidP="008B12A7">
            <w:pPr>
              <w:pStyle w:val="TableTextRight-BP3"/>
              <w:rPr>
                <w:lang w:eastAsia="en-AU"/>
              </w:rPr>
            </w:pPr>
            <w:r w:rsidRPr="004055EA">
              <w:rPr>
                <w:lang w:eastAsia="en-AU"/>
              </w:rPr>
              <w:t>2015-16</w:t>
            </w:r>
          </w:p>
          <w:p w:rsidR="00000DE5" w:rsidRPr="004055EA" w:rsidRDefault="00000DE5" w:rsidP="008B12A7">
            <w:pPr>
              <w:pStyle w:val="TableTextRight-BP3"/>
              <w:rPr>
                <w:lang w:eastAsia="en-AU"/>
              </w:rPr>
            </w:pPr>
            <w:r>
              <w:rPr>
                <w:lang w:eastAsia="en-AU"/>
              </w:rPr>
              <w:t>(%)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0DE5" w:rsidRDefault="00000DE5" w:rsidP="008B12A7">
            <w:pPr>
              <w:pStyle w:val="TableTextRight-BP3"/>
              <w:rPr>
                <w:lang w:eastAsia="en-AU"/>
              </w:rPr>
            </w:pPr>
            <w:r w:rsidRPr="004055EA">
              <w:rPr>
                <w:lang w:eastAsia="en-AU"/>
              </w:rPr>
              <w:t>2016-17</w:t>
            </w:r>
          </w:p>
          <w:p w:rsidR="00000DE5" w:rsidRPr="004055EA" w:rsidRDefault="00000DE5" w:rsidP="008B12A7">
            <w:pPr>
              <w:pStyle w:val="TableTextRight-BP3"/>
              <w:rPr>
                <w:lang w:eastAsia="en-AU"/>
              </w:rPr>
            </w:pPr>
            <w:r>
              <w:rPr>
                <w:lang w:eastAsia="en-AU"/>
              </w:rPr>
              <w:t>(%)</w:t>
            </w:r>
          </w:p>
        </w:tc>
      </w:tr>
      <w:tr w:rsidR="00000DE5" w:rsidRPr="004055EA" w:rsidTr="00E0160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E5" w:rsidRPr="004055EA" w:rsidRDefault="00000DE5" w:rsidP="008B12A7">
            <w:pPr>
              <w:pStyle w:val="TableTextLeft-BP3"/>
              <w:rPr>
                <w:lang w:eastAsia="en-AU"/>
              </w:rPr>
            </w:pPr>
            <w:r w:rsidRPr="004055EA">
              <w:rPr>
                <w:lang w:eastAsia="en-AU"/>
              </w:rPr>
              <w:t>General insurance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0DE5" w:rsidRPr="004055EA" w:rsidRDefault="00000DE5" w:rsidP="008B12A7">
            <w:pPr>
              <w:pStyle w:val="TableTextRight-BP3"/>
              <w:rPr>
                <w:lang w:eastAsia="en-AU"/>
              </w:rPr>
            </w:pPr>
            <w:r w:rsidRPr="004055EA">
              <w:rPr>
                <w:lang w:eastAsia="en-A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0DE5" w:rsidRPr="004055EA" w:rsidRDefault="00000DE5" w:rsidP="008B12A7">
            <w:pPr>
              <w:pStyle w:val="TableTextRight-BP3"/>
              <w:rPr>
                <w:lang w:eastAsia="en-AU"/>
              </w:rPr>
            </w:pPr>
            <w:r w:rsidRPr="004055EA">
              <w:rPr>
                <w:lang w:eastAsia="en-A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0DE5" w:rsidRPr="004055EA" w:rsidRDefault="00000DE5" w:rsidP="008B12A7">
            <w:pPr>
              <w:pStyle w:val="TableTextRight-BP3"/>
              <w:rPr>
                <w:lang w:eastAsia="en-AU"/>
              </w:rPr>
            </w:pPr>
            <w:r w:rsidRPr="004055EA">
              <w:rPr>
                <w:lang w:eastAsia="en-A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0DE5" w:rsidRPr="004055EA" w:rsidRDefault="00000DE5" w:rsidP="008B12A7">
            <w:pPr>
              <w:pStyle w:val="TableTextRight-BP3"/>
              <w:rPr>
                <w:lang w:eastAsia="en-AU"/>
              </w:rPr>
            </w:pPr>
            <w:r w:rsidRPr="004055EA">
              <w:rPr>
                <w:lang w:eastAsia="en-AU"/>
              </w:rPr>
              <w:t>0</w:t>
            </w:r>
          </w:p>
        </w:tc>
      </w:tr>
      <w:tr w:rsidR="00000DE5" w:rsidRPr="004055EA" w:rsidTr="00E0160B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0DE5" w:rsidRPr="004055EA" w:rsidRDefault="00000DE5" w:rsidP="008B12A7">
            <w:pPr>
              <w:pStyle w:val="TableTextLeft-BP3"/>
              <w:rPr>
                <w:lang w:eastAsia="en-AU"/>
              </w:rPr>
            </w:pPr>
            <w:r w:rsidRPr="004055EA">
              <w:rPr>
                <w:lang w:eastAsia="en-AU"/>
              </w:rPr>
              <w:t>Life insurance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0DE5" w:rsidRPr="004055EA" w:rsidRDefault="00000DE5" w:rsidP="008B12A7">
            <w:pPr>
              <w:pStyle w:val="TableTextRight-BP3"/>
              <w:rPr>
                <w:lang w:eastAsia="en-AU"/>
              </w:rPr>
            </w:pPr>
            <w:r w:rsidRPr="004055EA">
              <w:rPr>
                <w:lang w:eastAsia="en-A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0DE5" w:rsidRPr="004055EA" w:rsidRDefault="00000DE5" w:rsidP="008B12A7">
            <w:pPr>
              <w:pStyle w:val="TableTextRight-BP3"/>
              <w:rPr>
                <w:lang w:eastAsia="en-AU"/>
              </w:rPr>
            </w:pPr>
            <w:r w:rsidRPr="004055EA">
              <w:rPr>
                <w:lang w:eastAsia="en-A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0DE5" w:rsidRPr="004055EA" w:rsidRDefault="00000DE5" w:rsidP="008B12A7">
            <w:pPr>
              <w:pStyle w:val="TableTextRight-BP3"/>
              <w:rPr>
                <w:lang w:eastAsia="en-AU"/>
              </w:rPr>
            </w:pPr>
            <w:r w:rsidRPr="004055EA">
              <w:rPr>
                <w:lang w:eastAsia="en-A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00DE5" w:rsidRPr="004055EA" w:rsidRDefault="00000DE5" w:rsidP="008B12A7">
            <w:pPr>
              <w:pStyle w:val="TableTextRight-BP3"/>
              <w:rPr>
                <w:lang w:eastAsia="en-AU"/>
              </w:rPr>
            </w:pPr>
            <w:r w:rsidRPr="004055EA">
              <w:rPr>
                <w:lang w:eastAsia="en-AU"/>
              </w:rPr>
              <w:t>0</w:t>
            </w:r>
          </w:p>
        </w:tc>
      </w:tr>
    </w:tbl>
    <w:p w:rsidR="00000DE5" w:rsidRPr="008101D1" w:rsidRDefault="00097353" w:rsidP="008101D1">
      <w:pPr>
        <w:pStyle w:val="BodyText"/>
      </w:pPr>
      <w:r w:rsidRPr="008101D1">
        <w:t xml:space="preserve">Households and businesses with insurance will save 4 per cent on </w:t>
      </w:r>
      <w:r w:rsidR="003F3267" w:rsidRPr="008101D1">
        <w:t xml:space="preserve">general </w:t>
      </w:r>
      <w:r w:rsidRPr="008101D1">
        <w:t xml:space="preserve">insurance over the first two years of reform.  For example, an ACT household paying </w:t>
      </w:r>
      <w:r w:rsidR="003F3267" w:rsidRPr="008101D1">
        <w:t xml:space="preserve">around $2,500 </w:t>
      </w:r>
      <w:r w:rsidRPr="008101D1">
        <w:t xml:space="preserve">per year in insurance will save </w:t>
      </w:r>
      <w:r w:rsidR="003F3267" w:rsidRPr="008101D1">
        <w:t xml:space="preserve">around </w:t>
      </w:r>
      <w:r w:rsidRPr="008101D1">
        <w:t>$</w:t>
      </w:r>
      <w:r w:rsidR="00BA2F65" w:rsidRPr="008101D1">
        <w:t>100</w:t>
      </w:r>
      <w:r w:rsidR="00E65E8C" w:rsidRPr="008101D1">
        <w:t xml:space="preserve"> </w:t>
      </w:r>
      <w:r w:rsidR="00BA2F65" w:rsidRPr="008101D1">
        <w:t xml:space="preserve">as a result of this reform.  </w:t>
      </w:r>
      <w:r w:rsidR="00BD635D" w:rsidRPr="008101D1">
        <w:t>In addition, the reduction on insurance will lead to lower GST on insurance as GST applies to State and Territory taxes on insurance products.</w:t>
      </w:r>
    </w:p>
    <w:p w:rsidR="00000DE5" w:rsidRPr="008101D1" w:rsidRDefault="00000DE5" w:rsidP="008101D1">
      <w:pPr>
        <w:pStyle w:val="Sub-Heading"/>
      </w:pPr>
      <w:r w:rsidRPr="008101D1">
        <w:t>Conveyance Duty</w:t>
      </w:r>
    </w:p>
    <w:p w:rsidR="00097353" w:rsidRPr="008101D1" w:rsidRDefault="00000DE5" w:rsidP="008101D1">
      <w:pPr>
        <w:pStyle w:val="BodyText"/>
      </w:pPr>
      <w:r w:rsidRPr="008101D1">
        <w:t xml:space="preserve">The Government </w:t>
      </w:r>
      <w:r w:rsidR="00097353" w:rsidRPr="008101D1">
        <w:t xml:space="preserve">is abolishing </w:t>
      </w:r>
      <w:r w:rsidRPr="008101D1">
        <w:t xml:space="preserve">conveyance duty over </w:t>
      </w:r>
      <w:r w:rsidR="00097353" w:rsidRPr="008101D1">
        <w:t xml:space="preserve">the next </w:t>
      </w:r>
      <w:r w:rsidRPr="008101D1">
        <w:t xml:space="preserve">20 years.  </w:t>
      </w:r>
      <w:r w:rsidR="00097353" w:rsidRPr="008101D1">
        <w:t xml:space="preserve">This will mean that the conveyance </w:t>
      </w:r>
      <w:r w:rsidR="00A43240" w:rsidRPr="008101D1">
        <w:t xml:space="preserve">duty </w:t>
      </w:r>
      <w:r w:rsidR="00097353" w:rsidRPr="008101D1">
        <w:t xml:space="preserve">rates are progressively reduced </w:t>
      </w:r>
      <w:r w:rsidR="008F351D" w:rsidRPr="008101D1">
        <w:t>each year during that period.</w:t>
      </w:r>
      <w:r w:rsidR="00097353" w:rsidRPr="008101D1">
        <w:t xml:space="preserve"> </w:t>
      </w:r>
    </w:p>
    <w:p w:rsidR="00000DE5" w:rsidRPr="008101D1" w:rsidRDefault="00097353" w:rsidP="008101D1">
      <w:pPr>
        <w:pStyle w:val="BodyText"/>
      </w:pPr>
      <w:r w:rsidRPr="008101D1">
        <w:t xml:space="preserve">The 2012-13 Budget outlined the duty rates for the first five years of reform.  The rates will reduce </w:t>
      </w:r>
      <w:r w:rsidR="008F351D" w:rsidRPr="008101D1">
        <w:t xml:space="preserve">again </w:t>
      </w:r>
      <w:r w:rsidRPr="008101D1">
        <w:t xml:space="preserve">in 2013-14 </w:t>
      </w:r>
      <w:r w:rsidR="008F351D" w:rsidRPr="008101D1">
        <w:t xml:space="preserve">commencing 5 June 2013.  </w:t>
      </w:r>
      <w:r w:rsidRPr="008101D1">
        <w:t xml:space="preserve">These rates are shown in </w:t>
      </w:r>
      <w:r w:rsidR="00227000" w:rsidRPr="008101D1">
        <w:t>3.3.2</w:t>
      </w:r>
      <w:r w:rsidRPr="008101D1">
        <w:t xml:space="preserve"> below. </w:t>
      </w:r>
    </w:p>
    <w:p w:rsidR="008B12A7" w:rsidRPr="00227000" w:rsidRDefault="00000DE5" w:rsidP="008B12A7">
      <w:pPr>
        <w:pStyle w:val="TableNumber"/>
      </w:pPr>
      <w:r w:rsidRPr="00227000">
        <w:t xml:space="preserve">Table </w:t>
      </w:r>
      <w:r w:rsidR="00227000" w:rsidRPr="00227000">
        <w:t>3.3.2</w:t>
      </w:r>
    </w:p>
    <w:p w:rsidR="00000DE5" w:rsidRDefault="00000DE5" w:rsidP="008B12A7">
      <w:pPr>
        <w:pStyle w:val="TableName"/>
      </w:pPr>
      <w:r w:rsidRPr="00227000">
        <w:t>Conveyance Duty Rates</w:t>
      </w:r>
    </w:p>
    <w:tbl>
      <w:tblPr>
        <w:tblW w:w="9243" w:type="dxa"/>
        <w:tblLook w:val="04A0"/>
      </w:tblPr>
      <w:tblGrid>
        <w:gridCol w:w="975"/>
        <w:gridCol w:w="2636"/>
        <w:gridCol w:w="1240"/>
        <w:gridCol w:w="1146"/>
        <w:gridCol w:w="1082"/>
        <w:gridCol w:w="1082"/>
        <w:gridCol w:w="1082"/>
      </w:tblGrid>
      <w:tr w:rsidR="00550639" w:rsidRPr="004055EA" w:rsidTr="00550639">
        <w:trPr>
          <w:trHeight w:val="300"/>
        </w:trPr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0639" w:rsidRPr="00716435" w:rsidRDefault="00550639" w:rsidP="008B12A7">
            <w:pPr>
              <w:pStyle w:val="TableTextLeft-BP3"/>
              <w:jc w:val="center"/>
              <w:rPr>
                <w:b/>
                <w:sz w:val="22"/>
                <w:szCs w:val="22"/>
                <w:lang w:eastAsia="en-AU"/>
              </w:rPr>
            </w:pPr>
            <w:r w:rsidRPr="00716435">
              <w:rPr>
                <w:b/>
                <w:sz w:val="22"/>
                <w:szCs w:val="22"/>
                <w:lang w:eastAsia="en-AU"/>
              </w:rPr>
              <w:t>2012-13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50639" w:rsidRPr="004055EA" w:rsidRDefault="00550639" w:rsidP="008B12A7">
            <w:pPr>
              <w:jc w:val="both"/>
              <w:rPr>
                <w:color w:val="000000"/>
                <w:sz w:val="22"/>
                <w:szCs w:val="22"/>
                <w:lang w:eastAsia="en-AU"/>
              </w:rPr>
            </w:pPr>
            <w:r w:rsidRPr="004055EA">
              <w:rPr>
                <w:color w:val="000000"/>
                <w:sz w:val="22"/>
                <w:szCs w:val="22"/>
                <w:lang w:eastAsia="en-AU"/>
              </w:rPr>
              <w:t> </w:t>
            </w:r>
            <w:r w:rsidRPr="004055EA">
              <w:rPr>
                <w:b/>
                <w:bCs/>
                <w:color w:val="000000"/>
                <w:sz w:val="22"/>
                <w:szCs w:val="22"/>
                <w:lang w:eastAsia="en-AU"/>
              </w:rPr>
              <w:t>Threshold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2" w:color="000000" w:fill="FFFFFF"/>
            <w:noWrap/>
            <w:vAlign w:val="bottom"/>
            <w:hideMark/>
          </w:tcPr>
          <w:p w:rsidR="00550639" w:rsidRPr="004055EA" w:rsidRDefault="00550639" w:rsidP="00000DE5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4055EA">
              <w:rPr>
                <w:b/>
                <w:bCs/>
                <w:color w:val="000000"/>
                <w:sz w:val="22"/>
                <w:szCs w:val="22"/>
                <w:lang w:eastAsia="en-AU"/>
              </w:rPr>
              <w:t>2013-14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0639" w:rsidRPr="004055EA" w:rsidRDefault="00550639" w:rsidP="00550639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AU"/>
              </w:rPr>
              <w:t>Reduction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50639" w:rsidRPr="004055EA" w:rsidRDefault="00550639" w:rsidP="00000DE5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4055EA">
              <w:rPr>
                <w:b/>
                <w:bCs/>
                <w:color w:val="000000"/>
                <w:sz w:val="22"/>
                <w:szCs w:val="22"/>
                <w:lang w:eastAsia="en-AU"/>
              </w:rPr>
              <w:t>2014-15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50639" w:rsidRPr="004055EA" w:rsidRDefault="00550639" w:rsidP="00000DE5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4055EA">
              <w:rPr>
                <w:b/>
                <w:bCs/>
                <w:color w:val="000000"/>
                <w:sz w:val="22"/>
                <w:szCs w:val="22"/>
                <w:lang w:eastAsia="en-AU"/>
              </w:rPr>
              <w:t>2015-16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50639" w:rsidRPr="004055EA" w:rsidRDefault="00550639" w:rsidP="00000DE5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4055EA">
              <w:rPr>
                <w:b/>
                <w:bCs/>
                <w:color w:val="000000"/>
                <w:sz w:val="22"/>
                <w:szCs w:val="22"/>
                <w:lang w:eastAsia="en-AU"/>
              </w:rPr>
              <w:t>2016-17</w:t>
            </w:r>
          </w:p>
        </w:tc>
      </w:tr>
      <w:tr w:rsidR="00550639" w:rsidRPr="004055EA" w:rsidTr="008101D1">
        <w:trPr>
          <w:trHeight w:val="284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550639" w:rsidRPr="004055EA" w:rsidRDefault="00550639" w:rsidP="00716435">
            <w:pPr>
              <w:pStyle w:val="TableTextLeft-BP3"/>
              <w:jc w:val="right"/>
              <w:rPr>
                <w:lang w:eastAsia="en-AU"/>
              </w:rPr>
            </w:pPr>
            <w:r>
              <w:rPr>
                <w:lang w:eastAsia="en-AU"/>
              </w:rPr>
              <w:t>2.4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50639" w:rsidRPr="004055EA" w:rsidRDefault="00550639" w:rsidP="00716435">
            <w:pPr>
              <w:pStyle w:val="TableTextRight-BP3"/>
              <w:jc w:val="left"/>
              <w:rPr>
                <w:lang w:eastAsia="en-AU"/>
              </w:rPr>
            </w:pPr>
            <w:r w:rsidRPr="004055EA">
              <w:rPr>
                <w:lang w:val="en-GB" w:eastAsia="en-AU"/>
              </w:rPr>
              <w:t>Up to $200,000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pct12" w:color="000000" w:fill="FFFFFF"/>
            <w:noWrap/>
            <w:vAlign w:val="center"/>
            <w:hideMark/>
          </w:tcPr>
          <w:p w:rsidR="00550639" w:rsidRPr="004055EA" w:rsidRDefault="00550639" w:rsidP="008B12A7">
            <w:pPr>
              <w:pStyle w:val="TableTextRight-BP3"/>
              <w:rPr>
                <w:lang w:eastAsia="en-AU"/>
              </w:rPr>
            </w:pPr>
            <w:r w:rsidRPr="004055EA">
              <w:rPr>
                <w:lang w:eastAsia="en-AU"/>
              </w:rPr>
              <w:t>2.2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550639" w:rsidRPr="004055EA" w:rsidRDefault="00550639" w:rsidP="00550639">
            <w:pPr>
              <w:pStyle w:val="TableTextRight-BP3"/>
              <w:rPr>
                <w:lang w:eastAsia="en-AU"/>
              </w:rPr>
            </w:pPr>
            <w:r>
              <w:rPr>
                <w:lang w:eastAsia="en-AU"/>
              </w:rPr>
              <w:t>0.2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50639" w:rsidRPr="004055EA" w:rsidRDefault="00550639" w:rsidP="008B12A7">
            <w:pPr>
              <w:pStyle w:val="TableTextRight-BP3"/>
              <w:rPr>
                <w:lang w:eastAsia="en-AU"/>
              </w:rPr>
            </w:pPr>
            <w:r w:rsidRPr="004055EA">
              <w:rPr>
                <w:lang w:eastAsia="en-AU"/>
              </w:rPr>
              <w:t>2.0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50639" w:rsidRPr="004055EA" w:rsidRDefault="00550639" w:rsidP="008B12A7">
            <w:pPr>
              <w:pStyle w:val="TableTextRight-BP3"/>
              <w:rPr>
                <w:lang w:eastAsia="en-AU"/>
              </w:rPr>
            </w:pPr>
            <w:r w:rsidRPr="004055EA">
              <w:rPr>
                <w:lang w:eastAsia="en-AU"/>
              </w:rPr>
              <w:t>1.8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50639" w:rsidRPr="004055EA" w:rsidRDefault="00550639" w:rsidP="008B12A7">
            <w:pPr>
              <w:pStyle w:val="TableTextRight-BP3"/>
              <w:rPr>
                <w:lang w:eastAsia="en-AU"/>
              </w:rPr>
            </w:pPr>
            <w:r w:rsidRPr="004055EA">
              <w:rPr>
                <w:lang w:eastAsia="en-AU"/>
              </w:rPr>
              <w:t>1.48</w:t>
            </w:r>
          </w:p>
        </w:tc>
      </w:tr>
      <w:tr w:rsidR="00550639" w:rsidRPr="004055EA" w:rsidTr="008101D1">
        <w:trPr>
          <w:trHeight w:val="284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550639" w:rsidRPr="004055EA" w:rsidRDefault="00550639" w:rsidP="00716435">
            <w:pPr>
              <w:pStyle w:val="TableTextLeft-BP3"/>
              <w:jc w:val="right"/>
              <w:rPr>
                <w:lang w:eastAsia="en-AU"/>
              </w:rPr>
            </w:pPr>
            <w:r>
              <w:rPr>
                <w:lang w:eastAsia="en-AU"/>
              </w:rPr>
              <w:t>3.75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50639" w:rsidRPr="004055EA" w:rsidRDefault="00550639" w:rsidP="00716435">
            <w:pPr>
              <w:pStyle w:val="TableTextRight-BP3"/>
              <w:jc w:val="left"/>
              <w:rPr>
                <w:lang w:eastAsia="en-AU"/>
              </w:rPr>
            </w:pPr>
            <w:r w:rsidRPr="004055EA">
              <w:rPr>
                <w:lang w:val="en-GB" w:eastAsia="en-AU"/>
              </w:rPr>
              <w:t>$200,001 to $300,000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pct12" w:color="000000" w:fill="FFFFFF"/>
            <w:noWrap/>
            <w:vAlign w:val="center"/>
            <w:hideMark/>
          </w:tcPr>
          <w:p w:rsidR="00550639" w:rsidRPr="004055EA" w:rsidRDefault="00550639" w:rsidP="008B12A7">
            <w:pPr>
              <w:pStyle w:val="TableTextRight-BP3"/>
              <w:rPr>
                <w:lang w:eastAsia="en-AU"/>
              </w:rPr>
            </w:pPr>
            <w:r w:rsidRPr="004055EA">
              <w:rPr>
                <w:lang w:eastAsia="en-AU"/>
              </w:rPr>
              <w:t>3.7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550639" w:rsidRPr="004055EA" w:rsidRDefault="00550639" w:rsidP="00550639">
            <w:pPr>
              <w:pStyle w:val="TableTextRight-BP3"/>
              <w:rPr>
                <w:lang w:eastAsia="en-AU"/>
              </w:rPr>
            </w:pPr>
            <w:r>
              <w:rPr>
                <w:lang w:eastAsia="en-AU"/>
              </w:rPr>
              <w:t>0.05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50639" w:rsidRPr="004055EA" w:rsidRDefault="00550639" w:rsidP="008B12A7">
            <w:pPr>
              <w:pStyle w:val="TableTextRight-BP3"/>
              <w:rPr>
                <w:lang w:eastAsia="en-AU"/>
              </w:rPr>
            </w:pPr>
            <w:r w:rsidRPr="004055EA">
              <w:rPr>
                <w:lang w:eastAsia="en-AU"/>
              </w:rPr>
              <w:t>3.5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50639" w:rsidRPr="004055EA" w:rsidRDefault="00550639" w:rsidP="008B12A7">
            <w:pPr>
              <w:pStyle w:val="TableTextRight-BP3"/>
              <w:rPr>
                <w:lang w:eastAsia="en-AU"/>
              </w:rPr>
            </w:pPr>
            <w:r w:rsidRPr="004055EA">
              <w:rPr>
                <w:lang w:eastAsia="en-AU"/>
              </w:rPr>
              <w:t>3.0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50639" w:rsidRPr="004055EA" w:rsidRDefault="00550639" w:rsidP="008B12A7">
            <w:pPr>
              <w:pStyle w:val="TableTextRight-BP3"/>
              <w:rPr>
                <w:lang w:eastAsia="en-AU"/>
              </w:rPr>
            </w:pPr>
            <w:r w:rsidRPr="004055EA">
              <w:rPr>
                <w:lang w:eastAsia="en-AU"/>
              </w:rPr>
              <w:t>2.5</w:t>
            </w:r>
          </w:p>
        </w:tc>
      </w:tr>
      <w:tr w:rsidR="00550639" w:rsidRPr="004055EA" w:rsidTr="008101D1">
        <w:trPr>
          <w:trHeight w:val="284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550639" w:rsidRPr="004055EA" w:rsidRDefault="00550639" w:rsidP="00716435">
            <w:pPr>
              <w:pStyle w:val="TableTextLeft-BP3"/>
              <w:jc w:val="right"/>
              <w:rPr>
                <w:lang w:eastAsia="en-AU"/>
              </w:rPr>
            </w:pPr>
            <w:r>
              <w:rPr>
                <w:lang w:eastAsia="en-AU"/>
              </w:rPr>
              <w:t>4.75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50639" w:rsidRPr="004055EA" w:rsidRDefault="00550639" w:rsidP="00716435">
            <w:pPr>
              <w:pStyle w:val="TableTextRight-BP3"/>
              <w:jc w:val="left"/>
              <w:rPr>
                <w:lang w:eastAsia="en-AU"/>
              </w:rPr>
            </w:pPr>
            <w:r w:rsidRPr="004055EA">
              <w:rPr>
                <w:lang w:val="en-GB" w:eastAsia="en-AU"/>
              </w:rPr>
              <w:t>$300,001 to $500,000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pct12" w:color="000000" w:fill="FFFFFF"/>
            <w:noWrap/>
            <w:vAlign w:val="center"/>
            <w:hideMark/>
          </w:tcPr>
          <w:p w:rsidR="00550639" w:rsidRPr="004055EA" w:rsidRDefault="00550639" w:rsidP="008B12A7">
            <w:pPr>
              <w:pStyle w:val="TableTextRight-BP3"/>
              <w:rPr>
                <w:lang w:eastAsia="en-AU"/>
              </w:rPr>
            </w:pPr>
            <w:r w:rsidRPr="004055EA">
              <w:rPr>
                <w:lang w:eastAsia="en-AU"/>
              </w:rPr>
              <w:t>4.5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550639" w:rsidRPr="004055EA" w:rsidRDefault="00550639" w:rsidP="00550639">
            <w:pPr>
              <w:pStyle w:val="TableTextRight-BP3"/>
              <w:rPr>
                <w:lang w:eastAsia="en-AU"/>
              </w:rPr>
            </w:pPr>
            <w:r>
              <w:rPr>
                <w:lang w:eastAsia="en-AU"/>
              </w:rPr>
              <w:t>0.05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50639" w:rsidRPr="004055EA" w:rsidRDefault="00550639" w:rsidP="008B12A7">
            <w:pPr>
              <w:pStyle w:val="TableTextRight-BP3"/>
              <w:rPr>
                <w:lang w:eastAsia="en-AU"/>
              </w:rPr>
            </w:pPr>
            <w:r w:rsidRPr="004055EA">
              <w:rPr>
                <w:lang w:eastAsia="en-AU"/>
              </w:rPr>
              <w:t>4.15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50639" w:rsidRPr="004055EA" w:rsidRDefault="00550639" w:rsidP="008B12A7">
            <w:pPr>
              <w:pStyle w:val="TableTextRight-BP3"/>
              <w:rPr>
                <w:lang w:eastAsia="en-AU"/>
              </w:rPr>
            </w:pPr>
            <w:r w:rsidRPr="004055EA">
              <w:rPr>
                <w:lang w:eastAsia="en-AU"/>
              </w:rPr>
              <w:t>4.0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50639" w:rsidRPr="004055EA" w:rsidRDefault="00550639" w:rsidP="008B12A7">
            <w:pPr>
              <w:pStyle w:val="TableTextRight-BP3"/>
              <w:rPr>
                <w:lang w:eastAsia="en-AU"/>
              </w:rPr>
            </w:pPr>
            <w:r w:rsidRPr="004055EA">
              <w:rPr>
                <w:lang w:eastAsia="en-AU"/>
              </w:rPr>
              <w:t>4.0</w:t>
            </w:r>
          </w:p>
        </w:tc>
      </w:tr>
      <w:tr w:rsidR="00550639" w:rsidRPr="004055EA" w:rsidTr="008101D1">
        <w:trPr>
          <w:trHeight w:val="284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550639" w:rsidRPr="004055EA" w:rsidRDefault="00550639" w:rsidP="00716435">
            <w:pPr>
              <w:pStyle w:val="TableTextLeft-BP3"/>
              <w:jc w:val="right"/>
              <w:rPr>
                <w:lang w:eastAsia="en-AU"/>
              </w:rPr>
            </w:pPr>
            <w:r>
              <w:rPr>
                <w:lang w:eastAsia="en-AU"/>
              </w:rPr>
              <w:t>5.5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50639" w:rsidRPr="004055EA" w:rsidRDefault="00550639" w:rsidP="00716435">
            <w:pPr>
              <w:pStyle w:val="TableTextRight-BP3"/>
              <w:jc w:val="left"/>
              <w:rPr>
                <w:lang w:eastAsia="en-AU"/>
              </w:rPr>
            </w:pPr>
            <w:r w:rsidRPr="004055EA">
              <w:rPr>
                <w:lang w:val="en-GB" w:eastAsia="en-AU"/>
              </w:rPr>
              <w:t>$500,001 to $750,000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pct12" w:color="000000" w:fill="FFFFFF"/>
            <w:noWrap/>
            <w:vAlign w:val="center"/>
            <w:hideMark/>
          </w:tcPr>
          <w:p w:rsidR="00550639" w:rsidRPr="004055EA" w:rsidRDefault="00550639" w:rsidP="008B12A7">
            <w:pPr>
              <w:pStyle w:val="TableTextRight-BP3"/>
              <w:rPr>
                <w:lang w:eastAsia="en-AU"/>
              </w:rPr>
            </w:pPr>
            <w:r w:rsidRPr="004055EA">
              <w:rPr>
                <w:lang w:eastAsia="en-AU"/>
              </w:rPr>
              <w:t>5.0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550639" w:rsidRPr="004055EA" w:rsidRDefault="00550639" w:rsidP="00550639">
            <w:pPr>
              <w:pStyle w:val="TableTextRight-BP3"/>
              <w:rPr>
                <w:lang w:eastAsia="en-AU"/>
              </w:rPr>
            </w:pPr>
            <w:r>
              <w:rPr>
                <w:lang w:eastAsia="en-AU"/>
              </w:rPr>
              <w:t>0.5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50639" w:rsidRPr="004055EA" w:rsidRDefault="00550639" w:rsidP="008B12A7">
            <w:pPr>
              <w:pStyle w:val="TableTextRight-BP3"/>
              <w:rPr>
                <w:lang w:eastAsia="en-AU"/>
              </w:rPr>
            </w:pPr>
            <w:r w:rsidRPr="004055EA">
              <w:rPr>
                <w:lang w:eastAsia="en-AU"/>
              </w:rPr>
              <w:t>5.0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50639" w:rsidRPr="004055EA" w:rsidRDefault="00550639" w:rsidP="008B12A7">
            <w:pPr>
              <w:pStyle w:val="TableTextRight-BP3"/>
              <w:rPr>
                <w:lang w:eastAsia="en-AU"/>
              </w:rPr>
            </w:pPr>
            <w:r w:rsidRPr="004055EA">
              <w:rPr>
                <w:lang w:eastAsia="en-AU"/>
              </w:rPr>
              <w:t>5.0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50639" w:rsidRPr="004055EA" w:rsidRDefault="00550639" w:rsidP="008B12A7">
            <w:pPr>
              <w:pStyle w:val="TableTextRight-BP3"/>
              <w:rPr>
                <w:lang w:eastAsia="en-AU"/>
              </w:rPr>
            </w:pPr>
            <w:r w:rsidRPr="004055EA">
              <w:rPr>
                <w:lang w:eastAsia="en-AU"/>
              </w:rPr>
              <w:t>5.0</w:t>
            </w:r>
          </w:p>
        </w:tc>
      </w:tr>
      <w:tr w:rsidR="00550639" w:rsidRPr="004055EA" w:rsidTr="008101D1">
        <w:trPr>
          <w:trHeight w:val="284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550639" w:rsidRPr="004055EA" w:rsidRDefault="00550639" w:rsidP="00716435">
            <w:pPr>
              <w:pStyle w:val="TableTextLeft-BP3"/>
              <w:jc w:val="right"/>
              <w:rPr>
                <w:lang w:eastAsia="en-AU"/>
              </w:rPr>
            </w:pPr>
            <w:r>
              <w:rPr>
                <w:lang w:eastAsia="en-AU"/>
              </w:rPr>
              <w:t>6.5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50639" w:rsidRPr="004055EA" w:rsidRDefault="00550639" w:rsidP="00716435">
            <w:pPr>
              <w:pStyle w:val="TableTextRight-BP3"/>
              <w:jc w:val="left"/>
              <w:rPr>
                <w:lang w:eastAsia="en-AU"/>
              </w:rPr>
            </w:pPr>
            <w:r w:rsidRPr="004055EA">
              <w:rPr>
                <w:lang w:val="en-GB" w:eastAsia="en-AU"/>
              </w:rPr>
              <w:t>$750,001 to $1,000,000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pct12" w:color="000000" w:fill="FFFFFF"/>
            <w:noWrap/>
            <w:vAlign w:val="center"/>
            <w:hideMark/>
          </w:tcPr>
          <w:p w:rsidR="00550639" w:rsidRPr="004055EA" w:rsidRDefault="00550639" w:rsidP="008B12A7">
            <w:pPr>
              <w:pStyle w:val="TableTextRight-BP3"/>
              <w:rPr>
                <w:lang w:eastAsia="en-AU"/>
              </w:rPr>
            </w:pPr>
            <w:r w:rsidRPr="004055EA">
              <w:rPr>
                <w:lang w:eastAsia="en-AU"/>
              </w:rPr>
              <w:t>6.5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550639" w:rsidRPr="004055EA" w:rsidRDefault="00550639" w:rsidP="00550639">
            <w:pPr>
              <w:pStyle w:val="TableTextRight-BP3"/>
              <w:rPr>
                <w:lang w:eastAsia="en-AU"/>
              </w:rPr>
            </w:pPr>
            <w:r>
              <w:rPr>
                <w:lang w:eastAsia="en-AU"/>
              </w:rPr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50639" w:rsidRPr="004055EA" w:rsidRDefault="00550639" w:rsidP="008B12A7">
            <w:pPr>
              <w:pStyle w:val="TableTextRight-BP3"/>
              <w:rPr>
                <w:lang w:eastAsia="en-AU"/>
              </w:rPr>
            </w:pPr>
            <w:r w:rsidRPr="004055EA">
              <w:rPr>
                <w:lang w:eastAsia="en-AU"/>
              </w:rPr>
              <w:t>6.5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50639" w:rsidRPr="004055EA" w:rsidRDefault="00550639" w:rsidP="008B12A7">
            <w:pPr>
              <w:pStyle w:val="TableTextRight-BP3"/>
              <w:rPr>
                <w:lang w:eastAsia="en-AU"/>
              </w:rPr>
            </w:pPr>
            <w:r w:rsidRPr="004055EA">
              <w:rPr>
                <w:lang w:eastAsia="en-AU"/>
              </w:rPr>
              <w:t>6.5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50639" w:rsidRPr="004055EA" w:rsidRDefault="00550639" w:rsidP="008B12A7">
            <w:pPr>
              <w:pStyle w:val="TableTextRight-BP3"/>
              <w:rPr>
                <w:lang w:eastAsia="en-AU"/>
              </w:rPr>
            </w:pPr>
            <w:r w:rsidRPr="004055EA">
              <w:rPr>
                <w:lang w:eastAsia="en-AU"/>
              </w:rPr>
              <w:t>6.5</w:t>
            </w:r>
          </w:p>
        </w:tc>
      </w:tr>
      <w:tr w:rsidR="00550639" w:rsidRPr="004055EA" w:rsidTr="008101D1">
        <w:trPr>
          <w:trHeight w:val="284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550639" w:rsidRPr="004055EA" w:rsidRDefault="00550639" w:rsidP="00716435">
            <w:pPr>
              <w:pStyle w:val="TableTextLeft-BP3"/>
              <w:jc w:val="right"/>
              <w:rPr>
                <w:lang w:eastAsia="en-AU"/>
              </w:rPr>
            </w:pPr>
            <w:r>
              <w:rPr>
                <w:lang w:eastAsia="en-AU"/>
              </w:rPr>
              <w:t>7.25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422E" w:rsidRDefault="00550639" w:rsidP="00FF1A4D">
            <w:pPr>
              <w:pStyle w:val="TableTextRight-BP3"/>
              <w:jc w:val="left"/>
              <w:rPr>
                <w:lang w:eastAsia="en-AU"/>
              </w:rPr>
            </w:pPr>
            <w:r w:rsidRPr="004055EA">
              <w:rPr>
                <w:lang w:val="en-GB" w:eastAsia="en-AU"/>
              </w:rPr>
              <w:t>$1,000,00</w:t>
            </w:r>
            <w:r w:rsidR="00EA0543">
              <w:rPr>
                <w:lang w:val="en-GB" w:eastAsia="en-AU"/>
              </w:rPr>
              <w:t>1 to $1,649,999</w:t>
            </w:r>
            <w:r w:rsidR="00FF1A4D" w:rsidRPr="00FF1A4D">
              <w:rPr>
                <w:vertAlign w:val="superscript"/>
                <w:lang w:val="en-GB" w:eastAsia="en-AU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pct12" w:color="000000" w:fill="FFFFFF"/>
            <w:noWrap/>
            <w:vAlign w:val="center"/>
            <w:hideMark/>
          </w:tcPr>
          <w:p w:rsidR="00550639" w:rsidRPr="004055EA" w:rsidRDefault="00550639" w:rsidP="008B12A7">
            <w:pPr>
              <w:pStyle w:val="TableTextRight-BP3"/>
              <w:rPr>
                <w:lang w:eastAsia="en-AU"/>
              </w:rPr>
            </w:pPr>
            <w:r w:rsidRPr="004055EA">
              <w:rPr>
                <w:lang w:eastAsia="en-AU"/>
              </w:rPr>
              <w:t>7.0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550639" w:rsidRPr="004055EA" w:rsidRDefault="00550639" w:rsidP="00550639">
            <w:pPr>
              <w:pStyle w:val="TableTextRight-BP3"/>
              <w:rPr>
                <w:lang w:eastAsia="en-AU"/>
              </w:rPr>
            </w:pPr>
            <w:r>
              <w:rPr>
                <w:lang w:eastAsia="en-AU"/>
              </w:rPr>
              <w:t>0.25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50639" w:rsidRPr="004055EA" w:rsidRDefault="00550639" w:rsidP="008B12A7">
            <w:pPr>
              <w:pStyle w:val="TableTextRight-BP3"/>
              <w:rPr>
                <w:lang w:eastAsia="en-AU"/>
              </w:rPr>
            </w:pPr>
            <w:r w:rsidRPr="004055EA">
              <w:rPr>
                <w:lang w:eastAsia="en-AU"/>
              </w:rPr>
              <w:t>7.0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50639" w:rsidRPr="004055EA" w:rsidRDefault="00550639" w:rsidP="008B12A7">
            <w:pPr>
              <w:pStyle w:val="TableTextRight-BP3"/>
              <w:rPr>
                <w:lang w:eastAsia="en-AU"/>
              </w:rPr>
            </w:pPr>
            <w:r w:rsidRPr="004055EA">
              <w:rPr>
                <w:lang w:eastAsia="en-AU"/>
              </w:rPr>
              <w:t>7.0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50639" w:rsidRPr="004055EA" w:rsidRDefault="00550639" w:rsidP="008B12A7">
            <w:pPr>
              <w:pStyle w:val="TableTextRight-BP3"/>
              <w:rPr>
                <w:lang w:eastAsia="en-AU"/>
              </w:rPr>
            </w:pPr>
            <w:r w:rsidRPr="004055EA">
              <w:rPr>
                <w:lang w:eastAsia="en-AU"/>
              </w:rPr>
              <w:t>7.0</w:t>
            </w:r>
          </w:p>
        </w:tc>
      </w:tr>
      <w:tr w:rsidR="00EA0543" w:rsidRPr="004055EA" w:rsidTr="008101D1">
        <w:trPr>
          <w:trHeight w:val="284"/>
        </w:trPr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A0543" w:rsidRDefault="00B8745F" w:rsidP="00716435">
            <w:pPr>
              <w:pStyle w:val="TableTextLeft-BP3"/>
              <w:jc w:val="right"/>
              <w:rPr>
                <w:lang w:eastAsia="en-AU"/>
              </w:rPr>
            </w:pPr>
            <w:r>
              <w:rPr>
                <w:lang w:eastAsia="en-AU"/>
              </w:rPr>
              <w:t>7.25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A0543" w:rsidRPr="004055EA" w:rsidRDefault="00B8745F" w:rsidP="00716435">
            <w:pPr>
              <w:pStyle w:val="TableTextRight-BP3"/>
              <w:jc w:val="left"/>
              <w:rPr>
                <w:lang w:val="en-GB" w:eastAsia="en-AU"/>
              </w:rPr>
            </w:pPr>
            <w:r>
              <w:rPr>
                <w:lang w:val="en-GB" w:eastAsia="en-AU"/>
              </w:rPr>
              <w:t>$1,650,000 and above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2" w:color="000000" w:fill="FFFFFF"/>
            <w:noWrap/>
            <w:vAlign w:val="center"/>
          </w:tcPr>
          <w:p w:rsidR="00EA0543" w:rsidRPr="004055EA" w:rsidRDefault="00B8745F" w:rsidP="00FF1A4D">
            <w:pPr>
              <w:pStyle w:val="TableTextRight-BP3"/>
              <w:rPr>
                <w:lang w:eastAsia="en-AU"/>
              </w:rPr>
            </w:pPr>
            <w:r>
              <w:rPr>
                <w:lang w:eastAsia="en-AU"/>
              </w:rPr>
              <w:t>5.5</w:t>
            </w:r>
            <w:r w:rsidR="00FF1A4D" w:rsidRPr="00FF1A4D">
              <w:rPr>
                <w:vertAlign w:val="superscript"/>
                <w:lang w:eastAsia="en-AU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A0543" w:rsidRDefault="00B8745F" w:rsidP="00550639">
            <w:pPr>
              <w:pStyle w:val="TableTextRight-BP3"/>
              <w:rPr>
                <w:lang w:eastAsia="en-AU"/>
              </w:rPr>
            </w:pPr>
            <w:r>
              <w:rPr>
                <w:lang w:eastAsia="en-AU"/>
              </w:rPr>
              <w:t>1.75</w:t>
            </w:r>
            <w:r w:rsidR="00FF1A4D" w:rsidRPr="00FF1A4D">
              <w:rPr>
                <w:vertAlign w:val="superscript"/>
                <w:lang w:eastAsia="en-AU"/>
              </w:rPr>
              <w:t>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A0543" w:rsidRPr="004055EA" w:rsidRDefault="00B8745F" w:rsidP="00FF1A4D">
            <w:pPr>
              <w:pStyle w:val="TableTextRight-BP3"/>
              <w:rPr>
                <w:lang w:eastAsia="en-AU"/>
              </w:rPr>
            </w:pPr>
            <w:r>
              <w:rPr>
                <w:lang w:eastAsia="en-AU"/>
              </w:rPr>
              <w:t>5.5</w:t>
            </w:r>
            <w:r w:rsidR="00FF1A4D" w:rsidRPr="00FF1A4D">
              <w:rPr>
                <w:vertAlign w:val="superscript"/>
                <w:lang w:eastAsia="en-AU"/>
              </w:rPr>
              <w:t>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A0543" w:rsidRPr="004055EA" w:rsidRDefault="00B8745F" w:rsidP="00FF1A4D">
            <w:pPr>
              <w:pStyle w:val="TableTextRight-BP3"/>
              <w:rPr>
                <w:lang w:eastAsia="en-AU"/>
              </w:rPr>
            </w:pPr>
            <w:r>
              <w:rPr>
                <w:lang w:eastAsia="en-AU"/>
              </w:rPr>
              <w:t>5.5</w:t>
            </w:r>
            <w:r w:rsidR="00FF1A4D" w:rsidRPr="00FF1A4D">
              <w:rPr>
                <w:vertAlign w:val="superscript"/>
                <w:lang w:eastAsia="en-AU"/>
              </w:rPr>
              <w:t>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A0543" w:rsidRPr="004055EA" w:rsidRDefault="00B8745F" w:rsidP="00FF1A4D">
            <w:pPr>
              <w:pStyle w:val="TableTextRight-BP3"/>
              <w:rPr>
                <w:lang w:eastAsia="en-AU"/>
              </w:rPr>
            </w:pPr>
            <w:r>
              <w:rPr>
                <w:lang w:eastAsia="en-AU"/>
              </w:rPr>
              <w:t>5.5</w:t>
            </w:r>
            <w:r w:rsidR="00FF1A4D" w:rsidRPr="00FF1A4D">
              <w:rPr>
                <w:vertAlign w:val="superscript"/>
                <w:lang w:eastAsia="en-AU"/>
              </w:rPr>
              <w:t>2</w:t>
            </w:r>
          </w:p>
        </w:tc>
      </w:tr>
    </w:tbl>
    <w:p w:rsidR="00FF1A4D" w:rsidRDefault="007D422E" w:rsidP="00FF1A4D">
      <w:pPr>
        <w:pStyle w:val="NoteHeading0"/>
      </w:pPr>
      <w:r w:rsidRPr="008101D1">
        <w:t>Note</w:t>
      </w:r>
      <w:r w:rsidR="008C3D28">
        <w:t>s</w:t>
      </w:r>
      <w:r w:rsidRPr="008101D1">
        <w:t>:</w:t>
      </w:r>
      <w:r w:rsidRPr="007D422E">
        <w:t xml:space="preserve"> </w:t>
      </w:r>
      <w:r w:rsidR="008101D1">
        <w:t xml:space="preserve"> </w:t>
      </w:r>
      <w:r w:rsidR="00FF1A4D">
        <w:t xml:space="preserve"> </w:t>
      </w:r>
    </w:p>
    <w:p w:rsidR="00FF1A4D" w:rsidRDefault="00FF1A4D" w:rsidP="00FF1A4D">
      <w:pPr>
        <w:pStyle w:val="AINotes"/>
      </w:pPr>
      <w:r>
        <w:t>From 5 June 2013, the abolition of conveyance duty on large properties above $1.65 million will be accelerated – this is a 2013</w:t>
      </w:r>
      <w:r>
        <w:noBreakHyphen/>
        <w:t xml:space="preserve">14 Budget tax reform initiative. </w:t>
      </w:r>
    </w:p>
    <w:p w:rsidR="00B8745F" w:rsidRPr="00B8745F" w:rsidRDefault="007D422E" w:rsidP="00FF1A4D">
      <w:pPr>
        <w:pStyle w:val="AINotes"/>
      </w:pPr>
      <w:r w:rsidRPr="007D422E">
        <w:t xml:space="preserve">The 5.5 per cent rate is a flat rate. </w:t>
      </w:r>
    </w:p>
    <w:p w:rsidR="00000DE5" w:rsidRPr="00FF1A4D" w:rsidRDefault="00000DE5" w:rsidP="00FF1A4D">
      <w:pPr>
        <w:pStyle w:val="BodyText"/>
      </w:pPr>
      <w:r w:rsidRPr="00FF1A4D">
        <w:t xml:space="preserve">The table below </w:t>
      </w:r>
      <w:r w:rsidR="00F473ED" w:rsidRPr="00FF1A4D">
        <w:t xml:space="preserve">shows the duty payable </w:t>
      </w:r>
      <w:r w:rsidRPr="00FF1A4D">
        <w:t xml:space="preserve">through lower conveyance duty rates for a range of </w:t>
      </w:r>
      <w:r w:rsidR="00F473ED" w:rsidRPr="00FF1A4D">
        <w:t xml:space="preserve">property </w:t>
      </w:r>
      <w:r w:rsidR="0026430A" w:rsidRPr="00FF1A4D">
        <w:t xml:space="preserve">values.  </w:t>
      </w:r>
      <w:r w:rsidRPr="00FF1A4D">
        <w:t xml:space="preserve">For example, a house valued at $500,000 experienced a </w:t>
      </w:r>
      <w:r w:rsidR="0026430A" w:rsidRPr="00FF1A4D">
        <w:t xml:space="preserve">reduction of </w:t>
      </w:r>
      <w:r w:rsidRPr="00FF1A4D">
        <w:t>$2,450 in 2012-13</w:t>
      </w:r>
      <w:r w:rsidR="00F473ED" w:rsidRPr="00FF1A4D">
        <w:t xml:space="preserve">.  </w:t>
      </w:r>
      <w:r w:rsidR="00550639" w:rsidRPr="00FF1A4D">
        <w:t xml:space="preserve">Duty on a similar house will fall by a further $950 in 2013-14 </w:t>
      </w:r>
      <w:r w:rsidR="0072047A" w:rsidRPr="00FF1A4D">
        <w:t>meaning an overall decrease of $3</w:t>
      </w:r>
      <w:r w:rsidR="00282DAE" w:rsidRPr="00FF1A4D">
        <w:t>,</w:t>
      </w:r>
      <w:r w:rsidR="0072047A" w:rsidRPr="00FF1A4D">
        <w:t>400 since the start of tax reform.</w:t>
      </w:r>
      <w:r w:rsidR="00F473ED" w:rsidRPr="00FF1A4D">
        <w:t xml:space="preserve"> </w:t>
      </w:r>
    </w:p>
    <w:p w:rsidR="008B12A7" w:rsidRPr="00227000" w:rsidRDefault="00000DE5" w:rsidP="008B12A7">
      <w:pPr>
        <w:pStyle w:val="TableNumber"/>
      </w:pPr>
      <w:r w:rsidRPr="00227000">
        <w:t>Table</w:t>
      </w:r>
      <w:r w:rsidR="00227000" w:rsidRPr="00227000">
        <w:t xml:space="preserve"> 3.3.3</w:t>
      </w:r>
    </w:p>
    <w:p w:rsidR="00000DE5" w:rsidRPr="00227000" w:rsidRDefault="003937DE" w:rsidP="008B12A7">
      <w:pPr>
        <w:pStyle w:val="TableName"/>
      </w:pPr>
      <w:r w:rsidRPr="00227000">
        <w:t>Conveyance Duty by Threshold</w:t>
      </w:r>
    </w:p>
    <w:tbl>
      <w:tblPr>
        <w:tblW w:w="9100" w:type="dxa"/>
        <w:tblCellMar>
          <w:left w:w="0" w:type="dxa"/>
          <w:right w:w="0" w:type="dxa"/>
        </w:tblCellMar>
        <w:tblLook w:val="04A0"/>
      </w:tblPr>
      <w:tblGrid>
        <w:gridCol w:w="1093"/>
        <w:gridCol w:w="1522"/>
        <w:gridCol w:w="1109"/>
        <w:gridCol w:w="938"/>
        <w:gridCol w:w="819"/>
        <w:gridCol w:w="819"/>
        <w:gridCol w:w="819"/>
        <w:gridCol w:w="962"/>
        <w:gridCol w:w="1019"/>
      </w:tblGrid>
      <w:tr w:rsidR="009C6414" w:rsidTr="008B12A7">
        <w:trPr>
          <w:trHeight w:val="199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9C6414" w:rsidRDefault="009C6414" w:rsidP="008B12A7">
            <w:pPr>
              <w:rPr>
                <w:rFonts w:asciiTheme="minorHAnsi" w:hAnsiTheme="minorHAnsi" w:cstheme="minorHAnsi"/>
                <w:sz w:val="20"/>
              </w:rPr>
            </w:pPr>
            <w:r w:rsidRPr="002B6DCA">
              <w:rPr>
                <w:rFonts w:asciiTheme="minorHAnsi" w:hAnsiTheme="minorHAnsi" w:cstheme="minorHAnsi"/>
                <w:sz w:val="18"/>
                <w:szCs w:val="18"/>
              </w:rPr>
              <w:t>2011-12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9C6414" w:rsidRDefault="009C641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414" w:rsidRDefault="009C6414" w:rsidP="008B12A7">
            <w:pPr>
              <w:pStyle w:val="TableTextRight-BP3"/>
              <w:rPr>
                <w:rFonts w:asciiTheme="minorHAnsi" w:hAnsiTheme="minorHAnsi" w:cstheme="minorHAnsi"/>
                <w:b/>
                <w:bCs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2012</w:t>
            </w:r>
            <w:r w:rsidR="008B12A7">
              <w:rPr>
                <w:rFonts w:asciiTheme="minorHAnsi" w:hAnsiTheme="minorHAnsi" w:cstheme="minorHAnsi"/>
                <w:sz w:val="18"/>
                <w:szCs w:val="18"/>
              </w:rPr>
              <w:noBreakHyphen/>
            </w:r>
            <w:r w:rsidR="00A43240">
              <w:rPr>
                <w:rFonts w:asciiTheme="minorHAnsi" w:hAnsiTheme="minorHAnsi" w:cstheme="minorHAnsi"/>
                <w:sz w:val="18"/>
                <w:szCs w:val="18"/>
              </w:rPr>
              <w:t>13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6414" w:rsidRDefault="009C6414" w:rsidP="008B12A7">
            <w:pPr>
              <w:pStyle w:val="TableTextRight-BP3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  2013</w:t>
            </w:r>
            <w:r w:rsidR="008B12A7">
              <w:rPr>
                <w:rFonts w:asciiTheme="minorHAnsi" w:hAnsiTheme="minorHAnsi" w:cstheme="minorHAnsi"/>
                <w:sz w:val="18"/>
                <w:szCs w:val="18"/>
              </w:rPr>
              <w:noBreakHyphen/>
            </w:r>
            <w:r w:rsidR="00A43240"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6414" w:rsidRDefault="009C6414" w:rsidP="008B12A7">
            <w:pPr>
              <w:pStyle w:val="TableTextRight-BP3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2014</w:t>
            </w:r>
            <w:r w:rsidR="008B12A7">
              <w:rPr>
                <w:rFonts w:asciiTheme="minorHAnsi" w:hAnsiTheme="minorHAnsi" w:cstheme="minorHAnsi"/>
                <w:sz w:val="18"/>
                <w:szCs w:val="18"/>
              </w:rPr>
              <w:noBreakHyphen/>
            </w:r>
            <w:r w:rsidR="00A43240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6414" w:rsidRDefault="009C6414" w:rsidP="008B12A7">
            <w:pPr>
              <w:pStyle w:val="TableTextRight-BP3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2015</w:t>
            </w:r>
            <w:r w:rsidR="008B12A7">
              <w:rPr>
                <w:rFonts w:asciiTheme="minorHAnsi" w:hAnsiTheme="minorHAnsi" w:cstheme="minorHAnsi"/>
                <w:sz w:val="18"/>
                <w:szCs w:val="18"/>
              </w:rPr>
              <w:noBreakHyphen/>
            </w:r>
            <w:r w:rsidR="00A43240">
              <w:rPr>
                <w:rFonts w:asciiTheme="minorHAnsi" w:hAnsiTheme="minorHAnsi" w:cstheme="minorHAnsi"/>
                <w:sz w:val="18"/>
                <w:szCs w:val="18"/>
              </w:rPr>
              <w:t>16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6414" w:rsidRDefault="008B12A7" w:rsidP="008B12A7">
            <w:pPr>
              <w:pStyle w:val="TableTextRight-BP3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2016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noBreakHyphen/>
            </w:r>
            <w:r w:rsidR="00A43240">
              <w:rPr>
                <w:rFonts w:asciiTheme="minorHAnsi" w:hAnsiTheme="minorHAnsi" w:cstheme="minorHAnsi"/>
                <w:sz w:val="18"/>
                <w:szCs w:val="18"/>
              </w:rPr>
              <w:t>17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6414" w:rsidRDefault="009C6414" w:rsidP="008B12A7">
            <w:pPr>
              <w:pStyle w:val="TableTextRight-BP3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Savings in 2012-13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6414" w:rsidRDefault="00BA2F65" w:rsidP="008B12A7">
            <w:pPr>
              <w:pStyle w:val="TableTextRight-BP3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Additional s</w:t>
            </w:r>
            <w:r w:rsidR="009C6414">
              <w:rPr>
                <w:rFonts w:asciiTheme="minorHAnsi" w:hAnsiTheme="minorHAnsi" w:cstheme="minorHAnsi"/>
                <w:sz w:val="18"/>
                <w:szCs w:val="18"/>
              </w:rPr>
              <w:t>avings in 2013-14</w:t>
            </w:r>
          </w:p>
        </w:tc>
      </w:tr>
      <w:tr w:rsidR="009C6414" w:rsidTr="008B12A7">
        <w:trPr>
          <w:trHeight w:val="199"/>
        </w:trPr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C6414" w:rsidRDefault="009C6414" w:rsidP="00D23527">
            <w:pPr>
              <w:pStyle w:val="TableTextLeft"/>
              <w:ind w:left="34" w:hanging="34"/>
              <w:rPr>
                <w:rFonts w:asciiTheme="minorHAnsi" w:hAnsiTheme="minorHAnsi" w:cstheme="minorHAnsi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414" w:rsidRPr="008B12A7" w:rsidRDefault="009C6414" w:rsidP="008B12A7">
            <w:pPr>
              <w:pStyle w:val="TableTextLeft-BP3"/>
              <w:jc w:val="center"/>
              <w:rPr>
                <w:rFonts w:asciiTheme="minorHAnsi" w:hAnsiTheme="minorHAnsi"/>
                <w:sz w:val="18"/>
              </w:rPr>
            </w:pPr>
            <w:r w:rsidRPr="008B12A7">
              <w:rPr>
                <w:rFonts w:asciiTheme="minorHAnsi" w:hAnsiTheme="minorHAnsi"/>
                <w:sz w:val="18"/>
              </w:rPr>
              <w:t>Property value thresholds ($)</w:t>
            </w:r>
          </w:p>
        </w:tc>
        <w:tc>
          <w:tcPr>
            <w:tcW w:w="6584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414" w:rsidRPr="002B6DCA" w:rsidRDefault="009C6414" w:rsidP="008B12A7">
            <w:pPr>
              <w:pStyle w:val="TableTextRight"/>
              <w:jc w:val="center"/>
              <w:rPr>
                <w:rFonts w:asciiTheme="minorHAnsi" w:hAnsiTheme="minorHAnsi" w:cstheme="minorHAnsi"/>
                <w:b/>
                <w:sz w:val="22"/>
                <w:szCs w:val="18"/>
              </w:rPr>
            </w:pPr>
            <w:r w:rsidRPr="002B6DCA">
              <w:rPr>
                <w:rFonts w:asciiTheme="minorHAnsi" w:hAnsiTheme="minorHAnsi" w:cstheme="minorHAnsi"/>
                <w:b/>
                <w:sz w:val="22"/>
                <w:szCs w:val="18"/>
              </w:rPr>
              <w:t xml:space="preserve">Duty </w:t>
            </w:r>
            <w:r w:rsidR="008B12A7">
              <w:rPr>
                <w:rFonts w:asciiTheme="minorHAnsi" w:hAnsiTheme="minorHAnsi" w:cstheme="minorHAnsi"/>
                <w:b/>
                <w:sz w:val="22"/>
                <w:szCs w:val="18"/>
              </w:rPr>
              <w:t>P</w:t>
            </w:r>
            <w:r w:rsidRPr="002B6DCA">
              <w:rPr>
                <w:rFonts w:asciiTheme="minorHAnsi" w:hAnsiTheme="minorHAnsi" w:cstheme="minorHAnsi"/>
                <w:b/>
                <w:sz w:val="22"/>
                <w:szCs w:val="18"/>
              </w:rPr>
              <w:t>ayable ($)</w:t>
            </w:r>
          </w:p>
        </w:tc>
      </w:tr>
      <w:tr w:rsidR="009C6414" w:rsidTr="008101D1">
        <w:trPr>
          <w:trHeight w:val="227"/>
        </w:trPr>
        <w:tc>
          <w:tcPr>
            <w:tcW w:w="1194" w:type="dxa"/>
          </w:tcPr>
          <w:p w:rsidR="009C6414" w:rsidRDefault="009C6414" w:rsidP="009C6414">
            <w:pPr>
              <w:pStyle w:val="TableTextRight"/>
              <w:jc w:val="left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5,500</w:t>
            </w:r>
          </w:p>
        </w:tc>
        <w:tc>
          <w:tcPr>
            <w:tcW w:w="161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6414" w:rsidRDefault="009C6414">
            <w:pPr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200,000</w:t>
            </w:r>
          </w:p>
        </w:tc>
        <w:tc>
          <w:tcPr>
            <w:tcW w:w="115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6414" w:rsidRDefault="009C6414" w:rsidP="009C6414">
            <w:pPr>
              <w:pStyle w:val="TableTextRight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4,800</w:t>
            </w:r>
          </w:p>
        </w:tc>
        <w:tc>
          <w:tcPr>
            <w:tcW w:w="94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6414" w:rsidRDefault="009C6414" w:rsidP="009C6414">
            <w:pPr>
              <w:pStyle w:val="TableTextRight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4,400</w:t>
            </w:r>
          </w:p>
        </w:tc>
        <w:tc>
          <w:tcPr>
            <w:tcW w:w="81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6414" w:rsidRDefault="009C6414" w:rsidP="009C6414">
            <w:pPr>
              <w:pStyle w:val="TableTextRight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4,000</w:t>
            </w:r>
          </w:p>
        </w:tc>
        <w:tc>
          <w:tcPr>
            <w:tcW w:w="81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6414" w:rsidRDefault="009C6414" w:rsidP="009C6414">
            <w:pPr>
              <w:pStyle w:val="TableTextRight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3,600</w:t>
            </w:r>
          </w:p>
        </w:tc>
        <w:tc>
          <w:tcPr>
            <w:tcW w:w="81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6414" w:rsidRDefault="009C6414" w:rsidP="009C6414">
            <w:pPr>
              <w:pStyle w:val="TableTextRight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2,960</w:t>
            </w:r>
          </w:p>
        </w:tc>
        <w:tc>
          <w:tcPr>
            <w:tcW w:w="997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6414" w:rsidRDefault="009C6414" w:rsidP="009C6414">
            <w:pPr>
              <w:pStyle w:val="TableTextRight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700</w:t>
            </w:r>
          </w:p>
        </w:tc>
        <w:tc>
          <w:tcPr>
            <w:tcW w:w="1027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6414" w:rsidRDefault="009C6414">
            <w:pPr>
              <w:pStyle w:val="TableTextRight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</w:rPr>
              <w:t>400</w:t>
            </w:r>
          </w:p>
        </w:tc>
      </w:tr>
      <w:tr w:rsidR="009C6414" w:rsidTr="008101D1">
        <w:trPr>
          <w:trHeight w:val="227"/>
        </w:trPr>
        <w:tc>
          <w:tcPr>
            <w:tcW w:w="1194" w:type="dxa"/>
          </w:tcPr>
          <w:p w:rsidR="009C6414" w:rsidRDefault="009C6414" w:rsidP="009C6414">
            <w:pPr>
              <w:pStyle w:val="TableTextRight"/>
              <w:jc w:val="left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9,500</w:t>
            </w:r>
          </w:p>
        </w:tc>
        <w:tc>
          <w:tcPr>
            <w:tcW w:w="161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6414" w:rsidRDefault="009C6414">
            <w:pPr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300,000</w:t>
            </w:r>
          </w:p>
        </w:tc>
        <w:tc>
          <w:tcPr>
            <w:tcW w:w="115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6414" w:rsidRDefault="009C6414" w:rsidP="009C6414">
            <w:pPr>
              <w:pStyle w:val="TableTextRight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8,550</w:t>
            </w:r>
          </w:p>
        </w:tc>
        <w:tc>
          <w:tcPr>
            <w:tcW w:w="94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6414" w:rsidRDefault="009C6414" w:rsidP="009C6414">
            <w:pPr>
              <w:pStyle w:val="TableTextRight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8,100</w:t>
            </w:r>
          </w:p>
        </w:tc>
        <w:tc>
          <w:tcPr>
            <w:tcW w:w="81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6414" w:rsidRDefault="009C6414" w:rsidP="009C6414">
            <w:pPr>
              <w:pStyle w:val="TableTextRight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7,500</w:t>
            </w:r>
          </w:p>
        </w:tc>
        <w:tc>
          <w:tcPr>
            <w:tcW w:w="81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6414" w:rsidRDefault="009C6414" w:rsidP="009C6414">
            <w:pPr>
              <w:pStyle w:val="TableTextRight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6,600</w:t>
            </w:r>
          </w:p>
        </w:tc>
        <w:tc>
          <w:tcPr>
            <w:tcW w:w="81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6414" w:rsidRDefault="009C6414" w:rsidP="009C6414">
            <w:pPr>
              <w:pStyle w:val="TableTextRight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5,460</w:t>
            </w:r>
          </w:p>
        </w:tc>
        <w:tc>
          <w:tcPr>
            <w:tcW w:w="997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6414" w:rsidRDefault="009C6414" w:rsidP="009C6414">
            <w:pPr>
              <w:pStyle w:val="TableTextRight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950</w:t>
            </w:r>
          </w:p>
        </w:tc>
        <w:tc>
          <w:tcPr>
            <w:tcW w:w="1027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6414" w:rsidRDefault="009C6414" w:rsidP="009C6414">
            <w:pPr>
              <w:pStyle w:val="TableTextRight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</w:rPr>
              <w:t>450</w:t>
            </w:r>
          </w:p>
        </w:tc>
      </w:tr>
      <w:tr w:rsidR="009C6414" w:rsidTr="008101D1">
        <w:trPr>
          <w:trHeight w:val="227"/>
        </w:trPr>
        <w:tc>
          <w:tcPr>
            <w:tcW w:w="1194" w:type="dxa"/>
          </w:tcPr>
          <w:p w:rsidR="009C6414" w:rsidRDefault="009C6414" w:rsidP="009C6414">
            <w:pPr>
              <w:pStyle w:val="TableTextRight"/>
              <w:jc w:val="left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20,500</w:t>
            </w:r>
          </w:p>
        </w:tc>
        <w:tc>
          <w:tcPr>
            <w:tcW w:w="161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6414" w:rsidRDefault="009C6414">
            <w:pPr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500,000</w:t>
            </w:r>
          </w:p>
        </w:tc>
        <w:tc>
          <w:tcPr>
            <w:tcW w:w="115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6414" w:rsidRDefault="009C6414" w:rsidP="009C6414">
            <w:pPr>
              <w:pStyle w:val="TableTextRight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18,050</w:t>
            </w:r>
          </w:p>
        </w:tc>
        <w:tc>
          <w:tcPr>
            <w:tcW w:w="94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6414" w:rsidRDefault="009C6414" w:rsidP="009C6414">
            <w:pPr>
              <w:pStyle w:val="TableTextRight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17,100</w:t>
            </w:r>
          </w:p>
        </w:tc>
        <w:tc>
          <w:tcPr>
            <w:tcW w:w="81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6414" w:rsidRDefault="009C6414" w:rsidP="009C6414">
            <w:pPr>
              <w:pStyle w:val="TableTextRight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15,800</w:t>
            </w:r>
          </w:p>
        </w:tc>
        <w:tc>
          <w:tcPr>
            <w:tcW w:w="81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6414" w:rsidRDefault="009C6414" w:rsidP="009C6414">
            <w:pPr>
              <w:pStyle w:val="TableTextRight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14,600</w:t>
            </w:r>
          </w:p>
        </w:tc>
        <w:tc>
          <w:tcPr>
            <w:tcW w:w="81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6414" w:rsidRDefault="009C6414" w:rsidP="009C6414">
            <w:pPr>
              <w:pStyle w:val="TableTextRight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13,460</w:t>
            </w:r>
          </w:p>
        </w:tc>
        <w:tc>
          <w:tcPr>
            <w:tcW w:w="997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6414" w:rsidRDefault="009C6414" w:rsidP="009C6414">
            <w:pPr>
              <w:pStyle w:val="TableTextRight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2,450</w:t>
            </w:r>
          </w:p>
        </w:tc>
        <w:tc>
          <w:tcPr>
            <w:tcW w:w="1027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6414" w:rsidRDefault="009C6414">
            <w:pPr>
              <w:pStyle w:val="TableTextRight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</w:rPr>
              <w:t>950</w:t>
            </w:r>
          </w:p>
        </w:tc>
      </w:tr>
      <w:tr w:rsidR="009C6414" w:rsidTr="008101D1">
        <w:trPr>
          <w:trHeight w:val="227"/>
        </w:trPr>
        <w:tc>
          <w:tcPr>
            <w:tcW w:w="1194" w:type="dxa"/>
          </w:tcPr>
          <w:p w:rsidR="009C6414" w:rsidRDefault="009C6414" w:rsidP="009C6414">
            <w:pPr>
              <w:pStyle w:val="TableTextRight"/>
              <w:jc w:val="left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34,875</w:t>
            </w:r>
          </w:p>
        </w:tc>
        <w:tc>
          <w:tcPr>
            <w:tcW w:w="161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6414" w:rsidRDefault="009C6414">
            <w:pPr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750,000</w:t>
            </w:r>
          </w:p>
        </w:tc>
        <w:tc>
          <w:tcPr>
            <w:tcW w:w="115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6414" w:rsidRDefault="009C6414" w:rsidP="009C6414">
            <w:pPr>
              <w:pStyle w:val="TableTextRight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31,800</w:t>
            </w:r>
          </w:p>
        </w:tc>
        <w:tc>
          <w:tcPr>
            <w:tcW w:w="94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6414" w:rsidRDefault="009C6414" w:rsidP="009C6414">
            <w:pPr>
              <w:pStyle w:val="TableTextRight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29,600</w:t>
            </w:r>
          </w:p>
        </w:tc>
        <w:tc>
          <w:tcPr>
            <w:tcW w:w="81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6414" w:rsidRDefault="009C6414" w:rsidP="009C6414">
            <w:pPr>
              <w:pStyle w:val="TableTextRight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28,300</w:t>
            </w:r>
          </w:p>
        </w:tc>
        <w:tc>
          <w:tcPr>
            <w:tcW w:w="81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6414" w:rsidRDefault="009C6414" w:rsidP="009C6414">
            <w:pPr>
              <w:pStyle w:val="TableTextRight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27,100</w:t>
            </w:r>
          </w:p>
        </w:tc>
        <w:tc>
          <w:tcPr>
            <w:tcW w:w="81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6414" w:rsidRDefault="009C6414" w:rsidP="009C6414">
            <w:pPr>
              <w:pStyle w:val="TableTextRight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25,960</w:t>
            </w:r>
          </w:p>
        </w:tc>
        <w:tc>
          <w:tcPr>
            <w:tcW w:w="997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6414" w:rsidRDefault="009C6414" w:rsidP="009C6414">
            <w:pPr>
              <w:pStyle w:val="TableTextRight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3,075</w:t>
            </w:r>
          </w:p>
        </w:tc>
        <w:tc>
          <w:tcPr>
            <w:tcW w:w="1027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6414" w:rsidRDefault="009C6414">
            <w:pPr>
              <w:pStyle w:val="TableTextRight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</w:rPr>
              <w:t>2,200</w:t>
            </w:r>
          </w:p>
        </w:tc>
      </w:tr>
      <w:tr w:rsidR="009C6414" w:rsidTr="008101D1">
        <w:trPr>
          <w:trHeight w:val="227"/>
        </w:trPr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C6414" w:rsidRDefault="009C6414" w:rsidP="009C6414">
            <w:pPr>
              <w:pStyle w:val="TableTextRight"/>
              <w:jc w:val="left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49,250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6414" w:rsidRDefault="009C6414">
            <w:pPr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1,000,000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6414" w:rsidRDefault="009C6414" w:rsidP="009C6414">
            <w:pPr>
              <w:pStyle w:val="TableTextRight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48,050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6414" w:rsidRDefault="009C6414" w:rsidP="009C6414">
            <w:pPr>
              <w:pStyle w:val="TableTextRight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45,850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6414" w:rsidRDefault="009C6414" w:rsidP="009C6414">
            <w:pPr>
              <w:pStyle w:val="TableTextRight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44,550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6414" w:rsidRDefault="009C6414" w:rsidP="009C6414">
            <w:pPr>
              <w:pStyle w:val="TableTextRight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43,350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6414" w:rsidRDefault="009C6414" w:rsidP="009C6414">
            <w:pPr>
              <w:pStyle w:val="TableTextRight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42,210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6414" w:rsidRDefault="009C6414" w:rsidP="009C6414">
            <w:pPr>
              <w:pStyle w:val="TableTextRight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1,200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6414" w:rsidRDefault="009C6414">
            <w:pPr>
              <w:pStyle w:val="TableTextRight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</w:rPr>
              <w:t>2,200</w:t>
            </w:r>
          </w:p>
        </w:tc>
      </w:tr>
    </w:tbl>
    <w:p w:rsidR="00000DE5" w:rsidRPr="00E1401A" w:rsidRDefault="00000DE5" w:rsidP="0001074E">
      <w:pPr>
        <w:pStyle w:val="Sub-Heading"/>
        <w:spacing w:before="0"/>
      </w:pPr>
      <w:r w:rsidRPr="00E1401A">
        <w:lastRenderedPageBreak/>
        <w:t>General Rates</w:t>
      </w:r>
    </w:p>
    <w:p w:rsidR="00097353" w:rsidRPr="00E8268C" w:rsidRDefault="00097353" w:rsidP="00E8268C">
      <w:pPr>
        <w:pStyle w:val="BodyText"/>
      </w:pPr>
      <w:r w:rsidRPr="00E8268C">
        <w:t xml:space="preserve">The 2012-13 Budget announced changes to the General Rates system to make it more progressive.  </w:t>
      </w:r>
      <w:r w:rsidR="0072047A" w:rsidRPr="00E8268C">
        <w:t xml:space="preserve">Over the </w:t>
      </w:r>
      <w:r w:rsidR="0001074E" w:rsidRPr="00E8268C">
        <w:t>20</w:t>
      </w:r>
      <w:r w:rsidR="0072047A" w:rsidRPr="00E8268C">
        <w:t xml:space="preserve"> year tax reform period, the</w:t>
      </w:r>
      <w:r w:rsidRPr="00E8268C">
        <w:t xml:space="preserve"> revenue </w:t>
      </w:r>
      <w:r w:rsidR="00435D66" w:rsidRPr="00E8268C">
        <w:t xml:space="preserve">lost </w:t>
      </w:r>
      <w:r w:rsidR="0072047A" w:rsidRPr="00E8268C">
        <w:t>from</w:t>
      </w:r>
      <w:r w:rsidRPr="00E8268C">
        <w:t xml:space="preserve"> the abolition of inefficient taxes will be </w:t>
      </w:r>
      <w:r w:rsidR="00435D66" w:rsidRPr="00E8268C">
        <w:t xml:space="preserve">replaced through changes to the General Rates system.  </w:t>
      </w:r>
    </w:p>
    <w:p w:rsidR="00435D66" w:rsidRPr="00E8268C" w:rsidRDefault="00097353" w:rsidP="00E8268C">
      <w:pPr>
        <w:pStyle w:val="BodyText"/>
      </w:pPr>
      <w:r w:rsidRPr="00E8268C">
        <w:t xml:space="preserve">The 2013-14 Budget builds on this reform, by continuing </w:t>
      </w:r>
      <w:r w:rsidR="00435D66" w:rsidRPr="00E8268C">
        <w:t xml:space="preserve">to use the General Rates system as the mechanism for replacing revenue lost through the abolition of inefficient taxes.  </w:t>
      </w:r>
      <w:r w:rsidR="00BA2F65" w:rsidRPr="00E8268C">
        <w:t>For the residential sector, a series of four thresholds and rating factors were</w:t>
      </w:r>
      <w:r w:rsidR="008B12A7" w:rsidRPr="00E8268C">
        <w:t xml:space="preserve"> introduced from 1 July </w:t>
      </w:r>
      <w:r w:rsidR="00BA2F65" w:rsidRPr="00E8268C">
        <w:t xml:space="preserve">2012.  </w:t>
      </w:r>
      <w:r w:rsidR="00435D66" w:rsidRPr="00E8268C">
        <w:t xml:space="preserve">The four thresholds introduced in the 2012-13 Budget will continue, however, there will be a change to the rating factors </w:t>
      </w:r>
      <w:r w:rsidR="009C6414" w:rsidRPr="00E8268C">
        <w:t xml:space="preserve">and the fixed charge.  </w:t>
      </w:r>
      <w:r w:rsidR="00435D66" w:rsidRPr="00E8268C">
        <w:t xml:space="preserve">  </w:t>
      </w:r>
    </w:p>
    <w:p w:rsidR="00C2366A" w:rsidRPr="00E8268C" w:rsidRDefault="00210E41" w:rsidP="00E8268C">
      <w:pPr>
        <w:pStyle w:val="BodyText"/>
      </w:pPr>
      <w:r w:rsidRPr="00E8268C">
        <w:t xml:space="preserve">The 2012-13 Budget also introduced progressivity in the commercial General Rates system.  Three different thresholds and marginal rates were introduced.  </w:t>
      </w:r>
      <w:r w:rsidR="00C2366A" w:rsidRPr="00E8268C">
        <w:t xml:space="preserve">The thresholds will remain the same as in the 2012-13 </w:t>
      </w:r>
      <w:proofErr w:type="gramStart"/>
      <w:r w:rsidR="00C2366A" w:rsidRPr="00E8268C">
        <w:t>Budget,</w:t>
      </w:r>
      <w:proofErr w:type="gramEnd"/>
      <w:r w:rsidR="00C2366A" w:rsidRPr="00E8268C">
        <w:t xml:space="preserve"> however, there will be changes to the rating factors and the fixed charge.  </w:t>
      </w:r>
    </w:p>
    <w:p w:rsidR="00210E41" w:rsidRPr="00E8268C" w:rsidRDefault="00435D66" w:rsidP="00E8268C">
      <w:pPr>
        <w:pStyle w:val="BodyText"/>
      </w:pPr>
      <w:r w:rsidRPr="00E8268C">
        <w:t xml:space="preserve">The thresholds and marginal tax rates for the </w:t>
      </w:r>
      <w:r w:rsidR="00C2366A" w:rsidRPr="00E8268C">
        <w:t xml:space="preserve">General Rates in the residential and </w:t>
      </w:r>
      <w:r w:rsidRPr="00E8268C">
        <w:t>commercial sector</w:t>
      </w:r>
      <w:r w:rsidR="00C2366A" w:rsidRPr="00E8268C">
        <w:t>s</w:t>
      </w:r>
      <w:r w:rsidRPr="00E8268C">
        <w:t xml:space="preserve"> are shown in Table</w:t>
      </w:r>
      <w:r w:rsidR="00C2366A" w:rsidRPr="00E8268C">
        <w:t>s</w:t>
      </w:r>
      <w:r w:rsidRPr="00E8268C">
        <w:t xml:space="preserve"> </w:t>
      </w:r>
      <w:r w:rsidR="00C2366A" w:rsidRPr="00E8268C">
        <w:t xml:space="preserve">3.3.4 and </w:t>
      </w:r>
      <w:r w:rsidR="00227000" w:rsidRPr="00E8268C">
        <w:t>3.3.5</w:t>
      </w:r>
      <w:r w:rsidRPr="00E8268C">
        <w:t xml:space="preserve"> below. </w:t>
      </w:r>
      <w:r w:rsidR="00210E41" w:rsidRPr="00E8268C">
        <w:t xml:space="preserve"> </w:t>
      </w:r>
    </w:p>
    <w:p w:rsidR="005652B4" w:rsidRPr="00E8268C" w:rsidRDefault="005652B4" w:rsidP="00E8268C">
      <w:pPr>
        <w:pStyle w:val="Sub-Heading"/>
      </w:pPr>
      <w:r w:rsidRPr="00E8268C">
        <w:t xml:space="preserve">Other Reforms </w:t>
      </w:r>
    </w:p>
    <w:p w:rsidR="00C2366A" w:rsidRPr="008101D1" w:rsidRDefault="005652B4" w:rsidP="008101D1">
      <w:pPr>
        <w:pStyle w:val="BodyText"/>
      </w:pPr>
      <w:r w:rsidRPr="008101D1">
        <w:t xml:space="preserve">Significant reform was undertaken in the 2012-13 Budget to residential land tax, payroll tax and the Utilities Network Facilities Tax.  No further reform will be undertaken to these taxes in the 2013-14 </w:t>
      </w:r>
      <w:proofErr w:type="gramStart"/>
      <w:r w:rsidRPr="008101D1">
        <w:t>Budget</w:t>
      </w:r>
      <w:proofErr w:type="gramEnd"/>
      <w:r w:rsidRPr="008101D1">
        <w:t xml:space="preserve">. </w:t>
      </w:r>
    </w:p>
    <w:p w:rsidR="009D309C" w:rsidRPr="00E8268C" w:rsidRDefault="000F7C7A" w:rsidP="00E8268C">
      <w:pPr>
        <w:pStyle w:val="Heading3"/>
      </w:pPr>
      <w:r w:rsidRPr="00E8268C">
        <w:t>2013-14</w:t>
      </w:r>
      <w:r w:rsidR="009D309C" w:rsidRPr="00E8268C">
        <w:t xml:space="preserve"> Tax Reform Measures </w:t>
      </w:r>
    </w:p>
    <w:p w:rsidR="000F7C7A" w:rsidRPr="00E8268C" w:rsidRDefault="009D309C" w:rsidP="00E8268C">
      <w:pPr>
        <w:pStyle w:val="BodyText"/>
      </w:pPr>
      <w:r w:rsidRPr="00E8268C">
        <w:t xml:space="preserve">The 2013-14 Budget will </w:t>
      </w:r>
      <w:r w:rsidR="003A683F" w:rsidRPr="00E8268C">
        <w:t xml:space="preserve">introduce new tax reform initiatives.  </w:t>
      </w:r>
    </w:p>
    <w:p w:rsidR="009D309C" w:rsidRPr="00E8268C" w:rsidRDefault="009D309C" w:rsidP="00E8268C">
      <w:pPr>
        <w:pStyle w:val="BodyText"/>
      </w:pPr>
      <w:r w:rsidRPr="00E8268C">
        <w:t xml:space="preserve">These changes form part of the next step towards achieving the long-term objectives of tax reform, while further supporting Canberra businesses, households and the local economy.  </w:t>
      </w:r>
    </w:p>
    <w:p w:rsidR="00EF57CF" w:rsidRPr="00E8268C" w:rsidRDefault="00EF57CF" w:rsidP="00E8268C">
      <w:pPr>
        <w:pStyle w:val="BodyText"/>
      </w:pPr>
      <w:r w:rsidRPr="00E8268C">
        <w:t xml:space="preserve">The reforms included in the 2013-14 Budget are outlined below.  </w:t>
      </w:r>
    </w:p>
    <w:p w:rsidR="00C2366A" w:rsidRPr="00E8268C" w:rsidRDefault="00C2366A" w:rsidP="00E8268C">
      <w:pPr>
        <w:pStyle w:val="Sub-Heading"/>
      </w:pPr>
      <w:r w:rsidRPr="00E8268C">
        <w:t>Conveyance Duty</w:t>
      </w:r>
    </w:p>
    <w:p w:rsidR="00C2366A" w:rsidRPr="00E8268C" w:rsidRDefault="00C2366A" w:rsidP="00E8268C">
      <w:pPr>
        <w:pStyle w:val="BodyText"/>
      </w:pPr>
      <w:r w:rsidRPr="00E8268C">
        <w:t xml:space="preserve">In the 2013-14 </w:t>
      </w:r>
      <w:proofErr w:type="gramStart"/>
      <w:r w:rsidRPr="00E8268C">
        <w:t>Budget</w:t>
      </w:r>
      <w:proofErr w:type="gramEnd"/>
      <w:r w:rsidRPr="00E8268C">
        <w:t>, the Government is further accelerating the reduction in conveyance duty for properti</w:t>
      </w:r>
      <w:r w:rsidR="00282DAE" w:rsidRPr="00E8268C">
        <w:t>es valued over $1.65 million.  For properties valued above this amount, a flat rate of 5.5 per cent will be applied.  This will significantly reduce the amount of conveyance duty payable for these properties.</w:t>
      </w:r>
    </w:p>
    <w:p w:rsidR="00C2366A" w:rsidRPr="00E8268C" w:rsidRDefault="00282DAE" w:rsidP="00E8268C">
      <w:pPr>
        <w:pStyle w:val="BodyText"/>
      </w:pPr>
      <w:r w:rsidRPr="00E8268C">
        <w:t>For example, a property valued at $3 million would receive a saving of $28,000 in 2013</w:t>
      </w:r>
      <w:r w:rsidRPr="00E8268C">
        <w:noBreakHyphen/>
        <w:t>14 compared with 2012</w:t>
      </w:r>
      <w:r w:rsidRPr="00E8268C">
        <w:noBreakHyphen/>
        <w:t>13.</w:t>
      </w:r>
    </w:p>
    <w:p w:rsidR="00C2366A" w:rsidRPr="00E8268C" w:rsidRDefault="00C2366A" w:rsidP="00E8268C">
      <w:pPr>
        <w:pStyle w:val="BodyText"/>
      </w:pPr>
      <w:r w:rsidRPr="00E8268C">
        <w:t xml:space="preserve">Properties valued below $1.65 million will continue to use the progressive rates system as shown in Table 3.3.2.   </w:t>
      </w:r>
    </w:p>
    <w:p w:rsidR="00C2366A" w:rsidRPr="00E8268C" w:rsidRDefault="00C2366A" w:rsidP="00E8268C">
      <w:pPr>
        <w:pStyle w:val="BodyText"/>
      </w:pPr>
      <w:r w:rsidRPr="00E8268C">
        <w:t xml:space="preserve"> To offset the cost of this initiative (as with other tax reform initiatives) the Government will replace the lost revenue through the General Rates system.  </w:t>
      </w:r>
    </w:p>
    <w:p w:rsidR="00B8745F" w:rsidRDefault="00B8745F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br w:type="page"/>
      </w:r>
    </w:p>
    <w:p w:rsidR="007D422E" w:rsidRPr="007D422E" w:rsidRDefault="00E8268C" w:rsidP="008A0FDC">
      <w:pPr>
        <w:pStyle w:val="TableNumber"/>
        <w:spacing w:before="0"/>
      </w:pPr>
      <w:r>
        <w:lastRenderedPageBreak/>
        <w:t>Figure 3.3.4</w:t>
      </w:r>
    </w:p>
    <w:p w:rsidR="007D422E" w:rsidRPr="007D422E" w:rsidRDefault="007D422E" w:rsidP="008A0FDC">
      <w:pPr>
        <w:pStyle w:val="TableName"/>
      </w:pPr>
      <w:r w:rsidRPr="007D422E">
        <w:t xml:space="preserve">Comparison of </w:t>
      </w:r>
      <w:r w:rsidR="00B8745F">
        <w:t xml:space="preserve">Conveyance Duty </w:t>
      </w:r>
      <w:r w:rsidR="00E8268C">
        <w:t>P</w:t>
      </w:r>
      <w:r w:rsidR="00B8745F">
        <w:t xml:space="preserve">ayable with </w:t>
      </w:r>
      <w:r w:rsidRPr="007D422E">
        <w:t>NSW and Victoria</w:t>
      </w:r>
    </w:p>
    <w:p w:rsidR="00B8745F" w:rsidRDefault="00FF1A4D">
      <w:r w:rsidRPr="00FF1A4D">
        <w:rPr>
          <w:noProof/>
          <w:lang w:eastAsia="en-AU"/>
        </w:rPr>
        <w:drawing>
          <wp:inline distT="0" distB="0" distL="0" distR="0">
            <wp:extent cx="5732145" cy="3332568"/>
            <wp:effectExtent l="19050" t="0" r="1905" b="0"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3332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366A" w:rsidRDefault="00C2366A" w:rsidP="008A0FDC">
      <w:pPr>
        <w:pStyle w:val="BodyText"/>
        <w:spacing w:before="240"/>
      </w:pPr>
      <w:r w:rsidRPr="00C2366A">
        <w:rPr>
          <w:rFonts w:ascii="Arial" w:hAnsi="Arial"/>
          <w:i/>
        </w:rPr>
        <w:t>General Rates</w:t>
      </w:r>
      <w:r>
        <w:t xml:space="preserve"> </w:t>
      </w:r>
    </w:p>
    <w:p w:rsidR="00F27ADD" w:rsidRPr="00E8268C" w:rsidRDefault="00F27ADD" w:rsidP="00E8268C">
      <w:pPr>
        <w:pStyle w:val="BodyText"/>
      </w:pPr>
      <w:r w:rsidRPr="00E8268C">
        <w:t xml:space="preserve">The General Rates system continues to be the mechanism for replacing revenue lost through the abolition of inefficient taxes – both the continuation of the reforms introduced in the </w:t>
      </w:r>
      <w:r w:rsidR="00282DAE" w:rsidRPr="00E8268C">
        <w:t>20</w:t>
      </w:r>
      <w:r w:rsidRPr="00E8268C">
        <w:t xml:space="preserve">12-13 Budget and the accelerated reduction of conveyance duty announced in this </w:t>
      </w:r>
      <w:r w:rsidRPr="00E8268C">
        <w:br/>
        <w:t xml:space="preserve">Budget. </w:t>
      </w:r>
    </w:p>
    <w:p w:rsidR="00C2366A" w:rsidRPr="00E8268C" w:rsidRDefault="00C2366A" w:rsidP="00E8268C">
      <w:pPr>
        <w:pStyle w:val="BodyText"/>
      </w:pPr>
      <w:r w:rsidRPr="00E8268C">
        <w:t>Overall, General Rates on residential properties will increase by an average of around 10 per cent in 2013</w:t>
      </w:r>
      <w:r w:rsidRPr="00E8268C">
        <w:noBreakHyphen/>
        <w:t xml:space="preserve">14.  </w:t>
      </w:r>
    </w:p>
    <w:p w:rsidR="00C2366A" w:rsidRPr="00E8268C" w:rsidRDefault="00C2366A" w:rsidP="00E8268C">
      <w:pPr>
        <w:pStyle w:val="BodyText"/>
      </w:pPr>
      <w:r w:rsidRPr="00E8268C">
        <w:t xml:space="preserve">The thresholds and marginal tax rates for the residential sector for 2013-14 are shown in 3.3.4 below. The fixed charge will be increased to $626.  </w:t>
      </w:r>
    </w:p>
    <w:p w:rsidR="00C2366A" w:rsidRPr="00E8268C" w:rsidRDefault="00C2366A" w:rsidP="00E8268C">
      <w:pPr>
        <w:pStyle w:val="TableNumber"/>
      </w:pPr>
      <w:r w:rsidRPr="00E8268C">
        <w:t>Table 3.3.4</w:t>
      </w:r>
      <w:r w:rsidR="0001074E" w:rsidRPr="00E8268C">
        <w:t>:</w:t>
      </w:r>
    </w:p>
    <w:p w:rsidR="0001074E" w:rsidRPr="00E8268C" w:rsidRDefault="0001074E" w:rsidP="00E8268C">
      <w:pPr>
        <w:pStyle w:val="TableName"/>
      </w:pPr>
      <w:r w:rsidRPr="00E8268C">
        <w:t>Residential General Rates</w:t>
      </w:r>
    </w:p>
    <w:tbl>
      <w:tblPr>
        <w:tblW w:w="6968" w:type="dxa"/>
        <w:jc w:val="center"/>
        <w:tblCellMar>
          <w:left w:w="0" w:type="dxa"/>
          <w:right w:w="0" w:type="dxa"/>
        </w:tblCellMar>
        <w:tblLook w:val="04A0"/>
      </w:tblPr>
      <w:tblGrid>
        <w:gridCol w:w="2416"/>
        <w:gridCol w:w="2096"/>
        <w:gridCol w:w="2456"/>
      </w:tblGrid>
      <w:tr w:rsidR="00C2366A" w:rsidTr="0001074E">
        <w:trPr>
          <w:trHeight w:val="300"/>
          <w:jc w:val="center"/>
        </w:trPr>
        <w:tc>
          <w:tcPr>
            <w:tcW w:w="241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66A" w:rsidRDefault="00C2366A" w:rsidP="0001074E">
            <w:pPr>
              <w:rPr>
                <w:rFonts w:eastAsia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09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66A" w:rsidRDefault="00C2366A" w:rsidP="0001074E">
            <w:pPr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 xml:space="preserve">2012-13 </w:t>
            </w:r>
          </w:p>
        </w:tc>
        <w:tc>
          <w:tcPr>
            <w:tcW w:w="245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66A" w:rsidRDefault="00C2366A" w:rsidP="0001074E">
            <w:pPr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2013-14</w:t>
            </w:r>
          </w:p>
        </w:tc>
      </w:tr>
      <w:tr w:rsidR="00C2366A" w:rsidTr="0001074E">
        <w:trPr>
          <w:trHeight w:val="300"/>
          <w:jc w:val="center"/>
        </w:trPr>
        <w:tc>
          <w:tcPr>
            <w:tcW w:w="241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66A" w:rsidRDefault="00C2366A" w:rsidP="0001074E">
            <w:pPr>
              <w:rPr>
                <w:rFonts w:eastAsia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Threshold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66A" w:rsidRDefault="00C2366A" w:rsidP="0001074E">
            <w:pPr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Marginal Rate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66A" w:rsidRDefault="00C2366A" w:rsidP="0001074E">
            <w:pPr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Marginal Rate</w:t>
            </w:r>
          </w:p>
        </w:tc>
      </w:tr>
      <w:tr w:rsidR="00C2366A" w:rsidTr="0001074E">
        <w:trPr>
          <w:trHeight w:val="300"/>
          <w:jc w:val="center"/>
        </w:trPr>
        <w:tc>
          <w:tcPr>
            <w:tcW w:w="24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66A" w:rsidRPr="008B12A7" w:rsidRDefault="00C2366A" w:rsidP="0001074E">
            <w:pPr>
              <w:rPr>
                <w:rFonts w:eastAsiaTheme="minorHAnsi"/>
                <w:color w:val="000000"/>
                <w:sz w:val="20"/>
              </w:rPr>
            </w:pPr>
            <w:r w:rsidRPr="008B12A7">
              <w:rPr>
                <w:color w:val="000000"/>
                <w:sz w:val="20"/>
              </w:rPr>
              <w:t>0 to $150,000</w:t>
            </w:r>
          </w:p>
        </w:tc>
        <w:tc>
          <w:tcPr>
            <w:tcW w:w="2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66A" w:rsidRPr="008B12A7" w:rsidRDefault="00C2366A" w:rsidP="0001074E">
            <w:pPr>
              <w:jc w:val="center"/>
              <w:rPr>
                <w:rFonts w:eastAsiaTheme="minorHAnsi"/>
                <w:color w:val="000000"/>
                <w:sz w:val="20"/>
              </w:rPr>
            </w:pPr>
            <w:r w:rsidRPr="008B12A7">
              <w:rPr>
                <w:color w:val="000000"/>
                <w:sz w:val="20"/>
              </w:rPr>
              <w:t>0.2236%</w:t>
            </w:r>
          </w:p>
        </w:tc>
        <w:tc>
          <w:tcPr>
            <w:tcW w:w="245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66A" w:rsidRPr="008B12A7" w:rsidRDefault="00C2366A" w:rsidP="0001074E">
            <w:pPr>
              <w:jc w:val="center"/>
              <w:rPr>
                <w:rFonts w:eastAsiaTheme="minorHAnsi"/>
                <w:color w:val="000000"/>
                <w:sz w:val="20"/>
              </w:rPr>
            </w:pPr>
            <w:r w:rsidRPr="008B12A7">
              <w:rPr>
                <w:color w:val="000000"/>
                <w:sz w:val="20"/>
              </w:rPr>
              <w:t>0.2306%</w:t>
            </w:r>
          </w:p>
        </w:tc>
      </w:tr>
      <w:tr w:rsidR="00C2366A" w:rsidTr="0001074E">
        <w:trPr>
          <w:trHeight w:val="300"/>
          <w:jc w:val="center"/>
        </w:trPr>
        <w:tc>
          <w:tcPr>
            <w:tcW w:w="24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66A" w:rsidRPr="008B12A7" w:rsidRDefault="00C2366A" w:rsidP="0001074E">
            <w:pPr>
              <w:rPr>
                <w:rFonts w:eastAsiaTheme="minorHAnsi"/>
                <w:color w:val="000000"/>
                <w:sz w:val="20"/>
              </w:rPr>
            </w:pPr>
            <w:r w:rsidRPr="008B12A7">
              <w:rPr>
                <w:color w:val="000000"/>
                <w:sz w:val="20"/>
              </w:rPr>
              <w:t>$150,000 to $300,000</w:t>
            </w:r>
          </w:p>
        </w:tc>
        <w:tc>
          <w:tcPr>
            <w:tcW w:w="2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66A" w:rsidRPr="008B12A7" w:rsidRDefault="00C2366A" w:rsidP="0001074E">
            <w:pPr>
              <w:jc w:val="center"/>
              <w:rPr>
                <w:rFonts w:eastAsiaTheme="minorHAnsi"/>
                <w:color w:val="000000"/>
                <w:sz w:val="20"/>
              </w:rPr>
            </w:pPr>
            <w:r w:rsidRPr="008B12A7">
              <w:rPr>
                <w:color w:val="000000"/>
                <w:sz w:val="20"/>
              </w:rPr>
              <w:t>0.3136%</w:t>
            </w:r>
          </w:p>
        </w:tc>
        <w:tc>
          <w:tcPr>
            <w:tcW w:w="245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66A" w:rsidRPr="008B12A7" w:rsidRDefault="00C2366A" w:rsidP="0001074E">
            <w:pPr>
              <w:jc w:val="center"/>
              <w:rPr>
                <w:rFonts w:eastAsiaTheme="minorHAnsi"/>
                <w:color w:val="000000"/>
                <w:sz w:val="20"/>
              </w:rPr>
            </w:pPr>
            <w:r w:rsidRPr="008B12A7">
              <w:rPr>
                <w:color w:val="000000"/>
                <w:sz w:val="20"/>
              </w:rPr>
              <w:t>0.3241%</w:t>
            </w:r>
          </w:p>
        </w:tc>
      </w:tr>
      <w:tr w:rsidR="00C2366A" w:rsidTr="0001074E">
        <w:trPr>
          <w:trHeight w:val="300"/>
          <w:jc w:val="center"/>
        </w:trPr>
        <w:tc>
          <w:tcPr>
            <w:tcW w:w="24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66A" w:rsidRPr="008B12A7" w:rsidRDefault="00C2366A" w:rsidP="0001074E">
            <w:pPr>
              <w:rPr>
                <w:rFonts w:eastAsiaTheme="minorHAnsi"/>
                <w:color w:val="000000"/>
                <w:sz w:val="20"/>
              </w:rPr>
            </w:pPr>
            <w:r w:rsidRPr="008B12A7">
              <w:rPr>
                <w:color w:val="000000"/>
                <w:sz w:val="20"/>
              </w:rPr>
              <w:t>$300,000 to $450,000</w:t>
            </w:r>
          </w:p>
        </w:tc>
        <w:tc>
          <w:tcPr>
            <w:tcW w:w="20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66A" w:rsidRPr="008B12A7" w:rsidRDefault="00C2366A" w:rsidP="0001074E">
            <w:pPr>
              <w:jc w:val="center"/>
              <w:rPr>
                <w:rFonts w:eastAsiaTheme="minorHAnsi"/>
                <w:color w:val="000000"/>
                <w:sz w:val="20"/>
              </w:rPr>
            </w:pPr>
            <w:r w:rsidRPr="008B12A7">
              <w:rPr>
                <w:color w:val="000000"/>
                <w:sz w:val="20"/>
              </w:rPr>
              <w:t>0.3736%</w:t>
            </w:r>
          </w:p>
        </w:tc>
        <w:tc>
          <w:tcPr>
            <w:tcW w:w="245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66A" w:rsidRPr="008B12A7" w:rsidRDefault="00C2366A" w:rsidP="0001074E">
            <w:pPr>
              <w:jc w:val="center"/>
              <w:rPr>
                <w:rFonts w:eastAsiaTheme="minorHAnsi"/>
                <w:color w:val="000000"/>
                <w:sz w:val="20"/>
              </w:rPr>
            </w:pPr>
            <w:r w:rsidRPr="008B12A7">
              <w:rPr>
                <w:color w:val="000000"/>
                <w:sz w:val="20"/>
              </w:rPr>
              <w:t>0.3876%</w:t>
            </w:r>
          </w:p>
        </w:tc>
      </w:tr>
      <w:tr w:rsidR="00C2366A" w:rsidTr="0001074E">
        <w:trPr>
          <w:trHeight w:val="300"/>
          <w:jc w:val="center"/>
        </w:trPr>
        <w:tc>
          <w:tcPr>
            <w:tcW w:w="241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66A" w:rsidRPr="008B12A7" w:rsidRDefault="00C2366A" w:rsidP="0001074E">
            <w:pPr>
              <w:rPr>
                <w:rFonts w:eastAsiaTheme="minorHAnsi"/>
                <w:color w:val="000000"/>
                <w:sz w:val="20"/>
              </w:rPr>
            </w:pPr>
            <w:r w:rsidRPr="008B12A7">
              <w:rPr>
                <w:color w:val="000000"/>
                <w:sz w:val="20"/>
              </w:rPr>
              <w:t>$450,000 and above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66A" w:rsidRPr="008B12A7" w:rsidRDefault="00C2366A" w:rsidP="0001074E">
            <w:pPr>
              <w:jc w:val="center"/>
              <w:rPr>
                <w:rFonts w:eastAsiaTheme="minorHAnsi"/>
                <w:color w:val="000000"/>
                <w:sz w:val="20"/>
              </w:rPr>
            </w:pPr>
            <w:r w:rsidRPr="008B12A7">
              <w:rPr>
                <w:color w:val="000000"/>
                <w:sz w:val="20"/>
              </w:rPr>
              <w:t>0.4136%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66A" w:rsidRPr="008B12A7" w:rsidRDefault="00C2366A" w:rsidP="0001074E">
            <w:pPr>
              <w:jc w:val="center"/>
              <w:rPr>
                <w:rFonts w:eastAsiaTheme="minorHAnsi"/>
                <w:color w:val="000000"/>
                <w:sz w:val="20"/>
              </w:rPr>
            </w:pPr>
            <w:r w:rsidRPr="008B12A7">
              <w:rPr>
                <w:color w:val="000000"/>
                <w:sz w:val="20"/>
              </w:rPr>
              <w:t>0.4312%</w:t>
            </w:r>
          </w:p>
        </w:tc>
      </w:tr>
      <w:tr w:rsidR="00C2366A" w:rsidTr="0001074E">
        <w:trPr>
          <w:trHeight w:val="300"/>
          <w:jc w:val="center"/>
        </w:trPr>
        <w:tc>
          <w:tcPr>
            <w:tcW w:w="241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66A" w:rsidRPr="008B12A7" w:rsidRDefault="00C2366A" w:rsidP="0001074E">
            <w:pPr>
              <w:rPr>
                <w:rFonts w:eastAsiaTheme="minorHAnsi"/>
                <w:color w:val="000000"/>
                <w:sz w:val="20"/>
              </w:rPr>
            </w:pPr>
            <w:r w:rsidRPr="008B12A7">
              <w:rPr>
                <w:color w:val="000000"/>
                <w:sz w:val="20"/>
              </w:rPr>
              <w:t>Fixed Charge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66A" w:rsidRPr="008B12A7" w:rsidRDefault="00C2366A" w:rsidP="0001074E">
            <w:pPr>
              <w:jc w:val="center"/>
              <w:rPr>
                <w:rFonts w:eastAsiaTheme="minorHAnsi"/>
                <w:color w:val="000000"/>
                <w:sz w:val="20"/>
              </w:rPr>
            </w:pPr>
            <w:r w:rsidRPr="008B12A7">
              <w:rPr>
                <w:color w:val="000000"/>
                <w:sz w:val="20"/>
              </w:rPr>
              <w:t>$555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66A" w:rsidRPr="008B12A7" w:rsidRDefault="00C2366A" w:rsidP="0001074E">
            <w:pPr>
              <w:jc w:val="center"/>
              <w:rPr>
                <w:rFonts w:eastAsiaTheme="minorHAnsi"/>
                <w:color w:val="000000"/>
                <w:sz w:val="20"/>
              </w:rPr>
            </w:pPr>
            <w:r w:rsidRPr="008B12A7">
              <w:rPr>
                <w:color w:val="000000"/>
                <w:sz w:val="20"/>
              </w:rPr>
              <w:t>$626</w:t>
            </w:r>
          </w:p>
        </w:tc>
      </w:tr>
    </w:tbl>
    <w:p w:rsidR="00C2366A" w:rsidRPr="0001074E" w:rsidRDefault="00C2366A" w:rsidP="00E8268C">
      <w:pPr>
        <w:pStyle w:val="BodyText"/>
        <w:spacing w:before="0"/>
      </w:pPr>
      <w:r w:rsidRPr="0001074E">
        <w:lastRenderedPageBreak/>
        <w:t xml:space="preserve">General Rates on commercial </w:t>
      </w:r>
      <w:r w:rsidR="00282DAE" w:rsidRPr="0001074E">
        <w:t>properties</w:t>
      </w:r>
      <w:r w:rsidR="00F27ADD" w:rsidRPr="0001074E">
        <w:t xml:space="preserve"> </w:t>
      </w:r>
      <w:r w:rsidRPr="0001074E">
        <w:t xml:space="preserve">will increase </w:t>
      </w:r>
      <w:r w:rsidR="00F27ADD" w:rsidRPr="0001074E">
        <w:t xml:space="preserve">overall </w:t>
      </w:r>
      <w:r w:rsidRPr="0001074E">
        <w:t>by around 20 per cent</w:t>
      </w:r>
      <w:r w:rsidR="00F27ADD" w:rsidRPr="0001074E">
        <w:t xml:space="preserve"> in </w:t>
      </w:r>
      <w:r w:rsidR="00F27ADD" w:rsidRPr="0001074E">
        <w:br/>
        <w:t>2013-14</w:t>
      </w:r>
      <w:r w:rsidRPr="0001074E">
        <w:t xml:space="preserve">.  </w:t>
      </w:r>
    </w:p>
    <w:p w:rsidR="00C2366A" w:rsidRPr="0001074E" w:rsidRDefault="00C2366A" w:rsidP="00E8268C">
      <w:pPr>
        <w:pStyle w:val="BodyText"/>
        <w:spacing w:before="0"/>
      </w:pPr>
      <w:r w:rsidRPr="0001074E">
        <w:t xml:space="preserve">The thresholds and marginal tax rates for the commercial sector are shown in Table 3.3.5 below.  The fixed charge will increase to $1,749.  The thresholds will remain the same as in the 2012-13 Budget, however, there are changes to the rating factors.  </w:t>
      </w:r>
    </w:p>
    <w:p w:rsidR="00C2366A" w:rsidRPr="00E8268C" w:rsidRDefault="00C2366A" w:rsidP="00E8268C">
      <w:pPr>
        <w:pStyle w:val="TableNumber"/>
      </w:pPr>
      <w:r w:rsidRPr="00E8268C">
        <w:t>Table 3.3.5</w:t>
      </w:r>
    </w:p>
    <w:p w:rsidR="0001074E" w:rsidRPr="00E8268C" w:rsidRDefault="0001074E" w:rsidP="00E8268C">
      <w:pPr>
        <w:pStyle w:val="TableName"/>
      </w:pPr>
      <w:r w:rsidRPr="00E8268C">
        <w:t>Commercial General Rates</w:t>
      </w:r>
    </w:p>
    <w:tbl>
      <w:tblPr>
        <w:tblW w:w="6968" w:type="dxa"/>
        <w:jc w:val="center"/>
        <w:tblCellMar>
          <w:left w:w="0" w:type="dxa"/>
          <w:right w:w="0" w:type="dxa"/>
        </w:tblCellMar>
        <w:tblLook w:val="04A0"/>
      </w:tblPr>
      <w:tblGrid>
        <w:gridCol w:w="3401"/>
        <w:gridCol w:w="1581"/>
        <w:gridCol w:w="1986"/>
      </w:tblGrid>
      <w:tr w:rsidR="00C2366A" w:rsidTr="0001074E">
        <w:trPr>
          <w:trHeight w:val="300"/>
          <w:jc w:val="center"/>
        </w:trPr>
        <w:tc>
          <w:tcPr>
            <w:tcW w:w="241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66A" w:rsidRDefault="00C2366A" w:rsidP="0001074E">
            <w:pPr>
              <w:rPr>
                <w:rFonts w:eastAsia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 Threshold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66A" w:rsidRDefault="00C2366A" w:rsidP="0001074E">
            <w:pPr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2012-13</w:t>
            </w:r>
          </w:p>
        </w:tc>
        <w:tc>
          <w:tcPr>
            <w:tcW w:w="141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66A" w:rsidRDefault="00C2366A" w:rsidP="0001074E">
            <w:pPr>
              <w:ind w:hanging="7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2013-14</w:t>
            </w:r>
          </w:p>
        </w:tc>
      </w:tr>
      <w:tr w:rsidR="00C2366A" w:rsidTr="0001074E">
        <w:trPr>
          <w:trHeight w:val="300"/>
          <w:jc w:val="center"/>
        </w:trPr>
        <w:tc>
          <w:tcPr>
            <w:tcW w:w="2416" w:type="dxa"/>
            <w:tcBorders>
              <w:top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66A" w:rsidRPr="00E1401A" w:rsidRDefault="00C2366A" w:rsidP="0001074E">
            <w:pPr>
              <w:rPr>
                <w:rFonts w:eastAsiaTheme="minorHAnsi"/>
                <w:color w:val="000000"/>
                <w:sz w:val="20"/>
              </w:rPr>
            </w:pPr>
            <w:r w:rsidRPr="00E1401A">
              <w:rPr>
                <w:color w:val="000000"/>
                <w:sz w:val="20"/>
              </w:rPr>
              <w:t>0 to $150,000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66A" w:rsidRPr="00E1401A" w:rsidRDefault="00C2366A" w:rsidP="0001074E">
            <w:pPr>
              <w:jc w:val="center"/>
              <w:rPr>
                <w:rFonts w:eastAsiaTheme="minorHAnsi"/>
                <w:color w:val="000000"/>
                <w:sz w:val="20"/>
              </w:rPr>
            </w:pPr>
            <w:r w:rsidRPr="00E1401A">
              <w:rPr>
                <w:color w:val="000000"/>
                <w:sz w:val="20"/>
              </w:rPr>
              <w:t>1.9070%</w:t>
            </w:r>
          </w:p>
        </w:tc>
        <w:tc>
          <w:tcPr>
            <w:tcW w:w="1411" w:type="dxa"/>
            <w:tcBorders>
              <w:top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66A" w:rsidRPr="00E1401A" w:rsidRDefault="00C2366A" w:rsidP="0001074E">
            <w:pPr>
              <w:jc w:val="center"/>
              <w:rPr>
                <w:rFonts w:eastAsiaTheme="minorHAnsi"/>
                <w:color w:val="000000"/>
                <w:sz w:val="20"/>
              </w:rPr>
            </w:pPr>
            <w:r w:rsidRPr="00E1401A">
              <w:rPr>
                <w:color w:val="000000"/>
                <w:sz w:val="20"/>
              </w:rPr>
              <w:t>2.2069%</w:t>
            </w:r>
          </w:p>
        </w:tc>
      </w:tr>
      <w:tr w:rsidR="00C2366A" w:rsidTr="0001074E">
        <w:trPr>
          <w:trHeight w:val="300"/>
          <w:jc w:val="center"/>
        </w:trPr>
        <w:tc>
          <w:tcPr>
            <w:tcW w:w="24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66A" w:rsidRPr="00E1401A" w:rsidRDefault="00C2366A" w:rsidP="0001074E">
            <w:pPr>
              <w:rPr>
                <w:rFonts w:eastAsiaTheme="minorHAnsi"/>
                <w:color w:val="000000"/>
                <w:sz w:val="20"/>
              </w:rPr>
            </w:pPr>
            <w:r w:rsidRPr="00E1401A">
              <w:rPr>
                <w:color w:val="000000"/>
                <w:sz w:val="20"/>
              </w:rPr>
              <w:t>$150,000 to $275,000</w:t>
            </w:r>
          </w:p>
        </w:tc>
        <w:tc>
          <w:tcPr>
            <w:tcW w:w="112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66A" w:rsidRPr="00E1401A" w:rsidRDefault="00C2366A" w:rsidP="0001074E">
            <w:pPr>
              <w:jc w:val="center"/>
              <w:rPr>
                <w:rFonts w:eastAsiaTheme="minorHAnsi"/>
                <w:color w:val="000000"/>
                <w:sz w:val="20"/>
              </w:rPr>
            </w:pPr>
            <w:r w:rsidRPr="00E1401A">
              <w:rPr>
                <w:color w:val="000000"/>
                <w:sz w:val="20"/>
              </w:rPr>
              <w:t>2.2670%</w:t>
            </w:r>
          </w:p>
        </w:tc>
        <w:tc>
          <w:tcPr>
            <w:tcW w:w="141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66A" w:rsidRPr="00E1401A" w:rsidRDefault="00C2366A" w:rsidP="0001074E">
            <w:pPr>
              <w:jc w:val="center"/>
              <w:rPr>
                <w:rFonts w:eastAsiaTheme="minorHAnsi"/>
                <w:color w:val="000000"/>
                <w:sz w:val="20"/>
              </w:rPr>
            </w:pPr>
            <w:r w:rsidRPr="00E1401A">
              <w:rPr>
                <w:color w:val="000000"/>
                <w:sz w:val="20"/>
              </w:rPr>
              <w:t>2.6429%</w:t>
            </w:r>
          </w:p>
        </w:tc>
      </w:tr>
      <w:tr w:rsidR="00C2366A" w:rsidTr="0001074E">
        <w:trPr>
          <w:trHeight w:val="300"/>
          <w:jc w:val="center"/>
        </w:trPr>
        <w:tc>
          <w:tcPr>
            <w:tcW w:w="241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66A" w:rsidRPr="00E1401A" w:rsidRDefault="00C2366A" w:rsidP="0001074E">
            <w:pPr>
              <w:rPr>
                <w:rFonts w:eastAsiaTheme="minorHAnsi"/>
                <w:color w:val="000000"/>
                <w:sz w:val="20"/>
              </w:rPr>
            </w:pPr>
            <w:r w:rsidRPr="00E1401A">
              <w:rPr>
                <w:color w:val="000000"/>
                <w:sz w:val="20"/>
              </w:rPr>
              <w:t>$275,000 and above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66A" w:rsidRPr="00E1401A" w:rsidRDefault="00C2366A" w:rsidP="0001074E">
            <w:pPr>
              <w:jc w:val="center"/>
              <w:rPr>
                <w:rFonts w:eastAsiaTheme="minorHAnsi"/>
                <w:color w:val="000000"/>
                <w:sz w:val="20"/>
              </w:rPr>
            </w:pPr>
            <w:r w:rsidRPr="00E1401A">
              <w:rPr>
                <w:color w:val="000000"/>
                <w:sz w:val="20"/>
              </w:rPr>
              <w:t>2.6070%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66A" w:rsidRPr="00E1401A" w:rsidRDefault="00C2366A" w:rsidP="0001074E">
            <w:pPr>
              <w:jc w:val="center"/>
              <w:rPr>
                <w:rFonts w:eastAsiaTheme="minorHAnsi"/>
                <w:color w:val="000000"/>
                <w:sz w:val="20"/>
              </w:rPr>
            </w:pPr>
            <w:r w:rsidRPr="00E1401A">
              <w:rPr>
                <w:color w:val="000000"/>
                <w:sz w:val="20"/>
              </w:rPr>
              <w:t>3.5369%</w:t>
            </w:r>
          </w:p>
        </w:tc>
      </w:tr>
      <w:tr w:rsidR="00C2366A" w:rsidTr="0001074E">
        <w:trPr>
          <w:trHeight w:val="300"/>
          <w:jc w:val="center"/>
        </w:trPr>
        <w:tc>
          <w:tcPr>
            <w:tcW w:w="241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66A" w:rsidRPr="00E1401A" w:rsidRDefault="00C2366A" w:rsidP="0001074E">
            <w:pPr>
              <w:rPr>
                <w:rFonts w:eastAsiaTheme="minorHAnsi"/>
                <w:color w:val="000000"/>
                <w:sz w:val="20"/>
              </w:rPr>
            </w:pPr>
            <w:r w:rsidRPr="00E1401A">
              <w:rPr>
                <w:color w:val="000000"/>
                <w:sz w:val="20"/>
              </w:rPr>
              <w:t>Fixed Charge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66A" w:rsidRPr="00E1401A" w:rsidRDefault="00C2366A" w:rsidP="0001074E">
            <w:pPr>
              <w:jc w:val="center"/>
              <w:rPr>
                <w:rFonts w:eastAsiaTheme="minorHAnsi"/>
                <w:color w:val="000000"/>
                <w:sz w:val="20"/>
              </w:rPr>
            </w:pPr>
            <w:r w:rsidRPr="00E1401A">
              <w:rPr>
                <w:color w:val="000000"/>
                <w:sz w:val="20"/>
              </w:rPr>
              <w:t>$1,213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66A" w:rsidRPr="00E1401A" w:rsidRDefault="00C2366A" w:rsidP="0001074E">
            <w:pPr>
              <w:jc w:val="center"/>
              <w:rPr>
                <w:rFonts w:eastAsiaTheme="minorHAnsi"/>
                <w:color w:val="000000"/>
                <w:sz w:val="20"/>
              </w:rPr>
            </w:pPr>
            <w:r w:rsidRPr="00E1401A">
              <w:rPr>
                <w:color w:val="000000"/>
                <w:sz w:val="20"/>
              </w:rPr>
              <w:t>$1,749</w:t>
            </w:r>
          </w:p>
        </w:tc>
      </w:tr>
    </w:tbl>
    <w:p w:rsidR="00435D66" w:rsidRPr="00E1401A" w:rsidRDefault="00435D66" w:rsidP="0001074E">
      <w:pPr>
        <w:pStyle w:val="Sub-Heading"/>
        <w:keepNext w:val="0"/>
      </w:pPr>
      <w:r>
        <w:t>Affordable Housing Package</w:t>
      </w:r>
    </w:p>
    <w:p w:rsidR="0001074E" w:rsidRPr="00E8268C" w:rsidRDefault="00435D66" w:rsidP="00E8268C">
      <w:pPr>
        <w:pStyle w:val="BodyText"/>
        <w:keepNext w:val="0"/>
        <w:keepLines w:val="0"/>
      </w:pPr>
      <w:r>
        <w:t xml:space="preserve">The 2013-14 Budget will make reforms to improve affordable housing in the Territory.  These changes include: retargeting the First Home Owner Grant to new homes only, expanding the Home Buyer Concession Scheme and retargeting the Land Rent Scheme by only offering it to eligible </w:t>
      </w:r>
      <w:r w:rsidR="003A683F">
        <w:t xml:space="preserve">low income households.  </w:t>
      </w:r>
      <w:r>
        <w:t xml:space="preserve">These reforms are outlined below. </w:t>
      </w:r>
    </w:p>
    <w:p w:rsidR="00127248" w:rsidRPr="00E8268C" w:rsidRDefault="00A82397" w:rsidP="00E8268C">
      <w:pPr>
        <w:pStyle w:val="Sub-Heading"/>
        <w:keepNext w:val="0"/>
      </w:pPr>
      <w:r w:rsidRPr="00E8268C">
        <w:t>First Home Owner Grant</w:t>
      </w:r>
    </w:p>
    <w:p w:rsidR="0001074E" w:rsidRDefault="00127248" w:rsidP="00E8268C">
      <w:pPr>
        <w:pStyle w:val="BodyText"/>
        <w:keepNext w:val="0"/>
      </w:pPr>
      <w:r w:rsidRPr="00E1401A">
        <w:t xml:space="preserve">The First Home Owner Grant will be retargeted to new and substantially renovated properties </w:t>
      </w:r>
      <w:r w:rsidR="00C40250" w:rsidRPr="00E1401A">
        <w:t xml:space="preserve">from 1 September 2013.  The value of the grant will be </w:t>
      </w:r>
      <w:r w:rsidR="003A683F" w:rsidRPr="00E1401A">
        <w:t xml:space="preserve">increased </w:t>
      </w:r>
      <w:r w:rsidR="00C40250" w:rsidRPr="00E1401A">
        <w:t>from $7,000 to</w:t>
      </w:r>
      <w:r w:rsidRPr="00E1401A">
        <w:t xml:space="preserve"> $12,500.  </w:t>
      </w:r>
    </w:p>
    <w:p w:rsidR="00127248" w:rsidRPr="0001074E" w:rsidRDefault="00127248" w:rsidP="00E8268C">
      <w:pPr>
        <w:pStyle w:val="BodyText"/>
        <w:keepNext w:val="0"/>
      </w:pPr>
      <w:r w:rsidRPr="0001074E">
        <w:t>Th</w:t>
      </w:r>
      <w:r w:rsidR="002803D1" w:rsidRPr="0001074E">
        <w:t xml:space="preserve">ese changes </w:t>
      </w:r>
      <w:r w:rsidRPr="0001074E">
        <w:t>will align the First Home Owner Grant with the Home Buyer Concession Scheme</w:t>
      </w:r>
      <w:r w:rsidR="003A683F" w:rsidRPr="0001074E">
        <w:t xml:space="preserve"> with a common objective of stimulating the construction of </w:t>
      </w:r>
      <w:r w:rsidR="002803D1" w:rsidRPr="0001074E">
        <w:t>new housing in the Territory.</w:t>
      </w:r>
      <w:r w:rsidR="00C40250" w:rsidRPr="0001074E">
        <w:t xml:space="preserve">  It will also</w:t>
      </w:r>
      <w:r w:rsidRPr="0001074E">
        <w:t xml:space="preserve"> provide greater support </w:t>
      </w:r>
      <w:r w:rsidR="002803D1" w:rsidRPr="0001074E">
        <w:t>to the construction industry</w:t>
      </w:r>
      <w:r w:rsidRPr="0001074E">
        <w:t xml:space="preserve">.  </w:t>
      </w:r>
      <w:r w:rsidR="002803D1" w:rsidRPr="0001074E">
        <w:t>These changes will align the ACT with other states, including NSW,</w:t>
      </w:r>
      <w:r w:rsidR="00E1401A" w:rsidRPr="0001074E">
        <w:t xml:space="preserve"> QLD, VIC and SA</w:t>
      </w:r>
      <w:r w:rsidR="003A683F" w:rsidRPr="0001074E">
        <w:t>, who have implemented similar reforms to their First Home Owner Grant arrangements</w:t>
      </w:r>
      <w:r w:rsidR="002803D1" w:rsidRPr="0001074E">
        <w:t xml:space="preserve">. </w:t>
      </w:r>
    </w:p>
    <w:p w:rsidR="00127248" w:rsidRPr="0001074E" w:rsidRDefault="00127248" w:rsidP="00E8268C">
      <w:pPr>
        <w:pStyle w:val="BodyText"/>
        <w:keepNext w:val="0"/>
      </w:pPr>
      <w:r w:rsidRPr="0001074E">
        <w:t>The current First Home Owner Grant will continue until 31 August 2013, to allow households already in the market</w:t>
      </w:r>
      <w:r w:rsidR="003A683F" w:rsidRPr="0001074E">
        <w:t xml:space="preserve"> to purchase an existing dwelling </w:t>
      </w:r>
      <w:r w:rsidRPr="0001074E">
        <w:t>to have access to the grant</w:t>
      </w:r>
      <w:r w:rsidR="003A683F" w:rsidRPr="0001074E">
        <w:t xml:space="preserve">.  </w:t>
      </w:r>
      <w:r w:rsidRPr="0001074E">
        <w:t xml:space="preserve"> </w:t>
      </w:r>
    </w:p>
    <w:p w:rsidR="000F7C7A" w:rsidRPr="0001074E" w:rsidRDefault="00127248" w:rsidP="00E8268C">
      <w:pPr>
        <w:pStyle w:val="Sub-Heading"/>
        <w:keepNext w:val="0"/>
      </w:pPr>
      <w:r w:rsidRPr="0001074E">
        <w:t>Land Rent Scheme</w:t>
      </w:r>
    </w:p>
    <w:p w:rsidR="00435D66" w:rsidRPr="00716435" w:rsidRDefault="00435D66" w:rsidP="00E8268C">
      <w:pPr>
        <w:pStyle w:val="BodyText"/>
        <w:keepNext w:val="0"/>
      </w:pPr>
      <w:r w:rsidRPr="00716435">
        <w:t xml:space="preserve">The Land Rent Scheme was introduced in the Territory in 2008 to provide an alternative option for households to enter the housing market.  Two different rental rates exist </w:t>
      </w:r>
      <w:r w:rsidR="003A683F" w:rsidRPr="00716435">
        <w:t xml:space="preserve">for </w:t>
      </w:r>
      <w:r w:rsidRPr="00716435">
        <w:t xml:space="preserve">those wishing to enter the </w:t>
      </w:r>
      <w:r w:rsidR="00227000" w:rsidRPr="00716435">
        <w:t>sc</w:t>
      </w:r>
      <w:r w:rsidRPr="00716435">
        <w:t xml:space="preserve">heme, including a discount rate of 2 per cent for low income households and a standard 4 per cent rate for all other households.  The </w:t>
      </w:r>
      <w:r w:rsidR="00227000" w:rsidRPr="00716435">
        <w:t>s</w:t>
      </w:r>
      <w:r w:rsidRPr="00716435">
        <w:t xml:space="preserve">cheme underwent an external evaluation in 2012 and was found to be performing well.  </w:t>
      </w:r>
    </w:p>
    <w:p w:rsidR="00FF1A4D" w:rsidRDefault="00FF1A4D">
      <w:r>
        <w:br w:type="page"/>
      </w:r>
    </w:p>
    <w:p w:rsidR="00E8268C" w:rsidRDefault="00435D66" w:rsidP="00FF1A4D">
      <w:pPr>
        <w:pStyle w:val="BodyText"/>
        <w:keepNext w:val="0"/>
        <w:spacing w:before="0"/>
      </w:pPr>
      <w:r w:rsidRPr="00716435">
        <w:lastRenderedPageBreak/>
        <w:t>As part of the 2013-14 Budget, t</w:t>
      </w:r>
      <w:r w:rsidR="00990130" w:rsidRPr="00716435">
        <w:t xml:space="preserve">he Land Rent Scheme will be </w:t>
      </w:r>
      <w:r w:rsidR="002803D1" w:rsidRPr="00716435">
        <w:t xml:space="preserve">modified to provide </w:t>
      </w:r>
      <w:r w:rsidR="00C40250" w:rsidRPr="00716435">
        <w:t>improved access to housing for low to medium income households</w:t>
      </w:r>
      <w:r w:rsidR="002803D1" w:rsidRPr="00716435">
        <w:t>, by retargeting the eligibility requirements to focus on those cohorts</w:t>
      </w:r>
      <w:r w:rsidR="00990130" w:rsidRPr="00716435">
        <w:t xml:space="preserve">. </w:t>
      </w:r>
      <w:r w:rsidR="002803D1" w:rsidRPr="00716435">
        <w:t xml:space="preserve"> </w:t>
      </w:r>
      <w:r w:rsidR="00990130" w:rsidRPr="00716435">
        <w:t xml:space="preserve">From 1 October 2013, </w:t>
      </w:r>
      <w:r w:rsidR="002803D1" w:rsidRPr="00716435">
        <w:t xml:space="preserve">access to the </w:t>
      </w:r>
      <w:r w:rsidR="00227000" w:rsidRPr="00716435">
        <w:t>s</w:t>
      </w:r>
      <w:r w:rsidR="002803D1" w:rsidRPr="00716435">
        <w:t xml:space="preserve">cheme </w:t>
      </w:r>
      <w:r w:rsidR="003A683F" w:rsidRPr="00716435">
        <w:t xml:space="preserve">for new entrants </w:t>
      </w:r>
      <w:r w:rsidR="002803D1" w:rsidRPr="00716435">
        <w:t xml:space="preserve">will be available to applicants who meet the defined eligibility </w:t>
      </w:r>
      <w:r w:rsidR="00990130" w:rsidRPr="00716435">
        <w:t>criteria</w:t>
      </w:r>
      <w:r w:rsidR="00BA2F65" w:rsidRPr="00716435">
        <w:t xml:space="preserve">.  </w:t>
      </w:r>
      <w:r w:rsidR="002803D1" w:rsidRPr="00716435">
        <w:t xml:space="preserve">The eligibility criteria include: </w:t>
      </w:r>
    </w:p>
    <w:p w:rsidR="002803D1" w:rsidRPr="00E8268C" w:rsidRDefault="00860D52" w:rsidP="00FF1A4D">
      <w:pPr>
        <w:pStyle w:val="BodyTextIndent"/>
      </w:pPr>
      <w:r w:rsidRPr="00E8268C">
        <w:t>none</w:t>
      </w:r>
      <w:r w:rsidR="002803D1" w:rsidRPr="00E8268C">
        <w:t xml:space="preserve"> of the lessees </w:t>
      </w:r>
      <w:r w:rsidR="00A43240" w:rsidRPr="00E8268C">
        <w:t xml:space="preserve">own other real property; </w:t>
      </w:r>
    </w:p>
    <w:p w:rsidR="002803D1" w:rsidRPr="00E8268C" w:rsidRDefault="002803D1" w:rsidP="00E8268C">
      <w:pPr>
        <w:pStyle w:val="BodyTextIndent"/>
      </w:pPr>
      <w:r w:rsidRPr="00E8268C">
        <w:t>the total income of lessee</w:t>
      </w:r>
      <w:r w:rsidR="00860D52" w:rsidRPr="00E8268C">
        <w:t>s</w:t>
      </w:r>
      <w:r w:rsidRPr="00E8268C">
        <w:t xml:space="preserve">, </w:t>
      </w:r>
      <w:r w:rsidR="00860D52" w:rsidRPr="00E8268C">
        <w:t>is below</w:t>
      </w:r>
      <w:r w:rsidRPr="00E8268C">
        <w:t xml:space="preserve"> the </w:t>
      </w:r>
      <w:r w:rsidR="003A683F" w:rsidRPr="00E8268C">
        <w:t xml:space="preserve">defined </w:t>
      </w:r>
      <w:r w:rsidRPr="00E8268C">
        <w:t>income threshold amount; and</w:t>
      </w:r>
    </w:p>
    <w:p w:rsidR="002803D1" w:rsidRPr="00E8268C" w:rsidRDefault="002803D1" w:rsidP="00E8268C">
      <w:pPr>
        <w:pStyle w:val="BodyTextIndent"/>
      </w:pPr>
      <w:proofErr w:type="gramStart"/>
      <w:r w:rsidRPr="00E8268C">
        <w:t>at</w:t>
      </w:r>
      <w:proofErr w:type="gramEnd"/>
      <w:r w:rsidRPr="00E8268C">
        <w:t xml:space="preserve"> least </w:t>
      </w:r>
      <w:r w:rsidR="00227000" w:rsidRPr="00E8268C">
        <w:t>one</w:t>
      </w:r>
      <w:r w:rsidRPr="00E8268C">
        <w:t xml:space="preserve"> of the lessees lives on the parcel of land under the lease.</w:t>
      </w:r>
    </w:p>
    <w:p w:rsidR="00990130" w:rsidRPr="00E8268C" w:rsidRDefault="003A683F" w:rsidP="00E8268C">
      <w:pPr>
        <w:pStyle w:val="BodyText"/>
      </w:pPr>
      <w:r w:rsidRPr="00E8268C">
        <w:t xml:space="preserve">New entrants will no </w:t>
      </w:r>
      <w:r w:rsidR="00C40250" w:rsidRPr="00E8268C">
        <w:t>longer be a</w:t>
      </w:r>
      <w:r w:rsidR="005652B4" w:rsidRPr="00E8268C">
        <w:t xml:space="preserve">ble to access the scheme at the standard </w:t>
      </w:r>
      <w:r w:rsidR="00C40250" w:rsidRPr="00E8268C">
        <w:t>rate.</w:t>
      </w:r>
      <w:r w:rsidR="005652B4" w:rsidRPr="00E8268C">
        <w:t xml:space="preserve">  However, existing lessees currently in the sc</w:t>
      </w:r>
      <w:r w:rsidR="00990130" w:rsidRPr="00E8268C">
        <w:t xml:space="preserve">heme at the standard (4 per cent rate) will be able to continue in the scheme.  </w:t>
      </w:r>
    </w:p>
    <w:p w:rsidR="00A82397" w:rsidRPr="00E8268C" w:rsidRDefault="00A82397" w:rsidP="00E8268C">
      <w:pPr>
        <w:pStyle w:val="Sub-Heading"/>
      </w:pPr>
      <w:r w:rsidRPr="00E8268C">
        <w:t>Home Buyer Concession Scheme</w:t>
      </w:r>
    </w:p>
    <w:p w:rsidR="00A82397" w:rsidRPr="00E8268C" w:rsidRDefault="00A82397" w:rsidP="00E8268C">
      <w:pPr>
        <w:pStyle w:val="BodyText"/>
      </w:pPr>
      <w:r w:rsidRPr="00E8268C">
        <w:t xml:space="preserve">The Home Buyer Concession Scheme </w:t>
      </w:r>
      <w:r w:rsidR="00F31935" w:rsidRPr="00E8268C">
        <w:t xml:space="preserve">underwent significant reform as part of the 2012-13 Budget.  The scheme was retargeted towards new houses only and the income threshold was significantly increased.  As part of the 2013-14 Budget, the Home Buyer Concession Scheme </w:t>
      </w:r>
      <w:r w:rsidRPr="00E8268C">
        <w:t>is being further expanded to assist first home buyers in the Territory.</w:t>
      </w:r>
    </w:p>
    <w:p w:rsidR="005652B4" w:rsidRPr="00E8268C" w:rsidRDefault="001C79D7" w:rsidP="00E8268C">
      <w:pPr>
        <w:pStyle w:val="BodyText"/>
      </w:pPr>
      <w:r w:rsidRPr="00E8268C">
        <w:t>As part of these changes, t</w:t>
      </w:r>
      <w:r w:rsidR="00A82397" w:rsidRPr="00E8268C">
        <w:t xml:space="preserve">he </w:t>
      </w:r>
      <w:r w:rsidR="00C40250" w:rsidRPr="00E8268C">
        <w:t xml:space="preserve">income </w:t>
      </w:r>
      <w:r w:rsidR="00A82397" w:rsidRPr="00E8268C">
        <w:t xml:space="preserve">eligibility criteria will increase from $150,000 to $160,000.  The property threshold up until which a full concession is available will increase from the 25th to the </w:t>
      </w:r>
      <w:r w:rsidR="00127248" w:rsidRPr="00E8268C">
        <w:t xml:space="preserve">40th percentile.  </w:t>
      </w:r>
      <w:r w:rsidR="00A82397" w:rsidRPr="00E8268C">
        <w:t xml:space="preserve">This will provide a full </w:t>
      </w:r>
      <w:r w:rsidR="00C40250" w:rsidRPr="00E8268C">
        <w:t xml:space="preserve">duty </w:t>
      </w:r>
      <w:r w:rsidR="00A82397" w:rsidRPr="00E8268C">
        <w:t xml:space="preserve">concession up to a </w:t>
      </w:r>
      <w:r w:rsidR="005652B4" w:rsidRPr="00E8268C">
        <w:t xml:space="preserve">property </w:t>
      </w:r>
      <w:r w:rsidR="00A82397" w:rsidRPr="00E8268C">
        <w:t>value of $</w:t>
      </w:r>
      <w:r w:rsidR="00127248" w:rsidRPr="00E8268C">
        <w:t xml:space="preserve">425,000.  </w:t>
      </w:r>
      <w:r w:rsidR="005652B4" w:rsidRPr="00E8268C">
        <w:t>A partial concession</w:t>
      </w:r>
      <w:r w:rsidR="00860D52" w:rsidRPr="00E8268C">
        <w:t xml:space="preserve"> will be</w:t>
      </w:r>
      <w:r w:rsidR="005652B4" w:rsidRPr="00E8268C">
        <w:t xml:space="preserve"> is available for property values up to $525,000 (the 65th percentile).  </w:t>
      </w:r>
    </w:p>
    <w:p w:rsidR="003937DE" w:rsidRPr="00E8268C" w:rsidRDefault="005652B4" w:rsidP="00E8268C">
      <w:pPr>
        <w:pStyle w:val="BodyText"/>
      </w:pPr>
      <w:r w:rsidRPr="00E8268C">
        <w:t xml:space="preserve">Further information on </w:t>
      </w:r>
      <w:r w:rsidR="00A43240" w:rsidRPr="00E8268C">
        <w:t xml:space="preserve">other </w:t>
      </w:r>
      <w:r w:rsidRPr="00E8268C">
        <w:t xml:space="preserve">concessions provided by the ACT Government is provided in Chapter </w:t>
      </w:r>
      <w:r w:rsidR="00872583" w:rsidRPr="00E8268C">
        <w:t>2.4 Cost of Living Statement</w:t>
      </w:r>
      <w:r w:rsidRPr="00E8268C">
        <w:t xml:space="preserve">.  </w:t>
      </w:r>
    </w:p>
    <w:sectPr w:rsidR="003937DE" w:rsidRPr="00E8268C" w:rsidSect="0003791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51" w:right="1440" w:bottom="1729" w:left="1440" w:header="720" w:footer="720" w:gutter="0"/>
      <w:pgNumType w:start="95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3D28" w:rsidRDefault="008C3D28">
      <w:r>
        <w:separator/>
      </w:r>
    </w:p>
  </w:endnote>
  <w:endnote w:type="continuationSeparator" w:id="0">
    <w:p w:rsidR="008C3D28" w:rsidRDefault="008C3D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Courier New"/>
    <w:panose1 w:val="00000000000000000000"/>
    <w:charset w:val="02"/>
    <w:family w:val="auto"/>
    <w:notTrueType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OfficinaSerif-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(W1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912" w:rsidRDefault="0003791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D28" w:rsidRDefault="008C3D28">
    <w:pPr>
      <w:pStyle w:val="FooterBP"/>
    </w:pPr>
    <w:r>
      <w:t>2013-14 Budget Paper No. 3</w:t>
    </w:r>
    <w:r>
      <w:tab/>
    </w:r>
    <w:fldSimple w:instr=" PAGE   \* MERGEFORMAT ">
      <w:r w:rsidR="00EB6D14">
        <w:rPr>
          <w:noProof/>
        </w:rPr>
        <w:t>95</w:t>
      </w:r>
    </w:fldSimple>
    <w:r>
      <w:tab/>
      <w:t>Taxation Reform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912" w:rsidRDefault="0003791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3D28" w:rsidRDefault="008C3D28">
      <w:r>
        <w:separator/>
      </w:r>
    </w:p>
  </w:footnote>
  <w:footnote w:type="continuationSeparator" w:id="0">
    <w:p w:rsidR="008C3D28" w:rsidRDefault="008C3D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912" w:rsidRDefault="0003791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912" w:rsidRDefault="0003791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912" w:rsidRDefault="0003791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8C8D67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E5A0DE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4549C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65E3FC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AC0CC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9641B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B40813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2E2E7B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5C60A8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63E3EF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5930D5"/>
    <w:multiLevelType w:val="multilevel"/>
    <w:tmpl w:val="19E23728"/>
    <w:lvl w:ilvl="0">
      <w:start w:val="1"/>
      <w:numFmt w:val="lowerLetter"/>
      <w:pStyle w:val="TSYBullets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4BA11C5"/>
    <w:multiLevelType w:val="hybridMultilevel"/>
    <w:tmpl w:val="05F4BB08"/>
    <w:lvl w:ilvl="0" w:tplc="445C04A8">
      <w:start w:val="1"/>
      <w:numFmt w:val="bullet"/>
      <w:pStyle w:val="BodyTextIndent2"/>
      <w:lvlText w:val="–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2">
    <w:nsid w:val="08E60934"/>
    <w:multiLevelType w:val="hybridMultilevel"/>
    <w:tmpl w:val="93AA6100"/>
    <w:lvl w:ilvl="0" w:tplc="D4682E1E">
      <w:start w:val="1"/>
      <w:numFmt w:val="bullet"/>
      <w:pStyle w:val="BodyTextIndent4"/>
      <w:lvlText w:val="–"/>
      <w:lvlJc w:val="left"/>
      <w:pPr>
        <w:tabs>
          <w:tab w:val="num" w:pos="2016"/>
        </w:tabs>
        <w:ind w:left="2016" w:hanging="360"/>
      </w:pPr>
      <w:rPr>
        <w:rFonts w:ascii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3">
    <w:nsid w:val="0F6F51F0"/>
    <w:multiLevelType w:val="singleLevel"/>
    <w:tmpl w:val="45EA7380"/>
    <w:lvl w:ilvl="0">
      <w:start w:val="1"/>
      <w:numFmt w:val="bullet"/>
      <w:pStyle w:val="Bullet-1"/>
      <w:lvlText w:val=""/>
      <w:lvlJc w:val="left"/>
      <w:pPr>
        <w:tabs>
          <w:tab w:val="num" w:pos="360"/>
        </w:tabs>
        <w:ind w:left="288" w:hanging="288"/>
      </w:pPr>
      <w:rPr>
        <w:rFonts w:ascii="Symbol" w:hAnsi="Symbol" w:cs="Symbol" w:hint="default"/>
        <w:sz w:val="18"/>
        <w:szCs w:val="18"/>
      </w:rPr>
    </w:lvl>
  </w:abstractNum>
  <w:abstractNum w:abstractNumId="14">
    <w:nsid w:val="2042450A"/>
    <w:multiLevelType w:val="singleLevel"/>
    <w:tmpl w:val="22E0411C"/>
    <w:lvl w:ilvl="0">
      <w:start w:val="1"/>
      <w:numFmt w:val="bullet"/>
      <w:pStyle w:val="DotPoint"/>
      <w:lvlText w:val=""/>
      <w:lvlJc w:val="left"/>
      <w:pPr>
        <w:tabs>
          <w:tab w:val="num" w:pos="709"/>
        </w:tabs>
        <w:ind w:left="709" w:hanging="425"/>
      </w:pPr>
      <w:rPr>
        <w:rFonts w:ascii="Symbol" w:hAnsi="Symbol" w:cs="Symbol" w:hint="default"/>
      </w:rPr>
    </w:lvl>
  </w:abstractNum>
  <w:abstractNum w:abstractNumId="15">
    <w:nsid w:val="204403A6"/>
    <w:multiLevelType w:val="hybridMultilevel"/>
    <w:tmpl w:val="AF782D9E"/>
    <w:lvl w:ilvl="0" w:tplc="D34E0BDE">
      <w:start w:val="1"/>
      <w:numFmt w:val="bullet"/>
      <w:pStyle w:val="Captio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04C2DBA"/>
    <w:multiLevelType w:val="hybridMultilevel"/>
    <w:tmpl w:val="1DBE5F94"/>
    <w:lvl w:ilvl="0" w:tplc="3096549E">
      <w:start w:val="1"/>
      <w:numFmt w:val="bullet"/>
      <w:pStyle w:val="BodyTextIndent3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517"/>
        </w:tabs>
        <w:ind w:left="251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hint="default"/>
      </w:rPr>
    </w:lvl>
  </w:abstractNum>
  <w:abstractNum w:abstractNumId="17">
    <w:nsid w:val="224E3BDC"/>
    <w:multiLevelType w:val="hybridMultilevel"/>
    <w:tmpl w:val="D842061A"/>
    <w:lvl w:ilvl="0" w:tplc="653AE3A8">
      <w:start w:val="1"/>
      <w:numFmt w:val="bullet"/>
      <w:pStyle w:val="BodyTextInd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8">
    <w:nsid w:val="2B7B4B71"/>
    <w:multiLevelType w:val="hybridMultilevel"/>
    <w:tmpl w:val="5BD4521A"/>
    <w:lvl w:ilvl="0" w:tplc="28F464AA">
      <w:start w:val="1"/>
      <w:numFmt w:val="bullet"/>
      <w:pStyle w:val="do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  <w:szCs w:val="20"/>
      </w:rPr>
    </w:lvl>
    <w:lvl w:ilvl="1" w:tplc="230244E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7A3CF518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 w:tplc="39B2E59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 w:tplc="21CCD9F2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CBE6BA48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 w:tplc="020A781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 w:tplc="1AC8DAEE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7914975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19">
    <w:nsid w:val="2C9E6CD2"/>
    <w:multiLevelType w:val="hybridMultilevel"/>
    <w:tmpl w:val="AD08B1D2"/>
    <w:lvl w:ilvl="0" w:tplc="25044FCA">
      <w:start w:val="1"/>
      <w:numFmt w:val="bullet"/>
      <w:pStyle w:val="TableTex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  <w:color w:val="auto"/>
      </w:rPr>
    </w:lvl>
    <w:lvl w:ilvl="1" w:tplc="91BC6AA2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30209E7A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36408022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3CE2D18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7F4272AA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7C4259AA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2E64131E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E996C14E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0">
    <w:nsid w:val="302B1D18"/>
    <w:multiLevelType w:val="hybridMultilevel"/>
    <w:tmpl w:val="45367C18"/>
    <w:lvl w:ilvl="0" w:tplc="21BA466A">
      <w:start w:val="1"/>
      <w:numFmt w:val="decimal"/>
      <w:pStyle w:val="Numbers"/>
      <w:lvlText w:val="%1."/>
      <w:lvlJc w:val="left"/>
      <w:pPr>
        <w:tabs>
          <w:tab w:val="num" w:pos="743"/>
        </w:tabs>
        <w:ind w:left="743" w:hanging="454"/>
      </w:pPr>
      <w:rPr>
        <w:rFonts w:hint="default"/>
      </w:rPr>
    </w:lvl>
    <w:lvl w:ilvl="1" w:tplc="04090003">
      <w:start w:val="1"/>
      <w:numFmt w:val="lowerRoman"/>
      <w:lvlText w:val="%2."/>
      <w:lvlJc w:val="right"/>
      <w:pPr>
        <w:tabs>
          <w:tab w:val="num" w:pos="1009"/>
        </w:tabs>
        <w:ind w:left="1009" w:hanging="360"/>
      </w:pPr>
    </w:lvl>
    <w:lvl w:ilvl="2" w:tplc="04090005">
      <w:start w:val="1"/>
      <w:numFmt w:val="lowerRoman"/>
      <w:lvlText w:val="%3."/>
      <w:lvlJc w:val="right"/>
      <w:pPr>
        <w:tabs>
          <w:tab w:val="num" w:pos="2449"/>
        </w:tabs>
        <w:ind w:left="2449" w:hanging="180"/>
      </w:pPr>
    </w:lvl>
    <w:lvl w:ilvl="3" w:tplc="04090001">
      <w:start w:val="1"/>
      <w:numFmt w:val="decimal"/>
      <w:lvlText w:val="%4."/>
      <w:lvlJc w:val="left"/>
      <w:pPr>
        <w:tabs>
          <w:tab w:val="num" w:pos="3169"/>
        </w:tabs>
        <w:ind w:left="3169" w:hanging="360"/>
      </w:pPr>
    </w:lvl>
    <w:lvl w:ilvl="4" w:tplc="04090003">
      <w:start w:val="1"/>
      <w:numFmt w:val="lowerLetter"/>
      <w:lvlText w:val="%5."/>
      <w:lvlJc w:val="left"/>
      <w:pPr>
        <w:tabs>
          <w:tab w:val="num" w:pos="3889"/>
        </w:tabs>
        <w:ind w:left="3889" w:hanging="360"/>
      </w:pPr>
    </w:lvl>
    <w:lvl w:ilvl="5" w:tplc="04090005">
      <w:start w:val="1"/>
      <w:numFmt w:val="lowerRoman"/>
      <w:lvlText w:val="%6."/>
      <w:lvlJc w:val="right"/>
      <w:pPr>
        <w:tabs>
          <w:tab w:val="num" w:pos="4609"/>
        </w:tabs>
        <w:ind w:left="4609" w:hanging="180"/>
      </w:pPr>
    </w:lvl>
    <w:lvl w:ilvl="6" w:tplc="04090001">
      <w:start w:val="1"/>
      <w:numFmt w:val="decimal"/>
      <w:lvlText w:val="%7."/>
      <w:lvlJc w:val="left"/>
      <w:pPr>
        <w:tabs>
          <w:tab w:val="num" w:pos="5329"/>
        </w:tabs>
        <w:ind w:left="5329" w:hanging="360"/>
      </w:pPr>
    </w:lvl>
    <w:lvl w:ilvl="7" w:tplc="04090003">
      <w:start w:val="1"/>
      <w:numFmt w:val="lowerLetter"/>
      <w:lvlText w:val="%8."/>
      <w:lvlJc w:val="left"/>
      <w:pPr>
        <w:tabs>
          <w:tab w:val="num" w:pos="6049"/>
        </w:tabs>
        <w:ind w:left="6049" w:hanging="360"/>
      </w:pPr>
    </w:lvl>
    <w:lvl w:ilvl="8" w:tplc="04090005">
      <w:start w:val="1"/>
      <w:numFmt w:val="lowerRoman"/>
      <w:lvlText w:val="%9."/>
      <w:lvlJc w:val="right"/>
      <w:pPr>
        <w:tabs>
          <w:tab w:val="num" w:pos="6769"/>
        </w:tabs>
        <w:ind w:left="6769" w:hanging="180"/>
      </w:pPr>
    </w:lvl>
  </w:abstractNum>
  <w:abstractNum w:abstractNumId="21">
    <w:nsid w:val="320761C4"/>
    <w:multiLevelType w:val="multilevel"/>
    <w:tmpl w:val="F6605FA0"/>
    <w:lvl w:ilvl="0">
      <w:start w:val="1"/>
      <w:numFmt w:val="decimal"/>
      <w:pStyle w:val="NumberedNotes"/>
      <w:lvlText w:val="%1."/>
      <w:lvlJc w:val="left"/>
      <w:pPr>
        <w:tabs>
          <w:tab w:val="num" w:pos="782"/>
        </w:tabs>
        <w:ind w:left="782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FF556C5"/>
    <w:multiLevelType w:val="singleLevel"/>
    <w:tmpl w:val="96301D66"/>
    <w:lvl w:ilvl="0">
      <w:start w:val="1"/>
      <w:numFmt w:val="bullet"/>
      <w:pStyle w:val="bullet"/>
      <w:lvlText w:val=""/>
      <w:lvlJc w:val="left"/>
      <w:pPr>
        <w:tabs>
          <w:tab w:val="num" w:pos="454"/>
        </w:tabs>
        <w:ind w:left="454" w:hanging="454"/>
      </w:pPr>
      <w:rPr>
        <w:rFonts w:ascii="Monotype Sorts" w:hAnsi="Monotype Sorts" w:cs="Monotype Sorts" w:hint="default"/>
      </w:rPr>
    </w:lvl>
  </w:abstractNum>
  <w:abstractNum w:abstractNumId="23">
    <w:nsid w:val="51255168"/>
    <w:multiLevelType w:val="hybridMultilevel"/>
    <w:tmpl w:val="943A1E60"/>
    <w:lvl w:ilvl="0" w:tplc="0C090001">
      <w:start w:val="1"/>
      <w:numFmt w:val="lowerLetter"/>
      <w:pStyle w:val="TableTextIndent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C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8C94D56"/>
    <w:multiLevelType w:val="multilevel"/>
    <w:tmpl w:val="A75C209E"/>
    <w:lvl w:ilvl="0">
      <w:start w:val="1"/>
      <w:numFmt w:val="lowerLetter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pStyle w:val="Style1Indent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0B079EC"/>
    <w:multiLevelType w:val="hybridMultilevel"/>
    <w:tmpl w:val="1CB00ED4"/>
    <w:lvl w:ilvl="0" w:tplc="42C83F94">
      <w:start w:val="1"/>
      <w:numFmt w:val="decimal"/>
      <w:pStyle w:val="Sub-Heading1"/>
      <w:lvlText w:val="%1."/>
      <w:lvlJc w:val="left"/>
      <w:pPr>
        <w:tabs>
          <w:tab w:val="num" w:pos="720"/>
        </w:tabs>
        <w:ind w:left="720" w:hanging="360"/>
      </w:pPr>
    </w:lvl>
    <w:lvl w:ilvl="1" w:tplc="8BFCB61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E451E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FA42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AAABF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96401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1B276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E0BAC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1CD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560CB7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>
    <w:nsid w:val="71E768A1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7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8">
    <w:nsid w:val="735141C2"/>
    <w:multiLevelType w:val="hybridMultilevel"/>
    <w:tmpl w:val="4BD6E9D6"/>
    <w:lvl w:ilvl="0" w:tplc="0C090001">
      <w:start w:val="1"/>
      <w:numFmt w:val="decimal"/>
      <w:pStyle w:val="AINotes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C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4E015FF"/>
    <w:multiLevelType w:val="singleLevel"/>
    <w:tmpl w:val="BAF4DC00"/>
    <w:lvl w:ilvl="0">
      <w:numFmt w:val="bullet"/>
      <w:pStyle w:val="TickPoin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2"/>
        <w:szCs w:val="22"/>
      </w:rPr>
    </w:lvl>
  </w:abstractNum>
  <w:abstractNum w:abstractNumId="30">
    <w:nsid w:val="77973333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7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1">
    <w:nsid w:val="7B3730A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>
    <w:nsid w:val="7F1B0FA6"/>
    <w:multiLevelType w:val="hybridMultilevel"/>
    <w:tmpl w:val="85E05738"/>
    <w:lvl w:ilvl="0" w:tplc="621EB8FA">
      <w:start w:val="1"/>
      <w:numFmt w:val="lowerLetter"/>
      <w:pStyle w:val="Tabletextindenta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A120F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5ABE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DC16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24C1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BAF7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EA93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8A24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F889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24"/>
  </w:num>
  <w:num w:numId="3">
    <w:abstractNumId w:val="10"/>
  </w:num>
  <w:num w:numId="4">
    <w:abstractNumId w:val="15"/>
  </w:num>
  <w:num w:numId="5">
    <w:abstractNumId w:val="22"/>
  </w:num>
  <w:num w:numId="6">
    <w:abstractNumId w:val="13"/>
  </w:num>
  <w:num w:numId="7">
    <w:abstractNumId w:val="18"/>
  </w:num>
  <w:num w:numId="8">
    <w:abstractNumId w:val="14"/>
  </w:num>
  <w:num w:numId="9">
    <w:abstractNumId w:val="25"/>
  </w:num>
  <w:num w:numId="10">
    <w:abstractNumId w:val="20"/>
  </w:num>
  <w:num w:numId="11">
    <w:abstractNumId w:val="19"/>
  </w:num>
  <w:num w:numId="12">
    <w:abstractNumId w:val="29"/>
  </w:num>
  <w:num w:numId="13">
    <w:abstractNumId w:val="31"/>
  </w:num>
  <w:num w:numId="14">
    <w:abstractNumId w:val="26"/>
  </w:num>
  <w:num w:numId="15">
    <w:abstractNumId w:val="28"/>
  </w:num>
  <w:num w:numId="16">
    <w:abstractNumId w:val="30"/>
  </w:num>
  <w:num w:numId="17">
    <w:abstractNumId w:val="17"/>
  </w:num>
  <w:num w:numId="18">
    <w:abstractNumId w:val="11"/>
  </w:num>
  <w:num w:numId="19">
    <w:abstractNumId w:val="16"/>
  </w:num>
  <w:num w:numId="20">
    <w:abstractNumId w:val="12"/>
  </w:num>
  <w:num w:numId="21">
    <w:abstractNumId w:val="27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23"/>
  </w:num>
  <w:num w:numId="33">
    <w:abstractNumId w:val="32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 w:cryptProviderType="rsaFull" w:cryptAlgorithmClass="hash" w:cryptAlgorithmType="typeAny" w:cryptAlgorithmSid="4" w:cryptSpinCount="100000" w:hash="0TvvpKuSPEUbCzur1LRxWiPkLCs=" w:salt="JjbczIMHVB1o/6kCrfKOcw=="/>
  <w:zoom w:percent="110"/>
  <w:proofState w:spelling="clean" w:grammar="clean"/>
  <w:stylePaneFormatFilter w:val="3F04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13B8"/>
    <w:rsid w:val="00000DE5"/>
    <w:rsid w:val="0001074E"/>
    <w:rsid w:val="00021396"/>
    <w:rsid w:val="000304C9"/>
    <w:rsid w:val="000313B8"/>
    <w:rsid w:val="000333B3"/>
    <w:rsid w:val="00034C91"/>
    <w:rsid w:val="00037912"/>
    <w:rsid w:val="00046E3D"/>
    <w:rsid w:val="00054610"/>
    <w:rsid w:val="00055B37"/>
    <w:rsid w:val="00075C7E"/>
    <w:rsid w:val="00094424"/>
    <w:rsid w:val="00097353"/>
    <w:rsid w:val="000A01DA"/>
    <w:rsid w:val="000B28ED"/>
    <w:rsid w:val="000B2FC7"/>
    <w:rsid w:val="000F7C7A"/>
    <w:rsid w:val="0011557E"/>
    <w:rsid w:val="001161C4"/>
    <w:rsid w:val="001178FF"/>
    <w:rsid w:val="00127248"/>
    <w:rsid w:val="00127D0D"/>
    <w:rsid w:val="001315C0"/>
    <w:rsid w:val="0018412F"/>
    <w:rsid w:val="0018497F"/>
    <w:rsid w:val="00186FF9"/>
    <w:rsid w:val="00195BC9"/>
    <w:rsid w:val="001C79D7"/>
    <w:rsid w:val="001D6D24"/>
    <w:rsid w:val="001E6240"/>
    <w:rsid w:val="00204827"/>
    <w:rsid w:val="00210E41"/>
    <w:rsid w:val="00227000"/>
    <w:rsid w:val="00234893"/>
    <w:rsid w:val="00237FD4"/>
    <w:rsid w:val="002456A9"/>
    <w:rsid w:val="0025753C"/>
    <w:rsid w:val="002617D6"/>
    <w:rsid w:val="0026216B"/>
    <w:rsid w:val="0026430A"/>
    <w:rsid w:val="00274AF8"/>
    <w:rsid w:val="002803D1"/>
    <w:rsid w:val="00282DAE"/>
    <w:rsid w:val="002919D1"/>
    <w:rsid w:val="002A7CB5"/>
    <w:rsid w:val="002B4CBC"/>
    <w:rsid w:val="002B6DCA"/>
    <w:rsid w:val="002D760C"/>
    <w:rsid w:val="002F3E23"/>
    <w:rsid w:val="002F3F07"/>
    <w:rsid w:val="002F758A"/>
    <w:rsid w:val="00302BED"/>
    <w:rsid w:val="003030F8"/>
    <w:rsid w:val="003046B6"/>
    <w:rsid w:val="003325D7"/>
    <w:rsid w:val="00335490"/>
    <w:rsid w:val="00343387"/>
    <w:rsid w:val="00344AFA"/>
    <w:rsid w:val="00351C98"/>
    <w:rsid w:val="003609E8"/>
    <w:rsid w:val="00365E53"/>
    <w:rsid w:val="00393159"/>
    <w:rsid w:val="003934B5"/>
    <w:rsid w:val="003937DE"/>
    <w:rsid w:val="003A0214"/>
    <w:rsid w:val="003A181E"/>
    <w:rsid w:val="003A4C7B"/>
    <w:rsid w:val="003A683F"/>
    <w:rsid w:val="003B317B"/>
    <w:rsid w:val="003D5F16"/>
    <w:rsid w:val="003D6053"/>
    <w:rsid w:val="003E05A4"/>
    <w:rsid w:val="003F211C"/>
    <w:rsid w:val="003F3267"/>
    <w:rsid w:val="00401271"/>
    <w:rsid w:val="004055EA"/>
    <w:rsid w:val="004124EB"/>
    <w:rsid w:val="00424425"/>
    <w:rsid w:val="00433818"/>
    <w:rsid w:val="00435D66"/>
    <w:rsid w:val="00441D97"/>
    <w:rsid w:val="004423DE"/>
    <w:rsid w:val="00453CA0"/>
    <w:rsid w:val="00455500"/>
    <w:rsid w:val="004645EB"/>
    <w:rsid w:val="004677AA"/>
    <w:rsid w:val="004776B8"/>
    <w:rsid w:val="0048611E"/>
    <w:rsid w:val="004962A1"/>
    <w:rsid w:val="004D77E1"/>
    <w:rsid w:val="004E41DC"/>
    <w:rsid w:val="004E7CDC"/>
    <w:rsid w:val="004F7C1C"/>
    <w:rsid w:val="00512205"/>
    <w:rsid w:val="00513F44"/>
    <w:rsid w:val="00531BA7"/>
    <w:rsid w:val="00537D88"/>
    <w:rsid w:val="00550639"/>
    <w:rsid w:val="00551A1F"/>
    <w:rsid w:val="005652B4"/>
    <w:rsid w:val="00576154"/>
    <w:rsid w:val="005839EC"/>
    <w:rsid w:val="00584B8F"/>
    <w:rsid w:val="00590CFD"/>
    <w:rsid w:val="00592A82"/>
    <w:rsid w:val="00594CF5"/>
    <w:rsid w:val="005B585E"/>
    <w:rsid w:val="005B67EB"/>
    <w:rsid w:val="005B7226"/>
    <w:rsid w:val="005B72B0"/>
    <w:rsid w:val="005C1D92"/>
    <w:rsid w:val="005C34BA"/>
    <w:rsid w:val="005C44CC"/>
    <w:rsid w:val="005D24F9"/>
    <w:rsid w:val="005D3744"/>
    <w:rsid w:val="005E3E52"/>
    <w:rsid w:val="005F1D7E"/>
    <w:rsid w:val="005F1EE6"/>
    <w:rsid w:val="005F7893"/>
    <w:rsid w:val="005F7B21"/>
    <w:rsid w:val="006006F3"/>
    <w:rsid w:val="0060070B"/>
    <w:rsid w:val="0060486D"/>
    <w:rsid w:val="00615276"/>
    <w:rsid w:val="00625BB9"/>
    <w:rsid w:val="00626218"/>
    <w:rsid w:val="00633B9D"/>
    <w:rsid w:val="00641902"/>
    <w:rsid w:val="006568D0"/>
    <w:rsid w:val="006625DE"/>
    <w:rsid w:val="006849D1"/>
    <w:rsid w:val="006907EB"/>
    <w:rsid w:val="0069674D"/>
    <w:rsid w:val="006A1889"/>
    <w:rsid w:val="006A3D9E"/>
    <w:rsid w:val="006D26FB"/>
    <w:rsid w:val="00702C11"/>
    <w:rsid w:val="00705E58"/>
    <w:rsid w:val="00707184"/>
    <w:rsid w:val="00716435"/>
    <w:rsid w:val="0072047A"/>
    <w:rsid w:val="00765408"/>
    <w:rsid w:val="007658FA"/>
    <w:rsid w:val="007902EC"/>
    <w:rsid w:val="007A1F3D"/>
    <w:rsid w:val="007A5151"/>
    <w:rsid w:val="007B7B11"/>
    <w:rsid w:val="007D3E77"/>
    <w:rsid w:val="007D422E"/>
    <w:rsid w:val="007E2979"/>
    <w:rsid w:val="007E2DCE"/>
    <w:rsid w:val="007E3065"/>
    <w:rsid w:val="007E7638"/>
    <w:rsid w:val="008101D1"/>
    <w:rsid w:val="008113D0"/>
    <w:rsid w:val="00815B9E"/>
    <w:rsid w:val="00821809"/>
    <w:rsid w:val="008328FA"/>
    <w:rsid w:val="008335A1"/>
    <w:rsid w:val="00837C1E"/>
    <w:rsid w:val="008440AA"/>
    <w:rsid w:val="008528E1"/>
    <w:rsid w:val="00860D52"/>
    <w:rsid w:val="00861F4D"/>
    <w:rsid w:val="00872583"/>
    <w:rsid w:val="0088749F"/>
    <w:rsid w:val="008A0FDC"/>
    <w:rsid w:val="008A389C"/>
    <w:rsid w:val="008B12A7"/>
    <w:rsid w:val="008B3601"/>
    <w:rsid w:val="008B44EA"/>
    <w:rsid w:val="008B668F"/>
    <w:rsid w:val="008C3D28"/>
    <w:rsid w:val="008C790B"/>
    <w:rsid w:val="008F351D"/>
    <w:rsid w:val="008F3C3B"/>
    <w:rsid w:val="008F76FB"/>
    <w:rsid w:val="0090214A"/>
    <w:rsid w:val="0090217A"/>
    <w:rsid w:val="009036BD"/>
    <w:rsid w:val="00907200"/>
    <w:rsid w:val="00915DD7"/>
    <w:rsid w:val="00926B56"/>
    <w:rsid w:val="00937213"/>
    <w:rsid w:val="009610D1"/>
    <w:rsid w:val="00963F38"/>
    <w:rsid w:val="00974A99"/>
    <w:rsid w:val="00990130"/>
    <w:rsid w:val="009905C8"/>
    <w:rsid w:val="0099576D"/>
    <w:rsid w:val="009A7EA3"/>
    <w:rsid w:val="009C6414"/>
    <w:rsid w:val="009D1C25"/>
    <w:rsid w:val="009D2DD7"/>
    <w:rsid w:val="009D309C"/>
    <w:rsid w:val="009D6D4E"/>
    <w:rsid w:val="009F3D3A"/>
    <w:rsid w:val="00A05692"/>
    <w:rsid w:val="00A07CDC"/>
    <w:rsid w:val="00A1079D"/>
    <w:rsid w:val="00A33575"/>
    <w:rsid w:val="00A33602"/>
    <w:rsid w:val="00A43240"/>
    <w:rsid w:val="00A4693B"/>
    <w:rsid w:val="00A547A6"/>
    <w:rsid w:val="00A62638"/>
    <w:rsid w:val="00A66C3B"/>
    <w:rsid w:val="00A72069"/>
    <w:rsid w:val="00A736B1"/>
    <w:rsid w:val="00A76F42"/>
    <w:rsid w:val="00A7711C"/>
    <w:rsid w:val="00A82397"/>
    <w:rsid w:val="00A84E6E"/>
    <w:rsid w:val="00A97699"/>
    <w:rsid w:val="00A97EA0"/>
    <w:rsid w:val="00AC2822"/>
    <w:rsid w:val="00AD447E"/>
    <w:rsid w:val="00AE1B82"/>
    <w:rsid w:val="00B144B8"/>
    <w:rsid w:val="00B31ABE"/>
    <w:rsid w:val="00B35E0B"/>
    <w:rsid w:val="00B6421D"/>
    <w:rsid w:val="00B7211C"/>
    <w:rsid w:val="00B75649"/>
    <w:rsid w:val="00B8169A"/>
    <w:rsid w:val="00B8745F"/>
    <w:rsid w:val="00B9457F"/>
    <w:rsid w:val="00BA2F65"/>
    <w:rsid w:val="00BC20AF"/>
    <w:rsid w:val="00BD635D"/>
    <w:rsid w:val="00BE0447"/>
    <w:rsid w:val="00BE097B"/>
    <w:rsid w:val="00C2366A"/>
    <w:rsid w:val="00C24BE0"/>
    <w:rsid w:val="00C27120"/>
    <w:rsid w:val="00C40250"/>
    <w:rsid w:val="00C40B42"/>
    <w:rsid w:val="00C53AC0"/>
    <w:rsid w:val="00C53BE5"/>
    <w:rsid w:val="00C81D46"/>
    <w:rsid w:val="00C852ED"/>
    <w:rsid w:val="00CA1B4A"/>
    <w:rsid w:val="00CB1091"/>
    <w:rsid w:val="00CC43B9"/>
    <w:rsid w:val="00CE10D2"/>
    <w:rsid w:val="00D04406"/>
    <w:rsid w:val="00D05F47"/>
    <w:rsid w:val="00D23527"/>
    <w:rsid w:val="00D32B09"/>
    <w:rsid w:val="00D40E91"/>
    <w:rsid w:val="00D44941"/>
    <w:rsid w:val="00D46875"/>
    <w:rsid w:val="00D5182E"/>
    <w:rsid w:val="00D87B26"/>
    <w:rsid w:val="00D90E06"/>
    <w:rsid w:val="00DA1945"/>
    <w:rsid w:val="00DB1586"/>
    <w:rsid w:val="00DC75A0"/>
    <w:rsid w:val="00DD2E9A"/>
    <w:rsid w:val="00DD49D1"/>
    <w:rsid w:val="00DD7C9A"/>
    <w:rsid w:val="00E0160B"/>
    <w:rsid w:val="00E1313F"/>
    <w:rsid w:val="00E1401A"/>
    <w:rsid w:val="00E16C3E"/>
    <w:rsid w:val="00E25B37"/>
    <w:rsid w:val="00E33B67"/>
    <w:rsid w:val="00E65E8C"/>
    <w:rsid w:val="00E67F78"/>
    <w:rsid w:val="00E7021B"/>
    <w:rsid w:val="00E76269"/>
    <w:rsid w:val="00E76920"/>
    <w:rsid w:val="00E8268C"/>
    <w:rsid w:val="00E91486"/>
    <w:rsid w:val="00EA0543"/>
    <w:rsid w:val="00EB6D14"/>
    <w:rsid w:val="00EC71DA"/>
    <w:rsid w:val="00EF08CB"/>
    <w:rsid w:val="00EF57CF"/>
    <w:rsid w:val="00F05047"/>
    <w:rsid w:val="00F05259"/>
    <w:rsid w:val="00F124A0"/>
    <w:rsid w:val="00F27ADD"/>
    <w:rsid w:val="00F31935"/>
    <w:rsid w:val="00F473ED"/>
    <w:rsid w:val="00F7339F"/>
    <w:rsid w:val="00F82969"/>
    <w:rsid w:val="00F90D83"/>
    <w:rsid w:val="00F91310"/>
    <w:rsid w:val="00FB1F34"/>
    <w:rsid w:val="00FD5974"/>
    <w:rsid w:val="00FF1A4D"/>
    <w:rsid w:val="00FF62CE"/>
    <w:rsid w:val="00FF6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uiPriority="99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12A7"/>
    <w:rPr>
      <w:rFonts w:ascii="Calibri" w:hAnsi="Calibri"/>
      <w:sz w:val="24"/>
      <w:lang w:eastAsia="en-US"/>
    </w:rPr>
  </w:style>
  <w:style w:type="paragraph" w:styleId="Heading1">
    <w:name w:val="heading 1"/>
    <w:basedOn w:val="Normal"/>
    <w:next w:val="BodyText"/>
    <w:qFormat/>
    <w:rsid w:val="008B12A7"/>
    <w:pPr>
      <w:keepNext/>
      <w:pBdr>
        <w:bottom w:val="single" w:sz="18" w:space="2" w:color="auto"/>
      </w:pBdr>
      <w:spacing w:after="240"/>
      <w:outlineLvl w:val="0"/>
    </w:pPr>
    <w:rPr>
      <w:rFonts w:ascii="Arial" w:hAnsi="Arial"/>
      <w:b/>
      <w:caps/>
      <w:kern w:val="28"/>
      <w:sz w:val="28"/>
    </w:rPr>
  </w:style>
  <w:style w:type="paragraph" w:styleId="Heading2">
    <w:name w:val="heading 2"/>
    <w:basedOn w:val="Normal"/>
    <w:next w:val="BodyText"/>
    <w:qFormat/>
    <w:rsid w:val="008B12A7"/>
    <w:pPr>
      <w:keepNext/>
      <w:spacing w:before="60" w:after="60"/>
      <w:jc w:val="center"/>
      <w:outlineLvl w:val="1"/>
    </w:pPr>
    <w:rPr>
      <w:b/>
      <w:snapToGrid w:val="0"/>
      <w:sz w:val="20"/>
    </w:rPr>
  </w:style>
  <w:style w:type="paragraph" w:styleId="Heading3">
    <w:name w:val="heading 3"/>
    <w:basedOn w:val="Normal"/>
    <w:next w:val="BodyText"/>
    <w:link w:val="Heading3Char"/>
    <w:qFormat/>
    <w:rsid w:val="008B12A7"/>
    <w:pPr>
      <w:keepNext/>
      <w:keepLines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BodyText"/>
    <w:link w:val="Heading4Char"/>
    <w:qFormat/>
    <w:rsid w:val="008B12A7"/>
    <w:pPr>
      <w:keepNext/>
      <w:keepLines/>
      <w:spacing w:before="120" w:after="120"/>
      <w:outlineLvl w:val="3"/>
    </w:pPr>
    <w:rPr>
      <w:i/>
    </w:rPr>
  </w:style>
  <w:style w:type="paragraph" w:styleId="Heading5">
    <w:name w:val="heading 5"/>
    <w:basedOn w:val="Normal"/>
    <w:next w:val="Normal"/>
    <w:autoRedefine/>
    <w:qFormat/>
    <w:rsid w:val="008B12A7"/>
    <w:pPr>
      <w:keepNext/>
      <w:numPr>
        <w:ilvl w:val="4"/>
        <w:numId w:val="21"/>
      </w:numPr>
      <w:outlineLvl w:val="4"/>
    </w:pPr>
    <w:rPr>
      <w:b/>
      <w:i/>
      <w:sz w:val="20"/>
    </w:rPr>
  </w:style>
  <w:style w:type="paragraph" w:styleId="Heading6">
    <w:name w:val="heading 6"/>
    <w:basedOn w:val="Normal"/>
    <w:next w:val="Normal"/>
    <w:qFormat/>
    <w:rsid w:val="008B12A7"/>
    <w:pPr>
      <w:keepNext/>
      <w:jc w:val="right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rsid w:val="008B12A7"/>
    <w:pPr>
      <w:keepNext/>
      <w:ind w:left="159" w:hanging="159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8B12A7"/>
    <w:pPr>
      <w:keepNext/>
      <w:numPr>
        <w:ilvl w:val="7"/>
        <w:numId w:val="21"/>
      </w:numPr>
      <w:outlineLvl w:val="7"/>
    </w:pPr>
    <w:rPr>
      <w:rFonts w:ascii="Arial" w:hAnsi="Arial"/>
      <w:b/>
      <w:snapToGrid w:val="0"/>
      <w:color w:val="000000"/>
      <w:sz w:val="20"/>
    </w:rPr>
  </w:style>
  <w:style w:type="paragraph" w:styleId="Heading9">
    <w:name w:val="heading 9"/>
    <w:basedOn w:val="Normal"/>
    <w:next w:val="Normal"/>
    <w:qFormat/>
    <w:rsid w:val="008B12A7"/>
    <w:pPr>
      <w:keepNext/>
      <w:numPr>
        <w:ilvl w:val="8"/>
        <w:numId w:val="21"/>
      </w:numPr>
      <w:spacing w:after="120"/>
      <w:outlineLvl w:val="8"/>
    </w:pPr>
    <w:rPr>
      <w:rFonts w:ascii="Arial" w:hAnsi="Arial" w:cs="Arial"/>
      <w:b/>
      <w:snapToGrid w:val="0"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HeadingCentre">
    <w:name w:val="Table Heading Centre"/>
    <w:basedOn w:val="Normal"/>
    <w:rsid w:val="008B12A7"/>
    <w:pPr>
      <w:keepNext/>
      <w:jc w:val="center"/>
    </w:pPr>
    <w:rPr>
      <w:b/>
      <w:sz w:val="20"/>
    </w:rPr>
  </w:style>
  <w:style w:type="character" w:customStyle="1" w:styleId="Heading3Char1">
    <w:name w:val="Heading 3 Char1"/>
    <w:basedOn w:val="DefaultParagraphFont"/>
    <w:link w:val="Heading3"/>
    <w:rsid w:val="00D04406"/>
    <w:rPr>
      <w:rFonts w:ascii="Arial" w:hAnsi="Arial" w:cs="Arial"/>
      <w:b/>
      <w:bCs/>
      <w:sz w:val="24"/>
      <w:szCs w:val="26"/>
      <w:lang w:val="en-AU" w:eastAsia="en-US" w:bidi="ar-SA"/>
    </w:rPr>
  </w:style>
  <w:style w:type="paragraph" w:styleId="BodyText">
    <w:name w:val="Body Text"/>
    <w:basedOn w:val="Normal"/>
    <w:link w:val="BodyTextChar"/>
    <w:rsid w:val="008B12A7"/>
    <w:pPr>
      <w:keepNext/>
      <w:keepLines/>
      <w:spacing w:before="120" w:after="120"/>
      <w:jc w:val="both"/>
    </w:pPr>
  </w:style>
  <w:style w:type="paragraph" w:styleId="BodyTextIndent">
    <w:name w:val="Body Text Indent"/>
    <w:basedOn w:val="Normal"/>
    <w:next w:val="BodyText"/>
    <w:link w:val="BodyTextIndentChar"/>
    <w:rsid w:val="008B12A7"/>
    <w:pPr>
      <w:keepNext/>
      <w:keepLines/>
      <w:numPr>
        <w:numId w:val="17"/>
      </w:numPr>
      <w:spacing w:after="120"/>
      <w:jc w:val="both"/>
    </w:pPr>
    <w:rPr>
      <w:szCs w:val="24"/>
    </w:rPr>
  </w:style>
  <w:style w:type="paragraph" w:styleId="BodyTextIndent2">
    <w:name w:val="Body Text Indent 2"/>
    <w:basedOn w:val="Normal"/>
    <w:rsid w:val="008B12A7"/>
    <w:pPr>
      <w:keepNext/>
      <w:keepLines/>
      <w:numPr>
        <w:numId w:val="18"/>
      </w:numPr>
      <w:spacing w:after="120"/>
      <w:jc w:val="both"/>
    </w:pPr>
  </w:style>
  <w:style w:type="paragraph" w:styleId="BodyTextIndent3">
    <w:name w:val="Body Text Indent 3"/>
    <w:basedOn w:val="Normal"/>
    <w:rsid w:val="008B12A7"/>
    <w:pPr>
      <w:keepNext/>
      <w:keepLines/>
      <w:numPr>
        <w:numId w:val="19"/>
      </w:numPr>
      <w:tabs>
        <w:tab w:val="left" w:pos="1134"/>
      </w:tabs>
      <w:spacing w:after="120"/>
      <w:jc w:val="both"/>
    </w:pPr>
    <w:rPr>
      <w:szCs w:val="24"/>
    </w:rPr>
  </w:style>
  <w:style w:type="paragraph" w:customStyle="1" w:styleId="BodyTextIndent4">
    <w:name w:val="Body Text Indent 4"/>
    <w:basedOn w:val="BodyText"/>
    <w:next w:val="BodyText"/>
    <w:rsid w:val="008B12A7"/>
    <w:pPr>
      <w:numPr>
        <w:numId w:val="20"/>
      </w:numPr>
      <w:spacing w:before="0"/>
    </w:pPr>
  </w:style>
  <w:style w:type="paragraph" w:customStyle="1" w:styleId="SIHeading1">
    <w:name w:val="SI Heading 1"/>
    <w:basedOn w:val="Normal"/>
    <w:next w:val="BodyText"/>
    <w:rsid w:val="008B12A7"/>
    <w:pPr>
      <w:keepNext/>
      <w:keepLines/>
      <w:spacing w:before="240"/>
      <w:jc w:val="center"/>
      <w:outlineLvl w:val="0"/>
    </w:pPr>
    <w:rPr>
      <w:rFonts w:ascii="Arial" w:hAnsi="Arial"/>
      <w:b/>
      <w:kern w:val="28"/>
      <w:sz w:val="20"/>
    </w:rPr>
  </w:style>
  <w:style w:type="paragraph" w:customStyle="1" w:styleId="SIHeading2">
    <w:name w:val="SI Heading 2"/>
    <w:basedOn w:val="Normal"/>
    <w:next w:val="BodyText"/>
    <w:rsid w:val="008B12A7"/>
    <w:pPr>
      <w:keepNext/>
      <w:keepLines/>
      <w:spacing w:after="240"/>
      <w:jc w:val="center"/>
      <w:outlineLvl w:val="0"/>
    </w:pPr>
    <w:rPr>
      <w:rFonts w:ascii="Arial" w:hAnsi="Arial"/>
      <w:kern w:val="28"/>
      <w:sz w:val="20"/>
    </w:rPr>
  </w:style>
  <w:style w:type="paragraph" w:customStyle="1" w:styleId="Tabletextindenta">
    <w:name w:val="Table text indent a"/>
    <w:aliases w:val="b,c...,c... BP3"/>
    <w:basedOn w:val="Normal"/>
    <w:autoRedefine/>
    <w:semiHidden/>
    <w:rsid w:val="008B12A7"/>
    <w:pPr>
      <w:numPr>
        <w:numId w:val="33"/>
      </w:numPr>
      <w:spacing w:before="60"/>
    </w:pPr>
    <w:rPr>
      <w:kern w:val="16"/>
      <w:sz w:val="20"/>
      <w:szCs w:val="24"/>
    </w:rPr>
  </w:style>
  <w:style w:type="paragraph" w:customStyle="1" w:styleId="TableTextRightBold">
    <w:name w:val="Table Text Right Bold"/>
    <w:basedOn w:val="Normal"/>
    <w:rsid w:val="008B12A7"/>
    <w:pPr>
      <w:ind w:left="357" w:hanging="357"/>
      <w:jc w:val="right"/>
    </w:pPr>
    <w:rPr>
      <w:b/>
      <w:sz w:val="20"/>
    </w:rPr>
  </w:style>
  <w:style w:type="paragraph" w:customStyle="1" w:styleId="TableHeadingRight">
    <w:name w:val="Table Heading Right"/>
    <w:basedOn w:val="Normal"/>
    <w:rsid w:val="008B12A7"/>
    <w:pPr>
      <w:keepNext/>
      <w:jc w:val="right"/>
    </w:pPr>
    <w:rPr>
      <w:b/>
      <w:sz w:val="20"/>
      <w:szCs w:val="24"/>
    </w:rPr>
  </w:style>
  <w:style w:type="paragraph" w:customStyle="1" w:styleId="NoteText">
    <w:name w:val="Note Text"/>
    <w:basedOn w:val="Normal"/>
    <w:rsid w:val="008B12A7"/>
    <w:pPr>
      <w:jc w:val="both"/>
    </w:pPr>
    <w:rPr>
      <w:iCs/>
      <w:sz w:val="16"/>
    </w:rPr>
  </w:style>
  <w:style w:type="paragraph" w:styleId="Header">
    <w:name w:val="header"/>
    <w:basedOn w:val="Normal"/>
    <w:link w:val="HeaderChar"/>
    <w:rsid w:val="008B12A7"/>
    <w:pPr>
      <w:tabs>
        <w:tab w:val="center" w:pos="4153"/>
        <w:tab w:val="right" w:pos="8306"/>
      </w:tabs>
    </w:pPr>
  </w:style>
  <w:style w:type="paragraph" w:customStyle="1" w:styleId="Noteheading">
    <w:name w:val="Note heading"/>
    <w:basedOn w:val="Normal"/>
    <w:autoRedefine/>
    <w:semiHidden/>
    <w:rsid w:val="008B12A7"/>
    <w:pPr>
      <w:spacing w:before="120"/>
      <w:ind w:left="28"/>
    </w:pPr>
    <w:rPr>
      <w:b/>
      <w:bCs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D04406"/>
    <w:rPr>
      <w:rFonts w:ascii="Calibri" w:hAnsi="Calibri"/>
      <w:sz w:val="24"/>
      <w:szCs w:val="24"/>
      <w:lang w:eastAsia="en-US"/>
    </w:rPr>
  </w:style>
  <w:style w:type="paragraph" w:customStyle="1" w:styleId="TableHeadingLeft">
    <w:name w:val="Table Heading Left"/>
    <w:basedOn w:val="Normal"/>
    <w:link w:val="TableHeadingLeftChar"/>
    <w:rsid w:val="008B12A7"/>
    <w:pPr>
      <w:keepNext/>
    </w:pPr>
    <w:rPr>
      <w:b/>
      <w:sz w:val="20"/>
      <w:lang w:eastAsia="en-AU"/>
    </w:rPr>
  </w:style>
  <w:style w:type="paragraph" w:customStyle="1" w:styleId="TableTextRight">
    <w:name w:val="Table Text Right"/>
    <w:basedOn w:val="Normal"/>
    <w:rsid w:val="008B12A7"/>
    <w:pPr>
      <w:ind w:left="357" w:hanging="357"/>
      <w:jc w:val="right"/>
    </w:pPr>
    <w:rPr>
      <w:sz w:val="20"/>
    </w:rPr>
  </w:style>
  <w:style w:type="paragraph" w:customStyle="1" w:styleId="TableTextLeftBold">
    <w:name w:val="Table Text Left Bold"/>
    <w:basedOn w:val="Normal"/>
    <w:link w:val="TableTextLeftBoldChar"/>
    <w:rsid w:val="008B12A7"/>
    <w:pPr>
      <w:ind w:left="357" w:hanging="357"/>
    </w:pPr>
    <w:rPr>
      <w:b/>
      <w:sz w:val="20"/>
    </w:rPr>
  </w:style>
  <w:style w:type="paragraph" w:customStyle="1" w:styleId="TableTextLeft">
    <w:name w:val="Table Text Left"/>
    <w:basedOn w:val="Normal"/>
    <w:rsid w:val="008B12A7"/>
    <w:pPr>
      <w:ind w:left="357" w:hanging="357"/>
    </w:pPr>
    <w:rPr>
      <w:sz w:val="20"/>
      <w:szCs w:val="18"/>
    </w:rPr>
  </w:style>
  <w:style w:type="paragraph" w:customStyle="1" w:styleId="TableNumbersRight">
    <w:name w:val="Table Numbers Right"/>
    <w:basedOn w:val="TableHeadingRight"/>
    <w:rsid w:val="008B12A7"/>
    <w:rPr>
      <w:b w:val="0"/>
    </w:rPr>
  </w:style>
  <w:style w:type="character" w:customStyle="1" w:styleId="TableHeadingLeftChar">
    <w:name w:val="Table Heading Left Char"/>
    <w:basedOn w:val="DefaultParagraphFont"/>
    <w:link w:val="TableHeadingLeft"/>
    <w:rsid w:val="00D04406"/>
    <w:rPr>
      <w:rFonts w:ascii="Calibri" w:hAnsi="Calibri"/>
      <w:b/>
    </w:rPr>
  </w:style>
  <w:style w:type="paragraph" w:customStyle="1" w:styleId="FooterBP">
    <w:name w:val="Footer BP"/>
    <w:basedOn w:val="Normal"/>
    <w:next w:val="Normal"/>
    <w:rsid w:val="008B12A7"/>
    <w:pPr>
      <w:pBdr>
        <w:top w:val="single" w:sz="4" w:space="1" w:color="auto"/>
      </w:pBdr>
      <w:tabs>
        <w:tab w:val="center" w:pos="4536"/>
        <w:tab w:val="right" w:pos="9356"/>
      </w:tabs>
      <w:ind w:left="-284" w:right="-329"/>
    </w:pPr>
    <w:rPr>
      <w:i/>
      <w:sz w:val="20"/>
    </w:rPr>
  </w:style>
  <w:style w:type="paragraph" w:styleId="Footer">
    <w:name w:val="footer"/>
    <w:basedOn w:val="Normal"/>
    <w:semiHidden/>
    <w:rsid w:val="008B12A7"/>
    <w:pPr>
      <w:tabs>
        <w:tab w:val="center" w:pos="4153"/>
        <w:tab w:val="right" w:pos="8306"/>
      </w:tabs>
    </w:pPr>
  </w:style>
  <w:style w:type="character" w:customStyle="1" w:styleId="TableTextLeftBoldChar">
    <w:name w:val="Table Text Left Bold Char"/>
    <w:basedOn w:val="DefaultParagraphFont"/>
    <w:link w:val="TableTextLeftBold"/>
    <w:rsid w:val="00D04406"/>
    <w:rPr>
      <w:rFonts w:ascii="Calibri" w:hAnsi="Calibri"/>
      <w:b/>
      <w:lang w:eastAsia="en-US"/>
    </w:rPr>
  </w:style>
  <w:style w:type="paragraph" w:customStyle="1" w:styleId="Heading3TopofPage">
    <w:name w:val="Heading 3 Top of Page"/>
    <w:basedOn w:val="Heading3"/>
    <w:next w:val="BodyText"/>
    <w:rsid w:val="008B12A7"/>
    <w:pPr>
      <w:spacing w:before="0"/>
    </w:pPr>
    <w:rPr>
      <w:rFonts w:cs="Times New Roman"/>
      <w:lang w:eastAsia="en-AU"/>
    </w:rPr>
  </w:style>
  <w:style w:type="paragraph" w:customStyle="1" w:styleId="Heading3Centred">
    <w:name w:val="Heading 3 Centred"/>
    <w:basedOn w:val="Heading3"/>
    <w:next w:val="BodyText"/>
    <w:rsid w:val="008B12A7"/>
    <w:pPr>
      <w:spacing w:before="0"/>
      <w:jc w:val="center"/>
    </w:pPr>
    <w:rPr>
      <w:rFonts w:cs="Times New Roman"/>
      <w:lang w:eastAsia="en-AU"/>
    </w:rPr>
  </w:style>
  <w:style w:type="numbering" w:styleId="ArticleSection">
    <w:name w:val="Outline List 3"/>
    <w:basedOn w:val="NoList"/>
    <w:semiHidden/>
    <w:rsid w:val="008B12A7"/>
    <w:pPr>
      <w:numPr>
        <w:numId w:val="16"/>
      </w:numPr>
    </w:pPr>
  </w:style>
  <w:style w:type="paragraph" w:styleId="BodyText2">
    <w:name w:val="Body Text 2"/>
    <w:basedOn w:val="Normal"/>
    <w:semiHidden/>
    <w:rsid w:val="008B12A7"/>
    <w:pPr>
      <w:spacing w:after="120" w:line="480" w:lineRule="auto"/>
    </w:pPr>
  </w:style>
  <w:style w:type="paragraph" w:customStyle="1" w:styleId="SinglePara">
    <w:name w:val="Single Para"/>
    <w:basedOn w:val="Normal"/>
    <w:semiHidden/>
    <w:rsid w:val="008B12A7"/>
  </w:style>
  <w:style w:type="paragraph" w:customStyle="1" w:styleId="xl25">
    <w:name w:val="xl25"/>
    <w:basedOn w:val="Normal"/>
    <w:semiHidden/>
    <w:rsid w:val="008B12A7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styleId="PlainText">
    <w:name w:val="Plain Text"/>
    <w:basedOn w:val="Normal"/>
    <w:semiHidden/>
    <w:rsid w:val="008B12A7"/>
    <w:rPr>
      <w:sz w:val="20"/>
      <w:lang w:val="en-US"/>
    </w:rPr>
  </w:style>
  <w:style w:type="paragraph" w:styleId="BalloonText">
    <w:name w:val="Balloon Text"/>
    <w:basedOn w:val="Normal"/>
    <w:semiHidden/>
    <w:rsid w:val="008B12A7"/>
    <w:rPr>
      <w:rFonts w:ascii="Tahoma" w:hAnsi="Tahoma" w:cs="Tahoma"/>
      <w:sz w:val="16"/>
      <w:szCs w:val="16"/>
    </w:rPr>
  </w:style>
  <w:style w:type="paragraph" w:customStyle="1" w:styleId="Sub-Heading">
    <w:name w:val="Sub-Heading"/>
    <w:basedOn w:val="Normal"/>
    <w:next w:val="BodyText"/>
    <w:rsid w:val="008B12A7"/>
    <w:pPr>
      <w:keepNext/>
      <w:spacing w:before="240" w:after="120"/>
      <w:outlineLvl w:val="0"/>
    </w:pPr>
    <w:rPr>
      <w:rFonts w:ascii="Arial" w:hAnsi="Arial"/>
      <w:i/>
    </w:rPr>
  </w:style>
  <w:style w:type="paragraph" w:customStyle="1" w:styleId="Sub-Heading2">
    <w:name w:val="Sub-Heading 2"/>
    <w:basedOn w:val="BodyText"/>
    <w:semiHidden/>
    <w:rsid w:val="008B12A7"/>
    <w:rPr>
      <w:i/>
    </w:rPr>
  </w:style>
  <w:style w:type="paragraph" w:customStyle="1" w:styleId="TableName">
    <w:name w:val="Table Name"/>
    <w:basedOn w:val="Normal"/>
    <w:rsid w:val="008B12A7"/>
    <w:pPr>
      <w:keepNext/>
      <w:keepLines/>
      <w:spacing w:after="120"/>
      <w:jc w:val="center"/>
    </w:pPr>
    <w:rPr>
      <w:rFonts w:ascii="Arial" w:hAnsi="Arial"/>
      <w:b/>
      <w:sz w:val="20"/>
    </w:rPr>
  </w:style>
  <w:style w:type="paragraph" w:customStyle="1" w:styleId="AIblurb">
    <w:name w:val="AI blurb"/>
    <w:basedOn w:val="Normal"/>
    <w:rsid w:val="008B12A7"/>
    <w:pPr>
      <w:spacing w:before="120" w:after="240"/>
      <w:ind w:left="380"/>
      <w:jc w:val="both"/>
    </w:pPr>
    <w:rPr>
      <w:sz w:val="20"/>
    </w:rPr>
  </w:style>
  <w:style w:type="paragraph" w:styleId="BodyText3">
    <w:name w:val="Body Text 3"/>
    <w:basedOn w:val="Normal"/>
    <w:semiHidden/>
    <w:rsid w:val="008B12A7"/>
    <w:pPr>
      <w:spacing w:after="120"/>
    </w:pPr>
    <w:rPr>
      <w:sz w:val="16"/>
      <w:szCs w:val="16"/>
    </w:rPr>
  </w:style>
  <w:style w:type="paragraph" w:customStyle="1" w:styleId="AINotes">
    <w:name w:val="AI Notes"/>
    <w:basedOn w:val="Normal"/>
    <w:rsid w:val="008B12A7"/>
    <w:pPr>
      <w:numPr>
        <w:numId w:val="15"/>
      </w:numPr>
      <w:jc w:val="both"/>
    </w:pPr>
    <w:rPr>
      <w:sz w:val="16"/>
    </w:rPr>
  </w:style>
  <w:style w:type="paragraph" w:customStyle="1" w:styleId="n">
    <w:name w:val="n"/>
    <w:basedOn w:val="Normal"/>
    <w:semiHidden/>
    <w:rsid w:val="008B12A7"/>
    <w:pPr>
      <w:jc w:val="both"/>
    </w:pPr>
    <w:rPr>
      <w:sz w:val="16"/>
      <w:szCs w:val="24"/>
    </w:rPr>
  </w:style>
  <w:style w:type="paragraph" w:customStyle="1" w:styleId="Notes">
    <w:name w:val="Notes"/>
    <w:basedOn w:val="Normal"/>
    <w:semiHidden/>
    <w:rsid w:val="008B12A7"/>
    <w:pPr>
      <w:spacing w:before="120"/>
      <w:ind w:left="28"/>
    </w:pPr>
    <w:rPr>
      <w:b/>
      <w:sz w:val="20"/>
      <w:szCs w:val="24"/>
    </w:rPr>
  </w:style>
  <w:style w:type="numbering" w:styleId="1ai">
    <w:name w:val="Outline List 1"/>
    <w:basedOn w:val="NoList"/>
    <w:semiHidden/>
    <w:rsid w:val="008B12A7"/>
    <w:pPr>
      <w:numPr>
        <w:numId w:val="14"/>
      </w:numPr>
    </w:pPr>
  </w:style>
  <w:style w:type="numbering" w:styleId="111111">
    <w:name w:val="Outline List 2"/>
    <w:basedOn w:val="NoList"/>
    <w:semiHidden/>
    <w:rsid w:val="008B12A7"/>
    <w:pPr>
      <w:numPr>
        <w:numId w:val="13"/>
      </w:numPr>
    </w:pPr>
  </w:style>
  <w:style w:type="paragraph" w:styleId="BlockText">
    <w:name w:val="Block Text"/>
    <w:basedOn w:val="Normal"/>
    <w:semiHidden/>
    <w:rsid w:val="008B12A7"/>
    <w:pPr>
      <w:spacing w:after="120"/>
      <w:ind w:left="1440" w:right="1440"/>
    </w:pPr>
  </w:style>
  <w:style w:type="paragraph" w:styleId="BodyTextFirstIndent">
    <w:name w:val="Body Text First Indent"/>
    <w:basedOn w:val="BodyText"/>
    <w:semiHidden/>
    <w:rsid w:val="008B12A7"/>
    <w:pPr>
      <w:spacing w:before="0"/>
      <w:ind w:firstLine="210"/>
      <w:jc w:val="left"/>
    </w:pPr>
  </w:style>
  <w:style w:type="paragraph" w:styleId="BodyTextFirstIndent2">
    <w:name w:val="Body Text First Indent 2"/>
    <w:basedOn w:val="BodyTextIndent"/>
    <w:semiHidden/>
    <w:rsid w:val="008B12A7"/>
    <w:pPr>
      <w:numPr>
        <w:numId w:val="0"/>
      </w:numPr>
      <w:ind w:left="283" w:firstLine="210"/>
      <w:jc w:val="left"/>
    </w:pPr>
  </w:style>
  <w:style w:type="paragraph" w:styleId="Closing">
    <w:name w:val="Closing"/>
    <w:basedOn w:val="Normal"/>
    <w:semiHidden/>
    <w:rsid w:val="008B12A7"/>
    <w:pPr>
      <w:ind w:left="4252"/>
    </w:pPr>
  </w:style>
  <w:style w:type="paragraph" w:styleId="Date">
    <w:name w:val="Date"/>
    <w:basedOn w:val="Normal"/>
    <w:next w:val="Normal"/>
    <w:semiHidden/>
    <w:rsid w:val="008B12A7"/>
  </w:style>
  <w:style w:type="paragraph" w:styleId="E-mailSignature">
    <w:name w:val="E-mail Signature"/>
    <w:basedOn w:val="Normal"/>
    <w:semiHidden/>
    <w:rsid w:val="008B12A7"/>
  </w:style>
  <w:style w:type="character" w:styleId="Emphasis">
    <w:name w:val="Emphasis"/>
    <w:basedOn w:val="DefaultParagraphFont"/>
    <w:qFormat/>
    <w:rsid w:val="008B12A7"/>
    <w:rPr>
      <w:rFonts w:ascii="Calibri" w:hAnsi="Calibri"/>
      <w:i/>
      <w:iCs/>
    </w:rPr>
  </w:style>
  <w:style w:type="paragraph" w:styleId="EnvelopeAddress">
    <w:name w:val="envelope address"/>
    <w:basedOn w:val="Normal"/>
    <w:semiHidden/>
    <w:rsid w:val="008B12A7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semiHidden/>
    <w:rsid w:val="008B12A7"/>
    <w:rPr>
      <w:rFonts w:ascii="Arial" w:hAnsi="Arial" w:cs="Arial"/>
      <w:sz w:val="20"/>
    </w:rPr>
  </w:style>
  <w:style w:type="character" w:styleId="FollowedHyperlink">
    <w:name w:val="FollowedHyperlink"/>
    <w:basedOn w:val="DefaultParagraphFont"/>
    <w:semiHidden/>
    <w:rsid w:val="008B12A7"/>
    <w:rPr>
      <w:color w:val="800080"/>
      <w:u w:val="single"/>
    </w:rPr>
  </w:style>
  <w:style w:type="character" w:styleId="HTMLAcronym">
    <w:name w:val="HTML Acronym"/>
    <w:basedOn w:val="DefaultParagraphFont"/>
    <w:semiHidden/>
    <w:rsid w:val="008B12A7"/>
  </w:style>
  <w:style w:type="paragraph" w:styleId="HTMLAddress">
    <w:name w:val="HTML Address"/>
    <w:basedOn w:val="Normal"/>
    <w:semiHidden/>
    <w:rsid w:val="008B12A7"/>
    <w:rPr>
      <w:i/>
      <w:iCs/>
    </w:rPr>
  </w:style>
  <w:style w:type="character" w:styleId="HTMLCite">
    <w:name w:val="HTML Cite"/>
    <w:basedOn w:val="DefaultParagraphFont"/>
    <w:semiHidden/>
    <w:rsid w:val="008B12A7"/>
    <w:rPr>
      <w:i/>
      <w:iCs/>
    </w:rPr>
  </w:style>
  <w:style w:type="character" w:styleId="HTMLCode">
    <w:name w:val="HTML Code"/>
    <w:basedOn w:val="DefaultParagraphFont"/>
    <w:semiHidden/>
    <w:rsid w:val="008B12A7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8B12A7"/>
    <w:rPr>
      <w:i/>
      <w:iCs/>
    </w:rPr>
  </w:style>
  <w:style w:type="character" w:styleId="HTMLKeyboard">
    <w:name w:val="HTML Keyboard"/>
    <w:basedOn w:val="DefaultParagraphFont"/>
    <w:semiHidden/>
    <w:rsid w:val="008B12A7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8B12A7"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semiHidden/>
    <w:rsid w:val="008B12A7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8B12A7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8B12A7"/>
    <w:rPr>
      <w:i/>
      <w:iCs/>
    </w:rPr>
  </w:style>
  <w:style w:type="character" w:styleId="Hyperlink">
    <w:name w:val="Hyperlink"/>
    <w:basedOn w:val="DefaultParagraphFont"/>
    <w:semiHidden/>
    <w:rsid w:val="008B12A7"/>
    <w:rPr>
      <w:color w:val="0000FF"/>
      <w:u w:val="single"/>
    </w:rPr>
  </w:style>
  <w:style w:type="character" w:styleId="LineNumber">
    <w:name w:val="line number"/>
    <w:basedOn w:val="DefaultParagraphFont"/>
    <w:semiHidden/>
    <w:rsid w:val="008B12A7"/>
  </w:style>
  <w:style w:type="paragraph" w:styleId="List">
    <w:name w:val="List"/>
    <w:basedOn w:val="Normal"/>
    <w:semiHidden/>
    <w:rsid w:val="008B12A7"/>
    <w:pPr>
      <w:ind w:left="283" w:hanging="283"/>
    </w:pPr>
  </w:style>
  <w:style w:type="paragraph" w:styleId="List2">
    <w:name w:val="List 2"/>
    <w:basedOn w:val="Normal"/>
    <w:semiHidden/>
    <w:rsid w:val="008B12A7"/>
    <w:pPr>
      <w:ind w:left="566" w:hanging="283"/>
    </w:pPr>
  </w:style>
  <w:style w:type="paragraph" w:styleId="List3">
    <w:name w:val="List 3"/>
    <w:basedOn w:val="Normal"/>
    <w:semiHidden/>
    <w:rsid w:val="008B12A7"/>
    <w:pPr>
      <w:ind w:left="849" w:hanging="283"/>
    </w:pPr>
  </w:style>
  <w:style w:type="paragraph" w:styleId="List4">
    <w:name w:val="List 4"/>
    <w:basedOn w:val="Normal"/>
    <w:semiHidden/>
    <w:rsid w:val="008B12A7"/>
    <w:pPr>
      <w:ind w:left="1132" w:hanging="283"/>
    </w:pPr>
  </w:style>
  <w:style w:type="paragraph" w:styleId="List5">
    <w:name w:val="List 5"/>
    <w:basedOn w:val="Normal"/>
    <w:semiHidden/>
    <w:rsid w:val="008B12A7"/>
    <w:pPr>
      <w:ind w:left="1415" w:hanging="283"/>
    </w:pPr>
  </w:style>
  <w:style w:type="paragraph" w:styleId="ListBullet">
    <w:name w:val="List Bullet"/>
    <w:basedOn w:val="Normal"/>
    <w:rsid w:val="008B12A7"/>
    <w:pPr>
      <w:numPr>
        <w:numId w:val="22"/>
      </w:numPr>
    </w:pPr>
  </w:style>
  <w:style w:type="paragraph" w:styleId="ListBullet2">
    <w:name w:val="List Bullet 2"/>
    <w:basedOn w:val="Normal"/>
    <w:semiHidden/>
    <w:rsid w:val="008B12A7"/>
    <w:pPr>
      <w:numPr>
        <w:numId w:val="23"/>
      </w:numPr>
    </w:pPr>
  </w:style>
  <w:style w:type="paragraph" w:styleId="ListBullet3">
    <w:name w:val="List Bullet 3"/>
    <w:basedOn w:val="Normal"/>
    <w:semiHidden/>
    <w:rsid w:val="008B12A7"/>
    <w:pPr>
      <w:numPr>
        <w:numId w:val="24"/>
      </w:numPr>
    </w:pPr>
  </w:style>
  <w:style w:type="paragraph" w:styleId="ListBullet4">
    <w:name w:val="List Bullet 4"/>
    <w:basedOn w:val="Normal"/>
    <w:semiHidden/>
    <w:rsid w:val="008B12A7"/>
    <w:pPr>
      <w:numPr>
        <w:numId w:val="25"/>
      </w:numPr>
    </w:pPr>
  </w:style>
  <w:style w:type="paragraph" w:styleId="ListBullet5">
    <w:name w:val="List Bullet 5"/>
    <w:basedOn w:val="Normal"/>
    <w:semiHidden/>
    <w:rsid w:val="008B12A7"/>
    <w:pPr>
      <w:numPr>
        <w:numId w:val="26"/>
      </w:numPr>
    </w:pPr>
  </w:style>
  <w:style w:type="paragraph" w:styleId="ListContinue">
    <w:name w:val="List Continue"/>
    <w:basedOn w:val="Normal"/>
    <w:semiHidden/>
    <w:rsid w:val="008B12A7"/>
    <w:pPr>
      <w:spacing w:after="120"/>
      <w:ind w:left="283"/>
    </w:pPr>
  </w:style>
  <w:style w:type="paragraph" w:styleId="ListContinue2">
    <w:name w:val="List Continue 2"/>
    <w:basedOn w:val="Normal"/>
    <w:semiHidden/>
    <w:rsid w:val="008B12A7"/>
    <w:pPr>
      <w:spacing w:after="120"/>
      <w:ind w:left="566"/>
    </w:pPr>
  </w:style>
  <w:style w:type="paragraph" w:styleId="ListContinue3">
    <w:name w:val="List Continue 3"/>
    <w:basedOn w:val="Normal"/>
    <w:semiHidden/>
    <w:rsid w:val="008B12A7"/>
    <w:pPr>
      <w:spacing w:after="120"/>
      <w:ind w:left="849"/>
    </w:pPr>
  </w:style>
  <w:style w:type="paragraph" w:styleId="ListContinue4">
    <w:name w:val="List Continue 4"/>
    <w:basedOn w:val="Normal"/>
    <w:semiHidden/>
    <w:rsid w:val="008B12A7"/>
    <w:pPr>
      <w:spacing w:after="120"/>
      <w:ind w:left="1132"/>
    </w:pPr>
  </w:style>
  <w:style w:type="paragraph" w:styleId="ListContinue5">
    <w:name w:val="List Continue 5"/>
    <w:basedOn w:val="Normal"/>
    <w:semiHidden/>
    <w:rsid w:val="008B12A7"/>
    <w:pPr>
      <w:spacing w:after="120"/>
      <w:ind w:left="1415"/>
    </w:pPr>
  </w:style>
  <w:style w:type="paragraph" w:styleId="ListNumber">
    <w:name w:val="List Number"/>
    <w:basedOn w:val="Normal"/>
    <w:semiHidden/>
    <w:rsid w:val="008B12A7"/>
    <w:pPr>
      <w:numPr>
        <w:numId w:val="27"/>
      </w:numPr>
    </w:pPr>
  </w:style>
  <w:style w:type="paragraph" w:styleId="ListNumber2">
    <w:name w:val="List Number 2"/>
    <w:basedOn w:val="Normal"/>
    <w:semiHidden/>
    <w:rsid w:val="008B12A7"/>
    <w:pPr>
      <w:numPr>
        <w:numId w:val="28"/>
      </w:numPr>
    </w:pPr>
  </w:style>
  <w:style w:type="paragraph" w:styleId="ListNumber3">
    <w:name w:val="List Number 3"/>
    <w:basedOn w:val="Normal"/>
    <w:semiHidden/>
    <w:rsid w:val="008B12A7"/>
    <w:pPr>
      <w:numPr>
        <w:numId w:val="29"/>
      </w:numPr>
    </w:pPr>
  </w:style>
  <w:style w:type="paragraph" w:styleId="ListNumber4">
    <w:name w:val="List Number 4"/>
    <w:basedOn w:val="Normal"/>
    <w:semiHidden/>
    <w:rsid w:val="008B12A7"/>
    <w:pPr>
      <w:numPr>
        <w:numId w:val="30"/>
      </w:numPr>
    </w:pPr>
  </w:style>
  <w:style w:type="paragraph" w:styleId="ListNumber5">
    <w:name w:val="List Number 5"/>
    <w:basedOn w:val="Normal"/>
    <w:semiHidden/>
    <w:rsid w:val="008B12A7"/>
    <w:pPr>
      <w:numPr>
        <w:numId w:val="31"/>
      </w:numPr>
    </w:pPr>
  </w:style>
  <w:style w:type="paragraph" w:styleId="MessageHeader">
    <w:name w:val="Message Header"/>
    <w:basedOn w:val="Normal"/>
    <w:semiHidden/>
    <w:rsid w:val="008B12A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ormalWeb">
    <w:name w:val="Normal (Web)"/>
    <w:basedOn w:val="Normal"/>
    <w:rsid w:val="008B12A7"/>
    <w:rPr>
      <w:szCs w:val="24"/>
    </w:rPr>
  </w:style>
  <w:style w:type="paragraph" w:styleId="NormalIndent">
    <w:name w:val="Normal Indent"/>
    <w:basedOn w:val="Normal"/>
    <w:semiHidden/>
    <w:rsid w:val="008B12A7"/>
    <w:pPr>
      <w:ind w:left="720"/>
    </w:pPr>
  </w:style>
  <w:style w:type="character" w:styleId="PageNumber">
    <w:name w:val="page number"/>
    <w:basedOn w:val="DefaultParagraphFont"/>
    <w:semiHidden/>
    <w:rsid w:val="008B12A7"/>
  </w:style>
  <w:style w:type="paragraph" w:styleId="Salutation">
    <w:name w:val="Salutation"/>
    <w:basedOn w:val="Normal"/>
    <w:next w:val="Normal"/>
    <w:semiHidden/>
    <w:rsid w:val="008B12A7"/>
  </w:style>
  <w:style w:type="paragraph" w:styleId="Signature">
    <w:name w:val="Signature"/>
    <w:basedOn w:val="Normal"/>
    <w:semiHidden/>
    <w:rsid w:val="008B12A7"/>
    <w:pPr>
      <w:ind w:left="4252"/>
    </w:pPr>
  </w:style>
  <w:style w:type="character" w:styleId="Strong">
    <w:name w:val="Strong"/>
    <w:basedOn w:val="DefaultParagraphFont"/>
    <w:qFormat/>
    <w:rsid w:val="008B12A7"/>
    <w:rPr>
      <w:b/>
      <w:bCs/>
    </w:rPr>
  </w:style>
  <w:style w:type="paragraph" w:styleId="Subtitle">
    <w:name w:val="Subtitle"/>
    <w:basedOn w:val="Normal"/>
    <w:qFormat/>
    <w:rsid w:val="008B12A7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Table3Deffects1">
    <w:name w:val="Table 3D effects 1"/>
    <w:basedOn w:val="TableNormal"/>
    <w:semiHidden/>
    <w:rsid w:val="008B12A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8B12A7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8B12A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8B12A7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8B12A7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8B12A7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8B12A7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8B12A7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8B12A7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8B12A7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8B12A7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8B12A7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8B12A7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8B12A7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8B12A7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8B12A7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8B12A7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8B12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semiHidden/>
    <w:rsid w:val="008B12A7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8B12A7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8B12A7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8B12A7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8B12A7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8B12A7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8B12A7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8B12A7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8B12A7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8B12A7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8B12A7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8B12A7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8B12A7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8B12A7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8B12A7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8B12A7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8B12A7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8B12A7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8B12A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8B12A7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8B12A7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8B12A7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8B12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rsid w:val="008B12A7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8B12A7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8B12A7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8B12A7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teHeading0">
    <w:name w:val="Note Heading"/>
    <w:basedOn w:val="Normal"/>
    <w:next w:val="Normal"/>
    <w:rsid w:val="008B12A7"/>
    <w:pPr>
      <w:spacing w:before="120"/>
    </w:pPr>
    <w:rPr>
      <w:b/>
      <w:sz w:val="16"/>
    </w:rPr>
  </w:style>
  <w:style w:type="paragraph" w:customStyle="1" w:styleId="TableNumber">
    <w:name w:val="Table Number"/>
    <w:basedOn w:val="TableName"/>
    <w:next w:val="TableName"/>
    <w:rsid w:val="008B12A7"/>
    <w:pPr>
      <w:spacing w:before="60" w:after="0"/>
    </w:pPr>
  </w:style>
  <w:style w:type="paragraph" w:customStyle="1" w:styleId="TableTextIndent">
    <w:name w:val="Table Text Indent"/>
    <w:rsid w:val="008B12A7"/>
    <w:pPr>
      <w:numPr>
        <w:numId w:val="32"/>
      </w:numPr>
      <w:spacing w:before="60"/>
    </w:pPr>
    <w:rPr>
      <w:rFonts w:ascii="Calibri" w:hAnsi="Calibri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D04406"/>
    <w:rPr>
      <w:rFonts w:ascii="Arial" w:hAnsi="Arial" w:cs="Arial"/>
      <w:b/>
      <w:bCs/>
      <w:sz w:val="24"/>
      <w:szCs w:val="26"/>
      <w:lang w:eastAsia="en-US"/>
    </w:rPr>
  </w:style>
  <w:style w:type="paragraph" w:customStyle="1" w:styleId="TableHeadingCentre-BP4">
    <w:name w:val="Table Heading Centre - BP4"/>
    <w:basedOn w:val="Normal"/>
    <w:rsid w:val="008B12A7"/>
    <w:pPr>
      <w:keepNext/>
      <w:jc w:val="center"/>
    </w:pPr>
    <w:rPr>
      <w:b/>
      <w:sz w:val="18"/>
    </w:rPr>
  </w:style>
  <w:style w:type="paragraph" w:customStyle="1" w:styleId="TableTextRightBold-BP4">
    <w:name w:val="Table Text Right Bold - BP4"/>
    <w:basedOn w:val="Normal"/>
    <w:rsid w:val="008B12A7"/>
    <w:pPr>
      <w:jc w:val="right"/>
    </w:pPr>
    <w:rPr>
      <w:b/>
      <w:sz w:val="18"/>
    </w:rPr>
  </w:style>
  <w:style w:type="paragraph" w:customStyle="1" w:styleId="TableHeadingRight-BP4">
    <w:name w:val="Table Heading Right - BP4"/>
    <w:basedOn w:val="Normal"/>
    <w:rsid w:val="008B12A7"/>
    <w:pPr>
      <w:keepNext/>
      <w:jc w:val="right"/>
    </w:pPr>
    <w:rPr>
      <w:b/>
      <w:sz w:val="18"/>
      <w:szCs w:val="24"/>
    </w:rPr>
  </w:style>
  <w:style w:type="paragraph" w:customStyle="1" w:styleId="TableHeadingLeft-BP4">
    <w:name w:val="Table Heading Left - BP4"/>
    <w:basedOn w:val="Normal"/>
    <w:link w:val="TableHeadingLeft-BP4CharChar"/>
    <w:rsid w:val="008B12A7"/>
    <w:pPr>
      <w:keepNext/>
    </w:pPr>
    <w:rPr>
      <w:b/>
      <w:sz w:val="18"/>
      <w:lang w:eastAsia="en-AU"/>
    </w:rPr>
  </w:style>
  <w:style w:type="character" w:customStyle="1" w:styleId="TableHeadingLeft-BP4CharChar">
    <w:name w:val="Table Heading Left - BP4 Char Char"/>
    <w:basedOn w:val="DefaultParagraphFont"/>
    <w:link w:val="TableHeadingLeft-BP4"/>
    <w:rsid w:val="00D04406"/>
    <w:rPr>
      <w:rFonts w:ascii="Calibri" w:hAnsi="Calibri"/>
      <w:b/>
      <w:sz w:val="18"/>
    </w:rPr>
  </w:style>
  <w:style w:type="paragraph" w:customStyle="1" w:styleId="TableTextRight-BP4">
    <w:name w:val="Table Text Right - BP4"/>
    <w:basedOn w:val="Normal"/>
    <w:rsid w:val="008B12A7"/>
    <w:pPr>
      <w:jc w:val="right"/>
    </w:pPr>
    <w:rPr>
      <w:sz w:val="18"/>
    </w:rPr>
  </w:style>
  <w:style w:type="paragraph" w:customStyle="1" w:styleId="TableTextLeftBold-BP4">
    <w:name w:val="Table Text Left Bold - BP4"/>
    <w:basedOn w:val="Normal"/>
    <w:link w:val="TableTextLeftBold-BP4CharChar"/>
    <w:rsid w:val="008B12A7"/>
    <w:pPr>
      <w:ind w:left="142" w:hanging="142"/>
    </w:pPr>
    <w:rPr>
      <w:b/>
      <w:sz w:val="18"/>
    </w:rPr>
  </w:style>
  <w:style w:type="character" w:customStyle="1" w:styleId="TableTextLeftBold-BP4CharChar">
    <w:name w:val="Table Text Left Bold - BP4 Char Char"/>
    <w:basedOn w:val="DefaultParagraphFont"/>
    <w:link w:val="TableTextLeftBold-BP4"/>
    <w:rsid w:val="00D04406"/>
    <w:rPr>
      <w:rFonts w:ascii="Calibri" w:hAnsi="Calibri"/>
      <w:b/>
      <w:sz w:val="18"/>
      <w:lang w:eastAsia="en-US"/>
    </w:rPr>
  </w:style>
  <w:style w:type="paragraph" w:customStyle="1" w:styleId="TableTextLeft-BP4">
    <w:name w:val="Table Text Left - BP4"/>
    <w:basedOn w:val="Normal"/>
    <w:rsid w:val="008B12A7"/>
    <w:pPr>
      <w:ind w:left="142" w:hanging="142"/>
    </w:pPr>
    <w:rPr>
      <w:sz w:val="18"/>
      <w:szCs w:val="18"/>
    </w:rPr>
  </w:style>
  <w:style w:type="paragraph" w:customStyle="1" w:styleId="TableNumbersRight-BP4">
    <w:name w:val="Table Numbers Right - BP4"/>
    <w:basedOn w:val="Normal"/>
    <w:rsid w:val="008B12A7"/>
    <w:pPr>
      <w:jc w:val="right"/>
    </w:pPr>
    <w:rPr>
      <w:sz w:val="18"/>
    </w:rPr>
  </w:style>
  <w:style w:type="paragraph" w:customStyle="1" w:styleId="AITableText">
    <w:name w:val="AI Table Text"/>
    <w:basedOn w:val="Normal"/>
    <w:link w:val="AITableTextChar"/>
    <w:rsid w:val="008B12A7"/>
    <w:pPr>
      <w:jc w:val="right"/>
    </w:pPr>
    <w:rPr>
      <w:sz w:val="20"/>
      <w:szCs w:val="24"/>
    </w:rPr>
  </w:style>
  <w:style w:type="character" w:customStyle="1" w:styleId="AITableTextChar">
    <w:name w:val="AI Table Text Char"/>
    <w:basedOn w:val="DefaultParagraphFont"/>
    <w:link w:val="AITableText"/>
    <w:rsid w:val="00D04406"/>
    <w:rPr>
      <w:rFonts w:ascii="Calibri" w:hAnsi="Calibri"/>
      <w:szCs w:val="24"/>
      <w:lang w:eastAsia="en-US"/>
    </w:rPr>
  </w:style>
  <w:style w:type="paragraph" w:customStyle="1" w:styleId="AIIndent">
    <w:name w:val="AI Indent"/>
    <w:basedOn w:val="Normal"/>
    <w:rsid w:val="008B12A7"/>
    <w:pPr>
      <w:tabs>
        <w:tab w:val="num" w:pos="360"/>
      </w:tabs>
      <w:ind w:left="357" w:hanging="357"/>
    </w:pPr>
    <w:rPr>
      <w:sz w:val="20"/>
    </w:rPr>
  </w:style>
  <w:style w:type="paragraph" w:customStyle="1" w:styleId="TableHeadingCentre-BP3">
    <w:name w:val="Table Heading Centre - BP3"/>
    <w:basedOn w:val="TableHeadingCentre-BP4"/>
    <w:rsid w:val="008B12A7"/>
    <w:rPr>
      <w:sz w:val="20"/>
    </w:rPr>
  </w:style>
  <w:style w:type="paragraph" w:customStyle="1" w:styleId="TableHeadingLeft-BP3">
    <w:name w:val="Table Heading Left - BP3"/>
    <w:basedOn w:val="TableHeadingLeft-BP4"/>
    <w:rsid w:val="008B12A7"/>
    <w:rPr>
      <w:sz w:val="20"/>
    </w:rPr>
  </w:style>
  <w:style w:type="paragraph" w:customStyle="1" w:styleId="TableHeadingRight-BP3">
    <w:name w:val="Table Heading Right - BP3"/>
    <w:basedOn w:val="TableHeadingRight-BP4"/>
    <w:rsid w:val="008B12A7"/>
    <w:rPr>
      <w:sz w:val="20"/>
    </w:rPr>
  </w:style>
  <w:style w:type="paragraph" w:customStyle="1" w:styleId="TableNumbersRight-BP3">
    <w:name w:val="Table Numbers Right - BP3"/>
    <w:basedOn w:val="TableNumbersRight-BP4"/>
    <w:rsid w:val="008B12A7"/>
    <w:rPr>
      <w:sz w:val="20"/>
    </w:rPr>
  </w:style>
  <w:style w:type="paragraph" w:customStyle="1" w:styleId="TableTextLeft-BP3">
    <w:name w:val="Table Text Left - BP3"/>
    <w:basedOn w:val="TableTextLeft-BP4"/>
    <w:rsid w:val="008B12A7"/>
    <w:rPr>
      <w:sz w:val="20"/>
    </w:rPr>
  </w:style>
  <w:style w:type="paragraph" w:customStyle="1" w:styleId="TableTextLeftBold-BP3">
    <w:name w:val="Table Text Left Bold - BP3"/>
    <w:basedOn w:val="TableTextLeftBold-BP4"/>
    <w:rsid w:val="008B12A7"/>
    <w:rPr>
      <w:sz w:val="20"/>
    </w:rPr>
  </w:style>
  <w:style w:type="paragraph" w:customStyle="1" w:styleId="TableTextRight-BP3">
    <w:name w:val="Table Text Right - BP3"/>
    <w:basedOn w:val="TableTextRight-BP4"/>
    <w:rsid w:val="008B12A7"/>
    <w:rPr>
      <w:sz w:val="20"/>
    </w:rPr>
  </w:style>
  <w:style w:type="paragraph" w:customStyle="1" w:styleId="TableTextRightBold-BP3">
    <w:name w:val="Table Text Right Bold - BP3"/>
    <w:basedOn w:val="TableTextRightBold-BP4"/>
    <w:rsid w:val="008B12A7"/>
  </w:style>
  <w:style w:type="paragraph" w:customStyle="1" w:styleId="TableTextLeft-BP4FS">
    <w:name w:val="Table Text Left - BP4 FS"/>
    <w:basedOn w:val="TableTextLeft-BP4"/>
    <w:rsid w:val="008B12A7"/>
    <w:pPr>
      <w:ind w:left="227"/>
    </w:pPr>
  </w:style>
  <w:style w:type="paragraph" w:customStyle="1" w:styleId="xl26">
    <w:name w:val="xl26"/>
    <w:basedOn w:val="Normal"/>
    <w:rsid w:val="00D04406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TableHeadingCentre-BP410pt">
    <w:name w:val="Table Heading Centre - BP4 10pt"/>
    <w:basedOn w:val="TableHeadingCentre-BP4"/>
    <w:rsid w:val="008B12A7"/>
    <w:rPr>
      <w:sz w:val="20"/>
    </w:rPr>
  </w:style>
  <w:style w:type="paragraph" w:customStyle="1" w:styleId="TableHeadingLeft-BP410pt">
    <w:name w:val="Table Heading Left - BP4 10pt"/>
    <w:basedOn w:val="TableHeadingLeft-BP4"/>
    <w:rsid w:val="008B12A7"/>
    <w:rPr>
      <w:sz w:val="20"/>
    </w:rPr>
  </w:style>
  <w:style w:type="paragraph" w:customStyle="1" w:styleId="TableHeadingRight-BP410pt">
    <w:name w:val="Table Heading Right - BP4 10pt"/>
    <w:basedOn w:val="TableHeadingRight-BP4"/>
    <w:rsid w:val="008B12A7"/>
    <w:rPr>
      <w:sz w:val="20"/>
    </w:rPr>
  </w:style>
  <w:style w:type="paragraph" w:customStyle="1" w:styleId="TableTextLeft-BP410pt">
    <w:name w:val="Table Text Left - BP4 10pt"/>
    <w:basedOn w:val="TableTextLeft-BP4"/>
    <w:rsid w:val="008B12A7"/>
    <w:rPr>
      <w:sz w:val="20"/>
    </w:rPr>
  </w:style>
  <w:style w:type="paragraph" w:customStyle="1" w:styleId="TableTextLeftBold-BP410pt">
    <w:name w:val="Table Text Left Bold - BP4 10pt"/>
    <w:basedOn w:val="TableTextLeftBold-BP4"/>
    <w:rsid w:val="008B12A7"/>
    <w:rPr>
      <w:sz w:val="20"/>
    </w:rPr>
  </w:style>
  <w:style w:type="paragraph" w:customStyle="1" w:styleId="TableTextRight-BP410pt">
    <w:name w:val="Table Text Right - BP4 10pt"/>
    <w:basedOn w:val="TableTextRight-BP4"/>
    <w:rsid w:val="008B12A7"/>
    <w:rPr>
      <w:sz w:val="20"/>
    </w:rPr>
  </w:style>
  <w:style w:type="paragraph" w:customStyle="1" w:styleId="TableTextRightBold-BP410pt">
    <w:name w:val="Table Text Right Bold - BP4 10pt"/>
    <w:basedOn w:val="TableTextRightBold-BP4"/>
    <w:rsid w:val="008B12A7"/>
    <w:rPr>
      <w:sz w:val="20"/>
    </w:rPr>
  </w:style>
  <w:style w:type="paragraph" w:customStyle="1" w:styleId="xl27">
    <w:name w:val="xl27"/>
    <w:basedOn w:val="Normal"/>
    <w:rsid w:val="00D04406"/>
    <w:pPr>
      <w:spacing w:before="100" w:beforeAutospacing="1" w:after="100" w:afterAutospacing="1"/>
      <w:textAlignment w:val="top"/>
    </w:pPr>
    <w:rPr>
      <w:rFonts w:eastAsia="Arial Unicode MS"/>
      <w:b/>
      <w:bCs/>
    </w:rPr>
  </w:style>
  <w:style w:type="paragraph" w:customStyle="1" w:styleId="xl28">
    <w:name w:val="xl28"/>
    <w:basedOn w:val="Normal"/>
    <w:rsid w:val="00D04406"/>
    <w:pP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9">
    <w:name w:val="xl29"/>
    <w:basedOn w:val="Normal"/>
    <w:rsid w:val="00D0440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0">
    <w:name w:val="xl30"/>
    <w:basedOn w:val="Normal"/>
    <w:rsid w:val="00D04406"/>
    <w:pPr>
      <w:pBdr>
        <w:top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1">
    <w:name w:val="xl31"/>
    <w:basedOn w:val="Normal"/>
    <w:rsid w:val="00D04406"/>
    <w:pPr>
      <w:pBdr>
        <w:top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2">
    <w:name w:val="xl32"/>
    <w:basedOn w:val="Normal"/>
    <w:rsid w:val="00D0440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3">
    <w:name w:val="xl33"/>
    <w:basedOn w:val="Normal"/>
    <w:rsid w:val="00D04406"/>
    <w:pPr>
      <w:pBdr>
        <w:left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Normal"/>
    <w:rsid w:val="00D04406"/>
    <w:pPr>
      <w:spacing w:before="100" w:beforeAutospacing="1" w:after="100" w:afterAutospacing="1"/>
      <w:jc w:val="right"/>
    </w:pPr>
    <w:rPr>
      <w:rFonts w:eastAsia="Arial Unicode MS"/>
      <w:b/>
      <w:bCs/>
    </w:rPr>
  </w:style>
  <w:style w:type="paragraph" w:customStyle="1" w:styleId="xl35">
    <w:name w:val="xl35"/>
    <w:basedOn w:val="Normal"/>
    <w:rsid w:val="00D04406"/>
    <w:pPr>
      <w:spacing w:before="100" w:beforeAutospacing="1" w:after="100" w:afterAutospacing="1"/>
      <w:jc w:val="right"/>
    </w:pPr>
    <w:rPr>
      <w:rFonts w:eastAsia="Arial Unicode MS"/>
      <w:b/>
      <w:bCs/>
    </w:rPr>
  </w:style>
  <w:style w:type="paragraph" w:customStyle="1" w:styleId="xl36">
    <w:name w:val="xl36"/>
    <w:basedOn w:val="Normal"/>
    <w:rsid w:val="00D04406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eastAsia="Arial Unicode MS"/>
      <w:b/>
      <w:bCs/>
    </w:rPr>
  </w:style>
  <w:style w:type="paragraph" w:customStyle="1" w:styleId="xl37">
    <w:name w:val="xl37"/>
    <w:basedOn w:val="Normal"/>
    <w:rsid w:val="00D0440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8">
    <w:name w:val="xl38"/>
    <w:basedOn w:val="Normal"/>
    <w:rsid w:val="00D04406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eastAsia="Arial Unicode MS"/>
      <w:b/>
      <w:bCs/>
    </w:rPr>
  </w:style>
  <w:style w:type="paragraph" w:customStyle="1" w:styleId="xl39">
    <w:name w:val="xl39"/>
    <w:basedOn w:val="Normal"/>
    <w:rsid w:val="00D04406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eastAsia="Arial Unicode MS"/>
      <w:b/>
      <w:bCs/>
    </w:rPr>
  </w:style>
  <w:style w:type="paragraph" w:customStyle="1" w:styleId="xl40">
    <w:name w:val="xl40"/>
    <w:basedOn w:val="Normal"/>
    <w:rsid w:val="00D0440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Arial Unicode MS"/>
      <w:b/>
      <w:bCs/>
    </w:rPr>
  </w:style>
  <w:style w:type="paragraph" w:customStyle="1" w:styleId="xl41">
    <w:name w:val="xl41"/>
    <w:basedOn w:val="Normal"/>
    <w:rsid w:val="00D04406"/>
    <w:pPr>
      <w:spacing w:before="100" w:beforeAutospacing="1" w:after="100" w:afterAutospacing="1"/>
      <w:jc w:val="right"/>
    </w:pPr>
    <w:rPr>
      <w:rFonts w:eastAsia="Arial Unicode MS"/>
    </w:rPr>
  </w:style>
  <w:style w:type="paragraph" w:customStyle="1" w:styleId="xl42">
    <w:name w:val="xl42"/>
    <w:basedOn w:val="Normal"/>
    <w:rsid w:val="00D04406"/>
    <w:pPr>
      <w:spacing w:before="100" w:beforeAutospacing="1" w:after="100" w:afterAutospacing="1"/>
      <w:jc w:val="right"/>
    </w:pPr>
    <w:rPr>
      <w:rFonts w:eastAsia="Arial Unicode MS"/>
    </w:rPr>
  </w:style>
  <w:style w:type="paragraph" w:customStyle="1" w:styleId="xl43">
    <w:name w:val="xl43"/>
    <w:basedOn w:val="Normal"/>
    <w:rsid w:val="00D04406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eastAsia="Arial Unicode MS"/>
    </w:rPr>
  </w:style>
  <w:style w:type="paragraph" w:customStyle="1" w:styleId="xl44">
    <w:name w:val="xl44"/>
    <w:basedOn w:val="Normal"/>
    <w:rsid w:val="00D04406"/>
    <w:pPr>
      <w:pBdr>
        <w:left w:val="single" w:sz="4" w:space="0" w:color="auto"/>
      </w:pBd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45">
    <w:name w:val="xl45"/>
    <w:basedOn w:val="Normal"/>
    <w:rsid w:val="00D04406"/>
    <w:pPr>
      <w:spacing w:before="100" w:beforeAutospacing="1" w:after="100" w:afterAutospacing="1"/>
    </w:pPr>
    <w:rPr>
      <w:rFonts w:eastAsia="Arial Unicode MS"/>
    </w:rPr>
  </w:style>
  <w:style w:type="paragraph" w:customStyle="1" w:styleId="xl46">
    <w:name w:val="xl46"/>
    <w:basedOn w:val="Normal"/>
    <w:rsid w:val="00D04406"/>
    <w:pPr>
      <w:spacing w:before="100" w:beforeAutospacing="1" w:after="100" w:afterAutospacing="1"/>
    </w:pPr>
    <w:rPr>
      <w:rFonts w:eastAsia="Arial Unicode MS"/>
    </w:rPr>
  </w:style>
  <w:style w:type="paragraph" w:customStyle="1" w:styleId="xl47">
    <w:name w:val="xl47"/>
    <w:basedOn w:val="Normal"/>
    <w:rsid w:val="00D04406"/>
    <w:pPr>
      <w:pBdr>
        <w:right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48">
    <w:name w:val="xl48"/>
    <w:basedOn w:val="Normal"/>
    <w:rsid w:val="00D04406"/>
    <w:pPr>
      <w:pBdr>
        <w:left w:val="single" w:sz="4" w:space="9" w:color="auto"/>
      </w:pBdr>
      <w:spacing w:before="100" w:beforeAutospacing="1" w:after="100" w:afterAutospacing="1"/>
      <w:ind w:firstLineChars="100" w:firstLine="100"/>
    </w:pPr>
    <w:rPr>
      <w:rFonts w:eastAsia="Arial Unicode MS"/>
    </w:rPr>
  </w:style>
  <w:style w:type="paragraph" w:customStyle="1" w:styleId="xl49">
    <w:name w:val="xl49"/>
    <w:basedOn w:val="Normal"/>
    <w:rsid w:val="00D04406"/>
    <w:pPr>
      <w:spacing w:before="100" w:beforeAutospacing="1" w:after="100" w:afterAutospacing="1"/>
    </w:pPr>
    <w:rPr>
      <w:rFonts w:eastAsia="Arial Unicode MS"/>
    </w:rPr>
  </w:style>
  <w:style w:type="paragraph" w:customStyle="1" w:styleId="xl50">
    <w:name w:val="xl50"/>
    <w:basedOn w:val="Normal"/>
    <w:rsid w:val="00D04406"/>
    <w:pPr>
      <w:pBdr>
        <w:right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51">
    <w:name w:val="xl51"/>
    <w:basedOn w:val="Normal"/>
    <w:rsid w:val="00D04406"/>
    <w:pPr>
      <w:pBdr>
        <w:left w:val="single" w:sz="4" w:space="9" w:color="auto"/>
      </w:pBdr>
      <w:spacing w:before="100" w:beforeAutospacing="1" w:after="100" w:afterAutospacing="1"/>
      <w:ind w:firstLineChars="100" w:firstLine="100"/>
      <w:textAlignment w:val="top"/>
    </w:pPr>
    <w:rPr>
      <w:rFonts w:eastAsia="Arial Unicode MS"/>
    </w:rPr>
  </w:style>
  <w:style w:type="paragraph" w:customStyle="1" w:styleId="xl52">
    <w:name w:val="xl52"/>
    <w:basedOn w:val="Normal"/>
    <w:rsid w:val="00D04406"/>
    <w:pP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53">
    <w:name w:val="xl53"/>
    <w:basedOn w:val="Normal"/>
    <w:rsid w:val="00D04406"/>
    <w:pPr>
      <w:spacing w:before="100" w:beforeAutospacing="1" w:after="100" w:afterAutospacing="1"/>
      <w:jc w:val="right"/>
      <w:textAlignment w:val="top"/>
    </w:pPr>
    <w:rPr>
      <w:rFonts w:eastAsia="Arial Unicode MS"/>
    </w:rPr>
  </w:style>
  <w:style w:type="paragraph" w:customStyle="1" w:styleId="xl54">
    <w:name w:val="xl54"/>
    <w:basedOn w:val="Normal"/>
    <w:rsid w:val="00D04406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55">
    <w:name w:val="xl55"/>
    <w:basedOn w:val="Normal"/>
    <w:rsid w:val="00D04406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font5">
    <w:name w:val="font5"/>
    <w:basedOn w:val="Normal"/>
    <w:rsid w:val="00D04406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6">
    <w:name w:val="font6"/>
    <w:basedOn w:val="Normal"/>
    <w:rsid w:val="00D04406"/>
    <w:pPr>
      <w:spacing w:before="100" w:beforeAutospacing="1" w:after="100" w:afterAutospacing="1"/>
    </w:pPr>
    <w:rPr>
      <w:rFonts w:ascii="Tahoma" w:eastAsia="Arial Unicode MS" w:hAnsi="Tahoma" w:cs="Tahoma"/>
      <w:b/>
      <w:bCs/>
      <w:color w:val="000000"/>
      <w:sz w:val="16"/>
      <w:szCs w:val="16"/>
    </w:rPr>
  </w:style>
  <w:style w:type="paragraph" w:customStyle="1" w:styleId="bullet">
    <w:name w:val="bullet"/>
    <w:basedOn w:val="Normal"/>
    <w:rsid w:val="00D04406"/>
    <w:pPr>
      <w:numPr>
        <w:numId w:val="5"/>
      </w:numPr>
      <w:spacing w:before="60"/>
      <w:jc w:val="both"/>
    </w:pPr>
  </w:style>
  <w:style w:type="paragraph" w:customStyle="1" w:styleId="Bullet-1">
    <w:name w:val="Bullet-1"/>
    <w:basedOn w:val="Normal"/>
    <w:rsid w:val="00D04406"/>
    <w:pPr>
      <w:keepLines/>
      <w:numPr>
        <w:numId w:val="6"/>
      </w:numPr>
      <w:tabs>
        <w:tab w:val="left" w:pos="289"/>
      </w:tabs>
      <w:spacing w:after="240"/>
      <w:jc w:val="both"/>
    </w:pPr>
    <w:rPr>
      <w:rFonts w:ascii="Book Antiqua" w:hAnsi="Book Antiqua" w:cs="Book Antiqua"/>
    </w:rPr>
  </w:style>
  <w:style w:type="paragraph" w:customStyle="1" w:styleId="dot">
    <w:name w:val="dot"/>
    <w:basedOn w:val="Normal"/>
    <w:rsid w:val="00D04406"/>
    <w:pPr>
      <w:numPr>
        <w:numId w:val="7"/>
      </w:numPr>
    </w:pPr>
  </w:style>
  <w:style w:type="paragraph" w:customStyle="1" w:styleId="DotPoint">
    <w:name w:val="Dot Point"/>
    <w:basedOn w:val="Normal"/>
    <w:next w:val="Normal"/>
    <w:rsid w:val="00D04406"/>
    <w:pPr>
      <w:numPr>
        <w:numId w:val="8"/>
      </w:numPr>
      <w:spacing w:before="40" w:after="40"/>
    </w:pPr>
    <w:rPr>
      <w:lang w:val="en-GB"/>
    </w:rPr>
  </w:style>
  <w:style w:type="paragraph" w:customStyle="1" w:styleId="Numbers">
    <w:name w:val="Numbers"/>
    <w:basedOn w:val="Normal"/>
    <w:rsid w:val="00D04406"/>
    <w:pPr>
      <w:keepLines/>
      <w:numPr>
        <w:numId w:val="10"/>
      </w:numPr>
      <w:tabs>
        <w:tab w:val="left" w:pos="289"/>
      </w:tabs>
      <w:spacing w:after="240"/>
      <w:jc w:val="both"/>
    </w:pPr>
    <w:rPr>
      <w:rFonts w:ascii="Book Antiqua" w:hAnsi="Book Antiqua" w:cs="Book Antiqua"/>
    </w:rPr>
  </w:style>
  <w:style w:type="paragraph" w:customStyle="1" w:styleId="TickPoint">
    <w:name w:val="Tick Point"/>
    <w:basedOn w:val="Normal"/>
    <w:rsid w:val="00D04406"/>
    <w:pPr>
      <w:numPr>
        <w:numId w:val="12"/>
      </w:numPr>
    </w:pPr>
    <w:rPr>
      <w:lang w:val="en-GB"/>
    </w:rPr>
  </w:style>
  <w:style w:type="paragraph" w:customStyle="1" w:styleId="xl56">
    <w:name w:val="xl56"/>
    <w:basedOn w:val="Normal"/>
    <w:rsid w:val="00D0440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Arial Unicode MS"/>
      <w:b/>
      <w:bCs/>
      <w:sz w:val="18"/>
      <w:szCs w:val="18"/>
    </w:rPr>
  </w:style>
  <w:style w:type="paragraph" w:customStyle="1" w:styleId="xl57">
    <w:name w:val="xl57"/>
    <w:basedOn w:val="Normal"/>
    <w:rsid w:val="00D04406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eastAsia="Arial Unicode MS"/>
      <w:b/>
      <w:bCs/>
      <w:sz w:val="18"/>
      <w:szCs w:val="18"/>
    </w:rPr>
  </w:style>
  <w:style w:type="paragraph" w:customStyle="1" w:styleId="xl58">
    <w:name w:val="xl58"/>
    <w:basedOn w:val="Normal"/>
    <w:rsid w:val="00D04406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xl59">
    <w:name w:val="xl59"/>
    <w:basedOn w:val="Normal"/>
    <w:rsid w:val="00D0440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60">
    <w:name w:val="xl60"/>
    <w:basedOn w:val="Normal"/>
    <w:rsid w:val="00D04406"/>
    <w:pPr>
      <w:pBdr>
        <w:top w:val="single" w:sz="4" w:space="0" w:color="auto"/>
      </w:pBd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61">
    <w:name w:val="xl61"/>
    <w:basedOn w:val="Normal"/>
    <w:rsid w:val="00D04406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62">
    <w:name w:val="xl62"/>
    <w:basedOn w:val="Normal"/>
    <w:rsid w:val="00D04406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63">
    <w:name w:val="xl63"/>
    <w:basedOn w:val="Normal"/>
    <w:rsid w:val="00D04406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xl64">
    <w:name w:val="xl64"/>
    <w:basedOn w:val="Normal"/>
    <w:rsid w:val="00D04406"/>
    <w:pPr>
      <w:spacing w:before="100" w:beforeAutospacing="1" w:after="100" w:afterAutospacing="1"/>
      <w:ind w:firstLineChars="100" w:firstLine="100"/>
    </w:pPr>
    <w:rPr>
      <w:rFonts w:eastAsia="Arial Unicode MS"/>
      <w:sz w:val="18"/>
      <w:szCs w:val="18"/>
    </w:rPr>
  </w:style>
  <w:style w:type="paragraph" w:customStyle="1" w:styleId="xl65">
    <w:name w:val="xl65"/>
    <w:basedOn w:val="Normal"/>
    <w:rsid w:val="00D04406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xl66">
    <w:name w:val="xl66"/>
    <w:basedOn w:val="Normal"/>
    <w:rsid w:val="00D04406"/>
    <w:pPr>
      <w:spacing w:before="100" w:beforeAutospacing="1" w:after="100" w:afterAutospacing="1"/>
    </w:pPr>
    <w:rPr>
      <w:rFonts w:eastAsia="Arial Unicode MS"/>
      <w:b/>
      <w:bCs/>
      <w:u w:val="single"/>
    </w:rPr>
  </w:style>
  <w:style w:type="paragraph" w:customStyle="1" w:styleId="xl67">
    <w:name w:val="xl67"/>
    <w:basedOn w:val="Normal"/>
    <w:rsid w:val="00D04406"/>
    <w:pPr>
      <w:spacing w:before="100" w:beforeAutospacing="1" w:after="100" w:afterAutospacing="1"/>
      <w:ind w:firstLineChars="100" w:firstLine="100"/>
    </w:pPr>
    <w:rPr>
      <w:rFonts w:eastAsia="Arial Unicode MS"/>
      <w:sz w:val="18"/>
      <w:szCs w:val="18"/>
    </w:rPr>
  </w:style>
  <w:style w:type="paragraph" w:customStyle="1" w:styleId="xl68">
    <w:name w:val="xl68"/>
    <w:basedOn w:val="Normal"/>
    <w:rsid w:val="00D04406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xl69">
    <w:name w:val="xl69"/>
    <w:basedOn w:val="Normal"/>
    <w:rsid w:val="00D04406"/>
    <w:pPr>
      <w:pBdr>
        <w:bottom w:val="single" w:sz="4" w:space="0" w:color="auto"/>
      </w:pBdr>
      <w:spacing w:before="100" w:beforeAutospacing="1" w:after="100" w:afterAutospacing="1"/>
      <w:ind w:firstLineChars="100" w:firstLine="100"/>
    </w:pPr>
    <w:rPr>
      <w:rFonts w:eastAsia="Arial Unicode MS"/>
      <w:sz w:val="18"/>
      <w:szCs w:val="18"/>
    </w:rPr>
  </w:style>
  <w:style w:type="paragraph" w:customStyle="1" w:styleId="xl70">
    <w:name w:val="xl70"/>
    <w:basedOn w:val="Normal"/>
    <w:rsid w:val="00D04406"/>
    <w:pPr>
      <w:pBdr>
        <w:top w:val="single" w:sz="4" w:space="0" w:color="auto"/>
      </w:pBdr>
      <w:spacing w:before="100" w:beforeAutospacing="1" w:after="100" w:afterAutospacing="1"/>
      <w:ind w:firstLineChars="100" w:firstLine="100"/>
    </w:pPr>
    <w:rPr>
      <w:rFonts w:eastAsia="Arial Unicode MS"/>
      <w:sz w:val="18"/>
      <w:szCs w:val="18"/>
    </w:rPr>
  </w:style>
  <w:style w:type="paragraph" w:customStyle="1" w:styleId="xl71">
    <w:name w:val="xl71"/>
    <w:basedOn w:val="Normal"/>
    <w:rsid w:val="00D04406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xl72">
    <w:name w:val="xl72"/>
    <w:basedOn w:val="Normal"/>
    <w:rsid w:val="00D04406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xl73">
    <w:name w:val="xl73"/>
    <w:basedOn w:val="Normal"/>
    <w:rsid w:val="00D04406"/>
    <w:pPr>
      <w:pBdr>
        <w:top w:val="single" w:sz="4" w:space="0" w:color="auto"/>
      </w:pBd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xl74">
    <w:name w:val="xl74"/>
    <w:basedOn w:val="Normal"/>
    <w:rsid w:val="00D04406"/>
    <w:pPr>
      <w:pBdr>
        <w:top w:val="single" w:sz="4" w:space="0" w:color="auto"/>
      </w:pBd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xl75">
    <w:name w:val="xl75"/>
    <w:basedOn w:val="Normal"/>
    <w:rsid w:val="00D04406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eastAsia="Arial Unicode MS"/>
      <w:b/>
      <w:bCs/>
      <w:sz w:val="18"/>
      <w:szCs w:val="18"/>
    </w:rPr>
  </w:style>
  <w:style w:type="paragraph" w:customStyle="1" w:styleId="xl76">
    <w:name w:val="xl76"/>
    <w:basedOn w:val="Normal"/>
    <w:rsid w:val="00D04406"/>
    <w:pPr>
      <w:pBdr>
        <w:bottom w:val="double" w:sz="6" w:space="0" w:color="auto"/>
      </w:pBd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xl77">
    <w:name w:val="xl77"/>
    <w:basedOn w:val="Normal"/>
    <w:rsid w:val="00D04406"/>
    <w:pPr>
      <w:pBdr>
        <w:bottom w:val="double" w:sz="6" w:space="0" w:color="auto"/>
      </w:pBd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xl78">
    <w:name w:val="xl78"/>
    <w:basedOn w:val="Normal"/>
    <w:rsid w:val="00D04406"/>
    <w:pPr>
      <w:pBdr>
        <w:bottom w:val="double" w:sz="6" w:space="0" w:color="auto"/>
      </w:pBdr>
      <w:spacing w:before="100" w:beforeAutospacing="1" w:after="100" w:afterAutospacing="1"/>
      <w:jc w:val="right"/>
    </w:pPr>
    <w:rPr>
      <w:rFonts w:eastAsia="Arial Unicode MS"/>
      <w:b/>
      <w:bCs/>
      <w:sz w:val="18"/>
      <w:szCs w:val="18"/>
    </w:rPr>
  </w:style>
  <w:style w:type="paragraph" w:customStyle="1" w:styleId="PH2">
    <w:name w:val="PH2"/>
    <w:basedOn w:val="PH1"/>
    <w:rsid w:val="00D04406"/>
    <w:rPr>
      <w:b w:val="0"/>
      <w:bCs w:val="0"/>
      <w:sz w:val="24"/>
      <w:szCs w:val="24"/>
    </w:rPr>
  </w:style>
  <w:style w:type="paragraph" w:customStyle="1" w:styleId="PH1">
    <w:name w:val="PH1"/>
    <w:basedOn w:val="Heading1"/>
    <w:rsid w:val="00D04406"/>
    <w:pPr>
      <w:pBdr>
        <w:bottom w:val="none" w:sz="0" w:space="0" w:color="auto"/>
      </w:pBdr>
      <w:spacing w:after="0"/>
      <w:jc w:val="center"/>
    </w:pPr>
    <w:rPr>
      <w:rFonts w:cs="Arial"/>
      <w:bCs/>
      <w:caps w:val="0"/>
      <w:szCs w:val="28"/>
      <w:lang w:val="en-GB"/>
    </w:rPr>
  </w:style>
  <w:style w:type="paragraph" w:styleId="FootnoteText">
    <w:name w:val="footnote text"/>
    <w:basedOn w:val="Normal"/>
    <w:link w:val="FootnoteTextChar"/>
    <w:semiHidden/>
    <w:rsid w:val="008B12A7"/>
    <w:rPr>
      <w:sz w:val="20"/>
    </w:rPr>
  </w:style>
  <w:style w:type="paragraph" w:customStyle="1" w:styleId="MinorHeading">
    <w:name w:val="Minor Heading"/>
    <w:basedOn w:val="Normal"/>
    <w:rsid w:val="00D04406"/>
    <w:rPr>
      <w:rFonts w:ascii="Arial" w:hAnsi="Arial" w:cs="Arial"/>
      <w:b/>
      <w:bCs/>
    </w:rPr>
  </w:style>
  <w:style w:type="paragraph" w:customStyle="1" w:styleId="AIBlurb0">
    <w:name w:val="AI Blurb"/>
    <w:basedOn w:val="Normal"/>
    <w:rsid w:val="00D04406"/>
    <w:pPr>
      <w:spacing w:before="120" w:after="240"/>
      <w:ind w:left="380"/>
      <w:jc w:val="both"/>
    </w:pPr>
    <w:rPr>
      <w:sz w:val="20"/>
    </w:rPr>
  </w:style>
  <w:style w:type="paragraph" w:customStyle="1" w:styleId="BPDesc">
    <w:name w:val="BPDesc"/>
    <w:basedOn w:val="Normal"/>
    <w:rsid w:val="00D04406"/>
    <w:pPr>
      <w:ind w:left="113" w:hanging="113"/>
    </w:pPr>
    <w:rPr>
      <w:sz w:val="18"/>
      <w:szCs w:val="18"/>
    </w:rPr>
  </w:style>
  <w:style w:type="paragraph" w:customStyle="1" w:styleId="BPDescBold">
    <w:name w:val="BPDescBold"/>
    <w:basedOn w:val="Normal"/>
    <w:rsid w:val="00D04406"/>
    <w:rPr>
      <w:b/>
      <w:bCs/>
      <w:sz w:val="18"/>
      <w:szCs w:val="18"/>
    </w:rPr>
  </w:style>
  <w:style w:type="paragraph" w:customStyle="1" w:styleId="BPDetail1">
    <w:name w:val="BPDetail1"/>
    <w:basedOn w:val="Normal"/>
    <w:rsid w:val="00D04406"/>
    <w:pPr>
      <w:ind w:right="567"/>
      <w:jc w:val="right"/>
    </w:pPr>
    <w:rPr>
      <w:sz w:val="20"/>
    </w:rPr>
  </w:style>
  <w:style w:type="paragraph" w:customStyle="1" w:styleId="BPDetail2">
    <w:name w:val="BPDetail2"/>
    <w:basedOn w:val="BPDetail1"/>
    <w:rsid w:val="00D04406"/>
    <w:pPr>
      <w:ind w:right="0"/>
      <w:jc w:val="left"/>
    </w:pPr>
  </w:style>
  <w:style w:type="paragraph" w:customStyle="1" w:styleId="BPHeading1">
    <w:name w:val="BPHeading1"/>
    <w:basedOn w:val="Normal"/>
    <w:rsid w:val="00D04406"/>
    <w:pPr>
      <w:jc w:val="center"/>
    </w:pPr>
    <w:rPr>
      <w:b/>
      <w:bCs/>
      <w:sz w:val="20"/>
    </w:rPr>
  </w:style>
  <w:style w:type="paragraph" w:customStyle="1" w:styleId="BPNum">
    <w:name w:val="BPNum"/>
    <w:basedOn w:val="Normal"/>
    <w:rsid w:val="00D04406"/>
    <w:pPr>
      <w:jc w:val="right"/>
    </w:pPr>
    <w:rPr>
      <w:sz w:val="18"/>
      <w:szCs w:val="18"/>
    </w:rPr>
  </w:style>
  <w:style w:type="paragraph" w:customStyle="1" w:styleId="BPNumBold">
    <w:name w:val="BPNumBold"/>
    <w:basedOn w:val="Normal"/>
    <w:rsid w:val="00D04406"/>
    <w:pPr>
      <w:jc w:val="right"/>
    </w:pPr>
    <w:rPr>
      <w:b/>
      <w:bCs/>
      <w:sz w:val="18"/>
      <w:szCs w:val="18"/>
    </w:rPr>
  </w:style>
  <w:style w:type="paragraph" w:customStyle="1" w:styleId="Bullet0">
    <w:name w:val="Bullet"/>
    <w:basedOn w:val="Normal"/>
    <w:rsid w:val="00D04406"/>
  </w:style>
  <w:style w:type="paragraph" w:customStyle="1" w:styleId="bullet2">
    <w:name w:val="bullet 2"/>
    <w:basedOn w:val="Normal"/>
    <w:rsid w:val="00D04406"/>
    <w:pPr>
      <w:tabs>
        <w:tab w:val="left" w:pos="360"/>
        <w:tab w:val="left" w:pos="454"/>
      </w:tabs>
      <w:spacing w:after="120"/>
      <w:ind w:left="454" w:hanging="454"/>
      <w:jc w:val="both"/>
    </w:pPr>
    <w:rPr>
      <w:color w:val="000000"/>
    </w:rPr>
  </w:style>
  <w:style w:type="paragraph" w:customStyle="1" w:styleId="Bullets">
    <w:name w:val="Bullets"/>
    <w:basedOn w:val="Normal"/>
    <w:rsid w:val="00D04406"/>
    <w:pPr>
      <w:spacing w:after="240"/>
      <w:ind w:left="284" w:hanging="284"/>
      <w:jc w:val="both"/>
    </w:pPr>
  </w:style>
  <w:style w:type="paragraph" w:styleId="Caption">
    <w:name w:val="caption"/>
    <w:basedOn w:val="Normal"/>
    <w:next w:val="Normal"/>
    <w:link w:val="CaptionChar"/>
    <w:uiPriority w:val="99"/>
    <w:qFormat/>
    <w:rsid w:val="00D04406"/>
    <w:pPr>
      <w:numPr>
        <w:numId w:val="4"/>
      </w:numPr>
      <w:tabs>
        <w:tab w:val="clear" w:pos="360"/>
      </w:tabs>
      <w:spacing w:before="120" w:after="120"/>
      <w:ind w:left="0" w:firstLine="0"/>
    </w:pPr>
    <w:rPr>
      <w:b/>
      <w:bCs/>
      <w:sz w:val="20"/>
    </w:rPr>
  </w:style>
  <w:style w:type="paragraph" w:customStyle="1" w:styleId="CGCNumberedList">
    <w:name w:val="CGC Numbered List"/>
    <w:basedOn w:val="Normal"/>
    <w:rsid w:val="00D04406"/>
    <w:pPr>
      <w:tabs>
        <w:tab w:val="left" w:pos="720"/>
        <w:tab w:val="left" w:pos="1080"/>
        <w:tab w:val="left" w:pos="1440"/>
        <w:tab w:val="left" w:pos="1800"/>
        <w:tab w:val="left" w:pos="2160"/>
        <w:tab w:val="left" w:pos="2880"/>
      </w:tabs>
      <w:spacing w:after="240" w:line="240" w:lineRule="atLeast"/>
      <w:ind w:left="1440" w:right="605" w:hanging="720"/>
      <w:jc w:val="both"/>
    </w:pPr>
  </w:style>
  <w:style w:type="paragraph" w:customStyle="1" w:styleId="CGCTableFootnote">
    <w:name w:val="CGC Table Footnote"/>
    <w:basedOn w:val="Normal"/>
    <w:next w:val="Heading2"/>
    <w:rsid w:val="00D04406"/>
    <w:pPr>
      <w:tabs>
        <w:tab w:val="left" w:pos="720"/>
      </w:tabs>
      <w:spacing w:line="240" w:lineRule="atLeast"/>
      <w:ind w:left="720" w:hanging="720"/>
      <w:jc w:val="both"/>
    </w:pPr>
    <w:rPr>
      <w:sz w:val="18"/>
      <w:szCs w:val="18"/>
    </w:rPr>
  </w:style>
  <w:style w:type="paragraph" w:customStyle="1" w:styleId="CGCTableStub">
    <w:name w:val="CGC Table Stub"/>
    <w:basedOn w:val="Normal"/>
    <w:rsid w:val="00D04406"/>
    <w:pPr>
      <w:keepNext/>
      <w:keepLines/>
      <w:tabs>
        <w:tab w:val="left" w:pos="475"/>
        <w:tab w:val="left" w:pos="1440"/>
        <w:tab w:val="left" w:pos="2160"/>
        <w:tab w:val="left" w:pos="2880"/>
      </w:tabs>
      <w:spacing w:before="60" w:after="60" w:line="200" w:lineRule="atLeast"/>
      <w:ind w:left="144" w:hanging="144"/>
    </w:pPr>
    <w:rPr>
      <w:sz w:val="20"/>
    </w:rPr>
  </w:style>
  <w:style w:type="paragraph" w:customStyle="1" w:styleId="ChartandTableFootnote">
    <w:name w:val="Chart and Table Footnote"/>
    <w:basedOn w:val="Normal"/>
    <w:next w:val="Normal"/>
    <w:rsid w:val="00D04406"/>
    <w:pPr>
      <w:ind w:left="357" w:hanging="357"/>
      <w:jc w:val="both"/>
    </w:pPr>
    <w:rPr>
      <w:rFonts w:ascii="Arial" w:hAnsi="Arial" w:cs="Arial"/>
      <w:color w:val="000000"/>
      <w:sz w:val="16"/>
      <w:szCs w:val="16"/>
    </w:rPr>
  </w:style>
  <w:style w:type="character" w:styleId="CommentReference">
    <w:name w:val="annotation reference"/>
    <w:basedOn w:val="DefaultParagraphFont"/>
    <w:rsid w:val="008B12A7"/>
    <w:rPr>
      <w:rFonts w:ascii="Calibri" w:hAnsi="Calibri"/>
      <w:sz w:val="16"/>
      <w:szCs w:val="16"/>
    </w:rPr>
  </w:style>
  <w:style w:type="paragraph" w:customStyle="1" w:styleId="Default">
    <w:name w:val="Default"/>
    <w:rsid w:val="00D04406"/>
    <w:pPr>
      <w:autoSpaceDE w:val="0"/>
      <w:autoSpaceDN w:val="0"/>
      <w:adjustRightInd w:val="0"/>
    </w:pPr>
    <w:rPr>
      <w:rFonts w:ascii="OfficinaSerif-Book" w:hAnsi="OfficinaSerif-Book" w:cs="OfficinaSerif-Book"/>
      <w:lang w:val="en-US" w:eastAsia="en-US"/>
    </w:rPr>
  </w:style>
  <w:style w:type="paragraph" w:customStyle="1" w:styleId="DefinitionTerm">
    <w:name w:val="Definition Term"/>
    <w:basedOn w:val="Normal"/>
    <w:next w:val="Normal"/>
    <w:rsid w:val="00D04406"/>
  </w:style>
  <w:style w:type="paragraph" w:customStyle="1" w:styleId="DescU">
    <w:name w:val="DescU"/>
    <w:basedOn w:val="Normal"/>
    <w:next w:val="BPDesc"/>
    <w:rsid w:val="00D04406"/>
    <w:rPr>
      <w:sz w:val="20"/>
      <w:u w:val="single"/>
    </w:rPr>
  </w:style>
  <w:style w:type="character" w:customStyle="1" w:styleId="EmailStyle271">
    <w:name w:val="EmailStyle2711"/>
    <w:aliases w:val="EmailStyle2711"/>
    <w:basedOn w:val="DefaultParagraphFont"/>
    <w:personal/>
    <w:rsid w:val="00D04406"/>
    <w:rPr>
      <w:rFonts w:ascii="Arial" w:hAnsi="Arial" w:cs="Arial"/>
      <w:color w:val="000080"/>
      <w:sz w:val="20"/>
      <w:szCs w:val="20"/>
    </w:rPr>
  </w:style>
  <w:style w:type="paragraph" w:customStyle="1" w:styleId="GalText">
    <w:name w:val="GalText"/>
    <w:basedOn w:val="Normal"/>
    <w:rsid w:val="00D04406"/>
    <w:pPr>
      <w:spacing w:before="60" w:after="60"/>
    </w:pPr>
    <w:rPr>
      <w:rFonts w:ascii="Arial Narrow" w:hAnsi="Arial Narrow" w:cs="Arial Narrow"/>
    </w:rPr>
  </w:style>
  <w:style w:type="paragraph" w:customStyle="1" w:styleId="Heading1-BP3">
    <w:name w:val="Heading 1 - BP3"/>
    <w:basedOn w:val="Heading1"/>
    <w:next w:val="Heading1"/>
    <w:rsid w:val="00D04406"/>
    <w:pPr>
      <w:pBdr>
        <w:bottom w:val="single" w:sz="18" w:space="1" w:color="auto"/>
      </w:pBdr>
      <w:spacing w:before="240" w:after="480"/>
    </w:pPr>
    <w:rPr>
      <w:rFonts w:cs="Arial"/>
      <w:bCs/>
      <w:caps w:val="0"/>
      <w:szCs w:val="28"/>
      <w:lang w:val="en-GB"/>
    </w:rPr>
  </w:style>
  <w:style w:type="paragraph" w:customStyle="1" w:styleId="Heading1-BP4">
    <w:name w:val="Heading 1 - BP4"/>
    <w:basedOn w:val="Heading1-BP3"/>
    <w:rsid w:val="00D04406"/>
    <w:pPr>
      <w:spacing w:after="240"/>
    </w:pPr>
  </w:style>
  <w:style w:type="paragraph" w:customStyle="1" w:styleId="MajorHeading">
    <w:name w:val="Major Heading"/>
    <w:basedOn w:val="Normal"/>
    <w:rsid w:val="008B12A7"/>
    <w:pPr>
      <w:spacing w:after="120"/>
    </w:pPr>
    <w:rPr>
      <w:rFonts w:ascii="Arial" w:hAnsi="Arial"/>
      <w:b/>
      <w:sz w:val="28"/>
    </w:rPr>
  </w:style>
  <w:style w:type="paragraph" w:customStyle="1" w:styleId="MajorHeading1">
    <w:name w:val="Major Heading 1"/>
    <w:basedOn w:val="Normal"/>
    <w:rsid w:val="00D04406"/>
    <w:pPr>
      <w:pBdr>
        <w:bottom w:val="single" w:sz="18" w:space="1" w:color="auto"/>
      </w:pBdr>
      <w:tabs>
        <w:tab w:val="right" w:pos="9072"/>
      </w:tabs>
      <w:spacing w:before="240" w:after="240"/>
    </w:pPr>
    <w:rPr>
      <w:rFonts w:ascii="Arial" w:hAnsi="Arial" w:cs="Arial"/>
      <w:b/>
      <w:bCs/>
      <w:caps/>
      <w:sz w:val="28"/>
      <w:szCs w:val="28"/>
      <w:lang w:val="en-GB"/>
    </w:rPr>
  </w:style>
  <w:style w:type="paragraph" w:customStyle="1" w:styleId="MajorHeading2">
    <w:name w:val="Major Heading 2"/>
    <w:basedOn w:val="MajorHeading"/>
    <w:rsid w:val="00D04406"/>
  </w:style>
  <w:style w:type="paragraph" w:customStyle="1" w:styleId="NumberedNotes">
    <w:name w:val="Numbered Notes"/>
    <w:basedOn w:val="FootnoteText"/>
    <w:rsid w:val="00D04406"/>
    <w:pPr>
      <w:numPr>
        <w:numId w:val="1"/>
      </w:numPr>
      <w:spacing w:after="60"/>
      <w:ind w:left="357"/>
      <w:jc w:val="both"/>
    </w:pPr>
    <w:rPr>
      <w:sz w:val="16"/>
      <w:szCs w:val="16"/>
    </w:rPr>
  </w:style>
  <w:style w:type="paragraph" w:customStyle="1" w:styleId="Output1">
    <w:name w:val="Output 1"/>
    <w:basedOn w:val="Normal"/>
    <w:autoRedefine/>
    <w:rsid w:val="00D04406"/>
    <w:pPr>
      <w:keepNext/>
      <w:keepLines/>
      <w:spacing w:before="100" w:beforeAutospacing="1" w:after="100" w:afterAutospacing="1"/>
      <w:ind w:left="425"/>
      <w:jc w:val="both"/>
    </w:pPr>
    <w:rPr>
      <w:rFonts w:ascii="Times New (W1)" w:hAnsi="Times New (W1)" w:cs="Times New (W1)"/>
    </w:rPr>
  </w:style>
  <w:style w:type="paragraph" w:customStyle="1" w:styleId="Output2">
    <w:name w:val="Output 2"/>
    <w:basedOn w:val="Output1"/>
    <w:autoRedefine/>
    <w:rsid w:val="00D04406"/>
    <w:pPr>
      <w:ind w:left="709"/>
    </w:pPr>
    <w:rPr>
      <w:i/>
      <w:iCs/>
    </w:rPr>
  </w:style>
  <w:style w:type="paragraph" w:customStyle="1" w:styleId="Output2Indent">
    <w:name w:val="Output 2 Indent"/>
    <w:basedOn w:val="Output2"/>
    <w:autoRedefine/>
    <w:rsid w:val="00D04406"/>
    <w:pPr>
      <w:keepNext w:val="0"/>
      <w:tabs>
        <w:tab w:val="num" w:pos="357"/>
      </w:tabs>
      <w:spacing w:before="0" w:beforeAutospacing="0"/>
      <w:ind w:left="357" w:hanging="357"/>
    </w:pPr>
  </w:style>
  <w:style w:type="character" w:customStyle="1" w:styleId="EmailStyle282">
    <w:name w:val="EmailStyle2821"/>
    <w:aliases w:val="EmailStyle2821"/>
    <w:basedOn w:val="DefaultParagraphFont"/>
    <w:personal/>
    <w:rsid w:val="00D04406"/>
    <w:rPr>
      <w:rFonts w:ascii="Arial" w:hAnsi="Arial" w:cs="Arial"/>
      <w:color w:val="auto"/>
      <w:sz w:val="20"/>
      <w:szCs w:val="20"/>
    </w:rPr>
  </w:style>
  <w:style w:type="character" w:customStyle="1" w:styleId="EmailStyle283">
    <w:name w:val="EmailStyle2831"/>
    <w:aliases w:val="EmailStyle2831"/>
    <w:basedOn w:val="DefaultParagraphFont"/>
    <w:personal/>
    <w:rsid w:val="00D04406"/>
    <w:rPr>
      <w:rFonts w:ascii="Arial" w:hAnsi="Arial" w:cs="Arial"/>
      <w:color w:val="auto"/>
      <w:sz w:val="20"/>
      <w:szCs w:val="20"/>
    </w:rPr>
  </w:style>
  <w:style w:type="paragraph" w:customStyle="1" w:styleId="PH3">
    <w:name w:val="PH3"/>
    <w:basedOn w:val="PH2"/>
    <w:rsid w:val="00D04406"/>
    <w:pPr>
      <w:jc w:val="left"/>
    </w:pPr>
    <w:rPr>
      <w:b/>
      <w:bCs/>
    </w:rPr>
  </w:style>
  <w:style w:type="paragraph" w:customStyle="1" w:styleId="PH4">
    <w:name w:val="PH4"/>
    <w:basedOn w:val="Normal"/>
    <w:rsid w:val="00D04406"/>
    <w:rPr>
      <w:b/>
      <w:bCs/>
      <w:sz w:val="20"/>
    </w:rPr>
  </w:style>
  <w:style w:type="paragraph" w:customStyle="1" w:styleId="PI1">
    <w:name w:val="PI 1"/>
    <w:basedOn w:val="Normal"/>
    <w:rsid w:val="00D04406"/>
    <w:pPr>
      <w:spacing w:before="240"/>
    </w:pPr>
    <w:rPr>
      <w:rFonts w:ascii="Times New (W1)" w:hAnsi="Times New (W1)" w:cs="Times New (W1)"/>
    </w:rPr>
  </w:style>
  <w:style w:type="paragraph" w:customStyle="1" w:styleId="PI2">
    <w:name w:val="PI 2"/>
    <w:basedOn w:val="PI1"/>
    <w:rsid w:val="00D04406"/>
    <w:pPr>
      <w:spacing w:after="240"/>
    </w:pPr>
    <w:rPr>
      <w:i/>
      <w:iCs/>
    </w:rPr>
  </w:style>
  <w:style w:type="paragraph" w:customStyle="1" w:styleId="PI2Indent">
    <w:name w:val="PI 2  Indent"/>
    <w:basedOn w:val="Normal"/>
    <w:rsid w:val="00D04406"/>
    <w:pPr>
      <w:tabs>
        <w:tab w:val="num" w:pos="360"/>
      </w:tabs>
      <w:ind w:left="357" w:hanging="357"/>
    </w:pPr>
  </w:style>
  <w:style w:type="paragraph" w:customStyle="1" w:styleId="PText">
    <w:name w:val="PText"/>
    <w:basedOn w:val="Normal"/>
    <w:rsid w:val="00D04406"/>
    <w:rPr>
      <w:sz w:val="20"/>
    </w:rPr>
  </w:style>
  <w:style w:type="paragraph" w:customStyle="1" w:styleId="Style1">
    <w:name w:val="Style1"/>
    <w:basedOn w:val="AITableText"/>
    <w:rsid w:val="00D04406"/>
    <w:pPr>
      <w:spacing w:before="120" w:after="240"/>
      <w:ind w:left="714" w:hanging="357"/>
    </w:pPr>
    <w:rPr>
      <w:szCs w:val="20"/>
    </w:rPr>
  </w:style>
  <w:style w:type="paragraph" w:customStyle="1" w:styleId="Style1Indent">
    <w:name w:val="Style1 Indent"/>
    <w:basedOn w:val="Normal"/>
    <w:rsid w:val="00D04406"/>
    <w:pPr>
      <w:numPr>
        <w:ilvl w:val="1"/>
        <w:numId w:val="2"/>
      </w:numPr>
    </w:pPr>
    <w:rPr>
      <w:sz w:val="20"/>
    </w:rPr>
  </w:style>
  <w:style w:type="paragraph" w:customStyle="1" w:styleId="Sub-Heading1">
    <w:name w:val="Sub-Heading 1"/>
    <w:basedOn w:val="Normal"/>
    <w:next w:val="Normal"/>
    <w:autoRedefine/>
    <w:rsid w:val="00D04406"/>
    <w:pPr>
      <w:keepNext/>
      <w:numPr>
        <w:numId w:val="9"/>
      </w:numPr>
      <w:tabs>
        <w:tab w:val="clear" w:pos="720"/>
      </w:tabs>
      <w:spacing w:before="240" w:after="240"/>
      <w:ind w:left="0" w:firstLine="0"/>
      <w:outlineLvl w:val="0"/>
    </w:pPr>
    <w:rPr>
      <w:rFonts w:ascii="Arial" w:hAnsi="Arial" w:cs="Arial"/>
      <w:i/>
      <w:iCs/>
    </w:rPr>
  </w:style>
  <w:style w:type="paragraph" w:customStyle="1" w:styleId="Sub-Heading3">
    <w:name w:val="Sub-Heading 3"/>
    <w:basedOn w:val="Sub-Heading2"/>
    <w:rsid w:val="00D04406"/>
    <w:pPr>
      <w:keepNext w:val="0"/>
      <w:keepLines w:val="0"/>
      <w:spacing w:after="0"/>
      <w:jc w:val="left"/>
    </w:pPr>
    <w:rPr>
      <w:iCs/>
      <w:sz w:val="20"/>
    </w:rPr>
  </w:style>
  <w:style w:type="paragraph" w:customStyle="1" w:styleId="Sub-Headings">
    <w:name w:val="Sub-Headings"/>
    <w:basedOn w:val="Normal"/>
    <w:rsid w:val="00D04406"/>
    <w:pPr>
      <w:keepNext/>
      <w:spacing w:before="240" w:after="120"/>
      <w:outlineLvl w:val="0"/>
    </w:pPr>
    <w:rPr>
      <w:rFonts w:ascii="Arial" w:hAnsi="Arial" w:cs="Arial"/>
      <w:i/>
      <w:iCs/>
    </w:rPr>
  </w:style>
  <w:style w:type="paragraph" w:customStyle="1" w:styleId="TableFootnoteText">
    <w:name w:val="Table Footnote Text"/>
    <w:basedOn w:val="FootnoteText"/>
    <w:rsid w:val="00D04406"/>
    <w:pPr>
      <w:keepNext/>
      <w:tabs>
        <w:tab w:val="left" w:pos="426"/>
      </w:tabs>
      <w:spacing w:after="120"/>
      <w:ind w:left="357" w:hanging="357"/>
      <w:jc w:val="both"/>
    </w:pPr>
    <w:rPr>
      <w:sz w:val="18"/>
      <w:szCs w:val="18"/>
      <w:lang w:val="en-US"/>
    </w:rPr>
  </w:style>
  <w:style w:type="paragraph" w:customStyle="1" w:styleId="Tableformat">
    <w:name w:val="Table format"/>
    <w:basedOn w:val="BodyText"/>
    <w:rsid w:val="00D04406"/>
    <w:pPr>
      <w:keepLines w:val="0"/>
    </w:pPr>
    <w:rPr>
      <w:b/>
      <w:bCs/>
      <w:sz w:val="20"/>
    </w:rPr>
  </w:style>
  <w:style w:type="paragraph" w:customStyle="1" w:styleId="TableColHeadings">
    <w:name w:val="TableColHeadings"/>
    <w:basedOn w:val="Normal"/>
    <w:rsid w:val="00D04406"/>
    <w:pPr>
      <w:keepNext/>
      <w:keepLines/>
      <w:tabs>
        <w:tab w:val="left" w:pos="475"/>
        <w:tab w:val="left" w:pos="1440"/>
        <w:tab w:val="left" w:pos="2160"/>
        <w:tab w:val="left" w:pos="2880"/>
      </w:tabs>
      <w:spacing w:before="60" w:after="60"/>
      <w:jc w:val="right"/>
    </w:pPr>
    <w:rPr>
      <w:sz w:val="20"/>
    </w:rPr>
  </w:style>
  <w:style w:type="paragraph" w:customStyle="1" w:styleId="TableGraphic">
    <w:name w:val="TableGraphic"/>
    <w:basedOn w:val="Normal"/>
    <w:next w:val="Normal"/>
    <w:rsid w:val="00D04406"/>
    <w:pPr>
      <w:keepNext/>
      <w:spacing w:after="20"/>
      <w:ind w:right="-113"/>
    </w:pPr>
    <w:rPr>
      <w:rFonts w:ascii="Tahoma" w:hAnsi="Tahoma" w:cs="Tahoma"/>
      <w:b/>
      <w:bCs/>
      <w:color w:val="000000"/>
      <w:sz w:val="20"/>
    </w:rPr>
  </w:style>
  <w:style w:type="paragraph" w:customStyle="1" w:styleId="TableRowLast">
    <w:name w:val="TableRowLast"/>
    <w:basedOn w:val="Normal"/>
    <w:rsid w:val="00D04406"/>
    <w:pPr>
      <w:tabs>
        <w:tab w:val="left" w:pos="475"/>
        <w:tab w:val="left" w:pos="1440"/>
        <w:tab w:val="left" w:pos="2160"/>
        <w:tab w:val="left" w:pos="2880"/>
      </w:tabs>
      <w:spacing w:before="120" w:line="240" w:lineRule="atLeast"/>
      <w:jc w:val="both"/>
    </w:pPr>
  </w:style>
  <w:style w:type="paragraph" w:customStyle="1" w:styleId="TableRowNormal">
    <w:name w:val="TableRowNormal"/>
    <w:basedOn w:val="Normal"/>
    <w:rsid w:val="00D04406"/>
    <w:pPr>
      <w:keepNext/>
      <w:keepLines/>
      <w:tabs>
        <w:tab w:val="left" w:pos="475"/>
        <w:tab w:val="left" w:pos="1440"/>
        <w:tab w:val="left" w:pos="2160"/>
        <w:tab w:val="left" w:pos="2880"/>
      </w:tabs>
      <w:spacing w:before="60" w:after="60" w:line="200" w:lineRule="atLeast"/>
      <w:ind w:left="144" w:hanging="144"/>
      <w:jc w:val="right"/>
    </w:pPr>
    <w:rPr>
      <w:sz w:val="20"/>
    </w:rPr>
  </w:style>
  <w:style w:type="paragraph" w:customStyle="1" w:styleId="TableRowUnits">
    <w:name w:val="TableRowUnits"/>
    <w:basedOn w:val="Normal"/>
    <w:rsid w:val="00D04406"/>
    <w:pPr>
      <w:keepNext/>
      <w:keepLines/>
      <w:tabs>
        <w:tab w:val="left" w:pos="475"/>
        <w:tab w:val="left" w:pos="1440"/>
        <w:tab w:val="left" w:pos="2160"/>
        <w:tab w:val="left" w:pos="2880"/>
      </w:tabs>
      <w:jc w:val="right"/>
    </w:pPr>
    <w:rPr>
      <w:sz w:val="20"/>
    </w:rPr>
  </w:style>
  <w:style w:type="paragraph" w:customStyle="1" w:styleId="TableText">
    <w:name w:val="TableText"/>
    <w:basedOn w:val="BodyText"/>
    <w:rsid w:val="00D04406"/>
    <w:pPr>
      <w:keepNext w:val="0"/>
      <w:keepLines w:val="0"/>
      <w:numPr>
        <w:numId w:val="11"/>
      </w:numPr>
      <w:tabs>
        <w:tab w:val="clear" w:pos="2700"/>
      </w:tabs>
      <w:ind w:left="0" w:firstLine="0"/>
      <w:jc w:val="left"/>
    </w:pPr>
    <w:rPr>
      <w:rFonts w:ascii="Arial" w:hAnsi="Arial" w:cs="Arial"/>
      <w:kern w:val="28"/>
      <w:sz w:val="22"/>
      <w:szCs w:val="22"/>
    </w:rPr>
  </w:style>
  <w:style w:type="paragraph" w:customStyle="1" w:styleId="Text">
    <w:name w:val="Text"/>
    <w:basedOn w:val="Normal"/>
    <w:rsid w:val="00D04406"/>
    <w:pPr>
      <w:jc w:val="both"/>
    </w:pPr>
  </w:style>
  <w:style w:type="paragraph" w:customStyle="1" w:styleId="Text1">
    <w:name w:val="Text 1"/>
    <w:basedOn w:val="Normal"/>
    <w:rsid w:val="00D04406"/>
    <w:pPr>
      <w:jc w:val="both"/>
    </w:pPr>
    <w:rPr>
      <w:rFonts w:ascii="Arial" w:hAnsi="Arial" w:cs="Arial"/>
    </w:rPr>
  </w:style>
  <w:style w:type="paragraph" w:customStyle="1" w:styleId="xl24">
    <w:name w:val="xl24"/>
    <w:basedOn w:val="Normal"/>
    <w:rsid w:val="00D04406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TSYBullets">
    <w:name w:val="TSY_Bullets"/>
    <w:basedOn w:val="Normal"/>
    <w:rsid w:val="00D04406"/>
    <w:pPr>
      <w:numPr>
        <w:numId w:val="3"/>
      </w:numPr>
      <w:spacing w:before="120" w:after="120"/>
    </w:pPr>
    <w:rPr>
      <w:lang w:eastAsia="en-AU"/>
    </w:rPr>
  </w:style>
  <w:style w:type="character" w:customStyle="1" w:styleId="EmailStyle307">
    <w:name w:val="EmailStyle3071"/>
    <w:aliases w:val="EmailStyle3071"/>
    <w:basedOn w:val="DefaultParagraphFont"/>
    <w:personal/>
    <w:rsid w:val="00D04406"/>
    <w:rPr>
      <w:rFonts w:ascii="Arial" w:hAnsi="Arial" w:cs="Arial"/>
      <w:color w:val="000080"/>
      <w:sz w:val="20"/>
      <w:szCs w:val="20"/>
    </w:rPr>
  </w:style>
  <w:style w:type="character" w:customStyle="1" w:styleId="EmailStyle308">
    <w:name w:val="EmailStyle3081"/>
    <w:aliases w:val="EmailStyle3081"/>
    <w:basedOn w:val="DefaultParagraphFont"/>
    <w:personal/>
    <w:rsid w:val="00D04406"/>
    <w:rPr>
      <w:rFonts w:ascii="Arial" w:hAnsi="Arial" w:cs="Arial"/>
      <w:color w:val="auto"/>
      <w:sz w:val="20"/>
      <w:szCs w:val="20"/>
    </w:rPr>
  </w:style>
  <w:style w:type="character" w:customStyle="1" w:styleId="EmailStyle309">
    <w:name w:val="EmailStyle3091"/>
    <w:aliases w:val="EmailStyle3091"/>
    <w:basedOn w:val="DefaultParagraphFont"/>
    <w:personal/>
    <w:rsid w:val="00D04406"/>
    <w:rPr>
      <w:rFonts w:ascii="Arial" w:hAnsi="Arial" w:cs="Arial"/>
      <w:color w:val="auto"/>
      <w:sz w:val="20"/>
      <w:szCs w:val="20"/>
    </w:rPr>
  </w:style>
  <w:style w:type="paragraph" w:customStyle="1" w:styleId="1n">
    <w:name w:val="1. n"/>
    <w:basedOn w:val="n"/>
    <w:rsid w:val="008B12A7"/>
    <w:rPr>
      <w:iCs/>
      <w:szCs w:val="20"/>
    </w:rPr>
  </w:style>
  <w:style w:type="paragraph" w:customStyle="1" w:styleId="an">
    <w:name w:val="a. n"/>
    <w:basedOn w:val="n"/>
    <w:rsid w:val="008B12A7"/>
    <w:rPr>
      <w:iCs/>
      <w:szCs w:val="20"/>
    </w:rPr>
  </w:style>
  <w:style w:type="paragraph" w:customStyle="1" w:styleId="Footnote">
    <w:name w:val="Footnote"/>
    <w:basedOn w:val="Normal"/>
    <w:rsid w:val="00D04406"/>
    <w:rPr>
      <w:vertAlign w:val="superscript"/>
      <w:lang w:eastAsia="en-AU"/>
    </w:rPr>
  </w:style>
  <w:style w:type="paragraph" w:customStyle="1" w:styleId="Notes-Graph">
    <w:name w:val="Notes - Graph"/>
    <w:basedOn w:val="n"/>
    <w:rsid w:val="00D04406"/>
    <w:pPr>
      <w:spacing w:before="20" w:after="120"/>
    </w:pPr>
    <w:rPr>
      <w:szCs w:val="16"/>
    </w:rPr>
  </w:style>
  <w:style w:type="paragraph" w:customStyle="1" w:styleId="TableText1">
    <w:name w:val="Table Text 1"/>
    <w:basedOn w:val="Normal"/>
    <w:rsid w:val="00D04406"/>
    <w:rPr>
      <w:sz w:val="18"/>
      <w:szCs w:val="18"/>
      <w:lang w:eastAsia="en-AU"/>
    </w:rPr>
  </w:style>
  <w:style w:type="paragraph" w:customStyle="1" w:styleId="TableTextHeading1">
    <w:name w:val="Table Text Heading 1"/>
    <w:basedOn w:val="Normal"/>
    <w:rsid w:val="00D04406"/>
    <w:pPr>
      <w:jc w:val="right"/>
    </w:pPr>
    <w:rPr>
      <w:b/>
      <w:bCs/>
      <w:sz w:val="18"/>
      <w:szCs w:val="18"/>
      <w:lang w:eastAsia="en-AU"/>
    </w:rPr>
  </w:style>
  <w:style w:type="paragraph" w:customStyle="1" w:styleId="TableTextHeading2">
    <w:name w:val="Table Text Heading 2"/>
    <w:basedOn w:val="Normal"/>
    <w:rsid w:val="00D04406"/>
    <w:rPr>
      <w:b/>
      <w:bCs/>
      <w:sz w:val="18"/>
      <w:szCs w:val="18"/>
      <w:lang w:eastAsia="en-AU"/>
    </w:rPr>
  </w:style>
  <w:style w:type="paragraph" w:customStyle="1" w:styleId="TableTextNumbers">
    <w:name w:val="Table Text Numbers"/>
    <w:basedOn w:val="Normal"/>
    <w:rsid w:val="00D04406"/>
    <w:pPr>
      <w:jc w:val="right"/>
    </w:pPr>
    <w:rPr>
      <w:sz w:val="18"/>
      <w:szCs w:val="18"/>
      <w:lang w:eastAsia="en-AU"/>
    </w:rPr>
  </w:style>
  <w:style w:type="paragraph" w:customStyle="1" w:styleId="TableTextTotals">
    <w:name w:val="Table Text Totals"/>
    <w:basedOn w:val="Normal"/>
    <w:rsid w:val="00D04406"/>
    <w:pPr>
      <w:jc w:val="right"/>
    </w:pPr>
    <w:rPr>
      <w:b/>
      <w:bCs/>
      <w:sz w:val="18"/>
      <w:szCs w:val="18"/>
      <w:lang w:eastAsia="en-AU"/>
    </w:rPr>
  </w:style>
  <w:style w:type="character" w:customStyle="1" w:styleId="BodyTextChar">
    <w:name w:val="Body Text Char"/>
    <w:basedOn w:val="DefaultParagraphFont"/>
    <w:link w:val="BodyText"/>
    <w:locked/>
    <w:rsid w:val="008B668F"/>
    <w:rPr>
      <w:rFonts w:ascii="Calibri" w:hAnsi="Calibri"/>
      <w:sz w:val="24"/>
      <w:lang w:eastAsia="en-US"/>
    </w:rPr>
  </w:style>
  <w:style w:type="character" w:customStyle="1" w:styleId="BodyTextChar1">
    <w:name w:val="Body Text Char1"/>
    <w:basedOn w:val="DefaultParagraphFont"/>
    <w:link w:val="BodyText"/>
    <w:rsid w:val="00D04406"/>
    <w:rPr>
      <w:sz w:val="24"/>
      <w:szCs w:val="24"/>
      <w:lang w:val="en-AU" w:eastAsia="en-US" w:bidi="ar-SA"/>
    </w:rPr>
  </w:style>
  <w:style w:type="character" w:customStyle="1" w:styleId="Heading4Char">
    <w:name w:val="Heading 4 Char"/>
    <w:basedOn w:val="DefaultParagraphFont"/>
    <w:link w:val="Heading4"/>
    <w:rsid w:val="00D04406"/>
    <w:rPr>
      <w:rFonts w:ascii="Calibri" w:hAnsi="Calibri"/>
      <w:i/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locked/>
    <w:rsid w:val="00D04406"/>
    <w:rPr>
      <w:rFonts w:ascii="Calibri" w:hAnsi="Calibri"/>
      <w:lang w:eastAsia="en-US"/>
    </w:rPr>
  </w:style>
  <w:style w:type="character" w:styleId="FootnoteReference">
    <w:name w:val="footnote reference"/>
    <w:basedOn w:val="DefaultParagraphFont"/>
    <w:uiPriority w:val="99"/>
    <w:rsid w:val="008B12A7"/>
    <w:rPr>
      <w:rFonts w:ascii="Calibri" w:hAnsi="Calibri"/>
      <w:vertAlign w:val="superscript"/>
    </w:rPr>
  </w:style>
  <w:style w:type="paragraph" w:styleId="ListParagraph">
    <w:name w:val="List Paragraph"/>
    <w:basedOn w:val="Normal"/>
    <w:qFormat/>
    <w:rsid w:val="008B12A7"/>
    <w:pPr>
      <w:ind w:left="720"/>
    </w:pPr>
    <w:rPr>
      <w:szCs w:val="24"/>
    </w:rPr>
  </w:style>
  <w:style w:type="character" w:customStyle="1" w:styleId="HeaderChar">
    <w:name w:val="Header Char"/>
    <w:basedOn w:val="DefaultParagraphFont"/>
    <w:link w:val="Header"/>
    <w:rsid w:val="0090214A"/>
    <w:rPr>
      <w:rFonts w:ascii="Calibri" w:hAnsi="Calibri"/>
      <w:sz w:val="24"/>
      <w:lang w:eastAsia="en-US"/>
    </w:rPr>
  </w:style>
  <w:style w:type="character" w:customStyle="1" w:styleId="CaptionChar">
    <w:name w:val="Caption Char"/>
    <w:basedOn w:val="DefaultParagraphFont"/>
    <w:link w:val="Caption"/>
    <w:uiPriority w:val="99"/>
    <w:rsid w:val="003B317B"/>
    <w:rPr>
      <w:rFonts w:ascii="Calibri" w:hAnsi="Calibri"/>
      <w:b/>
      <w:bCs/>
      <w:lang w:eastAsia="en-US"/>
    </w:rPr>
  </w:style>
  <w:style w:type="character" w:customStyle="1" w:styleId="CharChar">
    <w:name w:val="Char Char"/>
    <w:basedOn w:val="DefaultParagraphFont"/>
    <w:rsid w:val="008B12A7"/>
    <w:rPr>
      <w:rFonts w:ascii="Calibri" w:hAnsi="Calibri"/>
      <w:sz w:val="24"/>
      <w:lang w:val="en-AU" w:eastAsia="en-US" w:bidi="ar-SA"/>
    </w:rPr>
  </w:style>
  <w:style w:type="character" w:customStyle="1" w:styleId="CharChar1">
    <w:name w:val="Char Char1"/>
    <w:basedOn w:val="DefaultParagraphFont"/>
    <w:rsid w:val="008B12A7"/>
    <w:rPr>
      <w:rFonts w:ascii="Arial" w:hAnsi="Arial" w:cs="Arial"/>
      <w:b/>
      <w:bCs/>
      <w:sz w:val="24"/>
      <w:szCs w:val="26"/>
      <w:lang w:val="en-AU" w:eastAsia="en-US" w:bidi="ar-SA"/>
    </w:rPr>
  </w:style>
  <w:style w:type="table" w:styleId="ColorfulGrid-Accent2">
    <w:name w:val="Colorful Grid Accent 2"/>
    <w:basedOn w:val="TableNormal"/>
    <w:uiPriority w:val="73"/>
    <w:rsid w:val="008B12A7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8B12A7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8B12A7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8B12A7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8B12A7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paragraph" w:styleId="CommentText">
    <w:name w:val="annotation text"/>
    <w:basedOn w:val="Normal"/>
    <w:link w:val="CommentTextChar"/>
    <w:rsid w:val="008B12A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65408"/>
    <w:rPr>
      <w:rFonts w:ascii="Calibri" w:hAnsi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B12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65408"/>
    <w:rPr>
      <w:b/>
      <w:bCs/>
    </w:rPr>
  </w:style>
  <w:style w:type="character" w:styleId="EndnoteReference">
    <w:name w:val="endnote reference"/>
    <w:basedOn w:val="DefaultParagraphFont"/>
    <w:rsid w:val="008B12A7"/>
    <w:rPr>
      <w:rFonts w:ascii="Calibri" w:hAnsi="Calibri"/>
      <w:vertAlign w:val="superscript"/>
    </w:rPr>
  </w:style>
  <w:style w:type="paragraph" w:styleId="EndnoteText">
    <w:name w:val="endnote text"/>
    <w:basedOn w:val="Normal"/>
    <w:link w:val="EndnoteTextChar"/>
    <w:rsid w:val="008B12A7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765408"/>
    <w:rPr>
      <w:rFonts w:ascii="Calibri" w:hAnsi="Calibri"/>
      <w:lang w:eastAsia="en-US"/>
    </w:rPr>
  </w:style>
  <w:style w:type="paragraph" w:styleId="Index1">
    <w:name w:val="index 1"/>
    <w:basedOn w:val="Normal"/>
    <w:next w:val="Normal"/>
    <w:autoRedefine/>
    <w:rsid w:val="008B12A7"/>
    <w:pPr>
      <w:ind w:left="240" w:hanging="240"/>
    </w:pPr>
  </w:style>
  <w:style w:type="paragraph" w:styleId="Index2">
    <w:name w:val="index 2"/>
    <w:basedOn w:val="Normal"/>
    <w:next w:val="Normal"/>
    <w:autoRedefine/>
    <w:rsid w:val="008B12A7"/>
    <w:pPr>
      <w:ind w:left="480" w:hanging="240"/>
    </w:pPr>
  </w:style>
  <w:style w:type="paragraph" w:styleId="Index3">
    <w:name w:val="index 3"/>
    <w:basedOn w:val="Normal"/>
    <w:next w:val="Normal"/>
    <w:autoRedefine/>
    <w:rsid w:val="008B12A7"/>
    <w:pPr>
      <w:ind w:left="720" w:hanging="240"/>
    </w:pPr>
  </w:style>
  <w:style w:type="paragraph" w:styleId="Index4">
    <w:name w:val="index 4"/>
    <w:basedOn w:val="Normal"/>
    <w:next w:val="Normal"/>
    <w:autoRedefine/>
    <w:rsid w:val="008B12A7"/>
    <w:pPr>
      <w:ind w:left="960" w:hanging="240"/>
    </w:pPr>
  </w:style>
  <w:style w:type="paragraph" w:styleId="Index5">
    <w:name w:val="index 5"/>
    <w:basedOn w:val="Normal"/>
    <w:next w:val="Normal"/>
    <w:autoRedefine/>
    <w:rsid w:val="008B12A7"/>
    <w:pPr>
      <w:ind w:left="1200" w:hanging="240"/>
    </w:pPr>
  </w:style>
  <w:style w:type="paragraph" w:styleId="Index6">
    <w:name w:val="index 6"/>
    <w:basedOn w:val="Normal"/>
    <w:next w:val="Normal"/>
    <w:autoRedefine/>
    <w:rsid w:val="008B12A7"/>
    <w:pPr>
      <w:ind w:left="1440" w:hanging="240"/>
    </w:pPr>
  </w:style>
  <w:style w:type="paragraph" w:styleId="Index7">
    <w:name w:val="index 7"/>
    <w:basedOn w:val="Normal"/>
    <w:next w:val="Normal"/>
    <w:autoRedefine/>
    <w:rsid w:val="008B12A7"/>
    <w:pPr>
      <w:ind w:left="1680" w:hanging="240"/>
    </w:pPr>
  </w:style>
  <w:style w:type="paragraph" w:styleId="Index8">
    <w:name w:val="index 8"/>
    <w:basedOn w:val="Normal"/>
    <w:next w:val="Normal"/>
    <w:autoRedefine/>
    <w:rsid w:val="008B12A7"/>
    <w:pPr>
      <w:ind w:left="1920" w:hanging="240"/>
    </w:pPr>
  </w:style>
  <w:style w:type="paragraph" w:styleId="Index9">
    <w:name w:val="index 9"/>
    <w:basedOn w:val="Normal"/>
    <w:next w:val="Normal"/>
    <w:autoRedefine/>
    <w:rsid w:val="008B12A7"/>
    <w:pPr>
      <w:ind w:left="2160" w:hanging="240"/>
    </w:pPr>
  </w:style>
  <w:style w:type="paragraph" w:styleId="IndexHeading">
    <w:name w:val="index heading"/>
    <w:basedOn w:val="Normal"/>
    <w:next w:val="Index1"/>
    <w:rsid w:val="008B12A7"/>
    <w:rPr>
      <w:b/>
      <w:bCs/>
    </w:rPr>
  </w:style>
  <w:style w:type="paragraph" w:styleId="TableofAuthorities">
    <w:name w:val="table of authorities"/>
    <w:basedOn w:val="Normal"/>
    <w:next w:val="Normal"/>
    <w:rsid w:val="008B12A7"/>
    <w:pPr>
      <w:ind w:left="240" w:hanging="240"/>
    </w:pPr>
  </w:style>
  <w:style w:type="paragraph" w:styleId="TableofFigures">
    <w:name w:val="table of figures"/>
    <w:basedOn w:val="Normal"/>
    <w:next w:val="Normal"/>
    <w:rsid w:val="008B12A7"/>
  </w:style>
  <w:style w:type="paragraph" w:styleId="TOAHeading">
    <w:name w:val="toa heading"/>
    <w:basedOn w:val="Normal"/>
    <w:next w:val="Normal"/>
    <w:rsid w:val="008B12A7"/>
    <w:pPr>
      <w:spacing w:before="120"/>
    </w:pPr>
    <w:rPr>
      <w:b/>
      <w:bCs/>
      <w:szCs w:val="24"/>
    </w:rPr>
  </w:style>
  <w:style w:type="paragraph" w:styleId="TOC1">
    <w:name w:val="toc 1"/>
    <w:basedOn w:val="Normal"/>
    <w:next w:val="Normal"/>
    <w:autoRedefine/>
    <w:rsid w:val="008B12A7"/>
  </w:style>
  <w:style w:type="paragraph" w:styleId="TOC2">
    <w:name w:val="toc 2"/>
    <w:basedOn w:val="Normal"/>
    <w:next w:val="Normal"/>
    <w:autoRedefine/>
    <w:rsid w:val="008B12A7"/>
    <w:pPr>
      <w:ind w:left="240"/>
    </w:pPr>
  </w:style>
  <w:style w:type="paragraph" w:styleId="TOC3">
    <w:name w:val="toc 3"/>
    <w:basedOn w:val="Normal"/>
    <w:next w:val="Normal"/>
    <w:autoRedefine/>
    <w:rsid w:val="008B12A7"/>
    <w:pPr>
      <w:ind w:left="480"/>
    </w:pPr>
  </w:style>
  <w:style w:type="paragraph" w:styleId="TOC4">
    <w:name w:val="toc 4"/>
    <w:basedOn w:val="Normal"/>
    <w:next w:val="Normal"/>
    <w:autoRedefine/>
    <w:rsid w:val="008B12A7"/>
    <w:pPr>
      <w:ind w:left="720"/>
    </w:pPr>
  </w:style>
  <w:style w:type="paragraph" w:styleId="TOC5">
    <w:name w:val="toc 5"/>
    <w:basedOn w:val="Normal"/>
    <w:next w:val="Normal"/>
    <w:autoRedefine/>
    <w:rsid w:val="008B12A7"/>
    <w:pPr>
      <w:ind w:left="960"/>
    </w:pPr>
  </w:style>
  <w:style w:type="paragraph" w:styleId="TOC6">
    <w:name w:val="toc 6"/>
    <w:basedOn w:val="Normal"/>
    <w:next w:val="Normal"/>
    <w:autoRedefine/>
    <w:rsid w:val="008B12A7"/>
    <w:pPr>
      <w:ind w:left="1200"/>
    </w:pPr>
  </w:style>
  <w:style w:type="paragraph" w:styleId="TOC7">
    <w:name w:val="toc 7"/>
    <w:basedOn w:val="Normal"/>
    <w:next w:val="Normal"/>
    <w:autoRedefine/>
    <w:rsid w:val="008B12A7"/>
    <w:pPr>
      <w:ind w:left="1440"/>
    </w:pPr>
  </w:style>
  <w:style w:type="paragraph" w:styleId="TOC8">
    <w:name w:val="toc 8"/>
    <w:basedOn w:val="Normal"/>
    <w:next w:val="Normal"/>
    <w:autoRedefine/>
    <w:rsid w:val="008B12A7"/>
    <w:pPr>
      <w:ind w:left="1680"/>
    </w:pPr>
  </w:style>
  <w:style w:type="paragraph" w:styleId="TOC9">
    <w:name w:val="toc 9"/>
    <w:basedOn w:val="Normal"/>
    <w:next w:val="Normal"/>
    <w:autoRedefine/>
    <w:rsid w:val="008B12A7"/>
    <w:pPr>
      <w:ind w:left="19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7354">
                  <w:marLeft w:val="75"/>
                  <w:marRight w:val="75"/>
                  <w:marTop w:val="150"/>
                  <w:marBottom w:val="150"/>
                  <w:divBdr>
                    <w:top w:val="single" w:sz="6" w:space="0" w:color="2C4282"/>
                    <w:left w:val="single" w:sz="6" w:space="8" w:color="2C4282"/>
                    <w:bottom w:val="single" w:sz="6" w:space="8" w:color="2C4282"/>
                    <w:right w:val="single" w:sz="6" w:space="4" w:color="2C4282"/>
                  </w:divBdr>
                </w:div>
              </w:divsChild>
            </w:div>
          </w:divsChild>
        </w:div>
      </w:divsChild>
    </w:div>
    <w:div w:id="2153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83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2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2CA8F5-ED34-4281-852B-6D6E9A237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1920</Words>
  <Characters>9992</Characters>
  <Application>Microsoft Office Word</Application>
  <DocSecurity>6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</vt:lpstr>
    </vt:vector>
  </TitlesOfParts>
  <Company>ACT Government</Company>
  <LinksUpToDate>false</LinksUpToDate>
  <CharactersWithSpaces>11889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2013-14 Budget Paper 3: 3.3 Taxation Reform</dc:title>
  <dc:subject>3.3 Taxation Reform</dc:subject>
  <dc:creator>Chief Minister and Treasury Directorate</dc:creator>
  <cp:lastModifiedBy>Keaton Paterson</cp:lastModifiedBy>
  <cp:revision>6</cp:revision>
  <cp:lastPrinted>2013-05-29T01:57:00Z</cp:lastPrinted>
  <dcterms:created xsi:type="dcterms:W3CDTF">2013-05-29T00:28:00Z</dcterms:created>
  <dcterms:modified xsi:type="dcterms:W3CDTF">2013-06-02T07:32:00Z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