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8A491" w14:textId="02E6A863" w:rsidR="000E0B76" w:rsidRPr="00C32B65" w:rsidRDefault="00C32B65" w:rsidP="00C32B65">
      <w:pPr>
        <w:pStyle w:val="Heading2"/>
        <w:pBdr>
          <w:bottom w:val="single" w:sz="6" w:space="1" w:color="auto"/>
        </w:pBdr>
        <w:rPr>
          <w:color w:val="482D8C" w:themeColor="background2"/>
          <w:sz w:val="32"/>
          <w:szCs w:val="28"/>
        </w:rPr>
      </w:pPr>
      <w:r>
        <w:rPr>
          <w:color w:val="482D8C" w:themeColor="background2"/>
          <w:sz w:val="32"/>
          <w:szCs w:val="28"/>
        </w:rPr>
        <w:t xml:space="preserve">Fact Sheet – </w:t>
      </w:r>
      <w:r w:rsidR="000E0B76" w:rsidRPr="00C32B65">
        <w:rPr>
          <w:color w:val="482D8C" w:themeColor="background2"/>
          <w:sz w:val="32"/>
          <w:szCs w:val="28"/>
        </w:rPr>
        <w:t>R</w:t>
      </w:r>
      <w:r w:rsidRPr="00C32B65">
        <w:rPr>
          <w:color w:val="482D8C" w:themeColor="background2"/>
          <w:sz w:val="32"/>
          <w:szCs w:val="28"/>
        </w:rPr>
        <w:t xml:space="preserve">egulatory </w:t>
      </w:r>
      <w:r w:rsidR="000E0B76" w:rsidRPr="00C32B65">
        <w:rPr>
          <w:color w:val="482D8C" w:themeColor="background2"/>
          <w:sz w:val="32"/>
          <w:szCs w:val="28"/>
        </w:rPr>
        <w:t>I</w:t>
      </w:r>
      <w:r w:rsidRPr="00C32B65">
        <w:rPr>
          <w:color w:val="482D8C" w:themeColor="background2"/>
          <w:sz w:val="32"/>
          <w:szCs w:val="28"/>
        </w:rPr>
        <w:t>mpact Assessment</w:t>
      </w:r>
      <w:r>
        <w:rPr>
          <w:color w:val="482D8C" w:themeColor="background2"/>
          <w:sz w:val="32"/>
          <w:szCs w:val="28"/>
        </w:rPr>
        <w:t xml:space="preserve"> in the ACT</w:t>
      </w:r>
      <w:r w:rsidR="000E0B76" w:rsidRPr="00C32B65">
        <w:rPr>
          <w:color w:val="482D8C" w:themeColor="background2"/>
          <w:sz w:val="32"/>
          <w:szCs w:val="28"/>
        </w:rPr>
        <w:t xml:space="preserve"> </w:t>
      </w:r>
    </w:p>
    <w:p w14:paraId="56587C4C" w14:textId="209FA6FB" w:rsidR="00035C40" w:rsidRPr="00D5589C" w:rsidRDefault="00C32B65" w:rsidP="00035C40">
      <w:pPr>
        <w:pStyle w:val="Heading2"/>
        <w:ind w:left="-4"/>
        <w:rPr>
          <w:sz w:val="24"/>
          <w:szCs w:val="22"/>
        </w:rPr>
      </w:pPr>
      <w:r w:rsidRPr="00D5589C">
        <w:rPr>
          <w:sz w:val="24"/>
          <w:szCs w:val="22"/>
        </w:rPr>
        <w:t>Purpose</w:t>
      </w:r>
    </w:p>
    <w:p w14:paraId="2BED645D" w14:textId="0940638A" w:rsidR="009A54DC" w:rsidRPr="00D5589C" w:rsidRDefault="00C32B65" w:rsidP="00035C40">
      <w:pPr>
        <w:ind w:left="-3"/>
        <w:rPr>
          <w:sz w:val="20"/>
          <w:szCs w:val="20"/>
        </w:rPr>
      </w:pPr>
      <w:r w:rsidRPr="00D5589C">
        <w:rPr>
          <w:sz w:val="20"/>
          <w:szCs w:val="20"/>
        </w:rPr>
        <w:t xml:space="preserve">This Fact Sheet provides a quick guide on when a </w:t>
      </w:r>
      <w:r w:rsidR="00692BAE">
        <w:rPr>
          <w:sz w:val="20"/>
          <w:szCs w:val="20"/>
        </w:rPr>
        <w:t>r</w:t>
      </w:r>
      <w:r w:rsidRPr="00D5589C">
        <w:rPr>
          <w:sz w:val="20"/>
          <w:szCs w:val="20"/>
        </w:rPr>
        <w:t xml:space="preserve">egulatory </w:t>
      </w:r>
      <w:r w:rsidR="00692BAE">
        <w:rPr>
          <w:sz w:val="20"/>
          <w:szCs w:val="20"/>
        </w:rPr>
        <w:t>i</w:t>
      </w:r>
      <w:r w:rsidRPr="00D5589C">
        <w:rPr>
          <w:sz w:val="20"/>
          <w:szCs w:val="20"/>
        </w:rPr>
        <w:t xml:space="preserve">mpact </w:t>
      </w:r>
      <w:r w:rsidR="00692BAE">
        <w:rPr>
          <w:sz w:val="20"/>
          <w:szCs w:val="20"/>
        </w:rPr>
        <w:t>a</w:t>
      </w:r>
      <w:r w:rsidRPr="00D5589C">
        <w:rPr>
          <w:sz w:val="20"/>
          <w:szCs w:val="20"/>
        </w:rPr>
        <w:t xml:space="preserve">ssessment </w:t>
      </w:r>
      <w:r w:rsidR="003B4CE3" w:rsidRPr="00D5589C">
        <w:rPr>
          <w:sz w:val="20"/>
          <w:szCs w:val="20"/>
        </w:rPr>
        <w:t xml:space="preserve">(RIA) </w:t>
      </w:r>
      <w:bookmarkStart w:id="0" w:name="_Hlk147929265"/>
      <w:r w:rsidRPr="00D5589C">
        <w:rPr>
          <w:sz w:val="20"/>
          <w:szCs w:val="20"/>
        </w:rPr>
        <w:t>may be required for proposals of the ACT Government</w:t>
      </w:r>
      <w:r w:rsidR="008F4674">
        <w:rPr>
          <w:sz w:val="20"/>
          <w:szCs w:val="20"/>
        </w:rPr>
        <w:t xml:space="preserve"> that </w:t>
      </w:r>
      <w:r w:rsidR="008C53D7">
        <w:rPr>
          <w:sz w:val="20"/>
          <w:szCs w:val="20"/>
        </w:rPr>
        <w:t xml:space="preserve">may </w:t>
      </w:r>
      <w:r w:rsidR="00D374FF">
        <w:rPr>
          <w:sz w:val="20"/>
          <w:szCs w:val="20"/>
        </w:rPr>
        <w:t>result in</w:t>
      </w:r>
      <w:r w:rsidR="008F4674">
        <w:rPr>
          <w:sz w:val="20"/>
          <w:szCs w:val="20"/>
        </w:rPr>
        <w:t xml:space="preserve"> </w:t>
      </w:r>
      <w:r w:rsidR="00035314">
        <w:rPr>
          <w:sz w:val="20"/>
          <w:szCs w:val="20"/>
        </w:rPr>
        <w:t xml:space="preserve">a </w:t>
      </w:r>
      <w:r w:rsidR="008F4674">
        <w:rPr>
          <w:sz w:val="20"/>
          <w:szCs w:val="20"/>
        </w:rPr>
        <w:t xml:space="preserve">new </w:t>
      </w:r>
      <w:r w:rsidR="00035314">
        <w:rPr>
          <w:sz w:val="20"/>
          <w:szCs w:val="20"/>
        </w:rPr>
        <w:t>subordinate law (such as a regulation) or disallowable instrument</w:t>
      </w:r>
      <w:r w:rsidRPr="00D5589C">
        <w:rPr>
          <w:sz w:val="20"/>
          <w:szCs w:val="20"/>
        </w:rPr>
        <w:t xml:space="preserve">. </w:t>
      </w:r>
      <w:bookmarkEnd w:id="0"/>
    </w:p>
    <w:p w14:paraId="32205202" w14:textId="685CDB9F" w:rsidR="003B4CE3" w:rsidRPr="00D5589C" w:rsidRDefault="003B4CE3" w:rsidP="002D1EBA">
      <w:pPr>
        <w:pStyle w:val="Heading2"/>
        <w:rPr>
          <w:sz w:val="24"/>
          <w:szCs w:val="22"/>
        </w:rPr>
      </w:pPr>
      <w:r w:rsidRPr="00D5589C">
        <w:rPr>
          <w:sz w:val="24"/>
          <w:szCs w:val="22"/>
        </w:rPr>
        <w:t>What is</w:t>
      </w:r>
      <w:r w:rsidR="00AC6CCF" w:rsidRPr="00D5589C">
        <w:rPr>
          <w:sz w:val="24"/>
          <w:szCs w:val="22"/>
        </w:rPr>
        <w:t xml:space="preserve"> a</w:t>
      </w:r>
      <w:r w:rsidRPr="00D5589C">
        <w:rPr>
          <w:sz w:val="24"/>
          <w:szCs w:val="22"/>
        </w:rPr>
        <w:t xml:space="preserve"> Regulatory Impact Assessment?</w:t>
      </w:r>
    </w:p>
    <w:p w14:paraId="7057C694" w14:textId="009A7A5D" w:rsidR="00692BAE" w:rsidRDefault="00692BAE" w:rsidP="00692BAE">
      <w:pPr>
        <w:ind w:left="-3"/>
        <w:rPr>
          <w:sz w:val="20"/>
          <w:szCs w:val="20"/>
        </w:rPr>
      </w:pPr>
      <w:proofErr w:type="gramStart"/>
      <w:r>
        <w:rPr>
          <w:sz w:val="20"/>
          <w:szCs w:val="20"/>
        </w:rPr>
        <w:t>A</w:t>
      </w:r>
      <w:proofErr w:type="gramEnd"/>
      <w:r>
        <w:rPr>
          <w:sz w:val="20"/>
          <w:szCs w:val="20"/>
        </w:rPr>
        <w:t xml:space="preserve"> </w:t>
      </w:r>
      <w:r w:rsidR="00035C40" w:rsidRPr="00D5589C">
        <w:rPr>
          <w:sz w:val="20"/>
          <w:szCs w:val="20"/>
        </w:rPr>
        <w:t>RIA</w:t>
      </w:r>
      <w:r w:rsidR="009D5991" w:rsidRPr="00D5589C">
        <w:rPr>
          <w:sz w:val="20"/>
          <w:szCs w:val="20"/>
        </w:rPr>
        <w:t xml:space="preserve"> </w:t>
      </w:r>
      <w:r w:rsidR="00AC6CCF" w:rsidRPr="00D5589C">
        <w:rPr>
          <w:sz w:val="20"/>
          <w:szCs w:val="20"/>
        </w:rPr>
        <w:t>is a</w:t>
      </w:r>
      <w:r w:rsidR="00D5589C" w:rsidRPr="00D5589C">
        <w:rPr>
          <w:sz w:val="20"/>
          <w:szCs w:val="20"/>
        </w:rPr>
        <w:t xml:space="preserve"> policy development</w:t>
      </w:r>
      <w:r w:rsidR="00AC6CCF" w:rsidRPr="00D5589C">
        <w:rPr>
          <w:sz w:val="20"/>
          <w:szCs w:val="20"/>
        </w:rPr>
        <w:t xml:space="preserve"> </w:t>
      </w:r>
      <w:r w:rsidR="00D5589C" w:rsidRPr="00D5589C">
        <w:rPr>
          <w:sz w:val="20"/>
          <w:szCs w:val="20"/>
        </w:rPr>
        <w:t>tool</w:t>
      </w:r>
      <w:r w:rsidR="00AC6CCF" w:rsidRPr="00D5589C">
        <w:rPr>
          <w:sz w:val="20"/>
          <w:szCs w:val="20"/>
        </w:rPr>
        <w:t xml:space="preserve"> </w:t>
      </w:r>
      <w:r>
        <w:rPr>
          <w:sz w:val="20"/>
          <w:szCs w:val="20"/>
        </w:rPr>
        <w:t>that</w:t>
      </w:r>
      <w:r w:rsidRPr="00D5589C">
        <w:rPr>
          <w:sz w:val="20"/>
          <w:szCs w:val="20"/>
        </w:rPr>
        <w:t xml:space="preserve"> </w:t>
      </w:r>
      <w:r w:rsidR="00D5589C" w:rsidRPr="00D5589C">
        <w:rPr>
          <w:sz w:val="20"/>
          <w:szCs w:val="20"/>
        </w:rPr>
        <w:t>facilitates</w:t>
      </w:r>
      <w:r w:rsidR="00AC6CCF" w:rsidRPr="00D5589C">
        <w:rPr>
          <w:sz w:val="20"/>
          <w:szCs w:val="20"/>
        </w:rPr>
        <w:t xml:space="preserve"> </w:t>
      </w:r>
      <w:r>
        <w:rPr>
          <w:sz w:val="20"/>
          <w:szCs w:val="20"/>
        </w:rPr>
        <w:t>an assessment of the feasible options to achieve a policy goal</w:t>
      </w:r>
      <w:r w:rsidR="00F16180">
        <w:rPr>
          <w:sz w:val="20"/>
          <w:szCs w:val="20"/>
        </w:rPr>
        <w:t xml:space="preserve"> and helps inform policy decisions</w:t>
      </w:r>
      <w:r>
        <w:rPr>
          <w:sz w:val="20"/>
          <w:szCs w:val="20"/>
        </w:rPr>
        <w:t xml:space="preserve">. </w:t>
      </w:r>
      <w:proofErr w:type="gramStart"/>
      <w:r>
        <w:rPr>
          <w:sz w:val="20"/>
          <w:szCs w:val="20"/>
        </w:rPr>
        <w:t>A</w:t>
      </w:r>
      <w:proofErr w:type="gramEnd"/>
      <w:r>
        <w:rPr>
          <w:sz w:val="20"/>
          <w:szCs w:val="20"/>
        </w:rPr>
        <w:t xml:space="preserve"> RIA </w:t>
      </w:r>
      <w:r w:rsidR="00E3415B">
        <w:rPr>
          <w:sz w:val="20"/>
          <w:szCs w:val="20"/>
        </w:rPr>
        <w:t xml:space="preserve">is prepared during the policy development phase and </w:t>
      </w:r>
      <w:r>
        <w:rPr>
          <w:sz w:val="20"/>
          <w:szCs w:val="20"/>
        </w:rPr>
        <w:t>generally considers whether there is a need for a regulatory intervention (or can the goal be achieved through non-regulatory means) and the relative costs and benefits of the feasible options to address the problem.</w:t>
      </w:r>
    </w:p>
    <w:p w14:paraId="685CC624" w14:textId="6ADB5EF0" w:rsidR="001A16E4" w:rsidRPr="00D5589C" w:rsidRDefault="001A16E4" w:rsidP="001A16E4">
      <w:pPr>
        <w:pStyle w:val="Heading2"/>
        <w:ind w:left="-4"/>
        <w:rPr>
          <w:sz w:val="24"/>
          <w:szCs w:val="22"/>
        </w:rPr>
      </w:pPr>
      <w:r w:rsidRPr="00D5589C">
        <w:rPr>
          <w:sz w:val="24"/>
          <w:szCs w:val="22"/>
        </w:rPr>
        <w:t>Why should I prepare</w:t>
      </w:r>
      <w:r w:rsidR="000D2E49" w:rsidRPr="00D5589C">
        <w:rPr>
          <w:sz w:val="24"/>
          <w:szCs w:val="22"/>
        </w:rPr>
        <w:t xml:space="preserve"> a</w:t>
      </w:r>
      <w:r w:rsidRPr="00D5589C">
        <w:rPr>
          <w:sz w:val="24"/>
          <w:szCs w:val="22"/>
        </w:rPr>
        <w:t xml:space="preserve"> Regulatory Impact Assessment?</w:t>
      </w:r>
    </w:p>
    <w:p w14:paraId="16A0CC44" w14:textId="06376666" w:rsidR="003A6E1C" w:rsidRDefault="00D50BAE" w:rsidP="00682225">
      <w:pPr>
        <w:rPr>
          <w:sz w:val="20"/>
          <w:szCs w:val="20"/>
        </w:rPr>
      </w:pPr>
      <w:proofErr w:type="gramStart"/>
      <w:r>
        <w:rPr>
          <w:sz w:val="20"/>
          <w:szCs w:val="20"/>
        </w:rPr>
        <w:t>A</w:t>
      </w:r>
      <w:proofErr w:type="gramEnd"/>
      <w:r>
        <w:rPr>
          <w:sz w:val="20"/>
          <w:szCs w:val="20"/>
        </w:rPr>
        <w:t xml:space="preserve"> RIA can helpfully inform policy development by </w:t>
      </w:r>
      <w:r w:rsidR="00EB5563" w:rsidRPr="00D5589C">
        <w:rPr>
          <w:sz w:val="20"/>
          <w:szCs w:val="20"/>
        </w:rPr>
        <w:t>identify</w:t>
      </w:r>
      <w:r>
        <w:rPr>
          <w:sz w:val="20"/>
          <w:szCs w:val="20"/>
        </w:rPr>
        <w:t>ing</w:t>
      </w:r>
      <w:r w:rsidR="00EB5563" w:rsidRPr="00D5589C">
        <w:rPr>
          <w:sz w:val="20"/>
          <w:szCs w:val="20"/>
        </w:rPr>
        <w:t xml:space="preserve"> the policy solution that </w:t>
      </w:r>
      <w:r w:rsidR="006B56BD">
        <w:rPr>
          <w:sz w:val="20"/>
          <w:szCs w:val="20"/>
        </w:rPr>
        <w:t xml:space="preserve">is likely to result in the highest level of benefits </w:t>
      </w:r>
      <w:r w:rsidR="00EB5563" w:rsidRPr="00D5589C">
        <w:rPr>
          <w:sz w:val="20"/>
          <w:szCs w:val="20"/>
        </w:rPr>
        <w:t>for the community.</w:t>
      </w:r>
      <w:r w:rsidR="00682225">
        <w:rPr>
          <w:sz w:val="20"/>
          <w:szCs w:val="20"/>
        </w:rPr>
        <w:t xml:space="preserve"> In turn, this can help the economy to grow and make Canberra a better place to live. </w:t>
      </w:r>
    </w:p>
    <w:p w14:paraId="46EBD499" w14:textId="1660128D" w:rsidR="00FF44D3" w:rsidRDefault="00FF44D3" w:rsidP="001A16E4">
      <w:pPr>
        <w:rPr>
          <w:sz w:val="20"/>
          <w:szCs w:val="20"/>
        </w:rPr>
      </w:pPr>
      <w:r>
        <w:rPr>
          <w:sz w:val="20"/>
          <w:szCs w:val="20"/>
        </w:rPr>
        <w:t>Further, the process of understand</w:t>
      </w:r>
      <w:r w:rsidR="008C53D7">
        <w:rPr>
          <w:sz w:val="20"/>
          <w:szCs w:val="20"/>
        </w:rPr>
        <w:t>ing</w:t>
      </w:r>
      <w:r>
        <w:rPr>
          <w:sz w:val="20"/>
          <w:szCs w:val="20"/>
        </w:rPr>
        <w:t xml:space="preserve"> where impacts will be experienced by stakeholders, whether it be in the form of a cost or benefit, will assist you </w:t>
      </w:r>
      <w:r w:rsidR="0021303F">
        <w:rPr>
          <w:sz w:val="20"/>
          <w:szCs w:val="20"/>
        </w:rPr>
        <w:t xml:space="preserve">as a policy maker </w:t>
      </w:r>
      <w:r>
        <w:rPr>
          <w:sz w:val="20"/>
          <w:szCs w:val="20"/>
        </w:rPr>
        <w:t xml:space="preserve">and </w:t>
      </w:r>
      <w:r w:rsidR="0021303F">
        <w:rPr>
          <w:sz w:val="20"/>
          <w:szCs w:val="20"/>
        </w:rPr>
        <w:t>your Minister</w:t>
      </w:r>
      <w:r>
        <w:rPr>
          <w:sz w:val="20"/>
          <w:szCs w:val="20"/>
        </w:rPr>
        <w:t xml:space="preserve"> to understand any implementation challenges that may arise when the proposal is taken to the community, Cabinet, and the Legislative Assembly.</w:t>
      </w:r>
    </w:p>
    <w:p w14:paraId="4BF2B6C2" w14:textId="7EB4673D" w:rsidR="00F97BA2" w:rsidRDefault="00F97BA2" w:rsidP="001A16E4">
      <w:pPr>
        <w:rPr>
          <w:sz w:val="20"/>
          <w:szCs w:val="20"/>
        </w:rPr>
      </w:pPr>
      <w:r>
        <w:rPr>
          <w:sz w:val="20"/>
          <w:szCs w:val="20"/>
        </w:rPr>
        <w:t xml:space="preserve">While </w:t>
      </w:r>
      <w:proofErr w:type="gramStart"/>
      <w:r>
        <w:rPr>
          <w:sz w:val="20"/>
          <w:szCs w:val="20"/>
        </w:rPr>
        <w:t>a</w:t>
      </w:r>
      <w:proofErr w:type="gramEnd"/>
      <w:r>
        <w:rPr>
          <w:sz w:val="20"/>
          <w:szCs w:val="20"/>
        </w:rPr>
        <w:t xml:space="preserve"> RIA is not required for legislative changes, the policy development process can be strengthened through undertaking </w:t>
      </w:r>
      <w:r w:rsidRPr="009A54DC">
        <w:rPr>
          <w:sz w:val="20"/>
          <w:szCs w:val="20"/>
        </w:rPr>
        <w:t>a RIA</w:t>
      </w:r>
      <w:r>
        <w:rPr>
          <w:sz w:val="20"/>
          <w:szCs w:val="20"/>
        </w:rPr>
        <w:t>. It can bring forward the optimal policy design and an appreciation of implementation issues.</w:t>
      </w:r>
    </w:p>
    <w:p w14:paraId="2FEA7520" w14:textId="3D4535F4" w:rsidR="009A1C4E" w:rsidRDefault="008D7D95" w:rsidP="002D1EBA">
      <w:pPr>
        <w:rPr>
          <w:sz w:val="20"/>
          <w:szCs w:val="20"/>
        </w:rPr>
      </w:pPr>
      <w:r>
        <w:rPr>
          <w:sz w:val="20"/>
          <w:szCs w:val="20"/>
        </w:rPr>
        <w:t xml:space="preserve">Most </w:t>
      </w:r>
      <w:r w:rsidR="00E3415B">
        <w:rPr>
          <w:sz w:val="20"/>
          <w:szCs w:val="20"/>
        </w:rPr>
        <w:t>Australian jurisdictions</w:t>
      </w:r>
      <w:r w:rsidR="009A1C4E">
        <w:rPr>
          <w:sz w:val="20"/>
          <w:szCs w:val="20"/>
        </w:rPr>
        <w:t xml:space="preserve"> </w:t>
      </w:r>
      <w:r w:rsidR="00E3415B">
        <w:rPr>
          <w:sz w:val="20"/>
          <w:szCs w:val="20"/>
        </w:rPr>
        <w:t xml:space="preserve">also require regulatory impact statements (RIS) to be </w:t>
      </w:r>
      <w:r w:rsidR="00035314">
        <w:rPr>
          <w:sz w:val="20"/>
          <w:szCs w:val="20"/>
        </w:rPr>
        <w:t>published</w:t>
      </w:r>
      <w:r w:rsidR="00E3415B">
        <w:rPr>
          <w:sz w:val="20"/>
          <w:szCs w:val="20"/>
        </w:rPr>
        <w:t xml:space="preserve"> when new regulatory mechanisms are brought forward. </w:t>
      </w:r>
      <w:r w:rsidR="009A1C4E">
        <w:rPr>
          <w:sz w:val="20"/>
          <w:szCs w:val="20"/>
        </w:rPr>
        <w:t>In the ACT, a Minister is required to present a RIS to the Legislative Assembly together with a subordinate law or disallowable instrument that is</w:t>
      </w:r>
      <w:r w:rsidR="009A1C4E" w:rsidRPr="00D5589C">
        <w:rPr>
          <w:sz w:val="20"/>
          <w:szCs w:val="20"/>
        </w:rPr>
        <w:t xml:space="preserve"> likely to impose appreciable costs on the community, or part of the community</w:t>
      </w:r>
      <w:r w:rsidR="009A1C4E">
        <w:rPr>
          <w:sz w:val="20"/>
          <w:szCs w:val="20"/>
        </w:rPr>
        <w:t xml:space="preserve">. </w:t>
      </w:r>
    </w:p>
    <w:p w14:paraId="3AB165BA" w14:textId="5C652933" w:rsidR="00E3415B" w:rsidRDefault="00E3415B" w:rsidP="00405478">
      <w:pPr>
        <w:ind w:left="-3"/>
        <w:rPr>
          <w:sz w:val="20"/>
          <w:szCs w:val="20"/>
        </w:rPr>
      </w:pPr>
      <w:r>
        <w:rPr>
          <w:sz w:val="20"/>
          <w:szCs w:val="20"/>
        </w:rPr>
        <w:t>The RIA undertaken during the policy development phase will provide most of the necessary information needed for this purpose. However, the tabled RIS</w:t>
      </w:r>
      <w:r w:rsidRPr="002A0B7B">
        <w:rPr>
          <w:sz w:val="20"/>
          <w:szCs w:val="20"/>
        </w:rPr>
        <w:t xml:space="preserve"> will </w:t>
      </w:r>
      <w:r>
        <w:rPr>
          <w:sz w:val="20"/>
          <w:szCs w:val="20"/>
        </w:rPr>
        <w:t xml:space="preserve">also </w:t>
      </w:r>
      <w:r w:rsidRPr="002A0B7B">
        <w:rPr>
          <w:sz w:val="20"/>
          <w:szCs w:val="20"/>
        </w:rPr>
        <w:t xml:space="preserve">need to provide a brief assessment of the consistency of the proposed law with </w:t>
      </w:r>
      <w:hyperlink r:id="rId12" w:history="1">
        <w:r w:rsidRPr="002A0B7B">
          <w:rPr>
            <w:sz w:val="20"/>
            <w:szCs w:val="20"/>
          </w:rPr>
          <w:t>scrutiny committee principles</w:t>
        </w:r>
      </w:hyperlink>
      <w:r w:rsidRPr="002A0B7B">
        <w:rPr>
          <w:sz w:val="20"/>
          <w:szCs w:val="20"/>
        </w:rPr>
        <w:t>, much as is required for all new legislative proposals.</w:t>
      </w:r>
    </w:p>
    <w:p w14:paraId="28BACF09" w14:textId="30D51429" w:rsidR="00AC6CCF" w:rsidRPr="00D5589C" w:rsidRDefault="006E5376" w:rsidP="00AC6CCF">
      <w:pPr>
        <w:pStyle w:val="Heading2"/>
        <w:ind w:left="-4"/>
        <w:rPr>
          <w:sz w:val="24"/>
          <w:szCs w:val="22"/>
        </w:rPr>
      </w:pPr>
      <w:r>
        <w:rPr>
          <w:sz w:val="24"/>
          <w:szCs w:val="22"/>
        </w:rPr>
        <w:t xml:space="preserve">When would I start a </w:t>
      </w:r>
      <w:r w:rsidR="00AC6CCF" w:rsidRPr="00D5589C">
        <w:rPr>
          <w:sz w:val="24"/>
          <w:szCs w:val="22"/>
        </w:rPr>
        <w:t>Regulatory Impact Assessment?</w:t>
      </w:r>
    </w:p>
    <w:p w14:paraId="222EB16B" w14:textId="0288165F" w:rsidR="002259E4" w:rsidRDefault="0049701A" w:rsidP="009A1C4E">
      <w:pPr>
        <w:ind w:left="-3"/>
        <w:rPr>
          <w:sz w:val="20"/>
          <w:szCs w:val="20"/>
        </w:rPr>
      </w:pPr>
      <w:proofErr w:type="gramStart"/>
      <w:r>
        <w:rPr>
          <w:sz w:val="20"/>
          <w:szCs w:val="20"/>
        </w:rPr>
        <w:t>A</w:t>
      </w:r>
      <w:proofErr w:type="gramEnd"/>
      <w:r>
        <w:rPr>
          <w:sz w:val="20"/>
          <w:szCs w:val="20"/>
        </w:rPr>
        <w:t xml:space="preserve"> </w:t>
      </w:r>
      <w:r w:rsidR="00BE658D" w:rsidRPr="00D5589C">
        <w:rPr>
          <w:sz w:val="20"/>
          <w:szCs w:val="20"/>
        </w:rPr>
        <w:t xml:space="preserve">RIA should be prepared if regulatory </w:t>
      </w:r>
      <w:r w:rsidR="009A1C4E">
        <w:rPr>
          <w:sz w:val="20"/>
          <w:szCs w:val="20"/>
        </w:rPr>
        <w:t>intervention may</w:t>
      </w:r>
      <w:r w:rsidR="00BE658D" w:rsidRPr="00D5589C">
        <w:rPr>
          <w:sz w:val="20"/>
          <w:szCs w:val="20"/>
        </w:rPr>
        <w:t xml:space="preserve"> result in a more than minor change in </w:t>
      </w:r>
      <w:r w:rsidR="00B65AE6">
        <w:rPr>
          <w:sz w:val="20"/>
          <w:szCs w:val="20"/>
        </w:rPr>
        <w:t xml:space="preserve">the </w:t>
      </w:r>
      <w:r w:rsidR="00B65AE6" w:rsidRPr="00B21402">
        <w:rPr>
          <w:b/>
          <w:bCs/>
          <w:sz w:val="20"/>
          <w:szCs w:val="20"/>
        </w:rPr>
        <w:t>obligation, behaviour or impact</w:t>
      </w:r>
      <w:r w:rsidR="00BE658D" w:rsidRPr="00D5589C">
        <w:rPr>
          <w:sz w:val="20"/>
          <w:szCs w:val="20"/>
        </w:rPr>
        <w:t xml:space="preserve"> for individuals, businesses, or </w:t>
      </w:r>
      <w:r w:rsidR="002B3DB8" w:rsidRPr="00D5589C">
        <w:rPr>
          <w:sz w:val="20"/>
          <w:szCs w:val="20"/>
        </w:rPr>
        <w:t>community organisations</w:t>
      </w:r>
      <w:r w:rsidR="00853C13">
        <w:rPr>
          <w:sz w:val="20"/>
          <w:szCs w:val="20"/>
        </w:rPr>
        <w:t>.</w:t>
      </w:r>
      <w:r w:rsidR="002259E4">
        <w:rPr>
          <w:sz w:val="20"/>
          <w:szCs w:val="20"/>
        </w:rPr>
        <w:t xml:space="preserve"> </w:t>
      </w:r>
    </w:p>
    <w:p w14:paraId="69D3C31F" w14:textId="190DAD03" w:rsidR="000D6444" w:rsidRPr="00D5589C" w:rsidRDefault="004603F8" w:rsidP="00035C40">
      <w:pPr>
        <w:ind w:left="-3"/>
        <w:rPr>
          <w:sz w:val="20"/>
          <w:szCs w:val="20"/>
        </w:rPr>
      </w:pPr>
      <w:proofErr w:type="gramStart"/>
      <w:r>
        <w:rPr>
          <w:sz w:val="20"/>
          <w:szCs w:val="20"/>
        </w:rPr>
        <w:t>A</w:t>
      </w:r>
      <w:proofErr w:type="gramEnd"/>
      <w:r>
        <w:rPr>
          <w:sz w:val="20"/>
          <w:szCs w:val="20"/>
        </w:rPr>
        <w:t xml:space="preserve"> </w:t>
      </w:r>
      <w:r w:rsidR="002259E4" w:rsidRPr="002A1498">
        <w:rPr>
          <w:sz w:val="20"/>
          <w:szCs w:val="20"/>
        </w:rPr>
        <w:t>RIA</w:t>
      </w:r>
      <w:r>
        <w:rPr>
          <w:sz w:val="20"/>
          <w:szCs w:val="20"/>
        </w:rPr>
        <w:t xml:space="preserve"> is undertaken at the policy development stage</w:t>
      </w:r>
      <w:r w:rsidR="009A1C4E">
        <w:rPr>
          <w:sz w:val="20"/>
          <w:szCs w:val="20"/>
        </w:rPr>
        <w:t>, before a policy direction is chosen</w:t>
      </w:r>
      <w:r w:rsidR="00EF5406">
        <w:rPr>
          <w:sz w:val="20"/>
          <w:szCs w:val="20"/>
        </w:rPr>
        <w:t>. By</w:t>
      </w:r>
      <w:r w:rsidR="002259E4" w:rsidRPr="002A1498">
        <w:rPr>
          <w:sz w:val="20"/>
          <w:szCs w:val="20"/>
        </w:rPr>
        <w:t xml:space="preserve"> captur</w:t>
      </w:r>
      <w:r w:rsidR="00EF5406">
        <w:rPr>
          <w:sz w:val="20"/>
          <w:szCs w:val="20"/>
        </w:rPr>
        <w:t>ing</w:t>
      </w:r>
      <w:r w:rsidR="002259E4" w:rsidRPr="002A1498">
        <w:rPr>
          <w:sz w:val="20"/>
          <w:szCs w:val="20"/>
        </w:rPr>
        <w:t xml:space="preserve"> and weigh</w:t>
      </w:r>
      <w:r w:rsidR="00EF5406">
        <w:rPr>
          <w:sz w:val="20"/>
          <w:szCs w:val="20"/>
        </w:rPr>
        <w:t>ing</w:t>
      </w:r>
      <w:r w:rsidR="002259E4" w:rsidRPr="002A1498">
        <w:rPr>
          <w:sz w:val="20"/>
          <w:szCs w:val="20"/>
        </w:rPr>
        <w:t xml:space="preserve"> the full range of costs and benefits</w:t>
      </w:r>
      <w:r w:rsidR="00EF5406">
        <w:rPr>
          <w:sz w:val="20"/>
          <w:szCs w:val="20"/>
        </w:rPr>
        <w:t xml:space="preserve">, </w:t>
      </w:r>
      <w:proofErr w:type="gramStart"/>
      <w:r w:rsidR="00EF5406">
        <w:rPr>
          <w:sz w:val="20"/>
          <w:szCs w:val="20"/>
        </w:rPr>
        <w:t>a</w:t>
      </w:r>
      <w:proofErr w:type="gramEnd"/>
      <w:r w:rsidR="00EF5406">
        <w:rPr>
          <w:sz w:val="20"/>
          <w:szCs w:val="20"/>
        </w:rPr>
        <w:t xml:space="preserve"> RIA is able</w:t>
      </w:r>
      <w:r w:rsidR="002259E4" w:rsidRPr="002A1498">
        <w:rPr>
          <w:sz w:val="20"/>
          <w:szCs w:val="20"/>
        </w:rPr>
        <w:t xml:space="preserve"> to</w:t>
      </w:r>
      <w:r w:rsidR="00EF5406">
        <w:rPr>
          <w:sz w:val="20"/>
          <w:szCs w:val="20"/>
        </w:rPr>
        <w:t xml:space="preserve"> help</w:t>
      </w:r>
      <w:r w:rsidR="002259E4" w:rsidRPr="002A1498">
        <w:rPr>
          <w:sz w:val="20"/>
          <w:szCs w:val="20"/>
        </w:rPr>
        <w:t xml:space="preserve"> inform a discussion </w:t>
      </w:r>
      <w:r w:rsidR="009A1C4E">
        <w:rPr>
          <w:sz w:val="20"/>
          <w:szCs w:val="20"/>
        </w:rPr>
        <w:t>between the directorate and the</w:t>
      </w:r>
      <w:r w:rsidR="009A1C4E" w:rsidRPr="002A1498">
        <w:rPr>
          <w:sz w:val="20"/>
          <w:szCs w:val="20"/>
        </w:rPr>
        <w:t xml:space="preserve"> Minister </w:t>
      </w:r>
      <w:r w:rsidR="002259E4" w:rsidRPr="002A1498">
        <w:rPr>
          <w:sz w:val="20"/>
          <w:szCs w:val="20"/>
        </w:rPr>
        <w:t>o</w:t>
      </w:r>
      <w:r>
        <w:rPr>
          <w:sz w:val="20"/>
          <w:szCs w:val="20"/>
        </w:rPr>
        <w:t>n</w:t>
      </w:r>
      <w:r w:rsidR="002259E4" w:rsidRPr="002A1498">
        <w:rPr>
          <w:sz w:val="20"/>
          <w:szCs w:val="20"/>
        </w:rPr>
        <w:t xml:space="preserve"> feasible options to address the policy problem. This</w:t>
      </w:r>
      <w:r w:rsidR="00853C13" w:rsidRPr="002A1498">
        <w:rPr>
          <w:sz w:val="20"/>
          <w:szCs w:val="20"/>
        </w:rPr>
        <w:t xml:space="preserve"> same information will be expected by Cabinet and will </w:t>
      </w:r>
      <w:r w:rsidR="009A1C4E">
        <w:rPr>
          <w:sz w:val="20"/>
          <w:szCs w:val="20"/>
        </w:rPr>
        <w:t>also</w:t>
      </w:r>
      <w:r w:rsidR="009A1C4E" w:rsidRPr="002A1498">
        <w:rPr>
          <w:sz w:val="20"/>
          <w:szCs w:val="20"/>
        </w:rPr>
        <w:t xml:space="preserve"> </w:t>
      </w:r>
      <w:r w:rsidR="00853C13" w:rsidRPr="002A1498">
        <w:rPr>
          <w:sz w:val="20"/>
          <w:szCs w:val="20"/>
        </w:rPr>
        <w:t>inform a</w:t>
      </w:r>
      <w:r w:rsidR="009A1C4E">
        <w:rPr>
          <w:sz w:val="20"/>
          <w:szCs w:val="20"/>
        </w:rPr>
        <w:t>ny</w:t>
      </w:r>
      <w:r w:rsidR="00853C13" w:rsidRPr="002A1498">
        <w:rPr>
          <w:sz w:val="20"/>
          <w:szCs w:val="20"/>
        </w:rPr>
        <w:t xml:space="preserve"> </w:t>
      </w:r>
      <w:r w:rsidR="009A1C4E" w:rsidRPr="002A1498">
        <w:rPr>
          <w:sz w:val="20"/>
          <w:szCs w:val="20"/>
        </w:rPr>
        <w:t xml:space="preserve">Cabinet Subcommittee </w:t>
      </w:r>
      <w:r w:rsidR="00853C13" w:rsidRPr="002A1498">
        <w:rPr>
          <w:sz w:val="20"/>
          <w:szCs w:val="20"/>
        </w:rPr>
        <w:t xml:space="preserve">discussion </w:t>
      </w:r>
      <w:r w:rsidR="004F1149" w:rsidRPr="002A1498">
        <w:rPr>
          <w:sz w:val="20"/>
          <w:szCs w:val="20"/>
        </w:rPr>
        <w:t xml:space="preserve">on </w:t>
      </w:r>
      <w:r w:rsidR="00853C13" w:rsidRPr="002A1498">
        <w:rPr>
          <w:sz w:val="20"/>
          <w:szCs w:val="20"/>
        </w:rPr>
        <w:t>feasible options at the policy approval stage.</w:t>
      </w:r>
      <w:r w:rsidR="00D667EE">
        <w:rPr>
          <w:sz w:val="20"/>
          <w:szCs w:val="20"/>
        </w:rPr>
        <w:t xml:space="preserve"> </w:t>
      </w:r>
    </w:p>
    <w:p w14:paraId="277CB46F" w14:textId="3EF7A914" w:rsidR="005A6131" w:rsidRDefault="009A1C4E" w:rsidP="008F7C2B">
      <w:pPr>
        <w:rPr>
          <w:sz w:val="20"/>
          <w:szCs w:val="20"/>
        </w:rPr>
      </w:pPr>
      <w:proofErr w:type="gramStart"/>
      <w:r>
        <w:rPr>
          <w:sz w:val="20"/>
          <w:szCs w:val="20"/>
        </w:rPr>
        <w:t>A</w:t>
      </w:r>
      <w:proofErr w:type="gramEnd"/>
      <w:r w:rsidR="008F7C2B">
        <w:rPr>
          <w:sz w:val="20"/>
          <w:szCs w:val="20"/>
        </w:rPr>
        <w:t xml:space="preserve"> RIA is not required in circumstances where an urgent regulatory intervention is required for public safety reasons or to change the sanctions for non-compliance with an existing obligation.</w:t>
      </w:r>
      <w:r w:rsidR="000D6444">
        <w:rPr>
          <w:sz w:val="20"/>
          <w:szCs w:val="20"/>
        </w:rPr>
        <w:t xml:space="preserve"> </w:t>
      </w:r>
      <w:proofErr w:type="gramStart"/>
      <w:r w:rsidR="00092107">
        <w:rPr>
          <w:sz w:val="20"/>
          <w:szCs w:val="20"/>
        </w:rPr>
        <w:t>A</w:t>
      </w:r>
      <w:proofErr w:type="gramEnd"/>
      <w:r w:rsidR="00092107">
        <w:rPr>
          <w:sz w:val="20"/>
          <w:szCs w:val="20"/>
        </w:rPr>
        <w:t xml:space="preserve"> RI</w:t>
      </w:r>
      <w:r w:rsidR="004B20F7">
        <w:rPr>
          <w:sz w:val="20"/>
          <w:szCs w:val="20"/>
        </w:rPr>
        <w:t>A</w:t>
      </w:r>
      <w:r w:rsidR="00092107">
        <w:rPr>
          <w:sz w:val="20"/>
          <w:szCs w:val="20"/>
        </w:rPr>
        <w:t xml:space="preserve"> is also not required </w:t>
      </w:r>
      <w:r w:rsidR="00092107" w:rsidRPr="00092107">
        <w:rPr>
          <w:sz w:val="20"/>
          <w:szCs w:val="20"/>
        </w:rPr>
        <w:t xml:space="preserve">if the matter involves adoption of </w:t>
      </w:r>
      <w:r w:rsidR="004B20F7">
        <w:rPr>
          <w:sz w:val="20"/>
          <w:szCs w:val="20"/>
        </w:rPr>
        <w:t>a national</w:t>
      </w:r>
      <w:r w:rsidR="00092107" w:rsidRPr="00092107">
        <w:rPr>
          <w:sz w:val="20"/>
          <w:szCs w:val="20"/>
        </w:rPr>
        <w:t xml:space="preserve"> or international standard</w:t>
      </w:r>
      <w:r w:rsidR="004B20F7">
        <w:rPr>
          <w:sz w:val="20"/>
          <w:szCs w:val="20"/>
        </w:rPr>
        <w:t xml:space="preserve">, </w:t>
      </w:r>
      <w:r w:rsidR="00092107" w:rsidRPr="00092107">
        <w:rPr>
          <w:sz w:val="20"/>
          <w:szCs w:val="20"/>
        </w:rPr>
        <w:t>or</w:t>
      </w:r>
      <w:r w:rsidR="004B20F7">
        <w:rPr>
          <w:sz w:val="20"/>
          <w:szCs w:val="20"/>
        </w:rPr>
        <w:t xml:space="preserve"> an</w:t>
      </w:r>
      <w:r w:rsidR="00092107" w:rsidRPr="00092107">
        <w:rPr>
          <w:sz w:val="20"/>
          <w:szCs w:val="20"/>
        </w:rPr>
        <w:t xml:space="preserve"> intergovernmental agreement, where an assessment of the benefits and costs has already been done and is relevant to the ACT.</w:t>
      </w:r>
      <w:r w:rsidR="00092107">
        <w:rPr>
          <w:sz w:val="20"/>
          <w:szCs w:val="20"/>
        </w:rPr>
        <w:t xml:space="preserve"> </w:t>
      </w:r>
    </w:p>
    <w:p w14:paraId="14184F5B" w14:textId="2AA26B97" w:rsidR="00A84FBF" w:rsidRDefault="00A84FBF" w:rsidP="00A84FBF">
      <w:pPr>
        <w:pStyle w:val="Heading2"/>
        <w:ind w:left="-4"/>
        <w:rPr>
          <w:sz w:val="24"/>
          <w:szCs w:val="22"/>
        </w:rPr>
      </w:pPr>
      <w:r>
        <w:rPr>
          <w:sz w:val="24"/>
          <w:szCs w:val="22"/>
        </w:rPr>
        <w:t>I’m starting my R</w:t>
      </w:r>
      <w:r w:rsidR="00607217">
        <w:rPr>
          <w:sz w:val="24"/>
          <w:szCs w:val="22"/>
        </w:rPr>
        <w:t xml:space="preserve">egulatory </w:t>
      </w:r>
      <w:r>
        <w:rPr>
          <w:sz w:val="24"/>
          <w:szCs w:val="22"/>
        </w:rPr>
        <w:t>I</w:t>
      </w:r>
      <w:r w:rsidR="00607217">
        <w:rPr>
          <w:sz w:val="24"/>
          <w:szCs w:val="22"/>
        </w:rPr>
        <w:t xml:space="preserve">mpact </w:t>
      </w:r>
      <w:r>
        <w:rPr>
          <w:sz w:val="24"/>
          <w:szCs w:val="22"/>
        </w:rPr>
        <w:t>A</w:t>
      </w:r>
      <w:r w:rsidR="00607217">
        <w:rPr>
          <w:sz w:val="24"/>
          <w:szCs w:val="22"/>
        </w:rPr>
        <w:t>ssessment</w:t>
      </w:r>
      <w:r>
        <w:rPr>
          <w:sz w:val="24"/>
          <w:szCs w:val="22"/>
        </w:rPr>
        <w:t>, what do I include?</w:t>
      </w:r>
    </w:p>
    <w:p w14:paraId="1F321EA3" w14:textId="62A755C9" w:rsidR="00B509C5" w:rsidRDefault="009A1C4E" w:rsidP="00B509C5">
      <w:pPr>
        <w:ind w:left="-3"/>
        <w:rPr>
          <w:sz w:val="20"/>
          <w:szCs w:val="20"/>
        </w:rPr>
      </w:pPr>
      <w:r>
        <w:rPr>
          <w:sz w:val="20"/>
          <w:szCs w:val="20"/>
        </w:rPr>
        <w:t>Many</w:t>
      </w:r>
      <w:r w:rsidR="00A84FBF" w:rsidRPr="00B509C5">
        <w:rPr>
          <w:sz w:val="20"/>
          <w:szCs w:val="20"/>
        </w:rPr>
        <w:t xml:space="preserve"> regulatory interventions by the ACT Government reflect election commitments</w:t>
      </w:r>
      <w:r>
        <w:rPr>
          <w:sz w:val="20"/>
          <w:szCs w:val="20"/>
        </w:rPr>
        <w:t>,</w:t>
      </w:r>
      <w:r w:rsidR="00A84FBF" w:rsidRPr="00B509C5">
        <w:rPr>
          <w:sz w:val="20"/>
          <w:szCs w:val="20"/>
        </w:rPr>
        <w:t xml:space="preserve"> where</w:t>
      </w:r>
      <w:r w:rsidR="00B509C5" w:rsidRPr="00B509C5">
        <w:rPr>
          <w:sz w:val="20"/>
          <w:szCs w:val="20"/>
        </w:rPr>
        <w:t xml:space="preserve"> the Government has already </w:t>
      </w:r>
      <w:r>
        <w:rPr>
          <w:sz w:val="20"/>
          <w:szCs w:val="20"/>
        </w:rPr>
        <w:t xml:space="preserve">publicly </w:t>
      </w:r>
      <w:r w:rsidR="00B509C5" w:rsidRPr="00B509C5">
        <w:rPr>
          <w:sz w:val="20"/>
          <w:szCs w:val="20"/>
        </w:rPr>
        <w:t>committed to one policy approach. In this instance, there is no need to explore the threshold issue of whether Government intervention is required. Rather, the RIA can focus on the different costs and benefits of the feasible options to achieve the Government’s commitment.</w:t>
      </w:r>
    </w:p>
    <w:p w14:paraId="21B60E22" w14:textId="6616B166" w:rsidR="00D667EE" w:rsidRDefault="00B509C5" w:rsidP="00B509C5">
      <w:pPr>
        <w:ind w:left="-3"/>
        <w:rPr>
          <w:sz w:val="20"/>
          <w:szCs w:val="20"/>
        </w:rPr>
      </w:pPr>
      <w:r>
        <w:rPr>
          <w:sz w:val="20"/>
          <w:szCs w:val="20"/>
        </w:rPr>
        <w:t xml:space="preserve">In all other circumstances, </w:t>
      </w:r>
      <w:proofErr w:type="gramStart"/>
      <w:r>
        <w:rPr>
          <w:sz w:val="20"/>
          <w:szCs w:val="20"/>
        </w:rPr>
        <w:t>a</w:t>
      </w:r>
      <w:proofErr w:type="gramEnd"/>
      <w:r>
        <w:rPr>
          <w:sz w:val="20"/>
          <w:szCs w:val="20"/>
        </w:rPr>
        <w:t xml:space="preserve"> RIA should explore whether </w:t>
      </w:r>
      <w:r w:rsidR="000D6444">
        <w:rPr>
          <w:sz w:val="20"/>
          <w:szCs w:val="20"/>
        </w:rPr>
        <w:t xml:space="preserve">the problem requires </w:t>
      </w:r>
      <w:r>
        <w:rPr>
          <w:sz w:val="20"/>
          <w:szCs w:val="20"/>
        </w:rPr>
        <w:t>a regulatory intervention</w:t>
      </w:r>
      <w:r w:rsidR="002203A8">
        <w:rPr>
          <w:sz w:val="20"/>
          <w:szCs w:val="20"/>
        </w:rPr>
        <w:t xml:space="preserve">, noting a regulatory intervention </w:t>
      </w:r>
      <w:r w:rsidR="002A0B7B">
        <w:rPr>
          <w:sz w:val="20"/>
          <w:szCs w:val="20"/>
        </w:rPr>
        <w:t xml:space="preserve">may be </w:t>
      </w:r>
      <w:r w:rsidR="002203A8">
        <w:rPr>
          <w:sz w:val="20"/>
          <w:szCs w:val="20"/>
        </w:rPr>
        <w:t>necessary where the market is not working to produce the best outcome for society.</w:t>
      </w:r>
    </w:p>
    <w:p w14:paraId="75A51519" w14:textId="6F53CB9B" w:rsidR="00FB5D8E" w:rsidRDefault="00D667EE" w:rsidP="00FB5D8E">
      <w:pPr>
        <w:ind w:left="-3"/>
        <w:rPr>
          <w:sz w:val="20"/>
          <w:szCs w:val="20"/>
        </w:rPr>
      </w:pPr>
      <w:r w:rsidRPr="00D667EE">
        <w:rPr>
          <w:sz w:val="20"/>
          <w:szCs w:val="20"/>
        </w:rPr>
        <w:t xml:space="preserve">All regulation has an impact on society, both financial and non-financial. </w:t>
      </w:r>
      <w:r>
        <w:rPr>
          <w:sz w:val="20"/>
          <w:szCs w:val="20"/>
        </w:rPr>
        <w:t>Regulatory intervention</w:t>
      </w:r>
      <w:r w:rsidRPr="00D667EE">
        <w:rPr>
          <w:sz w:val="20"/>
          <w:szCs w:val="20"/>
        </w:rPr>
        <w:t xml:space="preserve"> should be viewed as a</w:t>
      </w:r>
      <w:r w:rsidR="002A0B7B">
        <w:rPr>
          <w:sz w:val="20"/>
          <w:szCs w:val="20"/>
        </w:rPr>
        <w:t>n option of</w:t>
      </w:r>
      <w:r w:rsidRPr="00D667EE">
        <w:rPr>
          <w:sz w:val="20"/>
          <w:szCs w:val="20"/>
        </w:rPr>
        <w:t xml:space="preserve"> last resort</w:t>
      </w:r>
      <w:r w:rsidR="00FB5D8E">
        <w:rPr>
          <w:sz w:val="20"/>
          <w:szCs w:val="20"/>
        </w:rPr>
        <w:t xml:space="preserve"> </w:t>
      </w:r>
      <w:r w:rsidR="00FB5D8E" w:rsidRPr="00F43F37">
        <w:rPr>
          <w:sz w:val="20"/>
          <w:szCs w:val="20"/>
        </w:rPr>
        <w:t>when all alternative options are ineffective, inefficient and/or have greater impacts on society.</w:t>
      </w:r>
      <w:r w:rsidR="00FB5D8E">
        <w:t xml:space="preserve"> </w:t>
      </w:r>
    </w:p>
    <w:p w14:paraId="08DA72F7" w14:textId="575886ED" w:rsidR="002314FA" w:rsidRPr="00D5589C" w:rsidRDefault="00E324F1" w:rsidP="002314FA">
      <w:pPr>
        <w:pStyle w:val="Heading2"/>
        <w:ind w:left="-4"/>
        <w:rPr>
          <w:sz w:val="24"/>
          <w:szCs w:val="22"/>
        </w:rPr>
      </w:pPr>
      <w:r>
        <w:rPr>
          <w:sz w:val="24"/>
          <w:szCs w:val="22"/>
        </w:rPr>
        <w:lastRenderedPageBreak/>
        <w:t>How to approach the cost</w:t>
      </w:r>
      <w:r w:rsidR="002314FA">
        <w:rPr>
          <w:sz w:val="24"/>
          <w:szCs w:val="22"/>
        </w:rPr>
        <w:t>-benefit analysis</w:t>
      </w:r>
      <w:r w:rsidR="003B269C">
        <w:rPr>
          <w:sz w:val="24"/>
          <w:szCs w:val="22"/>
        </w:rPr>
        <w:t xml:space="preserve"> of options</w:t>
      </w:r>
      <w:r>
        <w:rPr>
          <w:sz w:val="24"/>
          <w:szCs w:val="22"/>
        </w:rPr>
        <w:t xml:space="preserve"> in a Regulatory Impact Assessment</w:t>
      </w:r>
    </w:p>
    <w:p w14:paraId="77FEACCA" w14:textId="3E9E4956" w:rsidR="008C250E" w:rsidRDefault="00D667EE">
      <w:pPr>
        <w:rPr>
          <w:sz w:val="20"/>
          <w:szCs w:val="20"/>
        </w:rPr>
      </w:pPr>
      <w:r w:rsidRPr="008859A8">
        <w:rPr>
          <w:sz w:val="20"/>
          <w:szCs w:val="20"/>
        </w:rPr>
        <w:t>A</w:t>
      </w:r>
      <w:r w:rsidR="001F1334" w:rsidRPr="000B4CE2">
        <w:rPr>
          <w:sz w:val="20"/>
          <w:szCs w:val="20"/>
        </w:rPr>
        <w:t xml:space="preserve"> </w:t>
      </w:r>
      <w:r w:rsidR="00587565" w:rsidRPr="000B4CE2">
        <w:rPr>
          <w:sz w:val="20"/>
          <w:szCs w:val="20"/>
        </w:rPr>
        <w:t>cost-benefit analysis</w:t>
      </w:r>
      <w:r w:rsidR="003B269C" w:rsidRPr="008859A8">
        <w:rPr>
          <w:sz w:val="20"/>
          <w:szCs w:val="20"/>
        </w:rPr>
        <w:t xml:space="preserve"> allows </w:t>
      </w:r>
      <w:r w:rsidR="00587565" w:rsidRPr="000B4CE2">
        <w:rPr>
          <w:sz w:val="20"/>
          <w:szCs w:val="20"/>
        </w:rPr>
        <w:t>a</w:t>
      </w:r>
      <w:r w:rsidR="006A383D" w:rsidRPr="000B4CE2">
        <w:rPr>
          <w:sz w:val="20"/>
          <w:szCs w:val="20"/>
        </w:rPr>
        <w:t xml:space="preserve"> systematic </w:t>
      </w:r>
      <w:r w:rsidR="00587565" w:rsidRPr="000B4CE2">
        <w:rPr>
          <w:sz w:val="20"/>
          <w:szCs w:val="20"/>
        </w:rPr>
        <w:t>evaluation</w:t>
      </w:r>
      <w:r w:rsidR="003B269C" w:rsidRPr="008859A8">
        <w:rPr>
          <w:sz w:val="20"/>
          <w:szCs w:val="20"/>
        </w:rPr>
        <w:t xml:space="preserve"> and comparison of </w:t>
      </w:r>
      <w:r w:rsidR="00587565" w:rsidRPr="000B4CE2">
        <w:rPr>
          <w:sz w:val="20"/>
          <w:szCs w:val="20"/>
        </w:rPr>
        <w:t>the costs and benefits</w:t>
      </w:r>
      <w:r w:rsidR="00587565">
        <w:rPr>
          <w:sz w:val="20"/>
          <w:szCs w:val="20"/>
        </w:rPr>
        <w:t xml:space="preserve"> </w:t>
      </w:r>
      <w:r w:rsidR="000B4CE2">
        <w:rPr>
          <w:sz w:val="20"/>
          <w:szCs w:val="20"/>
        </w:rPr>
        <w:t>of the</w:t>
      </w:r>
      <w:r w:rsidR="00587565">
        <w:rPr>
          <w:sz w:val="20"/>
          <w:szCs w:val="20"/>
        </w:rPr>
        <w:t xml:space="preserve"> </w:t>
      </w:r>
      <w:r w:rsidR="003B269C">
        <w:rPr>
          <w:sz w:val="20"/>
          <w:szCs w:val="20"/>
        </w:rPr>
        <w:t>options to address the problem</w:t>
      </w:r>
      <w:r w:rsidR="002314FA">
        <w:rPr>
          <w:sz w:val="20"/>
          <w:szCs w:val="20"/>
        </w:rPr>
        <w:t xml:space="preserve">. </w:t>
      </w:r>
      <w:r w:rsidR="008C250E">
        <w:rPr>
          <w:sz w:val="20"/>
          <w:szCs w:val="20"/>
        </w:rPr>
        <w:t xml:space="preserve">The steps below provide a </w:t>
      </w:r>
      <w:r w:rsidR="00972145">
        <w:rPr>
          <w:sz w:val="20"/>
          <w:szCs w:val="20"/>
        </w:rPr>
        <w:t>starting point</w:t>
      </w:r>
      <w:r w:rsidR="008C250E">
        <w:rPr>
          <w:sz w:val="20"/>
          <w:szCs w:val="20"/>
        </w:rPr>
        <w:t xml:space="preserve"> on how </w:t>
      </w:r>
      <w:r w:rsidR="0069094B">
        <w:rPr>
          <w:sz w:val="20"/>
          <w:szCs w:val="20"/>
        </w:rPr>
        <w:t xml:space="preserve">you can begin to weigh the </w:t>
      </w:r>
      <w:r w:rsidR="008C250E">
        <w:rPr>
          <w:sz w:val="20"/>
          <w:szCs w:val="20"/>
        </w:rPr>
        <w:t xml:space="preserve">costs and benefits once </w:t>
      </w:r>
      <w:r w:rsidR="003B269C">
        <w:rPr>
          <w:sz w:val="20"/>
          <w:szCs w:val="20"/>
        </w:rPr>
        <w:t>the</w:t>
      </w:r>
      <w:r w:rsidR="008A4341">
        <w:rPr>
          <w:sz w:val="20"/>
          <w:szCs w:val="20"/>
        </w:rPr>
        <w:t xml:space="preserve"> </w:t>
      </w:r>
      <w:r w:rsidR="008C250E">
        <w:rPr>
          <w:sz w:val="20"/>
          <w:szCs w:val="20"/>
        </w:rPr>
        <w:t>feasible regulatory and non-regulatory options are identified.</w:t>
      </w:r>
    </w:p>
    <w:p w14:paraId="5BD7A561" w14:textId="0DA4DBAA" w:rsidR="003219CE" w:rsidRPr="008859A8" w:rsidRDefault="008C250E" w:rsidP="008C250E">
      <w:pPr>
        <w:pStyle w:val="ListParagraph"/>
        <w:numPr>
          <w:ilvl w:val="0"/>
          <w:numId w:val="12"/>
        </w:numPr>
        <w:rPr>
          <w:b/>
          <w:bCs/>
          <w:sz w:val="20"/>
          <w:szCs w:val="20"/>
        </w:rPr>
      </w:pPr>
      <w:r w:rsidRPr="008859A8">
        <w:rPr>
          <w:b/>
          <w:bCs/>
          <w:sz w:val="20"/>
          <w:szCs w:val="20"/>
        </w:rPr>
        <w:t>Specify a base case</w:t>
      </w:r>
    </w:p>
    <w:p w14:paraId="2FB65F68" w14:textId="77777777" w:rsidR="0069094B" w:rsidRDefault="003219CE" w:rsidP="002203A8">
      <w:pPr>
        <w:pStyle w:val="ListParagraph"/>
        <w:ind w:left="360"/>
        <w:rPr>
          <w:sz w:val="20"/>
          <w:szCs w:val="20"/>
        </w:rPr>
      </w:pPr>
      <w:r>
        <w:rPr>
          <w:sz w:val="20"/>
          <w:szCs w:val="20"/>
        </w:rPr>
        <w:t>I</w:t>
      </w:r>
      <w:r w:rsidR="008C250E">
        <w:rPr>
          <w:sz w:val="20"/>
          <w:szCs w:val="20"/>
        </w:rPr>
        <w:t xml:space="preserve">nformation should be </w:t>
      </w:r>
      <w:r w:rsidR="00306573">
        <w:rPr>
          <w:sz w:val="20"/>
          <w:szCs w:val="20"/>
        </w:rPr>
        <w:t>gathered</w:t>
      </w:r>
      <w:r w:rsidR="008C250E">
        <w:rPr>
          <w:sz w:val="20"/>
          <w:szCs w:val="20"/>
        </w:rPr>
        <w:t xml:space="preserve"> to </w:t>
      </w:r>
      <w:r w:rsidR="00306573">
        <w:rPr>
          <w:sz w:val="20"/>
          <w:szCs w:val="20"/>
        </w:rPr>
        <w:t>establish</w:t>
      </w:r>
      <w:r w:rsidR="008C250E">
        <w:rPr>
          <w:sz w:val="20"/>
          <w:szCs w:val="20"/>
        </w:rPr>
        <w:t xml:space="preserve"> a base case,</w:t>
      </w:r>
      <w:r w:rsidR="00306573">
        <w:rPr>
          <w:sz w:val="20"/>
          <w:szCs w:val="20"/>
        </w:rPr>
        <w:t xml:space="preserve"> </w:t>
      </w:r>
      <w:r w:rsidR="002706CE">
        <w:rPr>
          <w:sz w:val="20"/>
          <w:szCs w:val="20"/>
        </w:rPr>
        <w:t>which is what it would look like if</w:t>
      </w:r>
      <w:r w:rsidR="00306573">
        <w:rPr>
          <w:sz w:val="20"/>
          <w:szCs w:val="20"/>
        </w:rPr>
        <w:t xml:space="preserve"> no </w:t>
      </w:r>
      <w:r w:rsidR="00EA5D03">
        <w:rPr>
          <w:sz w:val="20"/>
          <w:szCs w:val="20"/>
        </w:rPr>
        <w:t xml:space="preserve">additional </w:t>
      </w:r>
      <w:r w:rsidR="00306573">
        <w:rPr>
          <w:sz w:val="20"/>
          <w:szCs w:val="20"/>
        </w:rPr>
        <w:t>government intervention</w:t>
      </w:r>
      <w:r w:rsidR="00EA5D03">
        <w:rPr>
          <w:sz w:val="20"/>
          <w:szCs w:val="20"/>
        </w:rPr>
        <w:t>, other than</w:t>
      </w:r>
      <w:r w:rsidR="008C4BF0">
        <w:rPr>
          <w:sz w:val="20"/>
          <w:szCs w:val="20"/>
        </w:rPr>
        <w:t xml:space="preserve"> existing government policy</w:t>
      </w:r>
      <w:r w:rsidR="00EA5D03">
        <w:rPr>
          <w:sz w:val="20"/>
          <w:szCs w:val="20"/>
        </w:rPr>
        <w:t xml:space="preserve"> </w:t>
      </w:r>
      <w:r w:rsidR="00AE1C19">
        <w:rPr>
          <w:sz w:val="20"/>
          <w:szCs w:val="20"/>
        </w:rPr>
        <w:t xml:space="preserve">measures </w:t>
      </w:r>
      <w:r w:rsidR="008C4BF0">
        <w:rPr>
          <w:sz w:val="20"/>
          <w:szCs w:val="20"/>
        </w:rPr>
        <w:t xml:space="preserve">as well as measures that can be reasonably expected </w:t>
      </w:r>
      <w:r w:rsidR="001933CC">
        <w:rPr>
          <w:sz w:val="20"/>
          <w:szCs w:val="20"/>
        </w:rPr>
        <w:t xml:space="preserve">under the </w:t>
      </w:r>
      <w:r w:rsidR="008C4BF0">
        <w:rPr>
          <w:sz w:val="20"/>
          <w:szCs w:val="20"/>
        </w:rPr>
        <w:t>current</w:t>
      </w:r>
      <w:r w:rsidR="001933CC">
        <w:rPr>
          <w:sz w:val="20"/>
          <w:szCs w:val="20"/>
        </w:rPr>
        <w:t xml:space="preserve"> government policy </w:t>
      </w:r>
      <w:r w:rsidR="00AE1C19">
        <w:rPr>
          <w:sz w:val="20"/>
          <w:szCs w:val="20"/>
        </w:rPr>
        <w:t>direction</w:t>
      </w:r>
      <w:r w:rsidR="00EA5D03">
        <w:rPr>
          <w:sz w:val="20"/>
          <w:szCs w:val="20"/>
        </w:rPr>
        <w:t>,</w:t>
      </w:r>
      <w:r w:rsidR="00306573">
        <w:rPr>
          <w:sz w:val="20"/>
          <w:szCs w:val="20"/>
        </w:rPr>
        <w:t xml:space="preserve"> is introduced. </w:t>
      </w:r>
      <w:r w:rsidR="00B509C5">
        <w:rPr>
          <w:sz w:val="20"/>
          <w:szCs w:val="20"/>
        </w:rPr>
        <w:t>This allows the other options to be compared to the market operating as per normal.</w:t>
      </w:r>
      <w:r w:rsidR="00306573">
        <w:rPr>
          <w:sz w:val="20"/>
          <w:szCs w:val="20"/>
        </w:rPr>
        <w:t xml:space="preserve"> </w:t>
      </w:r>
    </w:p>
    <w:p w14:paraId="742F606A" w14:textId="77777777" w:rsidR="0069094B" w:rsidRDefault="0069094B" w:rsidP="002203A8">
      <w:pPr>
        <w:pStyle w:val="ListParagraph"/>
        <w:ind w:left="360"/>
        <w:rPr>
          <w:sz w:val="20"/>
          <w:szCs w:val="20"/>
        </w:rPr>
      </w:pPr>
    </w:p>
    <w:p w14:paraId="0BF39DB7" w14:textId="0076485F" w:rsidR="00B43244" w:rsidRDefault="00B43244" w:rsidP="00FC005D">
      <w:pPr>
        <w:pStyle w:val="ListParagraph"/>
        <w:numPr>
          <w:ilvl w:val="0"/>
          <w:numId w:val="17"/>
        </w:numPr>
        <w:rPr>
          <w:sz w:val="20"/>
          <w:szCs w:val="20"/>
        </w:rPr>
      </w:pPr>
      <w:r>
        <w:rPr>
          <w:sz w:val="20"/>
          <w:szCs w:val="20"/>
        </w:rPr>
        <w:t>As an example, the baseline for a proposal to prevent new gas connections in the ACT by regulation could capture what level of greenhouse gas emissions</w:t>
      </w:r>
      <w:r w:rsidR="00FC005D">
        <w:rPr>
          <w:sz w:val="20"/>
          <w:szCs w:val="20"/>
        </w:rPr>
        <w:t xml:space="preserve"> </w:t>
      </w:r>
      <w:r>
        <w:rPr>
          <w:sz w:val="20"/>
          <w:szCs w:val="20"/>
        </w:rPr>
        <w:t>could be expected</w:t>
      </w:r>
      <w:r w:rsidR="00FC005D">
        <w:rPr>
          <w:sz w:val="20"/>
          <w:szCs w:val="20"/>
        </w:rPr>
        <w:t>, together with their associated impacts,</w:t>
      </w:r>
      <w:r>
        <w:rPr>
          <w:sz w:val="20"/>
          <w:szCs w:val="20"/>
        </w:rPr>
        <w:t xml:space="preserve"> </w:t>
      </w:r>
      <w:r w:rsidR="00FC005D">
        <w:rPr>
          <w:sz w:val="20"/>
          <w:szCs w:val="20"/>
        </w:rPr>
        <w:t>as shaped by existing market forces and Government educative and incentive schemes.</w:t>
      </w:r>
      <w:r>
        <w:rPr>
          <w:sz w:val="20"/>
          <w:szCs w:val="20"/>
        </w:rPr>
        <w:t xml:space="preserve"> This can then be contrasted to </w:t>
      </w:r>
      <w:r w:rsidR="0009796B">
        <w:rPr>
          <w:sz w:val="20"/>
          <w:szCs w:val="20"/>
        </w:rPr>
        <w:t>expected</w:t>
      </w:r>
      <w:r>
        <w:rPr>
          <w:sz w:val="20"/>
          <w:szCs w:val="20"/>
        </w:rPr>
        <w:t xml:space="preserve"> outcome</w:t>
      </w:r>
      <w:r w:rsidR="0009796B">
        <w:rPr>
          <w:sz w:val="20"/>
          <w:szCs w:val="20"/>
        </w:rPr>
        <w:t>s</w:t>
      </w:r>
      <w:r>
        <w:rPr>
          <w:sz w:val="20"/>
          <w:szCs w:val="20"/>
        </w:rPr>
        <w:t xml:space="preserve"> of the regulatory option</w:t>
      </w:r>
      <w:r w:rsidR="00FC005D">
        <w:rPr>
          <w:sz w:val="20"/>
          <w:szCs w:val="20"/>
        </w:rPr>
        <w:t>s</w:t>
      </w:r>
      <w:r>
        <w:rPr>
          <w:sz w:val="20"/>
          <w:szCs w:val="20"/>
        </w:rPr>
        <w:t>.</w:t>
      </w:r>
    </w:p>
    <w:p w14:paraId="311B617C" w14:textId="77777777" w:rsidR="006A25C1" w:rsidRDefault="006A25C1" w:rsidP="008859A8">
      <w:pPr>
        <w:pStyle w:val="ListParagraph"/>
        <w:rPr>
          <w:sz w:val="20"/>
          <w:szCs w:val="20"/>
        </w:rPr>
      </w:pPr>
    </w:p>
    <w:p w14:paraId="78EE87EE" w14:textId="651556C9" w:rsidR="003219CE" w:rsidRPr="008859A8" w:rsidRDefault="009A1C4E" w:rsidP="008C250E">
      <w:pPr>
        <w:pStyle w:val="ListParagraph"/>
        <w:numPr>
          <w:ilvl w:val="0"/>
          <w:numId w:val="12"/>
        </w:numPr>
        <w:rPr>
          <w:b/>
          <w:bCs/>
          <w:sz w:val="20"/>
          <w:szCs w:val="20"/>
        </w:rPr>
      </w:pPr>
      <w:r>
        <w:rPr>
          <w:b/>
          <w:bCs/>
          <w:sz w:val="20"/>
          <w:szCs w:val="20"/>
        </w:rPr>
        <w:t>Identify</w:t>
      </w:r>
      <w:r w:rsidR="006A25C1" w:rsidRPr="008859A8">
        <w:rPr>
          <w:b/>
          <w:bCs/>
          <w:sz w:val="20"/>
          <w:szCs w:val="20"/>
        </w:rPr>
        <w:t xml:space="preserve"> the </w:t>
      </w:r>
      <w:r w:rsidR="00045435">
        <w:rPr>
          <w:b/>
          <w:bCs/>
          <w:sz w:val="20"/>
          <w:szCs w:val="20"/>
        </w:rPr>
        <w:t>affected entities</w:t>
      </w:r>
    </w:p>
    <w:p w14:paraId="563D1C4E" w14:textId="43850B85" w:rsidR="006A25C1" w:rsidRDefault="003219CE" w:rsidP="002203A8">
      <w:pPr>
        <w:pStyle w:val="ListParagraph"/>
        <w:ind w:left="360"/>
        <w:rPr>
          <w:sz w:val="20"/>
          <w:szCs w:val="20"/>
        </w:rPr>
      </w:pPr>
      <w:r>
        <w:rPr>
          <w:sz w:val="20"/>
          <w:szCs w:val="20"/>
        </w:rPr>
        <w:t>I</w:t>
      </w:r>
      <w:r w:rsidR="005351E7">
        <w:rPr>
          <w:sz w:val="20"/>
          <w:szCs w:val="20"/>
        </w:rPr>
        <w:t xml:space="preserve">t is important to </w:t>
      </w:r>
      <w:r w:rsidR="009A1C4E">
        <w:rPr>
          <w:sz w:val="20"/>
          <w:szCs w:val="20"/>
        </w:rPr>
        <w:t>identify</w:t>
      </w:r>
      <w:r w:rsidR="005351E7">
        <w:rPr>
          <w:sz w:val="20"/>
          <w:szCs w:val="20"/>
        </w:rPr>
        <w:t xml:space="preserve"> who in the ACT is </w:t>
      </w:r>
      <w:r w:rsidR="00F1362F">
        <w:rPr>
          <w:sz w:val="20"/>
          <w:szCs w:val="20"/>
        </w:rPr>
        <w:t>going to be affected</w:t>
      </w:r>
      <w:r w:rsidR="005351E7">
        <w:rPr>
          <w:sz w:val="20"/>
          <w:szCs w:val="20"/>
        </w:rPr>
        <w:t xml:space="preserve"> by the proposed policy, be it </w:t>
      </w:r>
      <w:r w:rsidR="00D66797">
        <w:rPr>
          <w:sz w:val="20"/>
          <w:szCs w:val="20"/>
        </w:rPr>
        <w:t xml:space="preserve">households, businesses, or the broader community. </w:t>
      </w:r>
      <w:r w:rsidR="00B509C5">
        <w:rPr>
          <w:sz w:val="20"/>
          <w:szCs w:val="20"/>
        </w:rPr>
        <w:t xml:space="preserve">Practically, you can look to understand this by asking – who is going to be better or worse off from this regulation.  </w:t>
      </w:r>
    </w:p>
    <w:p w14:paraId="0EC9E8D6" w14:textId="77777777" w:rsidR="00D66797" w:rsidRPr="008859A8" w:rsidRDefault="00D66797" w:rsidP="008859A8">
      <w:pPr>
        <w:pStyle w:val="ListParagraph"/>
        <w:rPr>
          <w:sz w:val="20"/>
          <w:szCs w:val="20"/>
        </w:rPr>
      </w:pPr>
    </w:p>
    <w:p w14:paraId="373502B2" w14:textId="77777777" w:rsidR="003219CE" w:rsidRPr="008859A8" w:rsidRDefault="00D66797">
      <w:pPr>
        <w:pStyle w:val="ListParagraph"/>
        <w:numPr>
          <w:ilvl w:val="0"/>
          <w:numId w:val="12"/>
        </w:numPr>
        <w:rPr>
          <w:b/>
          <w:bCs/>
          <w:sz w:val="20"/>
          <w:szCs w:val="20"/>
        </w:rPr>
      </w:pPr>
      <w:r w:rsidRPr="008859A8">
        <w:rPr>
          <w:b/>
          <w:bCs/>
          <w:sz w:val="20"/>
          <w:szCs w:val="20"/>
        </w:rPr>
        <w:t>Identify the impacts and select measurement indicators</w:t>
      </w:r>
    </w:p>
    <w:p w14:paraId="5DACD152" w14:textId="236898F5" w:rsidR="001F1334" w:rsidRDefault="003219CE" w:rsidP="00FB5D8E">
      <w:pPr>
        <w:pStyle w:val="ListParagraph"/>
        <w:spacing w:after="0"/>
        <w:ind w:left="360"/>
        <w:rPr>
          <w:sz w:val="20"/>
          <w:szCs w:val="20"/>
        </w:rPr>
      </w:pPr>
      <w:r>
        <w:rPr>
          <w:sz w:val="20"/>
          <w:szCs w:val="20"/>
        </w:rPr>
        <w:t>T</w:t>
      </w:r>
      <w:r w:rsidR="00754A19">
        <w:rPr>
          <w:sz w:val="20"/>
          <w:szCs w:val="20"/>
        </w:rPr>
        <w:t xml:space="preserve">he </w:t>
      </w:r>
      <w:r w:rsidR="001F1334">
        <w:rPr>
          <w:sz w:val="20"/>
          <w:szCs w:val="20"/>
        </w:rPr>
        <w:t xml:space="preserve">primary and secondary impacts </w:t>
      </w:r>
      <w:r w:rsidR="00754A19">
        <w:rPr>
          <w:sz w:val="20"/>
          <w:szCs w:val="20"/>
        </w:rPr>
        <w:t xml:space="preserve">of impacts of each feasible option should be </w:t>
      </w:r>
      <w:r w:rsidR="00266462">
        <w:rPr>
          <w:sz w:val="20"/>
          <w:szCs w:val="20"/>
        </w:rPr>
        <w:t xml:space="preserve">identified, </w:t>
      </w:r>
      <w:r w:rsidR="006F38AB">
        <w:rPr>
          <w:sz w:val="20"/>
          <w:szCs w:val="20"/>
        </w:rPr>
        <w:t xml:space="preserve">and only additional costs and benefits arising from implementing </w:t>
      </w:r>
      <w:r w:rsidR="0047604B">
        <w:rPr>
          <w:sz w:val="20"/>
          <w:szCs w:val="20"/>
        </w:rPr>
        <w:t>those</w:t>
      </w:r>
      <w:r w:rsidR="006F38AB">
        <w:rPr>
          <w:sz w:val="20"/>
          <w:szCs w:val="20"/>
        </w:rPr>
        <w:t xml:space="preserve"> options (compared to the base case) should be included in the analysis.</w:t>
      </w:r>
      <w:r w:rsidR="008C4BF0">
        <w:rPr>
          <w:sz w:val="20"/>
          <w:szCs w:val="20"/>
        </w:rPr>
        <w:t xml:space="preserve"> </w:t>
      </w:r>
      <w:r w:rsidR="00104BE4" w:rsidRPr="00104BE4">
        <w:rPr>
          <w:sz w:val="20"/>
          <w:szCs w:val="20"/>
        </w:rPr>
        <w:t>All</w:t>
      </w:r>
      <w:r w:rsidR="00617804">
        <w:rPr>
          <w:sz w:val="20"/>
          <w:szCs w:val="20"/>
        </w:rPr>
        <w:t xml:space="preserve"> </w:t>
      </w:r>
      <w:r w:rsidR="00104BE4" w:rsidRPr="00104BE4">
        <w:rPr>
          <w:sz w:val="20"/>
          <w:szCs w:val="20"/>
        </w:rPr>
        <w:t xml:space="preserve">desirable </w:t>
      </w:r>
      <w:r w:rsidR="00617804">
        <w:rPr>
          <w:sz w:val="20"/>
          <w:szCs w:val="20"/>
        </w:rPr>
        <w:t xml:space="preserve">effects for the affected entities </w:t>
      </w:r>
      <w:r w:rsidR="00104BE4" w:rsidRPr="00104BE4">
        <w:rPr>
          <w:sz w:val="20"/>
          <w:szCs w:val="20"/>
        </w:rPr>
        <w:t>are benefits</w:t>
      </w:r>
      <w:r w:rsidR="0047604B">
        <w:rPr>
          <w:sz w:val="20"/>
          <w:szCs w:val="20"/>
        </w:rPr>
        <w:t>, and</w:t>
      </w:r>
      <w:r w:rsidR="00104BE4" w:rsidRPr="00104BE4">
        <w:rPr>
          <w:sz w:val="20"/>
          <w:szCs w:val="20"/>
        </w:rPr>
        <w:t xml:space="preserve"> all undesirable</w:t>
      </w:r>
      <w:r w:rsidR="00104BE4">
        <w:rPr>
          <w:sz w:val="20"/>
          <w:szCs w:val="20"/>
        </w:rPr>
        <w:t xml:space="preserve"> </w:t>
      </w:r>
      <w:r w:rsidR="00104BE4" w:rsidRPr="00104BE4">
        <w:rPr>
          <w:sz w:val="20"/>
          <w:szCs w:val="20"/>
        </w:rPr>
        <w:t>effects are costs</w:t>
      </w:r>
      <w:r w:rsidR="00104BE4">
        <w:rPr>
          <w:sz w:val="20"/>
          <w:szCs w:val="20"/>
        </w:rPr>
        <w:t>.</w:t>
      </w:r>
      <w:r w:rsidR="009A3C56">
        <w:rPr>
          <w:sz w:val="20"/>
          <w:szCs w:val="20"/>
        </w:rPr>
        <w:t xml:space="preserve"> </w:t>
      </w:r>
      <w:r w:rsidR="001F1334">
        <w:rPr>
          <w:sz w:val="20"/>
          <w:szCs w:val="20"/>
        </w:rPr>
        <w:t xml:space="preserve">Typical costs and benefits that may arise </w:t>
      </w:r>
      <w:r w:rsidR="009A3C56">
        <w:rPr>
          <w:sz w:val="20"/>
          <w:szCs w:val="20"/>
        </w:rPr>
        <w:t>are presented in the table below.</w:t>
      </w:r>
    </w:p>
    <w:p w14:paraId="7247B4C7" w14:textId="77777777" w:rsidR="009A3C56" w:rsidRDefault="009A3C56" w:rsidP="00FB5D8E">
      <w:pPr>
        <w:pStyle w:val="ListParagraph"/>
        <w:spacing w:after="0"/>
        <w:rPr>
          <w:sz w:val="20"/>
          <w:szCs w:val="20"/>
        </w:rPr>
      </w:pPr>
    </w:p>
    <w:tbl>
      <w:tblPr>
        <w:tblW w:w="9639" w:type="dxa"/>
        <w:tblInd w:w="274" w:type="dxa"/>
        <w:tblCellMar>
          <w:left w:w="0" w:type="dxa"/>
          <w:right w:w="0" w:type="dxa"/>
        </w:tblCellMar>
        <w:tblLook w:val="0420" w:firstRow="1" w:lastRow="0" w:firstColumn="0" w:lastColumn="0" w:noHBand="0" w:noVBand="1"/>
      </w:tblPr>
      <w:tblGrid>
        <w:gridCol w:w="1985"/>
        <w:gridCol w:w="3827"/>
        <w:gridCol w:w="3827"/>
      </w:tblGrid>
      <w:tr w:rsidR="009A3C56" w:rsidRPr="009A3C56" w14:paraId="458B5EEE" w14:textId="77777777" w:rsidTr="00FB5D8E">
        <w:trPr>
          <w:trHeight w:val="205"/>
        </w:trPr>
        <w:tc>
          <w:tcPr>
            <w:tcW w:w="1985" w:type="dxa"/>
            <w:tcBorders>
              <w:top w:val="single" w:sz="8" w:space="0" w:color="FFFFFF"/>
              <w:left w:val="single" w:sz="8" w:space="0" w:color="FFFFFF"/>
              <w:bottom w:val="single" w:sz="24" w:space="0" w:color="FFFFFF"/>
              <w:right w:val="single" w:sz="8" w:space="0" w:color="FFFFFF"/>
            </w:tcBorders>
            <w:shd w:val="clear" w:color="auto" w:fill="472C8C"/>
            <w:tcMar>
              <w:top w:w="72" w:type="dxa"/>
              <w:left w:w="144" w:type="dxa"/>
              <w:bottom w:w="72" w:type="dxa"/>
              <w:right w:w="144" w:type="dxa"/>
            </w:tcMar>
            <w:hideMark/>
          </w:tcPr>
          <w:p w14:paraId="62A47719"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b/>
                <w:bCs/>
                <w:color w:val="FFFFFF"/>
                <w:kern w:val="24"/>
                <w:sz w:val="20"/>
                <w:szCs w:val="20"/>
              </w:rPr>
              <w:t>Typical impacts</w:t>
            </w:r>
          </w:p>
        </w:tc>
        <w:tc>
          <w:tcPr>
            <w:tcW w:w="3827" w:type="dxa"/>
            <w:tcBorders>
              <w:top w:val="single" w:sz="8" w:space="0" w:color="FFFFFF"/>
              <w:left w:val="single" w:sz="8" w:space="0" w:color="FFFFFF"/>
              <w:bottom w:val="single" w:sz="24" w:space="0" w:color="FFFFFF"/>
              <w:right w:val="single" w:sz="8" w:space="0" w:color="FFFFFF"/>
            </w:tcBorders>
            <w:shd w:val="clear" w:color="auto" w:fill="472C8C"/>
            <w:tcMar>
              <w:top w:w="72" w:type="dxa"/>
              <w:left w:w="144" w:type="dxa"/>
              <w:bottom w:w="72" w:type="dxa"/>
              <w:right w:w="144" w:type="dxa"/>
            </w:tcMar>
            <w:hideMark/>
          </w:tcPr>
          <w:p w14:paraId="5A79D26C"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b/>
                <w:bCs/>
                <w:color w:val="FFFFFF"/>
                <w:kern w:val="24"/>
                <w:sz w:val="20"/>
                <w:szCs w:val="20"/>
              </w:rPr>
              <w:t>Costs</w:t>
            </w:r>
          </w:p>
        </w:tc>
        <w:tc>
          <w:tcPr>
            <w:tcW w:w="3827" w:type="dxa"/>
            <w:tcBorders>
              <w:top w:val="single" w:sz="8" w:space="0" w:color="FFFFFF"/>
              <w:left w:val="single" w:sz="8" w:space="0" w:color="FFFFFF"/>
              <w:bottom w:val="single" w:sz="24" w:space="0" w:color="FFFFFF"/>
              <w:right w:val="single" w:sz="8" w:space="0" w:color="FFFFFF"/>
            </w:tcBorders>
            <w:shd w:val="clear" w:color="auto" w:fill="472C8C"/>
            <w:tcMar>
              <w:top w:w="72" w:type="dxa"/>
              <w:left w:w="144" w:type="dxa"/>
              <w:bottom w:w="72" w:type="dxa"/>
              <w:right w:w="144" w:type="dxa"/>
            </w:tcMar>
            <w:hideMark/>
          </w:tcPr>
          <w:p w14:paraId="0E8A58FF"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b/>
                <w:bCs/>
                <w:color w:val="FFFFFF"/>
                <w:kern w:val="24"/>
                <w:sz w:val="20"/>
                <w:szCs w:val="20"/>
              </w:rPr>
              <w:t>Benefits</w:t>
            </w:r>
          </w:p>
        </w:tc>
      </w:tr>
      <w:tr w:rsidR="006B6112" w:rsidRPr="009A3C56" w14:paraId="7DD5536B" w14:textId="77777777" w:rsidTr="00FB5D8E">
        <w:trPr>
          <w:trHeight w:val="584"/>
        </w:trPr>
        <w:tc>
          <w:tcPr>
            <w:tcW w:w="1985" w:type="dxa"/>
            <w:tcBorders>
              <w:top w:val="single" w:sz="24" w:space="0" w:color="FFFFFF"/>
              <w:left w:val="single" w:sz="8" w:space="0" w:color="FFFFFF"/>
              <w:bottom w:val="single" w:sz="8" w:space="0" w:color="FFFFFF"/>
              <w:right w:val="single" w:sz="8" w:space="0" w:color="FFFFFF"/>
            </w:tcBorders>
            <w:shd w:val="clear" w:color="auto" w:fill="CFCDDB"/>
            <w:tcMar>
              <w:top w:w="72" w:type="dxa"/>
              <w:left w:w="144" w:type="dxa"/>
              <w:bottom w:w="72" w:type="dxa"/>
              <w:right w:w="144" w:type="dxa"/>
            </w:tcMar>
            <w:hideMark/>
          </w:tcPr>
          <w:p w14:paraId="41AC7B28"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b/>
                <w:bCs/>
                <w:kern w:val="24"/>
                <w:sz w:val="20"/>
                <w:szCs w:val="20"/>
              </w:rPr>
              <w:t>Direct financial impact</w:t>
            </w:r>
          </w:p>
        </w:tc>
        <w:tc>
          <w:tcPr>
            <w:tcW w:w="3827" w:type="dxa"/>
            <w:tcBorders>
              <w:top w:val="single" w:sz="24" w:space="0" w:color="FFFFFF"/>
              <w:left w:val="single" w:sz="8" w:space="0" w:color="FFFFFF"/>
              <w:bottom w:val="single" w:sz="8" w:space="0" w:color="FFFFFF"/>
              <w:right w:val="single" w:sz="8" w:space="0" w:color="FFFFFF"/>
            </w:tcBorders>
            <w:shd w:val="clear" w:color="auto" w:fill="CFCDDB"/>
            <w:tcMar>
              <w:top w:w="72" w:type="dxa"/>
              <w:left w:w="144" w:type="dxa"/>
              <w:bottom w:w="72" w:type="dxa"/>
              <w:right w:w="144" w:type="dxa"/>
            </w:tcMar>
            <w:hideMark/>
          </w:tcPr>
          <w:p w14:paraId="10FD72FE"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kern w:val="24"/>
                <w:sz w:val="20"/>
                <w:szCs w:val="20"/>
              </w:rPr>
              <w:t>Regulatory fees, charges, or levies</w:t>
            </w:r>
          </w:p>
        </w:tc>
        <w:tc>
          <w:tcPr>
            <w:tcW w:w="3827" w:type="dxa"/>
            <w:tcBorders>
              <w:top w:val="single" w:sz="24" w:space="0" w:color="FFFFFF"/>
              <w:left w:val="single" w:sz="8" w:space="0" w:color="FFFFFF"/>
              <w:bottom w:val="single" w:sz="8" w:space="0" w:color="FFFFFF"/>
              <w:right w:val="single" w:sz="8" w:space="0" w:color="FFFFFF"/>
            </w:tcBorders>
            <w:shd w:val="clear" w:color="auto" w:fill="CFCDDB"/>
            <w:tcMar>
              <w:top w:w="72" w:type="dxa"/>
              <w:left w:w="144" w:type="dxa"/>
              <w:bottom w:w="72" w:type="dxa"/>
              <w:right w:w="144" w:type="dxa"/>
            </w:tcMar>
            <w:hideMark/>
          </w:tcPr>
          <w:p w14:paraId="66313C5C"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kern w:val="24"/>
                <w:sz w:val="20"/>
                <w:szCs w:val="20"/>
              </w:rPr>
              <w:t>Savings for consumers, cost savings for businesses</w:t>
            </w:r>
          </w:p>
        </w:tc>
      </w:tr>
      <w:tr w:rsidR="006B6112" w:rsidRPr="009A3C56" w14:paraId="52959BC9" w14:textId="77777777" w:rsidTr="00FB5D8E">
        <w:trPr>
          <w:trHeight w:val="584"/>
        </w:trPr>
        <w:tc>
          <w:tcPr>
            <w:tcW w:w="1985" w:type="dxa"/>
            <w:tcBorders>
              <w:top w:val="single" w:sz="8" w:space="0" w:color="FFFFFF"/>
              <w:left w:val="single" w:sz="8" w:space="0" w:color="FFFFFF"/>
              <w:bottom w:val="single" w:sz="8" w:space="0" w:color="FFFFFF"/>
              <w:right w:val="single" w:sz="8" w:space="0" w:color="FFFFFF"/>
            </w:tcBorders>
            <w:shd w:val="clear" w:color="auto" w:fill="E9E8EE"/>
            <w:tcMar>
              <w:top w:w="72" w:type="dxa"/>
              <w:left w:w="144" w:type="dxa"/>
              <w:bottom w:w="72" w:type="dxa"/>
              <w:right w:w="144" w:type="dxa"/>
            </w:tcMar>
            <w:hideMark/>
          </w:tcPr>
          <w:p w14:paraId="431AE14E"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b/>
                <w:bCs/>
                <w:kern w:val="24"/>
                <w:sz w:val="20"/>
                <w:szCs w:val="20"/>
              </w:rPr>
              <w:t>Compliance impact</w:t>
            </w:r>
          </w:p>
        </w:tc>
        <w:tc>
          <w:tcPr>
            <w:tcW w:w="3827" w:type="dxa"/>
            <w:tcBorders>
              <w:top w:val="single" w:sz="8" w:space="0" w:color="FFFFFF"/>
              <w:left w:val="single" w:sz="8" w:space="0" w:color="FFFFFF"/>
              <w:bottom w:val="single" w:sz="8" w:space="0" w:color="FFFFFF"/>
              <w:right w:val="single" w:sz="8" w:space="0" w:color="FFFFFF"/>
            </w:tcBorders>
            <w:shd w:val="clear" w:color="auto" w:fill="E9E8EE"/>
            <w:tcMar>
              <w:top w:w="72" w:type="dxa"/>
              <w:left w:w="144" w:type="dxa"/>
              <w:bottom w:w="72" w:type="dxa"/>
              <w:right w:w="144" w:type="dxa"/>
            </w:tcMar>
            <w:hideMark/>
          </w:tcPr>
          <w:p w14:paraId="794237E3"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kern w:val="24"/>
                <w:sz w:val="20"/>
                <w:szCs w:val="20"/>
              </w:rPr>
              <w:t xml:space="preserve">Equipment </w:t>
            </w:r>
            <w:proofErr w:type="gramStart"/>
            <w:r w:rsidRPr="00FB5D8E">
              <w:rPr>
                <w:rFonts w:ascii="Calibri" w:eastAsia="Times New Roman" w:hAnsi="Calibri" w:cs="Calibri"/>
                <w:kern w:val="24"/>
                <w:sz w:val="20"/>
                <w:szCs w:val="20"/>
              </w:rPr>
              <w:t>purchase</w:t>
            </w:r>
            <w:proofErr w:type="gramEnd"/>
            <w:r w:rsidRPr="00FB5D8E">
              <w:rPr>
                <w:rFonts w:ascii="Calibri" w:eastAsia="Times New Roman" w:hAnsi="Calibri" w:cs="Calibri"/>
                <w:kern w:val="24"/>
                <w:sz w:val="20"/>
                <w:szCs w:val="20"/>
              </w:rPr>
              <w:t xml:space="preserve"> and maintenance costs, training costs</w:t>
            </w:r>
          </w:p>
        </w:tc>
        <w:tc>
          <w:tcPr>
            <w:tcW w:w="3827" w:type="dxa"/>
            <w:tcBorders>
              <w:top w:val="single" w:sz="8" w:space="0" w:color="FFFFFF"/>
              <w:left w:val="single" w:sz="8" w:space="0" w:color="FFFFFF"/>
              <w:bottom w:val="single" w:sz="8" w:space="0" w:color="FFFFFF"/>
              <w:right w:val="single" w:sz="8" w:space="0" w:color="FFFFFF"/>
            </w:tcBorders>
            <w:shd w:val="clear" w:color="auto" w:fill="E9E8EE"/>
            <w:tcMar>
              <w:top w:w="72" w:type="dxa"/>
              <w:left w:w="144" w:type="dxa"/>
              <w:bottom w:w="72" w:type="dxa"/>
              <w:right w:w="144" w:type="dxa"/>
            </w:tcMar>
            <w:hideMark/>
          </w:tcPr>
          <w:p w14:paraId="7C66F566"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kern w:val="24"/>
                <w:sz w:val="20"/>
                <w:szCs w:val="20"/>
              </w:rPr>
              <w:t>Better service level, better information, better quality product</w:t>
            </w:r>
          </w:p>
        </w:tc>
      </w:tr>
      <w:tr w:rsidR="006B6112" w:rsidRPr="009A3C56" w14:paraId="07DA0499" w14:textId="77777777" w:rsidTr="00FB5D8E">
        <w:trPr>
          <w:trHeight w:val="584"/>
        </w:trPr>
        <w:tc>
          <w:tcPr>
            <w:tcW w:w="1985" w:type="dxa"/>
            <w:tcBorders>
              <w:top w:val="single" w:sz="8" w:space="0" w:color="FFFFFF"/>
              <w:left w:val="single" w:sz="8" w:space="0" w:color="FFFFFF"/>
              <w:bottom w:val="single" w:sz="8" w:space="0" w:color="FFFFFF"/>
              <w:right w:val="single" w:sz="8" w:space="0" w:color="FFFFFF"/>
            </w:tcBorders>
            <w:shd w:val="clear" w:color="auto" w:fill="CFCDDB"/>
            <w:tcMar>
              <w:top w:w="72" w:type="dxa"/>
              <w:left w:w="144" w:type="dxa"/>
              <w:bottom w:w="72" w:type="dxa"/>
              <w:right w:w="144" w:type="dxa"/>
            </w:tcMar>
            <w:hideMark/>
          </w:tcPr>
          <w:p w14:paraId="21609DEF"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b/>
                <w:bCs/>
                <w:kern w:val="24"/>
                <w:sz w:val="20"/>
                <w:szCs w:val="20"/>
              </w:rPr>
              <w:t>Market and economic impact</w:t>
            </w:r>
          </w:p>
        </w:tc>
        <w:tc>
          <w:tcPr>
            <w:tcW w:w="3827" w:type="dxa"/>
            <w:tcBorders>
              <w:top w:val="single" w:sz="8" w:space="0" w:color="FFFFFF"/>
              <w:left w:val="single" w:sz="8" w:space="0" w:color="FFFFFF"/>
              <w:bottom w:val="single" w:sz="8" w:space="0" w:color="FFFFFF"/>
              <w:right w:val="single" w:sz="8" w:space="0" w:color="FFFFFF"/>
            </w:tcBorders>
            <w:shd w:val="clear" w:color="auto" w:fill="CFCDDB"/>
            <w:tcMar>
              <w:top w:w="72" w:type="dxa"/>
              <w:left w:w="144" w:type="dxa"/>
              <w:bottom w:w="72" w:type="dxa"/>
              <w:right w:w="144" w:type="dxa"/>
            </w:tcMar>
            <w:hideMark/>
          </w:tcPr>
          <w:p w14:paraId="129799D1" w14:textId="78967D6B"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kern w:val="24"/>
                <w:sz w:val="20"/>
                <w:szCs w:val="20"/>
              </w:rPr>
              <w:t>Competition constraints, less consumption options and product quality, higher prices, hand break on</w:t>
            </w:r>
            <w:r w:rsidR="006B6112">
              <w:rPr>
                <w:rFonts w:ascii="Calibri" w:eastAsia="Times New Roman" w:hAnsi="Calibri" w:cs="Calibri"/>
                <w:kern w:val="24"/>
                <w:sz w:val="20"/>
                <w:szCs w:val="20"/>
              </w:rPr>
              <w:t xml:space="preserve"> the</w:t>
            </w:r>
            <w:r w:rsidRPr="00FB5D8E">
              <w:rPr>
                <w:rFonts w:ascii="Calibri" w:eastAsia="Times New Roman" w:hAnsi="Calibri" w:cs="Calibri"/>
                <w:kern w:val="24"/>
                <w:sz w:val="20"/>
                <w:szCs w:val="20"/>
              </w:rPr>
              <w:t xml:space="preserve"> economy</w:t>
            </w:r>
          </w:p>
        </w:tc>
        <w:tc>
          <w:tcPr>
            <w:tcW w:w="3827" w:type="dxa"/>
            <w:tcBorders>
              <w:top w:val="single" w:sz="8" w:space="0" w:color="FFFFFF"/>
              <w:left w:val="single" w:sz="8" w:space="0" w:color="FFFFFF"/>
              <w:bottom w:val="single" w:sz="8" w:space="0" w:color="FFFFFF"/>
              <w:right w:val="single" w:sz="8" w:space="0" w:color="FFFFFF"/>
            </w:tcBorders>
            <w:shd w:val="clear" w:color="auto" w:fill="CFCDDB"/>
            <w:tcMar>
              <w:top w:w="72" w:type="dxa"/>
              <w:left w:w="144" w:type="dxa"/>
              <w:bottom w:w="72" w:type="dxa"/>
              <w:right w:w="144" w:type="dxa"/>
            </w:tcMar>
            <w:hideMark/>
          </w:tcPr>
          <w:p w14:paraId="5CF49F0C"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kern w:val="24"/>
                <w:sz w:val="20"/>
                <w:szCs w:val="20"/>
              </w:rPr>
              <w:t>Increased competition, higher productivity, higher mobility of labour, grow the economy</w:t>
            </w:r>
          </w:p>
        </w:tc>
      </w:tr>
      <w:tr w:rsidR="006B6112" w:rsidRPr="009A3C56" w14:paraId="0EF7D18B" w14:textId="77777777" w:rsidTr="00FB5D8E">
        <w:trPr>
          <w:trHeight w:val="584"/>
        </w:trPr>
        <w:tc>
          <w:tcPr>
            <w:tcW w:w="1985" w:type="dxa"/>
            <w:tcBorders>
              <w:top w:val="single" w:sz="8" w:space="0" w:color="FFFFFF"/>
              <w:left w:val="single" w:sz="8" w:space="0" w:color="FFFFFF"/>
              <w:bottom w:val="single" w:sz="8" w:space="0" w:color="FFFFFF"/>
              <w:right w:val="single" w:sz="8" w:space="0" w:color="FFFFFF"/>
            </w:tcBorders>
            <w:shd w:val="clear" w:color="auto" w:fill="E9E8EE"/>
            <w:tcMar>
              <w:top w:w="72" w:type="dxa"/>
              <w:left w:w="144" w:type="dxa"/>
              <w:bottom w:w="72" w:type="dxa"/>
              <w:right w:w="144" w:type="dxa"/>
            </w:tcMar>
            <w:hideMark/>
          </w:tcPr>
          <w:p w14:paraId="52C677F7"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b/>
                <w:bCs/>
                <w:kern w:val="24"/>
                <w:sz w:val="20"/>
                <w:szCs w:val="20"/>
              </w:rPr>
              <w:t>Other impacts</w:t>
            </w:r>
          </w:p>
        </w:tc>
        <w:tc>
          <w:tcPr>
            <w:tcW w:w="3827" w:type="dxa"/>
            <w:tcBorders>
              <w:top w:val="single" w:sz="8" w:space="0" w:color="FFFFFF"/>
              <w:left w:val="single" w:sz="8" w:space="0" w:color="FFFFFF"/>
              <w:bottom w:val="single" w:sz="8" w:space="0" w:color="FFFFFF"/>
              <w:right w:val="single" w:sz="8" w:space="0" w:color="FFFFFF"/>
            </w:tcBorders>
            <w:shd w:val="clear" w:color="auto" w:fill="E9E8EE"/>
            <w:tcMar>
              <w:top w:w="72" w:type="dxa"/>
              <w:left w:w="144" w:type="dxa"/>
              <w:bottom w:w="72" w:type="dxa"/>
              <w:right w:w="144" w:type="dxa"/>
            </w:tcMar>
            <w:hideMark/>
          </w:tcPr>
          <w:p w14:paraId="22F5242F" w14:textId="77777777"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kern w:val="24"/>
                <w:sz w:val="20"/>
                <w:szCs w:val="20"/>
              </w:rPr>
              <w:t>Environmental damage, costs and pressure on the public health system</w:t>
            </w:r>
          </w:p>
        </w:tc>
        <w:tc>
          <w:tcPr>
            <w:tcW w:w="3827" w:type="dxa"/>
            <w:tcBorders>
              <w:top w:val="single" w:sz="8" w:space="0" w:color="FFFFFF"/>
              <w:left w:val="single" w:sz="8" w:space="0" w:color="FFFFFF"/>
              <w:bottom w:val="single" w:sz="8" w:space="0" w:color="FFFFFF"/>
              <w:right w:val="single" w:sz="8" w:space="0" w:color="FFFFFF"/>
            </w:tcBorders>
            <w:shd w:val="clear" w:color="auto" w:fill="E9E8EE"/>
            <w:tcMar>
              <w:top w:w="72" w:type="dxa"/>
              <w:left w:w="144" w:type="dxa"/>
              <w:bottom w:w="72" w:type="dxa"/>
              <w:right w:w="144" w:type="dxa"/>
            </w:tcMar>
            <w:hideMark/>
          </w:tcPr>
          <w:p w14:paraId="3179F6AB" w14:textId="7411A1AC" w:rsidR="009A3C56" w:rsidRPr="00FB5D8E" w:rsidRDefault="009A3C56" w:rsidP="009A3C56">
            <w:pPr>
              <w:spacing w:after="0" w:line="240" w:lineRule="auto"/>
              <w:rPr>
                <w:rFonts w:ascii="Arial" w:eastAsia="Times New Roman" w:hAnsi="Arial" w:cs="Arial"/>
                <w:sz w:val="20"/>
                <w:szCs w:val="20"/>
              </w:rPr>
            </w:pPr>
            <w:r w:rsidRPr="00FB5D8E">
              <w:rPr>
                <w:rFonts w:ascii="Calibri" w:eastAsia="Times New Roman" w:hAnsi="Calibri" w:cs="Calibri"/>
                <w:kern w:val="24"/>
                <w:sz w:val="20"/>
                <w:szCs w:val="20"/>
              </w:rPr>
              <w:t>Reduce emission, other avoided damage to climate, slower global warming</w:t>
            </w:r>
            <w:r w:rsidR="000B05EE">
              <w:rPr>
                <w:rFonts w:ascii="Calibri" w:eastAsia="Times New Roman" w:hAnsi="Calibri" w:cs="Calibri"/>
                <w:kern w:val="24"/>
                <w:sz w:val="20"/>
                <w:szCs w:val="20"/>
              </w:rPr>
              <w:t xml:space="preserve">, better health outcomes, </w:t>
            </w:r>
            <w:r w:rsidR="004461CA">
              <w:rPr>
                <w:rFonts w:ascii="Calibri" w:eastAsia="Times New Roman" w:hAnsi="Calibri" w:cs="Calibri"/>
                <w:kern w:val="24"/>
                <w:sz w:val="20"/>
                <w:szCs w:val="20"/>
              </w:rPr>
              <w:t>fewer</w:t>
            </w:r>
            <w:r w:rsidR="000B05EE">
              <w:rPr>
                <w:rFonts w:ascii="Calibri" w:eastAsia="Times New Roman" w:hAnsi="Calibri" w:cs="Calibri"/>
                <w:kern w:val="24"/>
                <w:sz w:val="20"/>
                <w:szCs w:val="20"/>
              </w:rPr>
              <w:t xml:space="preserve"> accidents</w:t>
            </w:r>
          </w:p>
        </w:tc>
      </w:tr>
    </w:tbl>
    <w:p w14:paraId="421CFF32" w14:textId="77777777" w:rsidR="001F1334" w:rsidRDefault="001F1334">
      <w:pPr>
        <w:pStyle w:val="ListParagraph"/>
        <w:rPr>
          <w:sz w:val="20"/>
          <w:szCs w:val="20"/>
        </w:rPr>
      </w:pPr>
    </w:p>
    <w:p w14:paraId="79D9B08A" w14:textId="21651283" w:rsidR="002314FA" w:rsidRPr="008859A8" w:rsidRDefault="00F1362F" w:rsidP="00FB5D8E">
      <w:pPr>
        <w:pStyle w:val="ListParagraph"/>
        <w:spacing w:after="0"/>
        <w:ind w:left="360"/>
        <w:rPr>
          <w:sz w:val="20"/>
          <w:szCs w:val="20"/>
        </w:rPr>
      </w:pPr>
      <w:r>
        <w:rPr>
          <w:sz w:val="20"/>
          <w:szCs w:val="20"/>
        </w:rPr>
        <w:t>The selected i</w:t>
      </w:r>
      <w:r w:rsidR="0047604B" w:rsidRPr="0047604B">
        <w:rPr>
          <w:sz w:val="20"/>
          <w:szCs w:val="20"/>
        </w:rPr>
        <w:t xml:space="preserve">ndicators </w:t>
      </w:r>
      <w:r>
        <w:rPr>
          <w:sz w:val="20"/>
          <w:szCs w:val="20"/>
        </w:rPr>
        <w:t>for</w:t>
      </w:r>
      <w:r w:rsidR="0047604B" w:rsidRPr="0047604B">
        <w:rPr>
          <w:sz w:val="20"/>
          <w:szCs w:val="20"/>
        </w:rPr>
        <w:t xml:space="preserve"> measur</w:t>
      </w:r>
      <w:r>
        <w:rPr>
          <w:sz w:val="20"/>
          <w:szCs w:val="20"/>
        </w:rPr>
        <w:t>ing</w:t>
      </w:r>
      <w:r w:rsidR="0047604B" w:rsidRPr="0047604B">
        <w:rPr>
          <w:sz w:val="20"/>
          <w:szCs w:val="20"/>
        </w:rPr>
        <w:t xml:space="preserve"> the impacts</w:t>
      </w:r>
      <w:r>
        <w:rPr>
          <w:sz w:val="20"/>
          <w:szCs w:val="20"/>
        </w:rPr>
        <w:t xml:space="preserve"> should be linked closely to the impact and</w:t>
      </w:r>
      <w:r w:rsidR="00D4137A">
        <w:rPr>
          <w:sz w:val="20"/>
          <w:szCs w:val="20"/>
        </w:rPr>
        <w:t xml:space="preserve"> well</w:t>
      </w:r>
      <w:r>
        <w:rPr>
          <w:sz w:val="20"/>
          <w:szCs w:val="20"/>
        </w:rPr>
        <w:t xml:space="preserve"> supported by data from reliable sources. Ease of quantification</w:t>
      </w:r>
      <w:r w:rsidR="00F4482F">
        <w:rPr>
          <w:sz w:val="20"/>
          <w:szCs w:val="20"/>
        </w:rPr>
        <w:t xml:space="preserve"> is also an important consideration when choosing indicators</w:t>
      </w:r>
      <w:r w:rsidR="0047604B" w:rsidRPr="0047604B">
        <w:rPr>
          <w:sz w:val="20"/>
          <w:szCs w:val="20"/>
        </w:rPr>
        <w:t>.</w:t>
      </w:r>
      <w:r w:rsidR="0047604B">
        <w:rPr>
          <w:sz w:val="20"/>
          <w:szCs w:val="20"/>
        </w:rPr>
        <w:t xml:space="preserve"> </w:t>
      </w:r>
      <w:r w:rsidR="00F4482F">
        <w:rPr>
          <w:sz w:val="20"/>
          <w:szCs w:val="20"/>
        </w:rPr>
        <w:t xml:space="preserve">As an example, </w:t>
      </w:r>
      <w:r w:rsidR="0047604B">
        <w:rPr>
          <w:sz w:val="20"/>
          <w:szCs w:val="20"/>
        </w:rPr>
        <w:t xml:space="preserve">for a proposal that reduces the risks of a hazard, its </w:t>
      </w:r>
      <w:r w:rsidR="0047604B" w:rsidRPr="0047604B">
        <w:rPr>
          <w:sz w:val="20"/>
          <w:szCs w:val="20"/>
        </w:rPr>
        <w:t>positive impact could be measured in terms of</w:t>
      </w:r>
      <w:r w:rsidR="00F4482F">
        <w:rPr>
          <w:sz w:val="20"/>
          <w:szCs w:val="20"/>
        </w:rPr>
        <w:t xml:space="preserve"> </w:t>
      </w:r>
      <w:r w:rsidR="0047604B" w:rsidRPr="008859A8">
        <w:rPr>
          <w:sz w:val="20"/>
          <w:szCs w:val="20"/>
        </w:rPr>
        <w:t>a reduced number of accidents</w:t>
      </w:r>
      <w:r w:rsidR="00DC0F04" w:rsidRPr="008859A8">
        <w:rPr>
          <w:sz w:val="20"/>
          <w:szCs w:val="20"/>
        </w:rPr>
        <w:t>, and the benefit from accidents avoided could be</w:t>
      </w:r>
      <w:r w:rsidR="00F4482F">
        <w:rPr>
          <w:sz w:val="20"/>
          <w:szCs w:val="20"/>
        </w:rPr>
        <w:t xml:space="preserve"> quantified</w:t>
      </w:r>
      <w:r w:rsidR="00DC0F04" w:rsidRPr="008859A8">
        <w:rPr>
          <w:sz w:val="20"/>
          <w:szCs w:val="20"/>
        </w:rPr>
        <w:t>.</w:t>
      </w:r>
    </w:p>
    <w:p w14:paraId="6B7F662B" w14:textId="69B93CE8" w:rsidR="000D2E49" w:rsidRPr="00D5589C" w:rsidRDefault="000D2E49" w:rsidP="008859A8">
      <w:pPr>
        <w:pStyle w:val="Heading2"/>
        <w:ind w:left="-4"/>
        <w:rPr>
          <w:sz w:val="24"/>
          <w:szCs w:val="22"/>
        </w:rPr>
      </w:pPr>
      <w:r w:rsidRPr="00D5589C">
        <w:rPr>
          <w:sz w:val="24"/>
          <w:szCs w:val="22"/>
        </w:rPr>
        <w:t>Where to seek assistance on matters related to Regulatory Impact Assessment?</w:t>
      </w:r>
    </w:p>
    <w:p w14:paraId="0078B642" w14:textId="79542BF8" w:rsidR="00AC6CCF" w:rsidRDefault="000D2E49" w:rsidP="002B3DB8">
      <w:pPr>
        <w:rPr>
          <w:sz w:val="20"/>
          <w:szCs w:val="20"/>
        </w:rPr>
      </w:pPr>
      <w:r w:rsidRPr="00D5589C">
        <w:rPr>
          <w:sz w:val="20"/>
          <w:szCs w:val="20"/>
        </w:rPr>
        <w:t xml:space="preserve">For </w:t>
      </w:r>
      <w:r w:rsidR="009A1C4E">
        <w:rPr>
          <w:sz w:val="20"/>
          <w:szCs w:val="20"/>
        </w:rPr>
        <w:t>e</w:t>
      </w:r>
      <w:r w:rsidR="006D705B">
        <w:rPr>
          <w:sz w:val="20"/>
          <w:szCs w:val="20"/>
        </w:rPr>
        <w:t>nquiries in relation to</w:t>
      </w:r>
      <w:r w:rsidRPr="00D5589C">
        <w:rPr>
          <w:sz w:val="20"/>
          <w:szCs w:val="20"/>
        </w:rPr>
        <w:t xml:space="preserve"> </w:t>
      </w:r>
      <w:r w:rsidR="00BC1AB0">
        <w:rPr>
          <w:sz w:val="20"/>
          <w:szCs w:val="20"/>
        </w:rPr>
        <w:t xml:space="preserve">RIA, </w:t>
      </w:r>
      <w:r w:rsidR="006D705B">
        <w:rPr>
          <w:sz w:val="20"/>
          <w:szCs w:val="20"/>
        </w:rPr>
        <w:t xml:space="preserve">such as for advice on whether a RIA should be prepared </w:t>
      </w:r>
      <w:r w:rsidR="00C434DD">
        <w:rPr>
          <w:sz w:val="20"/>
          <w:szCs w:val="20"/>
        </w:rPr>
        <w:t>and</w:t>
      </w:r>
      <w:r w:rsidR="006D705B">
        <w:rPr>
          <w:sz w:val="20"/>
          <w:szCs w:val="20"/>
        </w:rPr>
        <w:t xml:space="preserve"> assistance to </w:t>
      </w:r>
      <w:r w:rsidR="00F41E92">
        <w:rPr>
          <w:sz w:val="20"/>
          <w:szCs w:val="20"/>
        </w:rPr>
        <w:t>scope or review</w:t>
      </w:r>
      <w:r w:rsidR="006D705B">
        <w:rPr>
          <w:sz w:val="20"/>
          <w:szCs w:val="20"/>
        </w:rPr>
        <w:t xml:space="preserve"> a RIA, </w:t>
      </w:r>
      <w:r w:rsidR="00BC1AB0">
        <w:rPr>
          <w:sz w:val="20"/>
          <w:szCs w:val="20"/>
        </w:rPr>
        <w:t xml:space="preserve">please contact </w:t>
      </w:r>
      <w:r w:rsidR="00BC1AB0" w:rsidRPr="00BC1AB0">
        <w:rPr>
          <w:sz w:val="20"/>
          <w:szCs w:val="20"/>
        </w:rPr>
        <w:t xml:space="preserve">Economic and Regulatory Policy </w:t>
      </w:r>
      <w:r w:rsidR="006E7E7B">
        <w:rPr>
          <w:sz w:val="20"/>
          <w:szCs w:val="20"/>
        </w:rPr>
        <w:t xml:space="preserve">at </w:t>
      </w:r>
      <w:hyperlink r:id="rId13" w:history="1">
        <w:r w:rsidR="006E7E7B" w:rsidRPr="005A6B9A">
          <w:rPr>
            <w:rStyle w:val="Hyperlink"/>
            <w:sz w:val="20"/>
            <w:szCs w:val="20"/>
          </w:rPr>
          <w:t>EconomicandRegulatoryPolicy@act.gov.au</w:t>
        </w:r>
      </w:hyperlink>
      <w:r w:rsidR="00BC1AB0" w:rsidRPr="00BC1AB0">
        <w:rPr>
          <w:sz w:val="20"/>
          <w:szCs w:val="20"/>
        </w:rPr>
        <w:t>.</w:t>
      </w:r>
    </w:p>
    <w:p w14:paraId="63CAFB39" w14:textId="60BA834A" w:rsidR="00BC1AB0" w:rsidRDefault="00BC1AB0" w:rsidP="002B3DB8">
      <w:pPr>
        <w:rPr>
          <w:sz w:val="20"/>
          <w:szCs w:val="20"/>
        </w:rPr>
      </w:pPr>
      <w:r>
        <w:rPr>
          <w:sz w:val="20"/>
          <w:szCs w:val="20"/>
        </w:rPr>
        <w:t xml:space="preserve">Consultation with </w:t>
      </w:r>
      <w:r w:rsidRPr="00BC1AB0">
        <w:rPr>
          <w:sz w:val="20"/>
          <w:szCs w:val="20"/>
        </w:rPr>
        <w:t>Economic and Regulatory Policy</w:t>
      </w:r>
      <w:r>
        <w:rPr>
          <w:sz w:val="20"/>
          <w:szCs w:val="20"/>
        </w:rPr>
        <w:t xml:space="preserve"> early in the policy development process is strongly encouraged as it will ensure guidance and advice can be provided to enable the preparation of a sound RIA.</w:t>
      </w:r>
    </w:p>
    <w:p w14:paraId="185AA649" w14:textId="3D7CFC9B" w:rsidR="00E1614A" w:rsidRPr="00035C40" w:rsidRDefault="00F852ED" w:rsidP="002D1EBA">
      <w:pPr>
        <w:spacing w:line="276" w:lineRule="auto"/>
        <w:rPr>
          <w:sz w:val="20"/>
          <w:szCs w:val="20"/>
        </w:rPr>
      </w:pPr>
      <w:r>
        <w:rPr>
          <w:sz w:val="20"/>
          <w:szCs w:val="20"/>
        </w:rPr>
        <w:t>Further detailed guidance on how to prepare a RIA is available in</w:t>
      </w:r>
      <w:r w:rsidR="00745E1E">
        <w:rPr>
          <w:sz w:val="20"/>
          <w:szCs w:val="20"/>
        </w:rPr>
        <w:t xml:space="preserve"> the </w:t>
      </w:r>
      <w:hyperlink r:id="rId14" w:history="1">
        <w:r w:rsidR="00745E1E" w:rsidRPr="00745E1E">
          <w:rPr>
            <w:rStyle w:val="Hyperlink"/>
            <w:i/>
            <w:iCs/>
            <w:sz w:val="20"/>
            <w:szCs w:val="20"/>
          </w:rPr>
          <w:t>Best Practice Guide for Preparing Regulatory Impact Statements</w:t>
        </w:r>
      </w:hyperlink>
      <w:r>
        <w:rPr>
          <w:sz w:val="20"/>
          <w:szCs w:val="20"/>
        </w:rPr>
        <w:t>.</w:t>
      </w:r>
    </w:p>
    <w:sectPr w:rsidR="00E1614A" w:rsidRPr="00035C40" w:rsidSect="00F4482F">
      <w:headerReference w:type="default" r:id="rId15"/>
      <w:footerReference w:type="default" r:id="rId16"/>
      <w:pgSz w:w="11906" w:h="16838" w:code="9"/>
      <w:pgMar w:top="1134" w:right="1276" w:bottom="709" w:left="851" w:header="284"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FBD8" w14:textId="77777777" w:rsidR="007A59C8" w:rsidRDefault="007A59C8" w:rsidP="00665B9F">
      <w:pPr>
        <w:spacing w:after="0" w:line="240" w:lineRule="auto"/>
      </w:pPr>
      <w:r>
        <w:separator/>
      </w:r>
    </w:p>
  </w:endnote>
  <w:endnote w:type="continuationSeparator" w:id="0">
    <w:p w14:paraId="399C8356" w14:textId="77777777" w:rsidR="007A59C8" w:rsidRDefault="007A59C8"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stem">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972155"/>
      <w:docPartObj>
        <w:docPartGallery w:val="Page Numbers (Bottom of Page)"/>
        <w:docPartUnique/>
      </w:docPartObj>
    </w:sdtPr>
    <w:sdtEndPr>
      <w:rPr>
        <w:color w:val="7F7F7F" w:themeColor="background1" w:themeShade="7F"/>
        <w:spacing w:val="60"/>
      </w:rPr>
    </w:sdtEndPr>
    <w:sdtContent>
      <w:p w14:paraId="1BFAFFD8" w14:textId="7088A17B" w:rsidR="00192457" w:rsidRDefault="0019245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298EDA3" w14:textId="5A1867A5" w:rsidR="00B34896" w:rsidRPr="005456FA" w:rsidRDefault="00B34896" w:rsidP="00B34896">
    <w:pPr>
      <w:pStyle w:val="Footer"/>
      <w:jc w:val="right"/>
      <w:rPr>
        <w:i/>
        <w:iCs/>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F5996" w14:textId="77777777" w:rsidR="007A59C8" w:rsidRDefault="007A59C8" w:rsidP="00665B9F">
      <w:pPr>
        <w:spacing w:after="0" w:line="240" w:lineRule="auto"/>
      </w:pPr>
      <w:r>
        <w:separator/>
      </w:r>
    </w:p>
  </w:footnote>
  <w:footnote w:type="continuationSeparator" w:id="0">
    <w:p w14:paraId="4BEA3F14" w14:textId="77777777" w:rsidR="007A59C8" w:rsidRDefault="007A59C8" w:rsidP="0066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3D8B" w14:textId="7296CCA6" w:rsidR="00820CE8" w:rsidRPr="00B329A5" w:rsidRDefault="00F85770" w:rsidP="00F43F37">
    <w:pPr>
      <w:jc w:val="center"/>
      <w:rPr>
        <w:sz w:val="28"/>
        <w:szCs w:val="28"/>
      </w:rPr>
    </w:pPr>
    <w:r w:rsidRPr="00102DDE">
      <w:rPr>
        <w:noProof/>
        <w:sz w:val="32"/>
        <w:szCs w:val="32"/>
      </w:rPr>
      <w:drawing>
        <wp:anchor distT="0" distB="0" distL="114300" distR="114300" simplePos="0" relativeHeight="251662848" behindDoc="1" locked="0" layoutInCell="1" allowOverlap="1" wp14:anchorId="45BE7464" wp14:editId="7D716C03">
          <wp:simplePos x="0" y="0"/>
          <wp:positionH relativeFrom="page">
            <wp:posOffset>5722826</wp:posOffset>
          </wp:positionH>
          <wp:positionV relativeFrom="paragraph">
            <wp:posOffset>-302895</wp:posOffset>
          </wp:positionV>
          <wp:extent cx="1851660" cy="183832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60000"/>
                    <a:extLst>
                      <a:ext uri="{28A0092B-C50C-407E-A947-70E740481C1C}">
                        <a14:useLocalDpi xmlns:a14="http://schemas.microsoft.com/office/drawing/2010/main" val="0"/>
                      </a:ext>
                    </a:extLst>
                  </a:blip>
                  <a:stretch>
                    <a:fillRect/>
                  </a:stretch>
                </pic:blipFill>
                <pic:spPr>
                  <a:xfrm rot="10800000">
                    <a:off x="0" y="0"/>
                    <a:ext cx="1851660" cy="183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A25335"/>
    <w:multiLevelType w:val="hybridMultilevel"/>
    <w:tmpl w:val="C0BEDE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F6689A"/>
    <w:multiLevelType w:val="hybridMultilevel"/>
    <w:tmpl w:val="460A4F66"/>
    <w:lvl w:ilvl="0" w:tplc="FDBCDB5E">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F340A67"/>
    <w:multiLevelType w:val="hybridMultilevel"/>
    <w:tmpl w:val="2EF61B60"/>
    <w:lvl w:ilvl="0" w:tplc="A9385A5E">
      <w:start w:val="1"/>
      <w:numFmt w:val="bullet"/>
      <w:lvlText w:val=""/>
      <w:lvlJc w:val="left"/>
      <w:pPr>
        <w:ind w:left="567"/>
      </w:pPr>
      <w:rPr>
        <w:rFonts w:ascii="Symbol" w:hAnsi="Symbol" w:hint="default"/>
        <w:b w:val="0"/>
        <w:i w:val="0"/>
        <w:strike w:val="0"/>
        <w:dstrike w:val="0"/>
        <w:color w:val="482D8C" w:themeColor="background2"/>
        <w:sz w:val="20"/>
        <w:szCs w:val="20"/>
        <w:u w:val="none" w:color="000000"/>
        <w:bdr w:val="none" w:sz="0" w:space="0" w:color="auto"/>
        <w:shd w:val="clear" w:color="auto" w:fill="auto"/>
        <w:vertAlign w:val="baseline"/>
      </w:rPr>
    </w:lvl>
    <w:lvl w:ilvl="1" w:tplc="FFFFFFFF">
      <w:start w:val="1"/>
      <w:numFmt w:val="bullet"/>
      <w:lvlText w:val="o"/>
      <w:lvlJc w:val="left"/>
      <w:pPr>
        <w:ind w:left="1477"/>
      </w:pPr>
      <w:rPr>
        <w:rFonts w:ascii="Segoe UI Symbol" w:eastAsia="Segoe UI Symbol" w:hAnsi="Segoe UI Symbol" w:cs="Segoe UI Symbol"/>
        <w:b w:val="0"/>
        <w:i w:val="0"/>
        <w:strike w:val="0"/>
        <w:dstrike w:val="0"/>
        <w:color w:val="CD0920"/>
        <w:sz w:val="20"/>
        <w:szCs w:val="20"/>
        <w:u w:val="none" w:color="000000"/>
        <w:bdr w:val="none" w:sz="0" w:space="0" w:color="auto"/>
        <w:shd w:val="clear" w:color="auto" w:fill="auto"/>
        <w:vertAlign w:val="baseline"/>
      </w:rPr>
    </w:lvl>
    <w:lvl w:ilvl="2" w:tplc="FFFFFFFF">
      <w:start w:val="1"/>
      <w:numFmt w:val="bullet"/>
      <w:lvlText w:val="▪"/>
      <w:lvlJc w:val="left"/>
      <w:pPr>
        <w:ind w:left="2197"/>
      </w:pPr>
      <w:rPr>
        <w:rFonts w:ascii="Segoe UI Symbol" w:eastAsia="Segoe UI Symbol" w:hAnsi="Segoe UI Symbol" w:cs="Segoe UI Symbol"/>
        <w:b w:val="0"/>
        <w:i w:val="0"/>
        <w:strike w:val="0"/>
        <w:dstrike w:val="0"/>
        <w:color w:val="CD0920"/>
        <w:sz w:val="20"/>
        <w:szCs w:val="20"/>
        <w:u w:val="none" w:color="000000"/>
        <w:bdr w:val="none" w:sz="0" w:space="0" w:color="auto"/>
        <w:shd w:val="clear" w:color="auto" w:fill="auto"/>
        <w:vertAlign w:val="baseline"/>
      </w:rPr>
    </w:lvl>
    <w:lvl w:ilvl="3" w:tplc="FFFFFFFF">
      <w:start w:val="1"/>
      <w:numFmt w:val="bullet"/>
      <w:lvlText w:val="•"/>
      <w:lvlJc w:val="left"/>
      <w:pPr>
        <w:ind w:left="2917"/>
      </w:pPr>
      <w:rPr>
        <w:rFonts w:ascii="Arial" w:eastAsia="Arial" w:hAnsi="Arial" w:cs="Arial"/>
        <w:b w:val="0"/>
        <w:i w:val="0"/>
        <w:strike w:val="0"/>
        <w:dstrike w:val="0"/>
        <w:color w:val="CD0920"/>
        <w:sz w:val="20"/>
        <w:szCs w:val="20"/>
        <w:u w:val="none" w:color="000000"/>
        <w:bdr w:val="none" w:sz="0" w:space="0" w:color="auto"/>
        <w:shd w:val="clear" w:color="auto" w:fill="auto"/>
        <w:vertAlign w:val="baseline"/>
      </w:rPr>
    </w:lvl>
    <w:lvl w:ilvl="4" w:tplc="FFFFFFFF">
      <w:start w:val="1"/>
      <w:numFmt w:val="bullet"/>
      <w:lvlText w:val="o"/>
      <w:lvlJc w:val="left"/>
      <w:pPr>
        <w:ind w:left="3637"/>
      </w:pPr>
      <w:rPr>
        <w:rFonts w:ascii="Segoe UI Symbol" w:eastAsia="Segoe UI Symbol" w:hAnsi="Segoe UI Symbol" w:cs="Segoe UI Symbol"/>
        <w:b w:val="0"/>
        <w:i w:val="0"/>
        <w:strike w:val="0"/>
        <w:dstrike w:val="0"/>
        <w:color w:val="CD0920"/>
        <w:sz w:val="20"/>
        <w:szCs w:val="20"/>
        <w:u w:val="none" w:color="000000"/>
        <w:bdr w:val="none" w:sz="0" w:space="0" w:color="auto"/>
        <w:shd w:val="clear" w:color="auto" w:fill="auto"/>
        <w:vertAlign w:val="baseline"/>
      </w:rPr>
    </w:lvl>
    <w:lvl w:ilvl="5" w:tplc="FFFFFFFF">
      <w:start w:val="1"/>
      <w:numFmt w:val="bullet"/>
      <w:lvlText w:val="▪"/>
      <w:lvlJc w:val="left"/>
      <w:pPr>
        <w:ind w:left="4357"/>
      </w:pPr>
      <w:rPr>
        <w:rFonts w:ascii="Segoe UI Symbol" w:eastAsia="Segoe UI Symbol" w:hAnsi="Segoe UI Symbol" w:cs="Segoe UI Symbol"/>
        <w:b w:val="0"/>
        <w:i w:val="0"/>
        <w:strike w:val="0"/>
        <w:dstrike w:val="0"/>
        <w:color w:val="CD0920"/>
        <w:sz w:val="20"/>
        <w:szCs w:val="20"/>
        <w:u w:val="none" w:color="000000"/>
        <w:bdr w:val="none" w:sz="0" w:space="0" w:color="auto"/>
        <w:shd w:val="clear" w:color="auto" w:fill="auto"/>
        <w:vertAlign w:val="baseline"/>
      </w:rPr>
    </w:lvl>
    <w:lvl w:ilvl="6" w:tplc="FFFFFFFF">
      <w:start w:val="1"/>
      <w:numFmt w:val="bullet"/>
      <w:lvlText w:val="•"/>
      <w:lvlJc w:val="left"/>
      <w:pPr>
        <w:ind w:left="5077"/>
      </w:pPr>
      <w:rPr>
        <w:rFonts w:ascii="Arial" w:eastAsia="Arial" w:hAnsi="Arial" w:cs="Arial"/>
        <w:b w:val="0"/>
        <w:i w:val="0"/>
        <w:strike w:val="0"/>
        <w:dstrike w:val="0"/>
        <w:color w:val="CD0920"/>
        <w:sz w:val="20"/>
        <w:szCs w:val="20"/>
        <w:u w:val="none" w:color="000000"/>
        <w:bdr w:val="none" w:sz="0" w:space="0" w:color="auto"/>
        <w:shd w:val="clear" w:color="auto" w:fill="auto"/>
        <w:vertAlign w:val="baseline"/>
      </w:rPr>
    </w:lvl>
    <w:lvl w:ilvl="7" w:tplc="FFFFFFFF">
      <w:start w:val="1"/>
      <w:numFmt w:val="bullet"/>
      <w:lvlText w:val="o"/>
      <w:lvlJc w:val="left"/>
      <w:pPr>
        <w:ind w:left="5797"/>
      </w:pPr>
      <w:rPr>
        <w:rFonts w:ascii="Segoe UI Symbol" w:eastAsia="Segoe UI Symbol" w:hAnsi="Segoe UI Symbol" w:cs="Segoe UI Symbol"/>
        <w:b w:val="0"/>
        <w:i w:val="0"/>
        <w:strike w:val="0"/>
        <w:dstrike w:val="0"/>
        <w:color w:val="CD0920"/>
        <w:sz w:val="20"/>
        <w:szCs w:val="20"/>
        <w:u w:val="none" w:color="000000"/>
        <w:bdr w:val="none" w:sz="0" w:space="0" w:color="auto"/>
        <w:shd w:val="clear" w:color="auto" w:fill="auto"/>
        <w:vertAlign w:val="baseline"/>
      </w:rPr>
    </w:lvl>
    <w:lvl w:ilvl="8" w:tplc="FFFFFFFF">
      <w:start w:val="1"/>
      <w:numFmt w:val="bullet"/>
      <w:lvlText w:val="▪"/>
      <w:lvlJc w:val="left"/>
      <w:pPr>
        <w:ind w:left="6517"/>
      </w:pPr>
      <w:rPr>
        <w:rFonts w:ascii="Segoe UI Symbol" w:eastAsia="Segoe UI Symbol" w:hAnsi="Segoe UI Symbol" w:cs="Segoe UI Symbol"/>
        <w:b w:val="0"/>
        <w:i w:val="0"/>
        <w:strike w:val="0"/>
        <w:dstrike w:val="0"/>
        <w:color w:val="CD0920"/>
        <w:sz w:val="20"/>
        <w:szCs w:val="20"/>
        <w:u w:val="none" w:color="000000"/>
        <w:bdr w:val="none" w:sz="0" w:space="0" w:color="auto"/>
        <w:shd w:val="clear" w:color="auto" w:fill="auto"/>
        <w:vertAlign w:val="baseline"/>
      </w:rPr>
    </w:lvl>
  </w:abstractNum>
  <w:abstractNum w:abstractNumId="5"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4DC12B60"/>
    <w:multiLevelType w:val="hybridMultilevel"/>
    <w:tmpl w:val="0B7E37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9" w15:restartNumberingAfterBreak="0">
    <w:nsid w:val="62565A87"/>
    <w:multiLevelType w:val="hybridMultilevel"/>
    <w:tmpl w:val="7F06699E"/>
    <w:lvl w:ilvl="0" w:tplc="D2D26950">
      <w:start w:val="1"/>
      <w:numFmt w:val="bullet"/>
      <w:pStyle w:val="mbullet1"/>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0" w15:restartNumberingAfterBreak="0">
    <w:nsid w:val="6724192B"/>
    <w:multiLevelType w:val="hybridMultilevel"/>
    <w:tmpl w:val="F778566A"/>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841D9E"/>
    <w:multiLevelType w:val="hybridMultilevel"/>
    <w:tmpl w:val="DA603596"/>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6CD448EF"/>
    <w:multiLevelType w:val="hybridMultilevel"/>
    <w:tmpl w:val="5B6C94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3ED183B"/>
    <w:multiLevelType w:val="hybridMultilevel"/>
    <w:tmpl w:val="86FC0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5434C2"/>
    <w:multiLevelType w:val="hybridMultilevel"/>
    <w:tmpl w:val="C0BEDE2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D91AAD"/>
    <w:multiLevelType w:val="hybridMultilevel"/>
    <w:tmpl w:val="EEFCF966"/>
    <w:lvl w:ilvl="0" w:tplc="1AD84A82">
      <w:numFmt w:val="bullet"/>
      <w:lvlText w:val=""/>
      <w:lvlJc w:val="left"/>
      <w:pPr>
        <w:ind w:left="357" w:hanging="360"/>
      </w:pPr>
      <w:rPr>
        <w:rFonts w:ascii="Symbol" w:eastAsiaTheme="minorHAnsi" w:hAnsi="Symbol" w:cs="Times New Roman"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num w:numId="1" w16cid:durableId="567106893">
    <w:abstractNumId w:val="11"/>
  </w:num>
  <w:num w:numId="2" w16cid:durableId="59254247">
    <w:abstractNumId w:val="8"/>
  </w:num>
  <w:num w:numId="3" w16cid:durableId="993140500">
    <w:abstractNumId w:val="5"/>
  </w:num>
  <w:num w:numId="4" w16cid:durableId="853421736">
    <w:abstractNumId w:val="3"/>
  </w:num>
  <w:num w:numId="5" w16cid:durableId="63263154">
    <w:abstractNumId w:val="7"/>
  </w:num>
  <w:num w:numId="6" w16cid:durableId="773789324">
    <w:abstractNumId w:val="0"/>
  </w:num>
  <w:num w:numId="7" w16cid:durableId="987243514">
    <w:abstractNumId w:val="9"/>
  </w:num>
  <w:num w:numId="8" w16cid:durableId="538011292">
    <w:abstractNumId w:val="4"/>
  </w:num>
  <w:num w:numId="9" w16cid:durableId="2064785841">
    <w:abstractNumId w:val="10"/>
  </w:num>
  <w:num w:numId="10" w16cid:durableId="385304314">
    <w:abstractNumId w:val="12"/>
  </w:num>
  <w:num w:numId="11" w16cid:durableId="321393519">
    <w:abstractNumId w:val="13"/>
  </w:num>
  <w:num w:numId="12" w16cid:durableId="160892230">
    <w:abstractNumId w:val="6"/>
  </w:num>
  <w:num w:numId="13" w16cid:durableId="700479119">
    <w:abstractNumId w:val="16"/>
  </w:num>
  <w:num w:numId="14" w16cid:durableId="416824653">
    <w:abstractNumId w:val="14"/>
  </w:num>
  <w:num w:numId="15" w16cid:durableId="1653752912">
    <w:abstractNumId w:val="2"/>
  </w:num>
  <w:num w:numId="16" w16cid:durableId="1458257656">
    <w:abstractNumId w:val="15"/>
  </w:num>
  <w:num w:numId="17" w16cid:durableId="173738860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0C"/>
    <w:rsid w:val="00000BB4"/>
    <w:rsid w:val="000016B9"/>
    <w:rsid w:val="00004515"/>
    <w:rsid w:val="000068D5"/>
    <w:rsid w:val="0000795F"/>
    <w:rsid w:val="000160AA"/>
    <w:rsid w:val="00030790"/>
    <w:rsid w:val="00030CC1"/>
    <w:rsid w:val="00034546"/>
    <w:rsid w:val="00034A27"/>
    <w:rsid w:val="00035314"/>
    <w:rsid w:val="00035C40"/>
    <w:rsid w:val="00036B92"/>
    <w:rsid w:val="0004014B"/>
    <w:rsid w:val="000419C1"/>
    <w:rsid w:val="00041C05"/>
    <w:rsid w:val="00043B50"/>
    <w:rsid w:val="000446A5"/>
    <w:rsid w:val="00045435"/>
    <w:rsid w:val="0005196D"/>
    <w:rsid w:val="00052778"/>
    <w:rsid w:val="000620D2"/>
    <w:rsid w:val="000626FB"/>
    <w:rsid w:val="000650AF"/>
    <w:rsid w:val="00065CEA"/>
    <w:rsid w:val="000676A4"/>
    <w:rsid w:val="00070067"/>
    <w:rsid w:val="0007453E"/>
    <w:rsid w:val="00074A6F"/>
    <w:rsid w:val="0007507D"/>
    <w:rsid w:val="00076803"/>
    <w:rsid w:val="000776AB"/>
    <w:rsid w:val="0007773C"/>
    <w:rsid w:val="0008329F"/>
    <w:rsid w:val="00084440"/>
    <w:rsid w:val="00086B3E"/>
    <w:rsid w:val="00090A83"/>
    <w:rsid w:val="00092107"/>
    <w:rsid w:val="000925A7"/>
    <w:rsid w:val="0009796B"/>
    <w:rsid w:val="00097A2C"/>
    <w:rsid w:val="000A2FFC"/>
    <w:rsid w:val="000A6B63"/>
    <w:rsid w:val="000B05EE"/>
    <w:rsid w:val="000B13CB"/>
    <w:rsid w:val="000B15F4"/>
    <w:rsid w:val="000B3470"/>
    <w:rsid w:val="000B4CE2"/>
    <w:rsid w:val="000B5148"/>
    <w:rsid w:val="000C3F1E"/>
    <w:rsid w:val="000C6C34"/>
    <w:rsid w:val="000D2E49"/>
    <w:rsid w:val="000D5D2E"/>
    <w:rsid w:val="000D6444"/>
    <w:rsid w:val="000E0203"/>
    <w:rsid w:val="000E0B76"/>
    <w:rsid w:val="000F5CCD"/>
    <w:rsid w:val="000F5D86"/>
    <w:rsid w:val="000F680C"/>
    <w:rsid w:val="00100437"/>
    <w:rsid w:val="001024FF"/>
    <w:rsid w:val="00102861"/>
    <w:rsid w:val="00102DDE"/>
    <w:rsid w:val="00104BE4"/>
    <w:rsid w:val="001075E8"/>
    <w:rsid w:val="001124AB"/>
    <w:rsid w:val="001124F0"/>
    <w:rsid w:val="0011798B"/>
    <w:rsid w:val="0014717C"/>
    <w:rsid w:val="0015010B"/>
    <w:rsid w:val="00152EB7"/>
    <w:rsid w:val="0016080C"/>
    <w:rsid w:val="001613FA"/>
    <w:rsid w:val="001623DE"/>
    <w:rsid w:val="00167FC2"/>
    <w:rsid w:val="00171412"/>
    <w:rsid w:val="001770D3"/>
    <w:rsid w:val="001864F7"/>
    <w:rsid w:val="001912A2"/>
    <w:rsid w:val="00192457"/>
    <w:rsid w:val="001933CC"/>
    <w:rsid w:val="001966FA"/>
    <w:rsid w:val="00197666"/>
    <w:rsid w:val="001A0139"/>
    <w:rsid w:val="001A0956"/>
    <w:rsid w:val="001A16E4"/>
    <w:rsid w:val="001A2063"/>
    <w:rsid w:val="001A413C"/>
    <w:rsid w:val="001B06B8"/>
    <w:rsid w:val="001C137A"/>
    <w:rsid w:val="001C1FF2"/>
    <w:rsid w:val="001C782A"/>
    <w:rsid w:val="001E3D78"/>
    <w:rsid w:val="001E6DD5"/>
    <w:rsid w:val="001E7690"/>
    <w:rsid w:val="001E76BA"/>
    <w:rsid w:val="001F1334"/>
    <w:rsid w:val="001F53F9"/>
    <w:rsid w:val="002009BA"/>
    <w:rsid w:val="0020317F"/>
    <w:rsid w:val="00203525"/>
    <w:rsid w:val="002118D5"/>
    <w:rsid w:val="0021303F"/>
    <w:rsid w:val="00214A8E"/>
    <w:rsid w:val="00215465"/>
    <w:rsid w:val="00216710"/>
    <w:rsid w:val="002203A8"/>
    <w:rsid w:val="00221F37"/>
    <w:rsid w:val="002259E4"/>
    <w:rsid w:val="00226BE1"/>
    <w:rsid w:val="0023086B"/>
    <w:rsid w:val="00231282"/>
    <w:rsid w:val="002314FA"/>
    <w:rsid w:val="00231581"/>
    <w:rsid w:val="00236E26"/>
    <w:rsid w:val="00246AAC"/>
    <w:rsid w:val="002479CE"/>
    <w:rsid w:val="00261140"/>
    <w:rsid w:val="002627AE"/>
    <w:rsid w:val="00266462"/>
    <w:rsid w:val="002706CE"/>
    <w:rsid w:val="002726BD"/>
    <w:rsid w:val="00273943"/>
    <w:rsid w:val="002846D8"/>
    <w:rsid w:val="00287B7A"/>
    <w:rsid w:val="00291D10"/>
    <w:rsid w:val="0029668D"/>
    <w:rsid w:val="0029795C"/>
    <w:rsid w:val="002A0832"/>
    <w:rsid w:val="002A093C"/>
    <w:rsid w:val="002A0B7B"/>
    <w:rsid w:val="002A1498"/>
    <w:rsid w:val="002A1AEA"/>
    <w:rsid w:val="002A5458"/>
    <w:rsid w:val="002A612E"/>
    <w:rsid w:val="002B21B8"/>
    <w:rsid w:val="002B3DB8"/>
    <w:rsid w:val="002C6B74"/>
    <w:rsid w:val="002C6D63"/>
    <w:rsid w:val="002D1EBA"/>
    <w:rsid w:val="002D33BC"/>
    <w:rsid w:val="002D5796"/>
    <w:rsid w:val="002D6623"/>
    <w:rsid w:val="002E1E8C"/>
    <w:rsid w:val="002E56E9"/>
    <w:rsid w:val="002E6AA2"/>
    <w:rsid w:val="002E7584"/>
    <w:rsid w:val="002E7655"/>
    <w:rsid w:val="002F159D"/>
    <w:rsid w:val="002F3300"/>
    <w:rsid w:val="002F64F9"/>
    <w:rsid w:val="003010B0"/>
    <w:rsid w:val="00306573"/>
    <w:rsid w:val="00306DA5"/>
    <w:rsid w:val="00315F86"/>
    <w:rsid w:val="003219CE"/>
    <w:rsid w:val="00323495"/>
    <w:rsid w:val="003238CE"/>
    <w:rsid w:val="0032678C"/>
    <w:rsid w:val="00327854"/>
    <w:rsid w:val="003367A0"/>
    <w:rsid w:val="00340B5B"/>
    <w:rsid w:val="003439ED"/>
    <w:rsid w:val="00344EF5"/>
    <w:rsid w:val="003471AF"/>
    <w:rsid w:val="00354F6D"/>
    <w:rsid w:val="00361403"/>
    <w:rsid w:val="003633F5"/>
    <w:rsid w:val="00363DF9"/>
    <w:rsid w:val="00364C82"/>
    <w:rsid w:val="00367BC4"/>
    <w:rsid w:val="00370EEB"/>
    <w:rsid w:val="00376A58"/>
    <w:rsid w:val="003800A1"/>
    <w:rsid w:val="00380CD7"/>
    <w:rsid w:val="00393E5F"/>
    <w:rsid w:val="0039548E"/>
    <w:rsid w:val="0039712B"/>
    <w:rsid w:val="003A641C"/>
    <w:rsid w:val="003A6E1C"/>
    <w:rsid w:val="003B13F4"/>
    <w:rsid w:val="003B222C"/>
    <w:rsid w:val="003B269C"/>
    <w:rsid w:val="003B4CE3"/>
    <w:rsid w:val="003C37BB"/>
    <w:rsid w:val="003D1EB2"/>
    <w:rsid w:val="003D46C0"/>
    <w:rsid w:val="003D4DBC"/>
    <w:rsid w:val="003F1EFA"/>
    <w:rsid w:val="003F710C"/>
    <w:rsid w:val="00405478"/>
    <w:rsid w:val="00411A3D"/>
    <w:rsid w:val="00415977"/>
    <w:rsid w:val="004171DF"/>
    <w:rsid w:val="004334EB"/>
    <w:rsid w:val="00442152"/>
    <w:rsid w:val="004439BD"/>
    <w:rsid w:val="004461CA"/>
    <w:rsid w:val="004502A1"/>
    <w:rsid w:val="00452B15"/>
    <w:rsid w:val="00453090"/>
    <w:rsid w:val="004531D1"/>
    <w:rsid w:val="004556D3"/>
    <w:rsid w:val="004563B4"/>
    <w:rsid w:val="0045690E"/>
    <w:rsid w:val="004603F8"/>
    <w:rsid w:val="00462EA4"/>
    <w:rsid w:val="00465A8C"/>
    <w:rsid w:val="00473090"/>
    <w:rsid w:val="004751A0"/>
    <w:rsid w:val="0047604B"/>
    <w:rsid w:val="00476174"/>
    <w:rsid w:val="00480663"/>
    <w:rsid w:val="004813FE"/>
    <w:rsid w:val="00481CE3"/>
    <w:rsid w:val="00482E0B"/>
    <w:rsid w:val="0048367B"/>
    <w:rsid w:val="00487499"/>
    <w:rsid w:val="00495FC6"/>
    <w:rsid w:val="00496C0F"/>
    <w:rsid w:val="00496CAA"/>
    <w:rsid w:val="00496CD4"/>
    <w:rsid w:val="0049701A"/>
    <w:rsid w:val="004B20F7"/>
    <w:rsid w:val="004B4981"/>
    <w:rsid w:val="004C10AE"/>
    <w:rsid w:val="004C1925"/>
    <w:rsid w:val="004C6077"/>
    <w:rsid w:val="004E69B5"/>
    <w:rsid w:val="004E7E52"/>
    <w:rsid w:val="004F1149"/>
    <w:rsid w:val="004F131E"/>
    <w:rsid w:val="004F3D98"/>
    <w:rsid w:val="004F5B70"/>
    <w:rsid w:val="004F603D"/>
    <w:rsid w:val="004F74DA"/>
    <w:rsid w:val="005014D9"/>
    <w:rsid w:val="00503E7E"/>
    <w:rsid w:val="00504F68"/>
    <w:rsid w:val="005115E8"/>
    <w:rsid w:val="00512E77"/>
    <w:rsid w:val="00527808"/>
    <w:rsid w:val="00530F3B"/>
    <w:rsid w:val="005351E7"/>
    <w:rsid w:val="0053763A"/>
    <w:rsid w:val="005456FA"/>
    <w:rsid w:val="005475E1"/>
    <w:rsid w:val="0056247C"/>
    <w:rsid w:val="005638F1"/>
    <w:rsid w:val="005654E8"/>
    <w:rsid w:val="00567668"/>
    <w:rsid w:val="00576D35"/>
    <w:rsid w:val="00577AA3"/>
    <w:rsid w:val="0058078C"/>
    <w:rsid w:val="0058377A"/>
    <w:rsid w:val="0058657D"/>
    <w:rsid w:val="00586AC8"/>
    <w:rsid w:val="00587565"/>
    <w:rsid w:val="005A1E23"/>
    <w:rsid w:val="005A4E5F"/>
    <w:rsid w:val="005A60DB"/>
    <w:rsid w:val="005A6131"/>
    <w:rsid w:val="005B165B"/>
    <w:rsid w:val="005B369E"/>
    <w:rsid w:val="005B79A6"/>
    <w:rsid w:val="005C54B5"/>
    <w:rsid w:val="005C72CC"/>
    <w:rsid w:val="005D3B76"/>
    <w:rsid w:val="005E09FB"/>
    <w:rsid w:val="005E1735"/>
    <w:rsid w:val="005E193A"/>
    <w:rsid w:val="005E430A"/>
    <w:rsid w:val="005E5305"/>
    <w:rsid w:val="006039A6"/>
    <w:rsid w:val="006046FF"/>
    <w:rsid w:val="00604EB8"/>
    <w:rsid w:val="006050D9"/>
    <w:rsid w:val="00607217"/>
    <w:rsid w:val="00613EDB"/>
    <w:rsid w:val="00617804"/>
    <w:rsid w:val="006213F7"/>
    <w:rsid w:val="00622565"/>
    <w:rsid w:val="0063036E"/>
    <w:rsid w:val="00630EEC"/>
    <w:rsid w:val="00632F54"/>
    <w:rsid w:val="00633AF4"/>
    <w:rsid w:val="00635C80"/>
    <w:rsid w:val="006515F5"/>
    <w:rsid w:val="006568C3"/>
    <w:rsid w:val="006610FF"/>
    <w:rsid w:val="00661CAD"/>
    <w:rsid w:val="0066269E"/>
    <w:rsid w:val="00665B9F"/>
    <w:rsid w:val="00674CDF"/>
    <w:rsid w:val="006805FE"/>
    <w:rsid w:val="00680C6F"/>
    <w:rsid w:val="00681223"/>
    <w:rsid w:val="00682225"/>
    <w:rsid w:val="00683BDF"/>
    <w:rsid w:val="00685229"/>
    <w:rsid w:val="006875BB"/>
    <w:rsid w:val="0069094B"/>
    <w:rsid w:val="00692BAE"/>
    <w:rsid w:val="0069624A"/>
    <w:rsid w:val="006A25C1"/>
    <w:rsid w:val="006A2843"/>
    <w:rsid w:val="006A383D"/>
    <w:rsid w:val="006A6360"/>
    <w:rsid w:val="006B15C4"/>
    <w:rsid w:val="006B428C"/>
    <w:rsid w:val="006B56BD"/>
    <w:rsid w:val="006B5CCF"/>
    <w:rsid w:val="006B6112"/>
    <w:rsid w:val="006C1037"/>
    <w:rsid w:val="006D2273"/>
    <w:rsid w:val="006D267B"/>
    <w:rsid w:val="006D5CDC"/>
    <w:rsid w:val="006D705B"/>
    <w:rsid w:val="006E0ED6"/>
    <w:rsid w:val="006E5376"/>
    <w:rsid w:val="006E54ED"/>
    <w:rsid w:val="006E6FBC"/>
    <w:rsid w:val="006E7E7B"/>
    <w:rsid w:val="006F3213"/>
    <w:rsid w:val="006F38AB"/>
    <w:rsid w:val="006F4D9F"/>
    <w:rsid w:val="006F7929"/>
    <w:rsid w:val="0070537F"/>
    <w:rsid w:val="00707455"/>
    <w:rsid w:val="0071128C"/>
    <w:rsid w:val="007228CD"/>
    <w:rsid w:val="0073089A"/>
    <w:rsid w:val="00731AE2"/>
    <w:rsid w:val="00740423"/>
    <w:rsid w:val="00742C4C"/>
    <w:rsid w:val="007445AA"/>
    <w:rsid w:val="007458AB"/>
    <w:rsid w:val="00745E1E"/>
    <w:rsid w:val="00747823"/>
    <w:rsid w:val="00752B88"/>
    <w:rsid w:val="00752EAD"/>
    <w:rsid w:val="00753A1D"/>
    <w:rsid w:val="00754A19"/>
    <w:rsid w:val="00761C57"/>
    <w:rsid w:val="0076392F"/>
    <w:rsid w:val="00765206"/>
    <w:rsid w:val="00771E3B"/>
    <w:rsid w:val="00775158"/>
    <w:rsid w:val="00781FB5"/>
    <w:rsid w:val="007903B1"/>
    <w:rsid w:val="0079069F"/>
    <w:rsid w:val="007937FC"/>
    <w:rsid w:val="007A2BFF"/>
    <w:rsid w:val="007A59C8"/>
    <w:rsid w:val="007A5C5D"/>
    <w:rsid w:val="007A5FC5"/>
    <w:rsid w:val="007A6A50"/>
    <w:rsid w:val="007A727F"/>
    <w:rsid w:val="007A7297"/>
    <w:rsid w:val="007B036B"/>
    <w:rsid w:val="007B28BB"/>
    <w:rsid w:val="007C36C2"/>
    <w:rsid w:val="007C5CC4"/>
    <w:rsid w:val="007C7EAC"/>
    <w:rsid w:val="007D1FEC"/>
    <w:rsid w:val="007D26DC"/>
    <w:rsid w:val="007D2D1F"/>
    <w:rsid w:val="007D4B40"/>
    <w:rsid w:val="007D4CA3"/>
    <w:rsid w:val="007D5985"/>
    <w:rsid w:val="007E117D"/>
    <w:rsid w:val="007E1FBA"/>
    <w:rsid w:val="007E6359"/>
    <w:rsid w:val="007E76A2"/>
    <w:rsid w:val="007F099D"/>
    <w:rsid w:val="007F30FB"/>
    <w:rsid w:val="007F3F46"/>
    <w:rsid w:val="007F5170"/>
    <w:rsid w:val="008000BF"/>
    <w:rsid w:val="0080269C"/>
    <w:rsid w:val="00810221"/>
    <w:rsid w:val="00810457"/>
    <w:rsid w:val="008154E0"/>
    <w:rsid w:val="00815AAF"/>
    <w:rsid w:val="00820CE8"/>
    <w:rsid w:val="008266EE"/>
    <w:rsid w:val="00826FDC"/>
    <w:rsid w:val="00827207"/>
    <w:rsid w:val="00832B4A"/>
    <w:rsid w:val="00840E3A"/>
    <w:rsid w:val="00841CEF"/>
    <w:rsid w:val="008459DC"/>
    <w:rsid w:val="00853C13"/>
    <w:rsid w:val="008545F3"/>
    <w:rsid w:val="00856FB1"/>
    <w:rsid w:val="0086024E"/>
    <w:rsid w:val="00860B3E"/>
    <w:rsid w:val="008662C3"/>
    <w:rsid w:val="0087269A"/>
    <w:rsid w:val="0087419C"/>
    <w:rsid w:val="00875C35"/>
    <w:rsid w:val="00880411"/>
    <w:rsid w:val="008859A8"/>
    <w:rsid w:val="00886A94"/>
    <w:rsid w:val="008914D2"/>
    <w:rsid w:val="0089332C"/>
    <w:rsid w:val="008A2D11"/>
    <w:rsid w:val="008A4341"/>
    <w:rsid w:val="008A593B"/>
    <w:rsid w:val="008C198F"/>
    <w:rsid w:val="008C250E"/>
    <w:rsid w:val="008C4BF0"/>
    <w:rsid w:val="008C53D7"/>
    <w:rsid w:val="008D2570"/>
    <w:rsid w:val="008D2D94"/>
    <w:rsid w:val="008D37D2"/>
    <w:rsid w:val="008D7D95"/>
    <w:rsid w:val="008E6747"/>
    <w:rsid w:val="008F1ADC"/>
    <w:rsid w:val="008F2F29"/>
    <w:rsid w:val="008F4674"/>
    <w:rsid w:val="008F5098"/>
    <w:rsid w:val="008F77E9"/>
    <w:rsid w:val="008F7C2B"/>
    <w:rsid w:val="00901827"/>
    <w:rsid w:val="009028E0"/>
    <w:rsid w:val="00907453"/>
    <w:rsid w:val="00907FE0"/>
    <w:rsid w:val="00912840"/>
    <w:rsid w:val="00912D90"/>
    <w:rsid w:val="00923AB5"/>
    <w:rsid w:val="0092592D"/>
    <w:rsid w:val="00925D22"/>
    <w:rsid w:val="00926158"/>
    <w:rsid w:val="009356CF"/>
    <w:rsid w:val="00936F16"/>
    <w:rsid w:val="00937B2B"/>
    <w:rsid w:val="00941A30"/>
    <w:rsid w:val="00947047"/>
    <w:rsid w:val="00947539"/>
    <w:rsid w:val="009507AE"/>
    <w:rsid w:val="0096313F"/>
    <w:rsid w:val="00966ABA"/>
    <w:rsid w:val="00972145"/>
    <w:rsid w:val="00972701"/>
    <w:rsid w:val="00975520"/>
    <w:rsid w:val="00975BF1"/>
    <w:rsid w:val="00996BF7"/>
    <w:rsid w:val="009972DF"/>
    <w:rsid w:val="009A1C4E"/>
    <w:rsid w:val="009A251E"/>
    <w:rsid w:val="009A3C56"/>
    <w:rsid w:val="009A54DC"/>
    <w:rsid w:val="009B32C0"/>
    <w:rsid w:val="009B4ABC"/>
    <w:rsid w:val="009B7419"/>
    <w:rsid w:val="009C0369"/>
    <w:rsid w:val="009C1C85"/>
    <w:rsid w:val="009C7DAE"/>
    <w:rsid w:val="009D5991"/>
    <w:rsid w:val="009D5E91"/>
    <w:rsid w:val="009D62C6"/>
    <w:rsid w:val="009E016A"/>
    <w:rsid w:val="009E360B"/>
    <w:rsid w:val="009E391E"/>
    <w:rsid w:val="009E45B1"/>
    <w:rsid w:val="009E4EC4"/>
    <w:rsid w:val="009E794A"/>
    <w:rsid w:val="009F3137"/>
    <w:rsid w:val="009F4210"/>
    <w:rsid w:val="00A164B0"/>
    <w:rsid w:val="00A17781"/>
    <w:rsid w:val="00A229E6"/>
    <w:rsid w:val="00A26811"/>
    <w:rsid w:val="00A269A5"/>
    <w:rsid w:val="00A301E2"/>
    <w:rsid w:val="00A34E44"/>
    <w:rsid w:val="00A37F28"/>
    <w:rsid w:val="00A414DD"/>
    <w:rsid w:val="00A419C1"/>
    <w:rsid w:val="00A449E5"/>
    <w:rsid w:val="00A53F9C"/>
    <w:rsid w:val="00A541B9"/>
    <w:rsid w:val="00A56436"/>
    <w:rsid w:val="00A63D2F"/>
    <w:rsid w:val="00A667F4"/>
    <w:rsid w:val="00A67D00"/>
    <w:rsid w:val="00A71462"/>
    <w:rsid w:val="00A73A0D"/>
    <w:rsid w:val="00A74C3D"/>
    <w:rsid w:val="00A7771C"/>
    <w:rsid w:val="00A80AB4"/>
    <w:rsid w:val="00A80C2F"/>
    <w:rsid w:val="00A84FBF"/>
    <w:rsid w:val="00A85892"/>
    <w:rsid w:val="00A966AE"/>
    <w:rsid w:val="00A96E06"/>
    <w:rsid w:val="00A9719D"/>
    <w:rsid w:val="00A97ED0"/>
    <w:rsid w:val="00AA18BF"/>
    <w:rsid w:val="00AA618D"/>
    <w:rsid w:val="00AA6E5F"/>
    <w:rsid w:val="00AB0D84"/>
    <w:rsid w:val="00AB3779"/>
    <w:rsid w:val="00AB6DED"/>
    <w:rsid w:val="00AB7D32"/>
    <w:rsid w:val="00AC305C"/>
    <w:rsid w:val="00AC5820"/>
    <w:rsid w:val="00AC5E5D"/>
    <w:rsid w:val="00AC6CCF"/>
    <w:rsid w:val="00AD31E1"/>
    <w:rsid w:val="00AD5E26"/>
    <w:rsid w:val="00AD606C"/>
    <w:rsid w:val="00AE1C19"/>
    <w:rsid w:val="00AE2693"/>
    <w:rsid w:val="00AE3905"/>
    <w:rsid w:val="00AE3E57"/>
    <w:rsid w:val="00AE507F"/>
    <w:rsid w:val="00AE6BD7"/>
    <w:rsid w:val="00AF112C"/>
    <w:rsid w:val="00AF4E7F"/>
    <w:rsid w:val="00AF4E84"/>
    <w:rsid w:val="00AF5978"/>
    <w:rsid w:val="00B02277"/>
    <w:rsid w:val="00B047E2"/>
    <w:rsid w:val="00B0558A"/>
    <w:rsid w:val="00B07BDB"/>
    <w:rsid w:val="00B129A3"/>
    <w:rsid w:val="00B21402"/>
    <w:rsid w:val="00B2196F"/>
    <w:rsid w:val="00B23196"/>
    <w:rsid w:val="00B23401"/>
    <w:rsid w:val="00B329A5"/>
    <w:rsid w:val="00B333E2"/>
    <w:rsid w:val="00B34896"/>
    <w:rsid w:val="00B37FAF"/>
    <w:rsid w:val="00B40CCC"/>
    <w:rsid w:val="00B43244"/>
    <w:rsid w:val="00B43D3D"/>
    <w:rsid w:val="00B509C5"/>
    <w:rsid w:val="00B51C5D"/>
    <w:rsid w:val="00B525C2"/>
    <w:rsid w:val="00B52648"/>
    <w:rsid w:val="00B527F8"/>
    <w:rsid w:val="00B6508B"/>
    <w:rsid w:val="00B65633"/>
    <w:rsid w:val="00B65AE6"/>
    <w:rsid w:val="00B65E53"/>
    <w:rsid w:val="00B70B52"/>
    <w:rsid w:val="00B71D00"/>
    <w:rsid w:val="00B73337"/>
    <w:rsid w:val="00B84382"/>
    <w:rsid w:val="00B918AE"/>
    <w:rsid w:val="00BA1455"/>
    <w:rsid w:val="00BA2AC1"/>
    <w:rsid w:val="00BA7568"/>
    <w:rsid w:val="00BB351F"/>
    <w:rsid w:val="00BB3989"/>
    <w:rsid w:val="00BC1AB0"/>
    <w:rsid w:val="00BC21E9"/>
    <w:rsid w:val="00BC3539"/>
    <w:rsid w:val="00BC6211"/>
    <w:rsid w:val="00BE658D"/>
    <w:rsid w:val="00BE7A4D"/>
    <w:rsid w:val="00C01699"/>
    <w:rsid w:val="00C1023D"/>
    <w:rsid w:val="00C140C2"/>
    <w:rsid w:val="00C17797"/>
    <w:rsid w:val="00C17AE1"/>
    <w:rsid w:val="00C30FA2"/>
    <w:rsid w:val="00C3276C"/>
    <w:rsid w:val="00C32B65"/>
    <w:rsid w:val="00C348AF"/>
    <w:rsid w:val="00C34A60"/>
    <w:rsid w:val="00C34F4D"/>
    <w:rsid w:val="00C362AF"/>
    <w:rsid w:val="00C434DD"/>
    <w:rsid w:val="00C43904"/>
    <w:rsid w:val="00C614CF"/>
    <w:rsid w:val="00C77323"/>
    <w:rsid w:val="00C777B3"/>
    <w:rsid w:val="00C82173"/>
    <w:rsid w:val="00C82A67"/>
    <w:rsid w:val="00C837F2"/>
    <w:rsid w:val="00C85938"/>
    <w:rsid w:val="00C966D6"/>
    <w:rsid w:val="00C973B7"/>
    <w:rsid w:val="00CB554C"/>
    <w:rsid w:val="00CB5B48"/>
    <w:rsid w:val="00CB71DD"/>
    <w:rsid w:val="00CB7CEE"/>
    <w:rsid w:val="00CB7F28"/>
    <w:rsid w:val="00CC266B"/>
    <w:rsid w:val="00CC2931"/>
    <w:rsid w:val="00CC4594"/>
    <w:rsid w:val="00CC49DD"/>
    <w:rsid w:val="00CE2507"/>
    <w:rsid w:val="00CE5298"/>
    <w:rsid w:val="00CF5A26"/>
    <w:rsid w:val="00CF7F13"/>
    <w:rsid w:val="00D04D3A"/>
    <w:rsid w:val="00D05E52"/>
    <w:rsid w:val="00D065D3"/>
    <w:rsid w:val="00D07936"/>
    <w:rsid w:val="00D12EEA"/>
    <w:rsid w:val="00D2026C"/>
    <w:rsid w:val="00D22797"/>
    <w:rsid w:val="00D249CA"/>
    <w:rsid w:val="00D24F1A"/>
    <w:rsid w:val="00D26823"/>
    <w:rsid w:val="00D374FF"/>
    <w:rsid w:val="00D4137A"/>
    <w:rsid w:val="00D50BAE"/>
    <w:rsid w:val="00D51B7A"/>
    <w:rsid w:val="00D5471F"/>
    <w:rsid w:val="00D54946"/>
    <w:rsid w:val="00D5589C"/>
    <w:rsid w:val="00D5622B"/>
    <w:rsid w:val="00D61A50"/>
    <w:rsid w:val="00D63564"/>
    <w:rsid w:val="00D66797"/>
    <w:rsid w:val="00D667EE"/>
    <w:rsid w:val="00D72E45"/>
    <w:rsid w:val="00D760F0"/>
    <w:rsid w:val="00D801CC"/>
    <w:rsid w:val="00DA65A8"/>
    <w:rsid w:val="00DB04F9"/>
    <w:rsid w:val="00DB064A"/>
    <w:rsid w:val="00DB0D36"/>
    <w:rsid w:val="00DB76EC"/>
    <w:rsid w:val="00DC0F04"/>
    <w:rsid w:val="00DC541A"/>
    <w:rsid w:val="00DD1627"/>
    <w:rsid w:val="00DD1AB5"/>
    <w:rsid w:val="00DD1D65"/>
    <w:rsid w:val="00DD2DC2"/>
    <w:rsid w:val="00DD35A4"/>
    <w:rsid w:val="00DD4949"/>
    <w:rsid w:val="00DD6496"/>
    <w:rsid w:val="00DD7FA7"/>
    <w:rsid w:val="00DE4262"/>
    <w:rsid w:val="00DE4999"/>
    <w:rsid w:val="00DF1EF9"/>
    <w:rsid w:val="00E020B6"/>
    <w:rsid w:val="00E1614A"/>
    <w:rsid w:val="00E20794"/>
    <w:rsid w:val="00E25F01"/>
    <w:rsid w:val="00E27E63"/>
    <w:rsid w:val="00E30105"/>
    <w:rsid w:val="00E324F1"/>
    <w:rsid w:val="00E333D5"/>
    <w:rsid w:val="00E3415B"/>
    <w:rsid w:val="00E43F8B"/>
    <w:rsid w:val="00E440EB"/>
    <w:rsid w:val="00E441C5"/>
    <w:rsid w:val="00E52220"/>
    <w:rsid w:val="00E556E4"/>
    <w:rsid w:val="00E561E7"/>
    <w:rsid w:val="00E666BB"/>
    <w:rsid w:val="00E670FD"/>
    <w:rsid w:val="00E73B61"/>
    <w:rsid w:val="00E753AA"/>
    <w:rsid w:val="00E75EBE"/>
    <w:rsid w:val="00E817B2"/>
    <w:rsid w:val="00E82841"/>
    <w:rsid w:val="00E850F8"/>
    <w:rsid w:val="00E92129"/>
    <w:rsid w:val="00E92251"/>
    <w:rsid w:val="00E93F07"/>
    <w:rsid w:val="00E94940"/>
    <w:rsid w:val="00EA11C2"/>
    <w:rsid w:val="00EA4167"/>
    <w:rsid w:val="00EA5D03"/>
    <w:rsid w:val="00EA7CE1"/>
    <w:rsid w:val="00EB3217"/>
    <w:rsid w:val="00EB5563"/>
    <w:rsid w:val="00EB7BD0"/>
    <w:rsid w:val="00EC3F5B"/>
    <w:rsid w:val="00EC7585"/>
    <w:rsid w:val="00ED2AD7"/>
    <w:rsid w:val="00ED31CD"/>
    <w:rsid w:val="00EE3547"/>
    <w:rsid w:val="00EE734A"/>
    <w:rsid w:val="00EF5406"/>
    <w:rsid w:val="00EF63A6"/>
    <w:rsid w:val="00F04053"/>
    <w:rsid w:val="00F04510"/>
    <w:rsid w:val="00F05E53"/>
    <w:rsid w:val="00F11E01"/>
    <w:rsid w:val="00F1362F"/>
    <w:rsid w:val="00F13FA2"/>
    <w:rsid w:val="00F141C9"/>
    <w:rsid w:val="00F15362"/>
    <w:rsid w:val="00F15FB3"/>
    <w:rsid w:val="00F16180"/>
    <w:rsid w:val="00F17809"/>
    <w:rsid w:val="00F20248"/>
    <w:rsid w:val="00F37B11"/>
    <w:rsid w:val="00F37B19"/>
    <w:rsid w:val="00F41E92"/>
    <w:rsid w:val="00F42619"/>
    <w:rsid w:val="00F43E6B"/>
    <w:rsid w:val="00F43F37"/>
    <w:rsid w:val="00F4482F"/>
    <w:rsid w:val="00F47ECA"/>
    <w:rsid w:val="00F5066C"/>
    <w:rsid w:val="00F53D3C"/>
    <w:rsid w:val="00F65D04"/>
    <w:rsid w:val="00F7185D"/>
    <w:rsid w:val="00F826ED"/>
    <w:rsid w:val="00F852ED"/>
    <w:rsid w:val="00F85770"/>
    <w:rsid w:val="00F875BD"/>
    <w:rsid w:val="00F97BA2"/>
    <w:rsid w:val="00FA1C3F"/>
    <w:rsid w:val="00FB1226"/>
    <w:rsid w:val="00FB34C5"/>
    <w:rsid w:val="00FB3938"/>
    <w:rsid w:val="00FB5D8E"/>
    <w:rsid w:val="00FC005D"/>
    <w:rsid w:val="00FC3CFC"/>
    <w:rsid w:val="00FC6366"/>
    <w:rsid w:val="00FC70CA"/>
    <w:rsid w:val="00FD020C"/>
    <w:rsid w:val="00FD3C60"/>
    <w:rsid w:val="00FE0459"/>
    <w:rsid w:val="00FE631C"/>
    <w:rsid w:val="00FF083B"/>
    <w:rsid w:val="00FF0A9E"/>
    <w:rsid w:val="00FF41DC"/>
    <w:rsid w:val="00FF44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2C82"/>
  <w15:docId w15:val="{0D2A3F39-BB9A-418A-ACF4-98BD72E2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paragraph" w:customStyle="1" w:styleId="TOCHeading1">
    <w:name w:val="TOC Heading1"/>
    <w:basedOn w:val="TOC1"/>
    <w:link w:val="TOCheadingChar"/>
    <w:qFormat/>
    <w:rsid w:val="001E6DD5"/>
    <w:pPr>
      <w:keepNext w:val="0"/>
      <w:tabs>
        <w:tab w:val="clear" w:pos="9060"/>
        <w:tab w:val="right" w:leader="dot" w:pos="9350"/>
      </w:tabs>
      <w:spacing w:before="0" w:after="360" w:line="276" w:lineRule="auto"/>
    </w:pPr>
    <w:rPr>
      <w:rFonts w:ascii="Calibri" w:eastAsia="Calibri" w:hAnsi="Calibri"/>
      <w:caps w:val="0"/>
      <w:noProof w:val="0"/>
      <w:color w:val="595959"/>
      <w:sz w:val="28"/>
      <w:szCs w:val="22"/>
      <w:lang w:eastAsia="en-US"/>
    </w:rPr>
  </w:style>
  <w:style w:type="character" w:customStyle="1" w:styleId="TOCheadingChar">
    <w:name w:val="TOC heading Char"/>
    <w:link w:val="TOCHeading1"/>
    <w:rsid w:val="001E6DD5"/>
    <w:rPr>
      <w:rFonts w:ascii="Calibri" w:eastAsia="Calibri" w:hAnsi="Calibri" w:cs="Times New Roman"/>
      <w:b/>
      <w:color w:val="595959"/>
      <w:sz w:val="28"/>
    </w:rPr>
  </w:style>
  <w:style w:type="paragraph" w:customStyle="1" w:styleId="mbullet1">
    <w:name w:val="m_bullet 1"/>
    <w:basedOn w:val="ListParagraph"/>
    <w:qFormat/>
    <w:rsid w:val="001E6DD5"/>
    <w:pPr>
      <w:numPr>
        <w:numId w:val="7"/>
      </w:numPr>
      <w:spacing w:after="0" w:line="276" w:lineRule="auto"/>
      <w:contextualSpacing w:val="0"/>
    </w:pPr>
    <w:rPr>
      <w:rFonts w:ascii="Calibri" w:eastAsia="Calibri" w:hAnsi="Calibri" w:cs="System"/>
      <w:color w:val="808080"/>
      <w:sz w:val="22"/>
      <w:szCs w:val="20"/>
      <w:lang w:eastAsia="en-US"/>
    </w:rPr>
  </w:style>
  <w:style w:type="character" w:styleId="PlaceholderText">
    <w:name w:val="Placeholder Text"/>
    <w:basedOn w:val="DefaultParagraphFont"/>
    <w:uiPriority w:val="99"/>
    <w:semiHidden/>
    <w:rsid w:val="00F13FA2"/>
    <w:rPr>
      <w:color w:val="808080"/>
    </w:rPr>
  </w:style>
  <w:style w:type="character" w:styleId="CommentReference">
    <w:name w:val="annotation reference"/>
    <w:basedOn w:val="DefaultParagraphFont"/>
    <w:uiPriority w:val="99"/>
    <w:semiHidden/>
    <w:unhideWhenUsed/>
    <w:rsid w:val="00880411"/>
    <w:rPr>
      <w:sz w:val="16"/>
      <w:szCs w:val="16"/>
    </w:rPr>
  </w:style>
  <w:style w:type="paragraph" w:styleId="CommentText">
    <w:name w:val="annotation text"/>
    <w:basedOn w:val="Normal"/>
    <w:link w:val="CommentTextChar"/>
    <w:uiPriority w:val="99"/>
    <w:unhideWhenUsed/>
    <w:rsid w:val="00880411"/>
    <w:pPr>
      <w:spacing w:line="240" w:lineRule="auto"/>
    </w:pPr>
    <w:rPr>
      <w:sz w:val="20"/>
      <w:szCs w:val="20"/>
    </w:rPr>
  </w:style>
  <w:style w:type="character" w:customStyle="1" w:styleId="CommentTextChar">
    <w:name w:val="Comment Text Char"/>
    <w:basedOn w:val="DefaultParagraphFont"/>
    <w:link w:val="CommentText"/>
    <w:uiPriority w:val="99"/>
    <w:rsid w:val="00880411"/>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80411"/>
    <w:rPr>
      <w:b/>
      <w:bCs/>
    </w:rPr>
  </w:style>
  <w:style w:type="character" w:customStyle="1" w:styleId="CommentSubjectChar">
    <w:name w:val="Comment Subject Char"/>
    <w:basedOn w:val="CommentTextChar"/>
    <w:link w:val="CommentSubject"/>
    <w:uiPriority w:val="99"/>
    <w:semiHidden/>
    <w:rsid w:val="00880411"/>
    <w:rPr>
      <w:rFonts w:cs="Times New Roman"/>
      <w:b/>
      <w:bCs/>
      <w:sz w:val="20"/>
      <w:szCs w:val="20"/>
      <w:lang w:eastAsia="en-AU"/>
    </w:rPr>
  </w:style>
  <w:style w:type="character" w:styleId="UnresolvedMention">
    <w:name w:val="Unresolved Mention"/>
    <w:basedOn w:val="DefaultParagraphFont"/>
    <w:uiPriority w:val="99"/>
    <w:semiHidden/>
    <w:unhideWhenUsed/>
    <w:rsid w:val="00A667F4"/>
    <w:rPr>
      <w:color w:val="605E5C"/>
      <w:shd w:val="clear" w:color="auto" w:fill="E1DFDD"/>
    </w:rPr>
  </w:style>
  <w:style w:type="paragraph" w:styleId="Revision">
    <w:name w:val="Revision"/>
    <w:hidden/>
    <w:uiPriority w:val="99"/>
    <w:semiHidden/>
    <w:rsid w:val="001024FF"/>
    <w:pPr>
      <w:spacing w:after="0" w:line="240" w:lineRule="auto"/>
    </w:pPr>
    <w:rPr>
      <w:rFonts w:cs="Times New Roman"/>
      <w:sz w:val="21"/>
      <w:szCs w:val="21"/>
      <w:lang w:eastAsia="en-AU"/>
    </w:rPr>
  </w:style>
  <w:style w:type="character" w:styleId="FollowedHyperlink">
    <w:name w:val="FollowedHyperlink"/>
    <w:basedOn w:val="DefaultParagraphFont"/>
    <w:uiPriority w:val="99"/>
    <w:semiHidden/>
    <w:unhideWhenUsed/>
    <w:rsid w:val="0048367B"/>
    <w:rPr>
      <w:color w:val="7F7F7F" w:themeColor="followedHyperlink"/>
      <w:u w:val="single"/>
    </w:rPr>
  </w:style>
  <w:style w:type="paragraph" w:customStyle="1" w:styleId="footnotedescription">
    <w:name w:val="footnote description"/>
    <w:next w:val="Normal"/>
    <w:link w:val="footnotedescriptionChar"/>
    <w:hidden/>
    <w:rsid w:val="00035C40"/>
    <w:pPr>
      <w:spacing w:after="0" w:line="383" w:lineRule="auto"/>
      <w:ind w:left="1"/>
    </w:pPr>
    <w:rPr>
      <w:rFonts w:ascii="Arial" w:eastAsia="Arial" w:hAnsi="Arial" w:cs="Arial"/>
      <w:color w:val="4B5869"/>
      <w:sz w:val="15"/>
      <w:lang w:eastAsia="zh-CN"/>
    </w:rPr>
  </w:style>
  <w:style w:type="character" w:customStyle="1" w:styleId="footnotedescriptionChar">
    <w:name w:val="footnote description Char"/>
    <w:link w:val="footnotedescription"/>
    <w:rsid w:val="00035C40"/>
    <w:rPr>
      <w:rFonts w:ascii="Arial" w:eastAsia="Arial" w:hAnsi="Arial" w:cs="Arial"/>
      <w:color w:val="4B5869"/>
      <w:sz w:val="15"/>
      <w:lang w:eastAsia="zh-CN"/>
    </w:rPr>
  </w:style>
  <w:style w:type="character" w:customStyle="1" w:styleId="footnotemark">
    <w:name w:val="footnote mark"/>
    <w:hidden/>
    <w:rsid w:val="00035C40"/>
    <w:rPr>
      <w:rFonts w:ascii="Arial" w:eastAsia="Arial" w:hAnsi="Arial" w:cs="Arial"/>
      <w:color w:val="4B5869"/>
      <w:sz w:val="15"/>
      <w:vertAlign w:val="superscript"/>
    </w:rPr>
  </w:style>
  <w:style w:type="paragraph" w:styleId="NormalWeb">
    <w:name w:val="Normal (Web)"/>
    <w:basedOn w:val="Normal"/>
    <w:uiPriority w:val="99"/>
    <w:semiHidden/>
    <w:unhideWhenUsed/>
    <w:rsid w:val="00035C4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8002">
      <w:bodyDiv w:val="1"/>
      <w:marLeft w:val="0"/>
      <w:marRight w:val="0"/>
      <w:marTop w:val="0"/>
      <w:marBottom w:val="0"/>
      <w:divBdr>
        <w:top w:val="none" w:sz="0" w:space="0" w:color="auto"/>
        <w:left w:val="none" w:sz="0" w:space="0" w:color="auto"/>
        <w:bottom w:val="none" w:sz="0" w:space="0" w:color="auto"/>
        <w:right w:val="none" w:sz="0" w:space="0" w:color="auto"/>
      </w:divBdr>
    </w:div>
    <w:div w:id="780031673">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220748180">
      <w:bodyDiv w:val="1"/>
      <w:marLeft w:val="0"/>
      <w:marRight w:val="0"/>
      <w:marTop w:val="0"/>
      <w:marBottom w:val="0"/>
      <w:divBdr>
        <w:top w:val="none" w:sz="0" w:space="0" w:color="auto"/>
        <w:left w:val="none" w:sz="0" w:space="0" w:color="auto"/>
        <w:bottom w:val="none" w:sz="0" w:space="0" w:color="auto"/>
        <w:right w:val="none" w:sz="0" w:space="0" w:color="auto"/>
      </w:divBdr>
    </w:div>
    <w:div w:id="1318879049">
      <w:bodyDiv w:val="1"/>
      <w:marLeft w:val="0"/>
      <w:marRight w:val="0"/>
      <w:marTop w:val="0"/>
      <w:marBottom w:val="0"/>
      <w:divBdr>
        <w:top w:val="none" w:sz="0" w:space="0" w:color="auto"/>
        <w:left w:val="none" w:sz="0" w:space="0" w:color="auto"/>
        <w:bottom w:val="none" w:sz="0" w:space="0" w:color="auto"/>
        <w:right w:val="none" w:sz="0" w:space="0" w:color="auto"/>
      </w:divBdr>
    </w:div>
    <w:div w:id="1536498896">
      <w:bodyDiv w:val="1"/>
      <w:marLeft w:val="0"/>
      <w:marRight w:val="0"/>
      <w:marTop w:val="0"/>
      <w:marBottom w:val="0"/>
      <w:divBdr>
        <w:top w:val="none" w:sz="0" w:space="0" w:color="auto"/>
        <w:left w:val="none" w:sz="0" w:space="0" w:color="auto"/>
        <w:bottom w:val="none" w:sz="0" w:space="0" w:color="auto"/>
        <w:right w:val="none" w:sz="0" w:space="0" w:color="auto"/>
      </w:divBdr>
    </w:div>
    <w:div w:id="1565414092">
      <w:bodyDiv w:val="1"/>
      <w:marLeft w:val="0"/>
      <w:marRight w:val="0"/>
      <w:marTop w:val="0"/>
      <w:marBottom w:val="0"/>
      <w:divBdr>
        <w:top w:val="none" w:sz="0" w:space="0" w:color="auto"/>
        <w:left w:val="none" w:sz="0" w:space="0" w:color="auto"/>
        <w:bottom w:val="none" w:sz="0" w:space="0" w:color="auto"/>
        <w:right w:val="none" w:sz="0" w:space="0" w:color="auto"/>
      </w:divBdr>
    </w:div>
    <w:div w:id="1633511833">
      <w:bodyDiv w:val="1"/>
      <w:marLeft w:val="0"/>
      <w:marRight w:val="0"/>
      <w:marTop w:val="0"/>
      <w:marBottom w:val="0"/>
      <w:divBdr>
        <w:top w:val="none" w:sz="0" w:space="0" w:color="auto"/>
        <w:left w:val="none" w:sz="0" w:space="0" w:color="auto"/>
        <w:bottom w:val="none" w:sz="0" w:space="0" w:color="auto"/>
        <w:right w:val="none" w:sz="0" w:space="0" w:color="auto"/>
      </w:divBdr>
    </w:div>
    <w:div w:id="1814178476">
      <w:bodyDiv w:val="1"/>
      <w:marLeft w:val="0"/>
      <w:marRight w:val="0"/>
      <w:marTop w:val="0"/>
      <w:marBottom w:val="0"/>
      <w:divBdr>
        <w:top w:val="none" w:sz="0" w:space="0" w:color="auto"/>
        <w:left w:val="none" w:sz="0" w:space="0" w:color="auto"/>
        <w:bottom w:val="none" w:sz="0" w:space="0" w:color="auto"/>
        <w:right w:val="none" w:sz="0" w:space="0" w:color="auto"/>
      </w:divBdr>
    </w:div>
    <w:div w:id="185240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conomicandRegulatoryPolicy@ac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arliament.act.gov.au/__data/assets/pdf_file/0018/380511/TORscrutiny.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easury.act.gov.au/__data/assets/pdf_file/0005/2612228/Best-Practice-Guide-for-Preparing-Regulatory-Impact-Assess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e%20Halls\AppData\Local\Packages\Microsoft.MicrosoftEdge_8wekyb3d8bbwe\TempState\Downloads\Publication-template-purple%20(1).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1865c0a7-d648-4a74-80fe-fa9dc7fe13cc" origin="userSelected">
  <element uid="a68a5297-83bb-4ba8-a7cd-4b62d6981a77"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49B7B-42EC-4CE2-BDCB-C555EFB29C9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2CA8A605-BD55-49D8-ADE5-4963A52D55F2}">
  <ds:schemaRefs>
    <ds:schemaRef ds:uri="http://schemas.openxmlformats.org/officeDocument/2006/bibliography"/>
  </ds:schemaRefs>
</ds:datastoreItem>
</file>

<file path=customXml/itemProps4.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768B9F4-ACED-42E7-9C6F-59C95F7D1CC4}">
  <ds:schemaRefs>
    <ds:schemaRef ds:uri="http://schemas.microsoft.com/office/infopath/2007/PartnerControls"/>
    <ds:schemaRef ds:uri="http://purl.org/dc/term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Publication-template-purple (1)</Template>
  <TotalTime>13</TotalTime>
  <Pages>2</Pages>
  <Words>1253</Words>
  <Characters>6791</Characters>
  <Application>Microsoft Office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ACT Government Publication template purple</vt:lpstr>
    </vt:vector>
  </TitlesOfParts>
  <Company>ACT Government</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Government Publication template purple</dc:title>
  <dc:subject>Publication template purple</dc:subject>
  <dc:creator>Halls, Luke</dc:creator>
  <cp:lastModifiedBy>Ellwood, Christopher</cp:lastModifiedBy>
  <cp:revision>4</cp:revision>
  <cp:lastPrinted>2024-11-25T21:38:00Z</cp:lastPrinted>
  <dcterms:created xsi:type="dcterms:W3CDTF">2023-10-12T04:27:00Z</dcterms:created>
  <dcterms:modified xsi:type="dcterms:W3CDTF">2024-11-26T05:05:00Z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795d25ba-052f-4482-8f5f-e72d88ac50df</vt:lpwstr>
  </property>
  <property fmtid="{D5CDD505-2E9C-101B-9397-08002B2CF9AE}" pid="3" name="bjSaver">
    <vt:lpwstr>czP009my8v147pm8yrAj+ARtL8RhR5wk</vt:lpwstr>
  </property>
  <property fmtid="{D5CDD505-2E9C-101B-9397-08002B2CF9AE}" pid="4" name="bjDocumentLabelXML">
    <vt:lpwstr>&lt;?xml version="1.0" encoding="us-ascii"?&gt;&lt;sisl xmlns:xsi="http://www.w3.org/2001/XMLSchema-instance" xmlns:xsd="http://www.w3.org/2001/XMLSchema" sislVersion="0" policy="1865c0a7-d648-4a74-80fe-fa9dc7fe13cc" origin="userSelected" xmlns="http://www.boldonj</vt:lpwstr>
  </property>
  <property fmtid="{D5CDD505-2E9C-101B-9397-08002B2CF9AE}" pid="5" name="bjDocumentLabelXML-0">
    <vt:lpwstr>ames.com/2008/01/sie/internal/label"&gt;&lt;element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MSIP_Label_69af8531-eb46-4968-8cb3-105d2f5ea87e_Enabled">
    <vt:lpwstr>true</vt:lpwstr>
  </property>
  <property fmtid="{D5CDD505-2E9C-101B-9397-08002B2CF9AE}" pid="8" name="MSIP_Label_69af8531-eb46-4968-8cb3-105d2f5ea87e_SetDate">
    <vt:lpwstr>2024-11-21T00:34:22Z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e6cda722-f7a9-4709-a005-ec969c32a677</vt:lpwstr>
  </property>
  <property fmtid="{D5CDD505-2E9C-101B-9397-08002B2CF9AE}" pid="13" name="MSIP_Label_69af8531-eb46-4968-8cb3-105d2f5ea87e_ContentBits">
    <vt:lpwstr>0</vt:lpwstr>
  </property>
</Properties>
</file>