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379" w:rsidRDefault="00EF7379" w:rsidP="00EF7379">
      <w:pPr>
        <w:pBdr>
          <w:top w:val="nil"/>
          <w:left w:val="nil"/>
          <w:bottom w:val="nil"/>
          <w:right w:val="nil"/>
          <w:between w:val="nil"/>
          <w:bar w:val="nil"/>
        </w:pBdr>
        <w:rPr>
          <w:bdr w:val="nil"/>
        </w:rPr>
      </w:pPr>
    </w:p>
    <w:p w:rsidR="00EF7379" w:rsidRDefault="00EF7379" w:rsidP="00EF7379">
      <w:pPr>
        <w:pStyle w:val="TOCHeading"/>
        <w:pBdr>
          <w:top w:val="nil"/>
          <w:left w:val="nil"/>
          <w:bottom w:val="nil"/>
          <w:right w:val="nil"/>
          <w:between w:val="nil"/>
          <w:bar w:val="nil"/>
        </w:pBdr>
        <w:jc w:val="center"/>
        <w:outlineLvl w:val="0"/>
        <w:rPr>
          <w:bdr w:val="nil"/>
        </w:rPr>
      </w:pPr>
      <w:bookmarkStart w:id="0" w:name="_Toc514840863"/>
      <w:bookmarkStart w:id="1" w:name="_Toc514840940"/>
      <w:bookmarkStart w:id="2" w:name="_Toc514840995"/>
      <w:r>
        <w:rPr>
          <w:bdr w:val="nil"/>
        </w:rPr>
        <w:t>BUDGET STATEMENTS</w:t>
      </w:r>
      <w:bookmarkEnd w:id="0"/>
      <w:bookmarkEnd w:id="1"/>
      <w:bookmarkEnd w:id="2"/>
    </w:p>
    <w:p w:rsidR="00EF7379" w:rsidRDefault="00EF7379" w:rsidP="00EF7379">
      <w:pPr>
        <w:pStyle w:val="TOCHeading"/>
        <w:pBdr>
          <w:top w:val="nil"/>
          <w:left w:val="nil"/>
          <w:bottom w:val="nil"/>
          <w:right w:val="nil"/>
          <w:between w:val="nil"/>
          <w:bar w:val="nil"/>
        </w:pBdr>
        <w:jc w:val="center"/>
        <w:rPr>
          <w:bdr w:val="nil"/>
          <w:lang w:val="en-AU"/>
        </w:rPr>
      </w:pPr>
      <w:r>
        <w:rPr>
          <w:bdr w:val="nil"/>
        </w:rPr>
        <w:t>2018-19</w:t>
      </w:r>
    </w:p>
    <w:p w:rsidR="00EF7379" w:rsidRDefault="00EF7379" w:rsidP="00EF7379">
      <w:pPr>
        <w:pStyle w:val="TOCHeading"/>
        <w:pBdr>
          <w:top w:val="nil"/>
          <w:left w:val="nil"/>
          <w:bottom w:val="nil"/>
          <w:right w:val="nil"/>
          <w:between w:val="nil"/>
          <w:bar w:val="nil"/>
        </w:pBdr>
        <w:jc w:val="center"/>
        <w:rPr>
          <w:bdr w:val="nil"/>
        </w:rPr>
      </w:pPr>
      <w:r>
        <w:rPr>
          <w:bdr w:val="nil"/>
        </w:rPr>
        <w:t>for</w:t>
      </w:r>
    </w:p>
    <w:p w:rsidR="00EF7379" w:rsidRDefault="00EF7379" w:rsidP="00EF7379">
      <w:pPr>
        <w:pStyle w:val="TOCHeading"/>
        <w:pBdr>
          <w:top w:val="nil"/>
          <w:left w:val="nil"/>
          <w:bottom w:val="nil"/>
          <w:right w:val="nil"/>
          <w:between w:val="nil"/>
          <w:bar w:val="nil"/>
        </w:pBdr>
        <w:jc w:val="center"/>
        <w:rPr>
          <w:bdr w:val="nil"/>
        </w:rPr>
      </w:pPr>
      <w:r>
        <w:rPr>
          <w:bdr w:val="nil"/>
        </w:rPr>
        <w:t xml:space="preserve">Environment, Planning and Sustainable Development Directorate </w:t>
      </w:r>
    </w:p>
    <w:p w:rsidR="00EF7379" w:rsidRDefault="00EF7379" w:rsidP="00EF7379">
      <w:pPr>
        <w:pBdr>
          <w:top w:val="nil"/>
          <w:left w:val="nil"/>
          <w:bottom w:val="nil"/>
          <w:right w:val="nil"/>
          <w:between w:val="nil"/>
          <w:bar w:val="nil"/>
        </w:pBdr>
        <w:spacing w:before="0" w:after="0"/>
        <w:rPr>
          <w:rFonts w:eastAsia="TimesNewRomanPS-ItalicMT"/>
          <w:bdr w:val="nil"/>
        </w:rPr>
      </w:pPr>
    </w:p>
    <w:p w:rsidR="00EF7379" w:rsidRDefault="00EF7379" w:rsidP="00EF7379">
      <w:pPr>
        <w:pBdr>
          <w:top w:val="nil"/>
          <w:left w:val="nil"/>
          <w:bottom w:val="nil"/>
          <w:right w:val="nil"/>
          <w:between w:val="nil"/>
          <w:bar w:val="nil"/>
        </w:pBdr>
        <w:spacing w:before="0" w:after="0"/>
        <w:rPr>
          <w:rFonts w:eastAsia="TimesNewRomanPS-ItalicMT"/>
          <w:bdr w:val="nil"/>
        </w:rPr>
      </w:pPr>
      <w:r>
        <w:rPr>
          <w:rFonts w:eastAsia="TimesNewRomanPS-ItalicMT"/>
          <w:bdr w:val="nil"/>
        </w:rPr>
        <w:br w:type="page"/>
      </w:r>
    </w:p>
    <w:p w:rsidR="00EF7379" w:rsidRPr="0004555B" w:rsidRDefault="00EF7379" w:rsidP="00EF7379">
      <w:pPr>
        <w:pBdr>
          <w:top w:val="nil"/>
          <w:left w:val="nil"/>
          <w:bottom w:val="nil"/>
          <w:right w:val="nil"/>
          <w:between w:val="nil"/>
          <w:bar w:val="nil"/>
        </w:pBdr>
        <w:jc w:val="center"/>
        <w:rPr>
          <w:rFonts w:eastAsia="TimesNewRomanPS-ItalicMT"/>
          <w:bdr w:val="nil"/>
        </w:rPr>
        <w:sectPr w:rsidR="00EF7379" w:rsidRPr="0004555B" w:rsidSect="007114AE">
          <w:headerReference w:type="even" r:id="rId11"/>
          <w:headerReference w:type="default" r:id="rId12"/>
          <w:footerReference w:type="even" r:id="rId13"/>
          <w:headerReference w:type="first" r:id="rId14"/>
          <w:footerReference w:type="first" r:id="rId15"/>
          <w:type w:val="continuous"/>
          <w:pgSz w:w="11906" w:h="16838"/>
          <w:pgMar w:top="1151" w:right="1440" w:bottom="1729" w:left="1440" w:header="720" w:footer="720" w:gutter="0"/>
          <w:pgBorders>
            <w:top w:val="nil"/>
            <w:left w:val="nil"/>
            <w:bottom w:val="nil"/>
            <w:right w:val="nil"/>
          </w:pgBorders>
          <w:cols w:space="720"/>
        </w:sectPr>
      </w:pPr>
      <w:r>
        <w:rPr>
          <w:i/>
          <w:bdr w:val="nil"/>
        </w:rPr>
        <w:t>This page deliberately left blank</w:t>
      </w:r>
    </w:p>
    <w:p w:rsidR="00EF7379" w:rsidRDefault="00EF7379" w:rsidP="00EF7379">
      <w:pPr>
        <w:pStyle w:val="TOC2"/>
        <w:ind w:left="0"/>
        <w:sectPr w:rsidR="00EF7379" w:rsidSect="006A31A4">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51" w:right="1440" w:bottom="1729" w:left="1440" w:header="720" w:footer="720" w:gutter="0"/>
          <w:pgBorders>
            <w:top w:val="nil"/>
            <w:left w:val="nil"/>
            <w:bottom w:val="nil"/>
            <w:right w:val="nil"/>
          </w:pgBorders>
          <w:pgNumType w:fmt="lowerRoman" w:start="1"/>
          <w:cols w:space="720"/>
        </w:sectPr>
      </w:pPr>
    </w:p>
    <w:p w:rsidR="00254C4C" w:rsidRDefault="00A71B8C">
      <w:pPr>
        <w:spacing w:before="0" w:after="0"/>
        <w:sectPr w:rsidR="00254C4C" w:rsidSect="006A31A4">
          <w:type w:val="continuous"/>
          <w:pgSz w:w="11906" w:h="16838"/>
          <w:pgMar w:top="1151" w:right="1440" w:bottom="1729" w:left="1440" w:header="720" w:footer="720" w:gutter="0"/>
          <w:pgBorders>
            <w:top w:val="nil"/>
            <w:left w:val="nil"/>
            <w:bottom w:val="nil"/>
            <w:right w:val="nil"/>
          </w:pgBorders>
          <w:pgNumType w:fmt="lowerRoman" w:start="1"/>
          <w:cols w:space="720"/>
        </w:sectPr>
      </w:pPr>
      <w:r>
        <w:br w:type="page"/>
      </w:r>
    </w:p>
    <w:p w:rsidR="005A110D" w:rsidRDefault="005A110D">
      <w:pPr>
        <w:spacing w:before="0" w:after="0"/>
      </w:pPr>
    </w:p>
    <w:sdt>
      <w:sdtPr>
        <w:rPr>
          <w:b w:val="0"/>
          <w:bCs w:val="0"/>
          <w:sz w:val="24"/>
          <w:szCs w:val="20"/>
          <w:lang w:val="en-AU"/>
        </w:rPr>
        <w:id w:val="-1202316930"/>
        <w:docPartObj>
          <w:docPartGallery w:val="Table of Contents"/>
          <w:docPartUnique/>
        </w:docPartObj>
      </w:sdtPr>
      <w:sdtEndPr>
        <w:rPr>
          <w:noProof/>
        </w:rPr>
      </w:sdtEndPr>
      <w:sdtContent>
        <w:p w:rsidR="005A110D" w:rsidRDefault="005A110D">
          <w:pPr>
            <w:pStyle w:val="TOCHeading"/>
          </w:pPr>
          <w:r>
            <w:t>Contents</w:t>
          </w:r>
        </w:p>
        <w:p w:rsidR="005A110D" w:rsidRDefault="005A110D">
          <w:pPr>
            <w:pStyle w:val="TOC1"/>
            <w:tabs>
              <w:tab w:val="right" w:leader="dot" w:pos="9016"/>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514840996" w:history="1">
            <w:r w:rsidRPr="00B53C9D">
              <w:rPr>
                <w:rStyle w:val="Hyperlink"/>
                <w:noProof/>
                <w:bdr w:val="nil"/>
              </w:rPr>
              <w:t>ENVIRONMENT, PLANNING AND SUSTAINABLE DEVELOPMENT DIRECTORATE</w:t>
            </w:r>
            <w:r>
              <w:rPr>
                <w:noProof/>
                <w:webHidden/>
              </w:rPr>
              <w:tab/>
            </w:r>
            <w:r>
              <w:rPr>
                <w:noProof/>
                <w:webHidden/>
              </w:rPr>
              <w:fldChar w:fldCharType="begin"/>
            </w:r>
            <w:r>
              <w:rPr>
                <w:noProof/>
                <w:webHidden/>
              </w:rPr>
              <w:instrText xml:space="preserve"> PAGEREF _Toc514840996 \h </w:instrText>
            </w:r>
            <w:r>
              <w:rPr>
                <w:noProof/>
                <w:webHidden/>
              </w:rPr>
            </w:r>
            <w:r>
              <w:rPr>
                <w:noProof/>
                <w:webHidden/>
              </w:rPr>
              <w:fldChar w:fldCharType="separate"/>
            </w:r>
            <w:r w:rsidR="007C7EB0">
              <w:rPr>
                <w:noProof/>
                <w:webHidden/>
              </w:rPr>
              <w:t>1</w:t>
            </w:r>
            <w:r>
              <w:rPr>
                <w:noProof/>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0997" w:history="1">
            <w:r w:rsidR="005A110D" w:rsidRPr="00B53C9D">
              <w:rPr>
                <w:rStyle w:val="Hyperlink"/>
              </w:rPr>
              <w:t>Purpose</w:t>
            </w:r>
            <w:r w:rsidR="005A110D">
              <w:rPr>
                <w:webHidden/>
              </w:rPr>
              <w:tab/>
            </w:r>
            <w:r w:rsidR="005A110D">
              <w:rPr>
                <w:webHidden/>
              </w:rPr>
              <w:fldChar w:fldCharType="begin"/>
            </w:r>
            <w:r w:rsidR="005A110D">
              <w:rPr>
                <w:webHidden/>
              </w:rPr>
              <w:instrText xml:space="preserve"> PAGEREF _Toc514840997 \h </w:instrText>
            </w:r>
            <w:r w:rsidR="005A110D">
              <w:rPr>
                <w:webHidden/>
              </w:rPr>
            </w:r>
            <w:r w:rsidR="005A110D">
              <w:rPr>
                <w:webHidden/>
              </w:rPr>
              <w:fldChar w:fldCharType="separate"/>
            </w:r>
            <w:r w:rsidR="007C7EB0">
              <w:rPr>
                <w:webHidden/>
              </w:rPr>
              <w:t>1</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0998" w:history="1">
            <w:r w:rsidR="005A110D" w:rsidRPr="00B53C9D">
              <w:rPr>
                <w:rStyle w:val="Hyperlink"/>
              </w:rPr>
              <w:t>2018-19 Priorities</w:t>
            </w:r>
            <w:r w:rsidR="005A110D">
              <w:rPr>
                <w:webHidden/>
              </w:rPr>
              <w:tab/>
            </w:r>
            <w:r w:rsidR="005A110D">
              <w:rPr>
                <w:webHidden/>
              </w:rPr>
              <w:fldChar w:fldCharType="begin"/>
            </w:r>
            <w:r w:rsidR="005A110D">
              <w:rPr>
                <w:webHidden/>
              </w:rPr>
              <w:instrText xml:space="preserve"> PAGEREF _Toc514840998 \h </w:instrText>
            </w:r>
            <w:r w:rsidR="005A110D">
              <w:rPr>
                <w:webHidden/>
              </w:rPr>
            </w:r>
            <w:r w:rsidR="005A110D">
              <w:rPr>
                <w:webHidden/>
              </w:rPr>
              <w:fldChar w:fldCharType="separate"/>
            </w:r>
            <w:r w:rsidR="007C7EB0">
              <w:rPr>
                <w:webHidden/>
              </w:rPr>
              <w:t>2</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0999" w:history="1">
            <w:r w:rsidR="005A110D" w:rsidRPr="00B53C9D">
              <w:rPr>
                <w:rStyle w:val="Hyperlink"/>
              </w:rPr>
              <w:t>Estimated Employment Level</w:t>
            </w:r>
            <w:r w:rsidR="005A110D">
              <w:rPr>
                <w:webHidden/>
              </w:rPr>
              <w:tab/>
            </w:r>
            <w:r w:rsidR="005A110D">
              <w:rPr>
                <w:webHidden/>
              </w:rPr>
              <w:fldChar w:fldCharType="begin"/>
            </w:r>
            <w:r w:rsidR="005A110D">
              <w:rPr>
                <w:webHidden/>
              </w:rPr>
              <w:instrText xml:space="preserve"> PAGEREF _Toc514840999 \h </w:instrText>
            </w:r>
            <w:r w:rsidR="005A110D">
              <w:rPr>
                <w:webHidden/>
              </w:rPr>
            </w:r>
            <w:r w:rsidR="005A110D">
              <w:rPr>
                <w:webHidden/>
              </w:rPr>
              <w:fldChar w:fldCharType="separate"/>
            </w:r>
            <w:r w:rsidR="007C7EB0">
              <w:rPr>
                <w:webHidden/>
              </w:rPr>
              <w:t>6</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00" w:history="1">
            <w:r w:rsidR="005A110D" w:rsidRPr="00B53C9D">
              <w:rPr>
                <w:rStyle w:val="Hyperlink"/>
              </w:rPr>
              <w:t>Strategic Objectives and Indicators</w:t>
            </w:r>
            <w:r w:rsidR="005A110D">
              <w:rPr>
                <w:webHidden/>
              </w:rPr>
              <w:tab/>
            </w:r>
            <w:r w:rsidR="005A110D">
              <w:rPr>
                <w:webHidden/>
              </w:rPr>
              <w:fldChar w:fldCharType="begin"/>
            </w:r>
            <w:r w:rsidR="005A110D">
              <w:rPr>
                <w:webHidden/>
              </w:rPr>
              <w:instrText xml:space="preserve"> PAGEREF _Toc514841000 \h </w:instrText>
            </w:r>
            <w:r w:rsidR="005A110D">
              <w:rPr>
                <w:webHidden/>
              </w:rPr>
            </w:r>
            <w:r w:rsidR="005A110D">
              <w:rPr>
                <w:webHidden/>
              </w:rPr>
              <w:fldChar w:fldCharType="separate"/>
            </w:r>
            <w:r w:rsidR="007C7EB0">
              <w:rPr>
                <w:webHidden/>
              </w:rPr>
              <w:t>6</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06" w:history="1">
            <w:r w:rsidR="005A110D" w:rsidRPr="00B53C9D">
              <w:rPr>
                <w:rStyle w:val="Hyperlink"/>
              </w:rPr>
              <w:t>Output Classes</w:t>
            </w:r>
            <w:r w:rsidR="005A110D">
              <w:rPr>
                <w:webHidden/>
              </w:rPr>
              <w:tab/>
            </w:r>
            <w:r w:rsidR="005A110D">
              <w:rPr>
                <w:webHidden/>
              </w:rPr>
              <w:fldChar w:fldCharType="begin"/>
            </w:r>
            <w:r w:rsidR="005A110D">
              <w:rPr>
                <w:webHidden/>
              </w:rPr>
              <w:instrText xml:space="preserve"> PAGEREF _Toc514841006 \h </w:instrText>
            </w:r>
            <w:r w:rsidR="005A110D">
              <w:rPr>
                <w:webHidden/>
              </w:rPr>
            </w:r>
            <w:r w:rsidR="005A110D">
              <w:rPr>
                <w:webHidden/>
              </w:rPr>
              <w:fldChar w:fldCharType="separate"/>
            </w:r>
            <w:r w:rsidR="007C7EB0">
              <w:rPr>
                <w:webHidden/>
              </w:rPr>
              <w:t>12</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14" w:history="1">
            <w:r w:rsidR="005A110D" w:rsidRPr="00B53C9D">
              <w:rPr>
                <w:rStyle w:val="Hyperlink"/>
              </w:rPr>
              <w:t>Accountability Indicators</w:t>
            </w:r>
            <w:r w:rsidR="005A110D">
              <w:rPr>
                <w:webHidden/>
              </w:rPr>
              <w:tab/>
            </w:r>
            <w:r w:rsidR="005A110D">
              <w:rPr>
                <w:webHidden/>
              </w:rPr>
              <w:fldChar w:fldCharType="begin"/>
            </w:r>
            <w:r w:rsidR="005A110D">
              <w:rPr>
                <w:webHidden/>
              </w:rPr>
              <w:instrText xml:space="preserve"> PAGEREF _Toc514841014 \h </w:instrText>
            </w:r>
            <w:r w:rsidR="005A110D">
              <w:rPr>
                <w:webHidden/>
              </w:rPr>
            </w:r>
            <w:r w:rsidR="005A110D">
              <w:rPr>
                <w:webHidden/>
              </w:rPr>
              <w:fldChar w:fldCharType="separate"/>
            </w:r>
            <w:r w:rsidR="007C7EB0">
              <w:rPr>
                <w:webHidden/>
              </w:rPr>
              <w:t>18</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22" w:history="1">
            <w:r w:rsidR="005A110D" w:rsidRPr="00B53C9D">
              <w:rPr>
                <w:rStyle w:val="Hyperlink"/>
              </w:rPr>
              <w:t>Changes to Appropriation</w:t>
            </w:r>
            <w:r w:rsidR="005A110D">
              <w:rPr>
                <w:webHidden/>
              </w:rPr>
              <w:tab/>
            </w:r>
            <w:r w:rsidR="005A110D">
              <w:rPr>
                <w:webHidden/>
              </w:rPr>
              <w:fldChar w:fldCharType="begin"/>
            </w:r>
            <w:r w:rsidR="005A110D">
              <w:rPr>
                <w:webHidden/>
              </w:rPr>
              <w:instrText xml:space="preserve"> PAGEREF _Toc514841022 \h </w:instrText>
            </w:r>
            <w:r w:rsidR="005A110D">
              <w:rPr>
                <w:webHidden/>
              </w:rPr>
            </w:r>
            <w:r w:rsidR="005A110D">
              <w:rPr>
                <w:webHidden/>
              </w:rPr>
              <w:fldChar w:fldCharType="separate"/>
            </w:r>
            <w:r w:rsidR="007C7EB0">
              <w:rPr>
                <w:webHidden/>
              </w:rPr>
              <w:t>26</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25" w:history="1">
            <w:r w:rsidR="005A110D" w:rsidRPr="00B53C9D">
              <w:rPr>
                <w:rStyle w:val="Hyperlink"/>
              </w:rPr>
              <w:t>Summary of 2018-19 Infrastructure Program</w:t>
            </w:r>
            <w:r w:rsidR="005A110D">
              <w:rPr>
                <w:webHidden/>
              </w:rPr>
              <w:tab/>
            </w:r>
            <w:r w:rsidR="005A110D">
              <w:rPr>
                <w:webHidden/>
              </w:rPr>
              <w:fldChar w:fldCharType="begin"/>
            </w:r>
            <w:r w:rsidR="005A110D">
              <w:rPr>
                <w:webHidden/>
              </w:rPr>
              <w:instrText xml:space="preserve"> PAGEREF _Toc514841025 \h </w:instrText>
            </w:r>
            <w:r w:rsidR="005A110D">
              <w:rPr>
                <w:webHidden/>
              </w:rPr>
            </w:r>
            <w:r w:rsidR="005A110D">
              <w:rPr>
                <w:webHidden/>
              </w:rPr>
              <w:fldChar w:fldCharType="separate"/>
            </w:r>
            <w:r w:rsidR="007C7EB0">
              <w:rPr>
                <w:webHidden/>
              </w:rPr>
              <w:t>33</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26" w:history="1">
            <w:r w:rsidR="005A110D" w:rsidRPr="00B53C9D">
              <w:rPr>
                <w:rStyle w:val="Hyperlink"/>
              </w:rPr>
              <w:t>Financi</w:t>
            </w:r>
            <w:r w:rsidR="00BF0ECF">
              <w:rPr>
                <w:rStyle w:val="Hyperlink"/>
              </w:rPr>
              <w:t>al Statements – Controlled</w:t>
            </w:r>
            <w:r w:rsidR="005A110D">
              <w:rPr>
                <w:webHidden/>
              </w:rPr>
              <w:tab/>
            </w:r>
            <w:r w:rsidR="005A110D">
              <w:rPr>
                <w:webHidden/>
              </w:rPr>
              <w:fldChar w:fldCharType="begin"/>
            </w:r>
            <w:r w:rsidR="005A110D">
              <w:rPr>
                <w:webHidden/>
              </w:rPr>
              <w:instrText xml:space="preserve"> PAGEREF _Toc514841026 \h </w:instrText>
            </w:r>
            <w:r w:rsidR="005A110D">
              <w:rPr>
                <w:webHidden/>
              </w:rPr>
            </w:r>
            <w:r w:rsidR="005A110D">
              <w:rPr>
                <w:webHidden/>
              </w:rPr>
              <w:fldChar w:fldCharType="separate"/>
            </w:r>
            <w:r w:rsidR="007C7EB0">
              <w:rPr>
                <w:webHidden/>
              </w:rPr>
              <w:t>35</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32" w:history="1">
            <w:r w:rsidR="005A110D" w:rsidRPr="00B53C9D">
              <w:rPr>
                <w:rStyle w:val="Hyperlink"/>
              </w:rPr>
              <w:t>Financia</w:t>
            </w:r>
            <w:r w:rsidR="00BF0ECF">
              <w:rPr>
                <w:rStyle w:val="Hyperlink"/>
              </w:rPr>
              <w:t>l Statements – Territorial</w:t>
            </w:r>
            <w:r w:rsidR="005A110D">
              <w:rPr>
                <w:webHidden/>
              </w:rPr>
              <w:tab/>
            </w:r>
            <w:r w:rsidR="005A110D">
              <w:rPr>
                <w:webHidden/>
              </w:rPr>
              <w:fldChar w:fldCharType="begin"/>
            </w:r>
            <w:r w:rsidR="005A110D">
              <w:rPr>
                <w:webHidden/>
              </w:rPr>
              <w:instrText xml:space="preserve"> PAGEREF _Toc514841032 \h </w:instrText>
            </w:r>
            <w:r w:rsidR="005A110D">
              <w:rPr>
                <w:webHidden/>
              </w:rPr>
            </w:r>
            <w:r w:rsidR="005A110D">
              <w:rPr>
                <w:webHidden/>
              </w:rPr>
              <w:fldChar w:fldCharType="separate"/>
            </w:r>
            <w:r w:rsidR="007C7EB0">
              <w:rPr>
                <w:webHidden/>
              </w:rPr>
              <w:t>44</w:t>
            </w:r>
            <w:r w:rsidR="005A110D">
              <w:rPr>
                <w:webHidden/>
              </w:rPr>
              <w:fldChar w:fldCharType="end"/>
            </w:r>
          </w:hyperlink>
        </w:p>
        <w:p w:rsidR="005A110D" w:rsidRDefault="002467AD">
          <w:pPr>
            <w:pStyle w:val="TOC1"/>
            <w:tabs>
              <w:tab w:val="right" w:leader="dot" w:pos="9016"/>
            </w:tabs>
            <w:rPr>
              <w:rFonts w:asciiTheme="minorHAnsi" w:eastAsiaTheme="minorEastAsia" w:hAnsiTheme="minorHAnsi" w:cstheme="minorBidi"/>
              <w:noProof/>
              <w:sz w:val="22"/>
              <w:szCs w:val="22"/>
              <w:lang w:eastAsia="en-AU"/>
            </w:rPr>
          </w:pPr>
          <w:hyperlink w:anchor="_Toc514841037" w:history="1">
            <w:r w:rsidR="005A110D" w:rsidRPr="00B53C9D">
              <w:rPr>
                <w:rStyle w:val="Hyperlink"/>
                <w:noProof/>
              </w:rPr>
              <w:t>CITY RENEWAL AUTHORITY – STATEMENT OF INTENT</w:t>
            </w:r>
            <w:r w:rsidR="005A110D">
              <w:rPr>
                <w:noProof/>
                <w:webHidden/>
              </w:rPr>
              <w:tab/>
            </w:r>
            <w:r w:rsidR="005A110D">
              <w:rPr>
                <w:noProof/>
                <w:webHidden/>
              </w:rPr>
              <w:fldChar w:fldCharType="begin"/>
            </w:r>
            <w:r w:rsidR="005A110D">
              <w:rPr>
                <w:noProof/>
                <w:webHidden/>
              </w:rPr>
              <w:instrText xml:space="preserve"> PAGEREF _Toc514841037 \h </w:instrText>
            </w:r>
            <w:r w:rsidR="005A110D">
              <w:rPr>
                <w:noProof/>
                <w:webHidden/>
              </w:rPr>
            </w:r>
            <w:r w:rsidR="005A110D">
              <w:rPr>
                <w:noProof/>
                <w:webHidden/>
              </w:rPr>
              <w:fldChar w:fldCharType="separate"/>
            </w:r>
            <w:r w:rsidR="007C7EB0">
              <w:rPr>
                <w:noProof/>
                <w:webHidden/>
              </w:rPr>
              <w:t>56</w:t>
            </w:r>
            <w:r w:rsidR="005A110D">
              <w:rPr>
                <w:noProof/>
                <w:webHidden/>
              </w:rPr>
              <w:fldChar w:fldCharType="end"/>
            </w:r>
          </w:hyperlink>
        </w:p>
        <w:p w:rsidR="005A110D" w:rsidRDefault="002467AD">
          <w:pPr>
            <w:pStyle w:val="TOC1"/>
            <w:tabs>
              <w:tab w:val="right" w:leader="dot" w:pos="9016"/>
            </w:tabs>
            <w:rPr>
              <w:rFonts w:asciiTheme="minorHAnsi" w:eastAsiaTheme="minorEastAsia" w:hAnsiTheme="minorHAnsi" w:cstheme="minorBidi"/>
              <w:noProof/>
              <w:sz w:val="22"/>
              <w:szCs w:val="22"/>
              <w:lang w:eastAsia="en-AU"/>
            </w:rPr>
          </w:pPr>
          <w:hyperlink w:anchor="_Toc514841038" w:history="1">
            <w:r w:rsidR="005A110D" w:rsidRPr="00B53C9D">
              <w:rPr>
                <w:rStyle w:val="Hyperlink"/>
                <w:noProof/>
              </w:rPr>
              <w:t>CITY RENEWAL AUTHORITY</w:t>
            </w:r>
            <w:r w:rsidR="005A110D">
              <w:rPr>
                <w:noProof/>
                <w:webHidden/>
              </w:rPr>
              <w:tab/>
            </w:r>
            <w:r w:rsidR="005A110D">
              <w:rPr>
                <w:noProof/>
                <w:webHidden/>
              </w:rPr>
              <w:fldChar w:fldCharType="begin"/>
            </w:r>
            <w:r w:rsidR="005A110D">
              <w:rPr>
                <w:noProof/>
                <w:webHidden/>
              </w:rPr>
              <w:instrText xml:space="preserve"> PAGEREF _Toc514841038 \h </w:instrText>
            </w:r>
            <w:r w:rsidR="005A110D">
              <w:rPr>
                <w:noProof/>
                <w:webHidden/>
              </w:rPr>
            </w:r>
            <w:r w:rsidR="005A110D">
              <w:rPr>
                <w:noProof/>
                <w:webHidden/>
              </w:rPr>
              <w:fldChar w:fldCharType="separate"/>
            </w:r>
            <w:r w:rsidR="007C7EB0">
              <w:rPr>
                <w:noProof/>
                <w:webHidden/>
              </w:rPr>
              <w:t>57</w:t>
            </w:r>
            <w:r w:rsidR="005A110D">
              <w:rPr>
                <w:noProof/>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39" w:history="1">
            <w:r w:rsidR="005A110D" w:rsidRPr="00B53C9D">
              <w:rPr>
                <w:rStyle w:val="Hyperlink"/>
              </w:rPr>
              <w:t>Purpose</w:t>
            </w:r>
            <w:r w:rsidR="005A110D">
              <w:rPr>
                <w:webHidden/>
              </w:rPr>
              <w:tab/>
            </w:r>
            <w:r w:rsidR="005A110D">
              <w:rPr>
                <w:webHidden/>
              </w:rPr>
              <w:fldChar w:fldCharType="begin"/>
            </w:r>
            <w:r w:rsidR="005A110D">
              <w:rPr>
                <w:webHidden/>
              </w:rPr>
              <w:instrText xml:space="preserve"> PAGEREF _Toc514841039 \h </w:instrText>
            </w:r>
            <w:r w:rsidR="005A110D">
              <w:rPr>
                <w:webHidden/>
              </w:rPr>
            </w:r>
            <w:r w:rsidR="005A110D">
              <w:rPr>
                <w:webHidden/>
              </w:rPr>
              <w:fldChar w:fldCharType="separate"/>
            </w:r>
            <w:r w:rsidR="007C7EB0">
              <w:rPr>
                <w:webHidden/>
              </w:rPr>
              <w:t>57</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0" w:history="1">
            <w:r w:rsidR="005A110D" w:rsidRPr="00B53C9D">
              <w:rPr>
                <w:rStyle w:val="Hyperlink"/>
              </w:rPr>
              <w:t>Nature and scope of activities</w:t>
            </w:r>
            <w:r w:rsidR="005A110D">
              <w:rPr>
                <w:webHidden/>
              </w:rPr>
              <w:tab/>
            </w:r>
            <w:r w:rsidR="005A110D">
              <w:rPr>
                <w:webHidden/>
              </w:rPr>
              <w:fldChar w:fldCharType="begin"/>
            </w:r>
            <w:r w:rsidR="005A110D">
              <w:rPr>
                <w:webHidden/>
              </w:rPr>
              <w:instrText xml:space="preserve"> PAGEREF _Toc514841040 \h </w:instrText>
            </w:r>
            <w:r w:rsidR="005A110D">
              <w:rPr>
                <w:webHidden/>
              </w:rPr>
            </w:r>
            <w:r w:rsidR="005A110D">
              <w:rPr>
                <w:webHidden/>
              </w:rPr>
              <w:fldChar w:fldCharType="separate"/>
            </w:r>
            <w:r w:rsidR="007C7EB0">
              <w:rPr>
                <w:webHidden/>
              </w:rPr>
              <w:t>58</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2" w:history="1">
            <w:r w:rsidR="00991D1B">
              <w:rPr>
                <w:rStyle w:val="Hyperlink"/>
              </w:rPr>
              <w:t>2018-19 P</w:t>
            </w:r>
            <w:r w:rsidR="005A110D" w:rsidRPr="00B53C9D">
              <w:rPr>
                <w:rStyle w:val="Hyperlink"/>
              </w:rPr>
              <w:t>riorities</w:t>
            </w:r>
            <w:r w:rsidR="005A110D">
              <w:rPr>
                <w:webHidden/>
              </w:rPr>
              <w:tab/>
            </w:r>
            <w:r w:rsidR="005A110D">
              <w:rPr>
                <w:webHidden/>
              </w:rPr>
              <w:fldChar w:fldCharType="begin"/>
            </w:r>
            <w:r w:rsidR="005A110D">
              <w:rPr>
                <w:webHidden/>
              </w:rPr>
              <w:instrText xml:space="preserve"> PAGEREF _Toc514841042 \h </w:instrText>
            </w:r>
            <w:r w:rsidR="005A110D">
              <w:rPr>
                <w:webHidden/>
              </w:rPr>
            </w:r>
            <w:r w:rsidR="005A110D">
              <w:rPr>
                <w:webHidden/>
              </w:rPr>
              <w:fldChar w:fldCharType="separate"/>
            </w:r>
            <w:r w:rsidR="007C7EB0">
              <w:rPr>
                <w:webHidden/>
              </w:rPr>
              <w:t>60</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3" w:history="1">
            <w:r w:rsidR="005A110D" w:rsidRPr="00B53C9D">
              <w:rPr>
                <w:rStyle w:val="Hyperlink"/>
              </w:rPr>
              <w:t>Estimated Employment Level and Employment Profile</w:t>
            </w:r>
            <w:r w:rsidR="005A110D">
              <w:rPr>
                <w:webHidden/>
              </w:rPr>
              <w:tab/>
            </w:r>
            <w:r w:rsidR="005A110D">
              <w:rPr>
                <w:webHidden/>
              </w:rPr>
              <w:fldChar w:fldCharType="begin"/>
            </w:r>
            <w:r w:rsidR="005A110D">
              <w:rPr>
                <w:webHidden/>
              </w:rPr>
              <w:instrText xml:space="preserve"> PAGEREF _Toc514841043 \h </w:instrText>
            </w:r>
            <w:r w:rsidR="005A110D">
              <w:rPr>
                <w:webHidden/>
              </w:rPr>
            </w:r>
            <w:r w:rsidR="005A110D">
              <w:rPr>
                <w:webHidden/>
              </w:rPr>
              <w:fldChar w:fldCharType="separate"/>
            </w:r>
            <w:r w:rsidR="007C7EB0">
              <w:rPr>
                <w:webHidden/>
              </w:rPr>
              <w:t>62</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4" w:history="1">
            <w:r w:rsidR="005A110D" w:rsidRPr="00B53C9D">
              <w:rPr>
                <w:rStyle w:val="Hyperlink"/>
              </w:rPr>
              <w:t>Key performance indicators for 2018-19 to 2021-2022</w:t>
            </w:r>
            <w:r w:rsidR="005A110D">
              <w:rPr>
                <w:webHidden/>
              </w:rPr>
              <w:tab/>
            </w:r>
            <w:r w:rsidR="005A110D">
              <w:rPr>
                <w:webHidden/>
              </w:rPr>
              <w:fldChar w:fldCharType="begin"/>
            </w:r>
            <w:r w:rsidR="005A110D">
              <w:rPr>
                <w:webHidden/>
              </w:rPr>
              <w:instrText xml:space="preserve"> PAGEREF _Toc514841044 \h </w:instrText>
            </w:r>
            <w:r w:rsidR="005A110D">
              <w:rPr>
                <w:webHidden/>
              </w:rPr>
            </w:r>
            <w:r w:rsidR="005A110D">
              <w:rPr>
                <w:webHidden/>
              </w:rPr>
              <w:fldChar w:fldCharType="separate"/>
            </w:r>
            <w:r w:rsidR="007C7EB0">
              <w:rPr>
                <w:webHidden/>
              </w:rPr>
              <w:t>63</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5" w:history="1">
            <w:r w:rsidR="005A110D" w:rsidRPr="00B53C9D">
              <w:rPr>
                <w:rStyle w:val="Hyperlink"/>
              </w:rPr>
              <w:t>Changes to Appropriation</w:t>
            </w:r>
            <w:r w:rsidR="005A110D">
              <w:rPr>
                <w:webHidden/>
              </w:rPr>
              <w:tab/>
            </w:r>
            <w:r w:rsidR="005A110D">
              <w:rPr>
                <w:webHidden/>
              </w:rPr>
              <w:fldChar w:fldCharType="begin"/>
            </w:r>
            <w:r w:rsidR="005A110D">
              <w:rPr>
                <w:webHidden/>
              </w:rPr>
              <w:instrText xml:space="preserve"> PAGEREF _Toc514841045 \h </w:instrText>
            </w:r>
            <w:r w:rsidR="005A110D">
              <w:rPr>
                <w:webHidden/>
              </w:rPr>
            </w:r>
            <w:r w:rsidR="005A110D">
              <w:rPr>
                <w:webHidden/>
              </w:rPr>
              <w:fldChar w:fldCharType="separate"/>
            </w:r>
            <w:r w:rsidR="007C7EB0">
              <w:rPr>
                <w:webHidden/>
              </w:rPr>
              <w:t>68</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7" w:history="1">
            <w:r w:rsidR="005A110D" w:rsidRPr="00B53C9D">
              <w:rPr>
                <w:rStyle w:val="Hyperlink"/>
              </w:rPr>
              <w:t>Monitoring and Reporting</w:t>
            </w:r>
            <w:r w:rsidR="005A110D">
              <w:rPr>
                <w:webHidden/>
              </w:rPr>
              <w:tab/>
            </w:r>
            <w:r w:rsidR="005A110D">
              <w:rPr>
                <w:webHidden/>
              </w:rPr>
              <w:fldChar w:fldCharType="begin"/>
            </w:r>
            <w:r w:rsidR="005A110D">
              <w:rPr>
                <w:webHidden/>
              </w:rPr>
              <w:instrText xml:space="preserve"> PAGEREF _Toc514841047 \h </w:instrText>
            </w:r>
            <w:r w:rsidR="005A110D">
              <w:rPr>
                <w:webHidden/>
              </w:rPr>
            </w:r>
            <w:r w:rsidR="005A110D">
              <w:rPr>
                <w:webHidden/>
              </w:rPr>
              <w:fldChar w:fldCharType="separate"/>
            </w:r>
            <w:r w:rsidR="007C7EB0">
              <w:rPr>
                <w:webHidden/>
              </w:rPr>
              <w:t>70</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8" w:history="1">
            <w:r w:rsidR="005A110D" w:rsidRPr="00B53C9D">
              <w:rPr>
                <w:rStyle w:val="Hyperlink"/>
              </w:rPr>
              <w:t>Financial arrangements</w:t>
            </w:r>
            <w:r w:rsidR="005A110D">
              <w:rPr>
                <w:webHidden/>
              </w:rPr>
              <w:tab/>
            </w:r>
            <w:r w:rsidR="005A110D">
              <w:rPr>
                <w:webHidden/>
              </w:rPr>
              <w:fldChar w:fldCharType="begin"/>
            </w:r>
            <w:r w:rsidR="005A110D">
              <w:rPr>
                <w:webHidden/>
              </w:rPr>
              <w:instrText xml:space="preserve"> PAGEREF _Toc514841048 \h </w:instrText>
            </w:r>
            <w:r w:rsidR="005A110D">
              <w:rPr>
                <w:webHidden/>
              </w:rPr>
            </w:r>
            <w:r w:rsidR="005A110D">
              <w:rPr>
                <w:webHidden/>
              </w:rPr>
              <w:fldChar w:fldCharType="separate"/>
            </w:r>
            <w:r w:rsidR="007C7EB0">
              <w:rPr>
                <w:webHidden/>
              </w:rPr>
              <w:t>71</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49" w:history="1">
            <w:r w:rsidR="005A110D" w:rsidRPr="00B53C9D">
              <w:rPr>
                <w:rStyle w:val="Hyperlink"/>
              </w:rPr>
              <w:t>Financi</w:t>
            </w:r>
            <w:r w:rsidR="00BF0ECF">
              <w:rPr>
                <w:rStyle w:val="Hyperlink"/>
              </w:rPr>
              <w:t>al Statements</w:t>
            </w:r>
            <w:r w:rsidR="005A110D">
              <w:rPr>
                <w:webHidden/>
              </w:rPr>
              <w:tab/>
            </w:r>
            <w:r w:rsidR="005A110D">
              <w:rPr>
                <w:webHidden/>
              </w:rPr>
              <w:fldChar w:fldCharType="begin"/>
            </w:r>
            <w:r w:rsidR="005A110D">
              <w:rPr>
                <w:webHidden/>
              </w:rPr>
              <w:instrText xml:space="preserve"> PAGEREF _Toc514841049 \h </w:instrText>
            </w:r>
            <w:r w:rsidR="005A110D">
              <w:rPr>
                <w:webHidden/>
              </w:rPr>
            </w:r>
            <w:r w:rsidR="005A110D">
              <w:rPr>
                <w:webHidden/>
              </w:rPr>
              <w:fldChar w:fldCharType="separate"/>
            </w:r>
            <w:r w:rsidR="007C7EB0">
              <w:rPr>
                <w:webHidden/>
              </w:rPr>
              <w:t>72</w:t>
            </w:r>
            <w:r w:rsidR="005A110D">
              <w:rPr>
                <w:webHidden/>
              </w:rPr>
              <w:fldChar w:fldCharType="end"/>
            </w:r>
          </w:hyperlink>
        </w:p>
        <w:p w:rsidR="005A110D" w:rsidRDefault="002467AD">
          <w:pPr>
            <w:pStyle w:val="TOC1"/>
            <w:tabs>
              <w:tab w:val="right" w:leader="dot" w:pos="9016"/>
            </w:tabs>
            <w:rPr>
              <w:rFonts w:asciiTheme="minorHAnsi" w:eastAsiaTheme="minorEastAsia" w:hAnsiTheme="minorHAnsi" w:cstheme="minorBidi"/>
              <w:noProof/>
              <w:sz w:val="22"/>
              <w:szCs w:val="22"/>
              <w:lang w:eastAsia="en-AU"/>
            </w:rPr>
          </w:pPr>
          <w:hyperlink w:anchor="_Toc514841055" w:history="1">
            <w:r w:rsidR="005A110D" w:rsidRPr="00B53C9D">
              <w:rPr>
                <w:rStyle w:val="Hyperlink"/>
                <w:noProof/>
              </w:rPr>
              <w:t>SUBURBAN LAND AGENCY –  STATEMENT OF INTENT</w:t>
            </w:r>
            <w:r w:rsidR="005A110D">
              <w:rPr>
                <w:noProof/>
                <w:webHidden/>
              </w:rPr>
              <w:tab/>
            </w:r>
            <w:r w:rsidR="005A110D">
              <w:rPr>
                <w:noProof/>
                <w:webHidden/>
              </w:rPr>
              <w:fldChar w:fldCharType="begin"/>
            </w:r>
            <w:r w:rsidR="005A110D">
              <w:rPr>
                <w:noProof/>
                <w:webHidden/>
              </w:rPr>
              <w:instrText xml:space="preserve"> PAGEREF _Toc514841055 \h </w:instrText>
            </w:r>
            <w:r w:rsidR="005A110D">
              <w:rPr>
                <w:noProof/>
                <w:webHidden/>
              </w:rPr>
            </w:r>
            <w:r w:rsidR="005A110D">
              <w:rPr>
                <w:noProof/>
                <w:webHidden/>
              </w:rPr>
              <w:fldChar w:fldCharType="separate"/>
            </w:r>
            <w:r w:rsidR="007C7EB0">
              <w:rPr>
                <w:noProof/>
                <w:webHidden/>
              </w:rPr>
              <w:t>79</w:t>
            </w:r>
            <w:r w:rsidR="005A110D">
              <w:rPr>
                <w:noProof/>
                <w:webHidden/>
              </w:rPr>
              <w:fldChar w:fldCharType="end"/>
            </w:r>
          </w:hyperlink>
        </w:p>
        <w:p w:rsidR="005A110D" w:rsidRDefault="002467AD">
          <w:pPr>
            <w:pStyle w:val="TOC1"/>
            <w:tabs>
              <w:tab w:val="right" w:leader="dot" w:pos="9016"/>
            </w:tabs>
            <w:rPr>
              <w:rFonts w:asciiTheme="minorHAnsi" w:eastAsiaTheme="minorEastAsia" w:hAnsiTheme="minorHAnsi" w:cstheme="minorBidi"/>
              <w:noProof/>
              <w:sz w:val="22"/>
              <w:szCs w:val="22"/>
              <w:lang w:eastAsia="en-AU"/>
            </w:rPr>
          </w:pPr>
          <w:hyperlink w:anchor="_Toc514841056" w:history="1">
            <w:r w:rsidR="005A110D" w:rsidRPr="00B53C9D">
              <w:rPr>
                <w:rStyle w:val="Hyperlink"/>
                <w:noProof/>
              </w:rPr>
              <w:t>SUBURBAN LAND AGENCY</w:t>
            </w:r>
            <w:r w:rsidR="005A110D">
              <w:rPr>
                <w:noProof/>
                <w:webHidden/>
              </w:rPr>
              <w:tab/>
            </w:r>
            <w:r w:rsidR="005A110D">
              <w:rPr>
                <w:noProof/>
                <w:webHidden/>
              </w:rPr>
              <w:fldChar w:fldCharType="begin"/>
            </w:r>
            <w:r w:rsidR="005A110D">
              <w:rPr>
                <w:noProof/>
                <w:webHidden/>
              </w:rPr>
              <w:instrText xml:space="preserve"> PAGEREF _Toc514841056 \h </w:instrText>
            </w:r>
            <w:r w:rsidR="005A110D">
              <w:rPr>
                <w:noProof/>
                <w:webHidden/>
              </w:rPr>
            </w:r>
            <w:r w:rsidR="005A110D">
              <w:rPr>
                <w:noProof/>
                <w:webHidden/>
              </w:rPr>
              <w:fldChar w:fldCharType="separate"/>
            </w:r>
            <w:r w:rsidR="007C7EB0">
              <w:rPr>
                <w:noProof/>
                <w:webHidden/>
              </w:rPr>
              <w:t>80</w:t>
            </w:r>
            <w:r w:rsidR="005A110D">
              <w:rPr>
                <w:noProof/>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57" w:history="1">
            <w:r w:rsidR="005A110D" w:rsidRPr="00B53C9D">
              <w:rPr>
                <w:rStyle w:val="Hyperlink"/>
              </w:rPr>
              <w:t>Purpose</w:t>
            </w:r>
            <w:r w:rsidR="005A110D">
              <w:rPr>
                <w:webHidden/>
              </w:rPr>
              <w:tab/>
            </w:r>
            <w:r w:rsidR="005A110D">
              <w:rPr>
                <w:webHidden/>
              </w:rPr>
              <w:fldChar w:fldCharType="begin"/>
            </w:r>
            <w:r w:rsidR="005A110D">
              <w:rPr>
                <w:webHidden/>
              </w:rPr>
              <w:instrText xml:space="preserve"> PAGEREF _Toc514841057 \h </w:instrText>
            </w:r>
            <w:r w:rsidR="005A110D">
              <w:rPr>
                <w:webHidden/>
              </w:rPr>
            </w:r>
            <w:r w:rsidR="005A110D">
              <w:rPr>
                <w:webHidden/>
              </w:rPr>
              <w:fldChar w:fldCharType="separate"/>
            </w:r>
            <w:r w:rsidR="007C7EB0">
              <w:rPr>
                <w:webHidden/>
              </w:rPr>
              <w:t>80</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58" w:history="1">
            <w:r w:rsidR="005A110D" w:rsidRPr="00B53C9D">
              <w:rPr>
                <w:rStyle w:val="Hyperlink"/>
              </w:rPr>
              <w:t>Nature and scope of activities</w:t>
            </w:r>
            <w:r w:rsidR="005A110D">
              <w:rPr>
                <w:webHidden/>
              </w:rPr>
              <w:tab/>
            </w:r>
            <w:r w:rsidR="005A110D">
              <w:rPr>
                <w:webHidden/>
              </w:rPr>
              <w:fldChar w:fldCharType="begin"/>
            </w:r>
            <w:r w:rsidR="005A110D">
              <w:rPr>
                <w:webHidden/>
              </w:rPr>
              <w:instrText xml:space="preserve"> PAGEREF _Toc514841058 \h </w:instrText>
            </w:r>
            <w:r w:rsidR="005A110D">
              <w:rPr>
                <w:webHidden/>
              </w:rPr>
            </w:r>
            <w:r w:rsidR="005A110D">
              <w:rPr>
                <w:webHidden/>
              </w:rPr>
              <w:fldChar w:fldCharType="separate"/>
            </w:r>
            <w:r w:rsidR="007C7EB0">
              <w:rPr>
                <w:webHidden/>
              </w:rPr>
              <w:t>80</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59" w:history="1">
            <w:r w:rsidR="005A110D" w:rsidRPr="00B53C9D">
              <w:rPr>
                <w:rStyle w:val="Hyperlink"/>
              </w:rPr>
              <w:t>Risks</w:t>
            </w:r>
            <w:r w:rsidR="005A110D">
              <w:rPr>
                <w:webHidden/>
              </w:rPr>
              <w:tab/>
            </w:r>
            <w:r w:rsidR="005A110D">
              <w:rPr>
                <w:webHidden/>
              </w:rPr>
              <w:fldChar w:fldCharType="begin"/>
            </w:r>
            <w:r w:rsidR="005A110D">
              <w:rPr>
                <w:webHidden/>
              </w:rPr>
              <w:instrText xml:space="preserve"> PAGEREF _Toc514841059 \h </w:instrText>
            </w:r>
            <w:r w:rsidR="005A110D">
              <w:rPr>
                <w:webHidden/>
              </w:rPr>
            </w:r>
            <w:r w:rsidR="005A110D">
              <w:rPr>
                <w:webHidden/>
              </w:rPr>
              <w:fldChar w:fldCharType="separate"/>
            </w:r>
            <w:r w:rsidR="007C7EB0">
              <w:rPr>
                <w:webHidden/>
              </w:rPr>
              <w:t>83</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60" w:history="1">
            <w:r w:rsidR="005A110D" w:rsidRPr="00B53C9D">
              <w:rPr>
                <w:rStyle w:val="Hyperlink"/>
              </w:rPr>
              <w:t>Priorities and Strategies for 2018-19 to 2021-22</w:t>
            </w:r>
            <w:r w:rsidR="005A110D">
              <w:rPr>
                <w:webHidden/>
              </w:rPr>
              <w:tab/>
            </w:r>
            <w:r w:rsidR="005A110D">
              <w:rPr>
                <w:webHidden/>
              </w:rPr>
              <w:fldChar w:fldCharType="begin"/>
            </w:r>
            <w:r w:rsidR="005A110D">
              <w:rPr>
                <w:webHidden/>
              </w:rPr>
              <w:instrText xml:space="preserve"> PAGEREF _Toc514841060 \h </w:instrText>
            </w:r>
            <w:r w:rsidR="005A110D">
              <w:rPr>
                <w:webHidden/>
              </w:rPr>
            </w:r>
            <w:r w:rsidR="005A110D">
              <w:rPr>
                <w:webHidden/>
              </w:rPr>
              <w:fldChar w:fldCharType="separate"/>
            </w:r>
            <w:r w:rsidR="007C7EB0">
              <w:rPr>
                <w:webHidden/>
              </w:rPr>
              <w:t>84</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61" w:history="1">
            <w:r w:rsidR="005A110D" w:rsidRPr="00B53C9D">
              <w:rPr>
                <w:rStyle w:val="Hyperlink"/>
              </w:rPr>
              <w:t>Estimated Employment Level and Employment Profile</w:t>
            </w:r>
            <w:r w:rsidR="005A110D">
              <w:rPr>
                <w:webHidden/>
              </w:rPr>
              <w:tab/>
            </w:r>
            <w:r w:rsidR="005A110D">
              <w:rPr>
                <w:webHidden/>
              </w:rPr>
              <w:fldChar w:fldCharType="begin"/>
            </w:r>
            <w:r w:rsidR="005A110D">
              <w:rPr>
                <w:webHidden/>
              </w:rPr>
              <w:instrText xml:space="preserve"> PAGEREF _Toc514841061 \h </w:instrText>
            </w:r>
            <w:r w:rsidR="005A110D">
              <w:rPr>
                <w:webHidden/>
              </w:rPr>
            </w:r>
            <w:r w:rsidR="005A110D">
              <w:rPr>
                <w:webHidden/>
              </w:rPr>
              <w:fldChar w:fldCharType="separate"/>
            </w:r>
            <w:r w:rsidR="007C7EB0">
              <w:rPr>
                <w:webHidden/>
              </w:rPr>
              <w:t>87</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62" w:history="1">
            <w:r w:rsidR="005A110D" w:rsidRPr="00B53C9D">
              <w:rPr>
                <w:rStyle w:val="Hyperlink"/>
              </w:rPr>
              <w:t>Key performance indicators for 2018-19 to 2021-2022</w:t>
            </w:r>
            <w:r w:rsidR="005A110D">
              <w:rPr>
                <w:webHidden/>
              </w:rPr>
              <w:tab/>
            </w:r>
            <w:r w:rsidR="005A110D">
              <w:rPr>
                <w:webHidden/>
              </w:rPr>
              <w:fldChar w:fldCharType="begin"/>
            </w:r>
            <w:r w:rsidR="005A110D">
              <w:rPr>
                <w:webHidden/>
              </w:rPr>
              <w:instrText xml:space="preserve"> PAGEREF _Toc514841062 \h </w:instrText>
            </w:r>
            <w:r w:rsidR="005A110D">
              <w:rPr>
                <w:webHidden/>
              </w:rPr>
            </w:r>
            <w:r w:rsidR="005A110D">
              <w:rPr>
                <w:webHidden/>
              </w:rPr>
              <w:fldChar w:fldCharType="separate"/>
            </w:r>
            <w:r w:rsidR="007C7EB0">
              <w:rPr>
                <w:webHidden/>
              </w:rPr>
              <w:t>88</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63" w:history="1">
            <w:r w:rsidR="005A110D" w:rsidRPr="00B53C9D">
              <w:rPr>
                <w:rStyle w:val="Hyperlink"/>
              </w:rPr>
              <w:t>Assessment of performance against 2017-18 objectives</w:t>
            </w:r>
            <w:r w:rsidR="005A110D">
              <w:rPr>
                <w:webHidden/>
              </w:rPr>
              <w:tab/>
            </w:r>
            <w:r w:rsidR="005A110D">
              <w:rPr>
                <w:webHidden/>
              </w:rPr>
              <w:fldChar w:fldCharType="begin"/>
            </w:r>
            <w:r w:rsidR="005A110D">
              <w:rPr>
                <w:webHidden/>
              </w:rPr>
              <w:instrText xml:space="preserve"> PAGEREF _Toc514841063 \h </w:instrText>
            </w:r>
            <w:r w:rsidR="005A110D">
              <w:rPr>
                <w:webHidden/>
              </w:rPr>
            </w:r>
            <w:r w:rsidR="005A110D">
              <w:rPr>
                <w:webHidden/>
              </w:rPr>
              <w:fldChar w:fldCharType="separate"/>
            </w:r>
            <w:r w:rsidR="007C7EB0">
              <w:rPr>
                <w:webHidden/>
              </w:rPr>
              <w:t>91</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64" w:history="1">
            <w:r w:rsidR="005A110D" w:rsidRPr="00B53C9D">
              <w:rPr>
                <w:rStyle w:val="Hyperlink"/>
              </w:rPr>
              <w:t>Monitoring and Reporting</w:t>
            </w:r>
            <w:r w:rsidR="005A110D">
              <w:rPr>
                <w:webHidden/>
              </w:rPr>
              <w:tab/>
            </w:r>
            <w:r w:rsidR="005A110D">
              <w:rPr>
                <w:webHidden/>
              </w:rPr>
              <w:fldChar w:fldCharType="begin"/>
            </w:r>
            <w:r w:rsidR="005A110D">
              <w:rPr>
                <w:webHidden/>
              </w:rPr>
              <w:instrText xml:space="preserve"> PAGEREF _Toc514841064 \h </w:instrText>
            </w:r>
            <w:r w:rsidR="005A110D">
              <w:rPr>
                <w:webHidden/>
              </w:rPr>
            </w:r>
            <w:r w:rsidR="005A110D">
              <w:rPr>
                <w:webHidden/>
              </w:rPr>
              <w:fldChar w:fldCharType="separate"/>
            </w:r>
            <w:r w:rsidR="007C7EB0">
              <w:rPr>
                <w:webHidden/>
              </w:rPr>
              <w:t>93</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65" w:history="1">
            <w:r w:rsidR="005A110D" w:rsidRPr="00B53C9D">
              <w:rPr>
                <w:rStyle w:val="Hyperlink"/>
              </w:rPr>
              <w:t>Financial arrangements</w:t>
            </w:r>
            <w:r w:rsidR="005A110D">
              <w:rPr>
                <w:webHidden/>
              </w:rPr>
              <w:tab/>
            </w:r>
            <w:r w:rsidR="005A110D">
              <w:rPr>
                <w:webHidden/>
              </w:rPr>
              <w:fldChar w:fldCharType="begin"/>
            </w:r>
            <w:r w:rsidR="005A110D">
              <w:rPr>
                <w:webHidden/>
              </w:rPr>
              <w:instrText xml:space="preserve"> PAGEREF _Toc514841065 \h </w:instrText>
            </w:r>
            <w:r w:rsidR="005A110D">
              <w:rPr>
                <w:webHidden/>
              </w:rPr>
            </w:r>
            <w:r w:rsidR="005A110D">
              <w:rPr>
                <w:webHidden/>
              </w:rPr>
              <w:fldChar w:fldCharType="separate"/>
            </w:r>
            <w:r w:rsidR="007C7EB0">
              <w:rPr>
                <w:webHidden/>
              </w:rPr>
              <w:t>94</w:t>
            </w:r>
            <w:r w:rsidR="005A110D">
              <w:rPr>
                <w:webHidden/>
              </w:rPr>
              <w:fldChar w:fldCharType="end"/>
            </w:r>
          </w:hyperlink>
        </w:p>
        <w:p w:rsidR="005A110D" w:rsidRDefault="002467AD">
          <w:pPr>
            <w:pStyle w:val="TOC2"/>
            <w:rPr>
              <w:rFonts w:asciiTheme="minorHAnsi" w:eastAsiaTheme="minorEastAsia" w:hAnsiTheme="minorHAnsi" w:cstheme="minorBidi"/>
              <w:snapToGrid/>
              <w:sz w:val="22"/>
              <w:szCs w:val="22"/>
              <w:bdr w:val="none" w:sz="0" w:space="0" w:color="auto"/>
              <w:lang w:eastAsia="en-AU"/>
            </w:rPr>
          </w:pPr>
          <w:hyperlink w:anchor="_Toc514841067" w:history="1">
            <w:r w:rsidR="005A110D" w:rsidRPr="00B53C9D">
              <w:rPr>
                <w:rStyle w:val="Hyperlink"/>
              </w:rPr>
              <w:t>Financi</w:t>
            </w:r>
            <w:r w:rsidR="00BF0ECF">
              <w:rPr>
                <w:rStyle w:val="Hyperlink"/>
              </w:rPr>
              <w:t>al Statements</w:t>
            </w:r>
            <w:r w:rsidR="005A110D">
              <w:rPr>
                <w:webHidden/>
              </w:rPr>
              <w:tab/>
            </w:r>
            <w:r w:rsidR="005A110D">
              <w:rPr>
                <w:webHidden/>
              </w:rPr>
              <w:fldChar w:fldCharType="begin"/>
            </w:r>
            <w:r w:rsidR="005A110D">
              <w:rPr>
                <w:webHidden/>
              </w:rPr>
              <w:instrText xml:space="preserve"> PAGEREF _Toc514841067 \h </w:instrText>
            </w:r>
            <w:r w:rsidR="005A110D">
              <w:rPr>
                <w:webHidden/>
              </w:rPr>
            </w:r>
            <w:r w:rsidR="005A110D">
              <w:rPr>
                <w:webHidden/>
              </w:rPr>
              <w:fldChar w:fldCharType="separate"/>
            </w:r>
            <w:r w:rsidR="007C7EB0">
              <w:rPr>
                <w:webHidden/>
              </w:rPr>
              <w:t>95</w:t>
            </w:r>
            <w:r w:rsidR="005A110D">
              <w:rPr>
                <w:webHidden/>
              </w:rPr>
              <w:fldChar w:fldCharType="end"/>
            </w:r>
          </w:hyperlink>
        </w:p>
        <w:p w:rsidR="005A110D" w:rsidRDefault="005A110D">
          <w:r>
            <w:rPr>
              <w:b/>
              <w:bCs/>
              <w:noProof/>
            </w:rPr>
            <w:fldChar w:fldCharType="end"/>
          </w:r>
        </w:p>
      </w:sdtContent>
    </w:sdt>
    <w:p w:rsidR="00A71B8C" w:rsidRDefault="00A71B8C">
      <w:pPr>
        <w:spacing w:before="0" w:after="0"/>
        <w:sectPr w:rsidR="00A71B8C" w:rsidSect="006A31A4">
          <w:type w:val="continuous"/>
          <w:pgSz w:w="11906" w:h="16838"/>
          <w:pgMar w:top="1151" w:right="1440" w:bottom="1729" w:left="1440" w:header="720" w:footer="720" w:gutter="0"/>
          <w:pgBorders>
            <w:top w:val="nil"/>
            <w:left w:val="nil"/>
            <w:bottom w:val="nil"/>
            <w:right w:val="nil"/>
          </w:pgBorders>
          <w:pgNumType w:fmt="lowerRoman" w:start="1"/>
          <w:cols w:space="720"/>
        </w:sectPr>
      </w:pPr>
    </w:p>
    <w:p w:rsidR="007114AE" w:rsidRPr="00AB5AA0" w:rsidRDefault="002435BD" w:rsidP="00F83E2E">
      <w:pPr>
        <w:pStyle w:val="Heading1"/>
        <w:pageBreakBefore/>
        <w:pBdr>
          <w:top w:val="nil"/>
          <w:left w:val="nil"/>
          <w:right w:val="nil"/>
          <w:between w:val="nil"/>
          <w:bar w:val="nil"/>
        </w:pBdr>
        <w:rPr>
          <w:sz w:val="36"/>
          <w:szCs w:val="36"/>
          <w:bdr w:val="nil"/>
        </w:rPr>
      </w:pPr>
      <w:bookmarkStart w:id="3" w:name="_Toc514840941"/>
      <w:bookmarkStart w:id="4" w:name="_Toc514840996"/>
      <w:r w:rsidRPr="00AB5AA0">
        <w:rPr>
          <w:sz w:val="36"/>
          <w:szCs w:val="36"/>
          <w:bdr w:val="nil"/>
        </w:rPr>
        <w:t>ENVIRONMENT, PLANNING AND SUSTAINABLE DEVELOPMENT DIRECTORATE</w:t>
      </w:r>
      <w:bookmarkEnd w:id="3"/>
      <w:bookmarkEnd w:id="4"/>
    </w:p>
    <w:p w:rsidR="007114AE" w:rsidRDefault="002435BD" w:rsidP="007114AE">
      <w:pPr>
        <w:pStyle w:val="Heading2"/>
        <w:pBdr>
          <w:top w:val="nil"/>
          <w:left w:val="nil"/>
          <w:bottom w:val="nil"/>
          <w:right w:val="nil"/>
          <w:between w:val="nil"/>
          <w:bar w:val="nil"/>
        </w:pBdr>
        <w:rPr>
          <w:bdr w:val="nil"/>
        </w:rPr>
      </w:pPr>
      <w:bookmarkStart w:id="5" w:name="_Toc452467795"/>
      <w:bookmarkStart w:id="6" w:name="_Toc451895557"/>
      <w:bookmarkStart w:id="7" w:name="_Toc514840942"/>
      <w:bookmarkStart w:id="8" w:name="_Toc514840997"/>
      <w:r>
        <w:rPr>
          <w:bdr w:val="nil"/>
        </w:rPr>
        <w:t>Purpose</w:t>
      </w:r>
      <w:bookmarkEnd w:id="5"/>
      <w:bookmarkEnd w:id="6"/>
      <w:bookmarkEnd w:id="7"/>
      <w:bookmarkEnd w:id="8"/>
    </w:p>
    <w:p w:rsidR="007114AE" w:rsidRDefault="002435BD" w:rsidP="006F1911">
      <w:pPr>
        <w:pBdr>
          <w:top w:val="nil"/>
          <w:left w:val="nil"/>
          <w:bottom w:val="nil"/>
          <w:right w:val="nil"/>
          <w:between w:val="nil"/>
          <w:bar w:val="nil"/>
        </w:pBdr>
        <w:rPr>
          <w:bdr w:val="nil"/>
        </w:rPr>
      </w:pPr>
      <w:r>
        <w:rPr>
          <w:bdr w:val="nil"/>
        </w:rPr>
        <w:t>The Environment, Planning and Sustainable Development Directorate (the Directorate) promotes the orderly growth of our city, strengthens the Territory’s response to climate change, provides an integrated planning and land use system that contributes to the sustainable development and future of the ACT and manages the Territory’s parks and reserves.</w:t>
      </w:r>
    </w:p>
    <w:p w:rsidR="007114AE" w:rsidRDefault="002435BD" w:rsidP="006F1911">
      <w:pPr>
        <w:pBdr>
          <w:top w:val="nil"/>
          <w:left w:val="nil"/>
          <w:bottom w:val="nil"/>
          <w:right w:val="nil"/>
          <w:between w:val="nil"/>
          <w:bar w:val="nil"/>
        </w:pBdr>
        <w:rPr>
          <w:bdr w:val="nil"/>
        </w:rPr>
      </w:pPr>
      <w:r>
        <w:rPr>
          <w:bdr w:val="nil"/>
        </w:rPr>
        <w:t>The Directorate’s aim is to ‘</w:t>
      </w:r>
      <w:r>
        <w:rPr>
          <w:i/>
          <w:iCs/>
          <w:bdr w:val="nil"/>
        </w:rPr>
        <w:t>Shape Canberra’s Future</w:t>
      </w:r>
      <w:r>
        <w:rPr>
          <w:bdr w:val="nil"/>
        </w:rPr>
        <w:t>’ by providing advice for Government consideration and developing and implementing targeted policies and programs</w:t>
      </w:r>
      <w:r>
        <w:rPr>
          <w:color w:val="FF0000"/>
          <w:bdr w:val="nil"/>
        </w:rPr>
        <w:t xml:space="preserve"> </w:t>
      </w:r>
      <w:r>
        <w:rPr>
          <w:bdr w:val="nil"/>
        </w:rPr>
        <w:t>that plan for a compact and connected city; promote liveability, prosperity, productivity and sustainability; and address environment protection.</w:t>
      </w:r>
    </w:p>
    <w:p w:rsidR="007114AE" w:rsidRDefault="002435BD" w:rsidP="006F1911">
      <w:pPr>
        <w:pBdr>
          <w:top w:val="nil"/>
          <w:left w:val="nil"/>
          <w:bottom w:val="nil"/>
          <w:right w:val="nil"/>
          <w:between w:val="nil"/>
          <w:bar w:val="nil"/>
        </w:pBdr>
        <w:rPr>
          <w:bdr w:val="nil"/>
        </w:rPr>
      </w:pPr>
      <w:r>
        <w:rPr>
          <w:bdr w:val="nil"/>
        </w:rPr>
        <w:t>Areas of focus include climate change mitigation and adaptation, nature conservation and enhancement, heritage, efficient and reliable water and energy services, building safety, quality urban design, and sustainable and integrated spatial planning, policy and delivery.</w:t>
      </w:r>
    </w:p>
    <w:p w:rsidR="007114AE" w:rsidRDefault="002435BD" w:rsidP="006F1911">
      <w:pPr>
        <w:pBdr>
          <w:top w:val="nil"/>
          <w:left w:val="nil"/>
          <w:bottom w:val="nil"/>
          <w:right w:val="nil"/>
          <w:between w:val="nil"/>
          <w:bar w:val="nil"/>
        </w:pBdr>
        <w:rPr>
          <w:bdr w:val="nil"/>
        </w:rPr>
      </w:pPr>
      <w:r>
        <w:rPr>
          <w:bdr w:val="nil"/>
        </w:rPr>
        <w:t xml:space="preserve">The Directorate provides operational and strategic management of water catchments, the forestry estate, and parks and reserves across the ACT including Tidbinbilla Nature Reserve, Namadgi National Park and Canberra Nature Park. </w:t>
      </w:r>
    </w:p>
    <w:p w:rsidR="007114AE" w:rsidRDefault="002435BD" w:rsidP="006F1911">
      <w:pPr>
        <w:pBdr>
          <w:top w:val="nil"/>
          <w:left w:val="nil"/>
          <w:bottom w:val="nil"/>
          <w:right w:val="nil"/>
          <w:between w:val="nil"/>
          <w:bar w:val="nil"/>
        </w:pBdr>
        <w:rPr>
          <w:bdr w:val="nil"/>
        </w:rPr>
      </w:pPr>
      <w:r>
        <w:rPr>
          <w:bdr w:val="nil"/>
        </w:rPr>
        <w:t>The Directorate is responsible for land strategy, policy and planning, including preparation of the four-year Indicative Land Release Program.  The program sets out the Government’s intended program for land release and seeks to facilitate housing diversity, provide affordable housing, and stimulate economic activity by meeting the demand for land in the Territory and support</w:t>
      </w:r>
      <w:r w:rsidR="00F22A09">
        <w:rPr>
          <w:bdr w:val="nil"/>
        </w:rPr>
        <w:t>ing</w:t>
      </w:r>
      <w:r>
        <w:rPr>
          <w:bdr w:val="nil"/>
        </w:rPr>
        <w:t xml:space="preserve"> a competitive land development and construction market. </w:t>
      </w:r>
    </w:p>
    <w:p w:rsidR="007114AE" w:rsidRDefault="002435BD" w:rsidP="006F1911">
      <w:pPr>
        <w:pBdr>
          <w:top w:val="nil"/>
          <w:left w:val="nil"/>
          <w:bottom w:val="nil"/>
          <w:right w:val="nil"/>
          <w:between w:val="nil"/>
          <w:bar w:val="nil"/>
        </w:pBdr>
        <w:rPr>
          <w:bdr w:val="nil"/>
        </w:rPr>
      </w:pPr>
      <w:r>
        <w:rPr>
          <w:bdr w:val="nil"/>
        </w:rPr>
        <w:t>The Directorate has a strong focus on urban renewal as a mechanism to drive economic activity, improving the liveability of our city, building on the character of our community and delivering sustainable development.  This focus i</w:t>
      </w:r>
      <w:r w:rsidR="00447EED">
        <w:rPr>
          <w:bdr w:val="nil"/>
        </w:rPr>
        <w:t>s demonstrated in a variety of G</w:t>
      </w:r>
      <w:r>
        <w:rPr>
          <w:bdr w:val="nil"/>
        </w:rPr>
        <w:t>overnment</w:t>
      </w:r>
      <w:r>
        <w:rPr>
          <w:bdr w:val="nil"/>
        </w:rPr>
        <w:noBreakHyphen/>
        <w:t>wide service delivery</w:t>
      </w:r>
      <w:r w:rsidR="00F22A09">
        <w:rPr>
          <w:bdr w:val="nil"/>
        </w:rPr>
        <w:t xml:space="preserve"> programs</w:t>
      </w:r>
      <w:r>
        <w:rPr>
          <w:bdr w:val="nil"/>
        </w:rPr>
        <w:t>, such as the delivery of the Public Housing Renewal Program, Asset Recycling Initiative and Loose-fill Asbestos Insulation Eradication Scheme.</w:t>
      </w:r>
    </w:p>
    <w:p w:rsidR="007114AE" w:rsidRDefault="002435BD" w:rsidP="007114AE">
      <w:pPr>
        <w:pBdr>
          <w:top w:val="nil"/>
          <w:left w:val="nil"/>
          <w:bottom w:val="nil"/>
          <w:right w:val="nil"/>
          <w:between w:val="nil"/>
          <w:bar w:val="nil"/>
        </w:pBdr>
        <w:rPr>
          <w:vanish/>
          <w:bdr w:val="nil"/>
        </w:rPr>
      </w:pPr>
      <w:r>
        <w:t xml:space="preserve"> </w:t>
      </w:r>
    </w:p>
    <w:p w:rsidR="007114AE" w:rsidRDefault="007114AE">
      <w:pPr>
        <w:spacing w:before="0" w:after="0"/>
        <w:rPr>
          <w:b/>
          <w:snapToGrid w:val="0"/>
          <w:sz w:val="32"/>
        </w:rPr>
      </w:pPr>
      <w:bookmarkStart w:id="9" w:name="_Toc452467796"/>
      <w:bookmarkStart w:id="10" w:name="_Toc451895558"/>
      <w:r>
        <w:br w:type="page"/>
      </w:r>
    </w:p>
    <w:p w:rsidR="007114AE" w:rsidRDefault="002435BD" w:rsidP="002A5CF3">
      <w:pPr>
        <w:pStyle w:val="Heading2"/>
      </w:pPr>
      <w:bookmarkStart w:id="11" w:name="_Toc514840943"/>
      <w:bookmarkStart w:id="12" w:name="_Toc514840998"/>
      <w:r>
        <w:t>2018-19 Priorities</w:t>
      </w:r>
      <w:bookmarkEnd w:id="9"/>
      <w:bookmarkEnd w:id="10"/>
      <w:bookmarkEnd w:id="11"/>
      <w:bookmarkEnd w:id="12"/>
    </w:p>
    <w:p w:rsidR="007114AE" w:rsidRDefault="002435BD" w:rsidP="007114AE">
      <w:pPr>
        <w:pStyle w:val="Normal0"/>
      </w:pPr>
      <w:r>
        <w:rPr>
          <w:iCs/>
        </w:rPr>
        <w:t>P</w:t>
      </w:r>
      <w:r>
        <w:t xml:space="preserve">riorities to be pursued by </w:t>
      </w:r>
      <w:r w:rsidR="007114AE">
        <w:t xml:space="preserve">the </w:t>
      </w:r>
      <w:r>
        <w:t>Environment, Planning and Sustainable Development Directorate in 2018-19</w:t>
      </w:r>
      <w:r w:rsidR="007114AE">
        <w:t xml:space="preserve"> </w:t>
      </w:r>
      <w:r>
        <w:t>include:</w:t>
      </w:r>
    </w:p>
    <w:p w:rsidR="007114AE" w:rsidRDefault="002435BD" w:rsidP="007114AE">
      <w:pPr>
        <w:pStyle w:val="BStabletextbolditalics"/>
        <w:keepNext/>
        <w:rPr>
          <w:sz w:val="24"/>
          <w:szCs w:val="24"/>
        </w:rPr>
      </w:pPr>
      <w:r>
        <w:rPr>
          <w:sz w:val="24"/>
          <w:szCs w:val="24"/>
        </w:rPr>
        <w:t>Planning and Building</w:t>
      </w:r>
    </w:p>
    <w:p w:rsidR="007114AE" w:rsidRDefault="002435BD" w:rsidP="007114AE">
      <w:pPr>
        <w:pStyle w:val="BSbullet1"/>
        <w:numPr>
          <w:ilvl w:val="0"/>
          <w:numId w:val="3"/>
        </w:numPr>
      </w:pPr>
      <w:r>
        <w:t xml:space="preserve">refresh the </w:t>
      </w:r>
      <w:r>
        <w:rPr>
          <w:i/>
        </w:rPr>
        <w:t xml:space="preserve">ACT Planning Strategy </w:t>
      </w:r>
      <w:r>
        <w:t>to include a range of strategic planning initiatives related to:</w:t>
      </w:r>
    </w:p>
    <w:p w:rsidR="007114AE" w:rsidRDefault="002435BD" w:rsidP="00390DB5">
      <w:pPr>
        <w:pStyle w:val="BSbullet2"/>
        <w:keepNext/>
        <w:numPr>
          <w:ilvl w:val="0"/>
          <w:numId w:val="52"/>
        </w:numPr>
        <w:ind w:left="714" w:hanging="357"/>
      </w:pPr>
      <w:r>
        <w:t xml:space="preserve">addressing housing choice and affordability; infrastructure initiatives; community engagement; planning for future urban areas; celebrating and enhancing the character and structure of our city; changing demographics and household structures; changing retail and employment patterns; integrated planning; </w:t>
      </w:r>
      <w:r w:rsidR="00991D1B">
        <w:t xml:space="preserve">and </w:t>
      </w:r>
      <w:r>
        <w:t>creating a sustainable Canberra.</w:t>
      </w:r>
    </w:p>
    <w:p w:rsidR="007114AE" w:rsidRDefault="002435BD" w:rsidP="007114AE">
      <w:pPr>
        <w:pStyle w:val="BSbullet1"/>
        <w:keepNext/>
        <w:numPr>
          <w:ilvl w:val="0"/>
          <w:numId w:val="3"/>
        </w:numPr>
      </w:pPr>
      <w:r>
        <w:t xml:space="preserve">continue work on the Housing Choices project to improve the availability of a range of housing options in residential areas; </w:t>
      </w:r>
    </w:p>
    <w:p w:rsidR="007114AE" w:rsidRDefault="002435BD" w:rsidP="007114AE">
      <w:pPr>
        <w:pStyle w:val="BSbullet1"/>
        <w:numPr>
          <w:ilvl w:val="0"/>
          <w:numId w:val="3"/>
        </w:numPr>
      </w:pPr>
      <w:r>
        <w:t xml:space="preserve">support the Government’s long-term land release program, with a focus on housing affordability and accessible communities; </w:t>
      </w:r>
    </w:p>
    <w:p w:rsidR="007114AE" w:rsidRDefault="002435BD" w:rsidP="007114AE">
      <w:pPr>
        <w:pStyle w:val="BSbullet1"/>
        <w:numPr>
          <w:ilvl w:val="0"/>
          <w:numId w:val="3"/>
        </w:numPr>
      </w:pPr>
      <w:r>
        <w:t xml:space="preserve">finalise the </w:t>
      </w:r>
      <w:r>
        <w:rPr>
          <w:i/>
        </w:rPr>
        <w:t>Northbourne Avenue City and Gateway Planning Study</w:t>
      </w:r>
      <w:r>
        <w:t>;</w:t>
      </w:r>
    </w:p>
    <w:p w:rsidR="007114AE" w:rsidRDefault="002435BD" w:rsidP="007114AE">
      <w:pPr>
        <w:pStyle w:val="BSbullet1"/>
        <w:numPr>
          <w:ilvl w:val="0"/>
          <w:numId w:val="3"/>
        </w:numPr>
      </w:pPr>
      <w:r>
        <w:t>finalise the two remaining master plans - Curtin and Kippax;</w:t>
      </w:r>
    </w:p>
    <w:p w:rsidR="007114AE" w:rsidRDefault="002435BD" w:rsidP="007114AE">
      <w:pPr>
        <w:pStyle w:val="BSbullet1"/>
        <w:numPr>
          <w:ilvl w:val="0"/>
          <w:numId w:val="3"/>
        </w:numPr>
      </w:pPr>
      <w:r>
        <w:t>participate in, and lead components of, regional pl</w:t>
      </w:r>
      <w:r w:rsidR="00447EED">
        <w:t>anning in partnership with NSW G</w:t>
      </w:r>
      <w:r>
        <w:t>overnment agencies;</w:t>
      </w:r>
    </w:p>
    <w:p w:rsidR="007114AE" w:rsidRDefault="002435BD" w:rsidP="007114AE">
      <w:pPr>
        <w:pStyle w:val="BSbullet1"/>
        <w:keepNext/>
        <w:numPr>
          <w:ilvl w:val="0"/>
          <w:numId w:val="3"/>
        </w:numPr>
        <w:rPr>
          <w:rFonts w:eastAsia="Times"/>
          <w:sz w:val="22"/>
          <w:szCs w:val="22"/>
        </w:rPr>
      </w:pPr>
      <w:r>
        <w:t>continue to deliver city</w:t>
      </w:r>
      <w:r>
        <w:noBreakHyphen/>
        <w:t xml:space="preserve">wide urban land and transport policies that underpin planning for the future urban growth and land supply; </w:t>
      </w:r>
    </w:p>
    <w:p w:rsidR="007114AE" w:rsidRDefault="002435BD" w:rsidP="007114AE">
      <w:pPr>
        <w:pStyle w:val="BSbullet1"/>
        <w:numPr>
          <w:ilvl w:val="0"/>
          <w:numId w:val="3"/>
        </w:numPr>
      </w:pPr>
      <w:r>
        <w:t>provide leadership in place making through current projects and policies with a focus on people, climate</w:t>
      </w:r>
      <w:r>
        <w:noBreakHyphen/>
        <w:t xml:space="preserve">wise design, living infrastructure and the public realm as cities become more compact and dense; </w:t>
      </w:r>
    </w:p>
    <w:p w:rsidR="007114AE" w:rsidRDefault="002435BD" w:rsidP="007114AE">
      <w:pPr>
        <w:pStyle w:val="BSbullet1"/>
        <w:numPr>
          <w:ilvl w:val="0"/>
          <w:numId w:val="3"/>
        </w:numPr>
      </w:pPr>
      <w:r>
        <w:t xml:space="preserve">review the existing planning system to deliver greater clarity; </w:t>
      </w:r>
    </w:p>
    <w:p w:rsidR="007114AE" w:rsidRDefault="002435BD" w:rsidP="007114AE">
      <w:pPr>
        <w:pStyle w:val="BSbullet1"/>
        <w:numPr>
          <w:ilvl w:val="0"/>
          <w:numId w:val="3"/>
        </w:numPr>
      </w:pPr>
      <w:r>
        <w:t>work with industry to enhance the eDevelopment platform;</w:t>
      </w:r>
    </w:p>
    <w:p w:rsidR="007114AE" w:rsidRDefault="002435BD" w:rsidP="007114AE">
      <w:pPr>
        <w:pStyle w:val="BSbullet1"/>
        <w:numPr>
          <w:ilvl w:val="0"/>
          <w:numId w:val="3"/>
        </w:numPr>
      </w:pPr>
      <w:r>
        <w:t>assess development proposals, including lease variations in accordance with the Territory Plan;</w:t>
      </w:r>
    </w:p>
    <w:p w:rsidR="007114AE" w:rsidRDefault="002435BD" w:rsidP="007114AE">
      <w:pPr>
        <w:pStyle w:val="BSbullet1"/>
        <w:numPr>
          <w:ilvl w:val="0"/>
          <w:numId w:val="3"/>
        </w:numPr>
      </w:pPr>
      <w:r>
        <w:t xml:space="preserve">maintain and administer the Territory Plan as the statutory framework for land use and development in the ACT in accordance with the </w:t>
      </w:r>
      <w:r>
        <w:rPr>
          <w:i/>
        </w:rPr>
        <w:t>National Capital Plan</w:t>
      </w:r>
      <w:r>
        <w:t xml:space="preserve">; </w:t>
      </w:r>
    </w:p>
    <w:p w:rsidR="007114AE" w:rsidRDefault="002435BD" w:rsidP="007114AE">
      <w:pPr>
        <w:pStyle w:val="BSbullet1"/>
        <w:numPr>
          <w:ilvl w:val="0"/>
          <w:numId w:val="3"/>
        </w:numPr>
        <w:rPr>
          <w:rFonts w:eastAsia="Times"/>
        </w:rPr>
      </w:pPr>
      <w:r>
        <w:rPr>
          <w:rFonts w:eastAsia="Times"/>
        </w:rPr>
        <w:t xml:space="preserve">continue to implement the </w:t>
      </w:r>
      <w:r>
        <w:rPr>
          <w:rFonts w:eastAsia="Times"/>
          <w:i/>
        </w:rPr>
        <w:t>Improving the ACT Building Regulatory System</w:t>
      </w:r>
      <w:r>
        <w:rPr>
          <w:rFonts w:eastAsia="Times"/>
        </w:rPr>
        <w:t xml:space="preserve"> reforms, including establishing a risk-based building auditing system for building certifiers approving, inspecting and certifying building work in the Territory;</w:t>
      </w:r>
    </w:p>
    <w:p w:rsidR="00207EA5" w:rsidRDefault="00207EA5">
      <w:pPr>
        <w:spacing w:before="0" w:after="0"/>
        <w:rPr>
          <w:szCs w:val="24"/>
        </w:rPr>
      </w:pPr>
      <w:r>
        <w:br w:type="page"/>
      </w:r>
    </w:p>
    <w:p w:rsidR="007114AE" w:rsidRDefault="002435BD" w:rsidP="007114AE">
      <w:pPr>
        <w:pStyle w:val="BSbullet1"/>
        <w:numPr>
          <w:ilvl w:val="0"/>
          <w:numId w:val="3"/>
        </w:numPr>
      </w:pPr>
      <w:r>
        <w:t xml:space="preserve">finalise the review of the ACT’s scheme for disclosing energy efficiency ratings </w:t>
      </w:r>
      <w:r w:rsidR="00CA72BA">
        <w:t>for</w:t>
      </w:r>
      <w:r>
        <w:t xml:space="preserve"> sale or lease of residential properties; and</w:t>
      </w:r>
    </w:p>
    <w:p w:rsidR="007114AE" w:rsidRDefault="002435BD" w:rsidP="007114AE">
      <w:pPr>
        <w:pStyle w:val="BSbullet1"/>
        <w:numPr>
          <w:ilvl w:val="0"/>
          <w:numId w:val="3"/>
        </w:numPr>
        <w:rPr>
          <w:rFonts w:eastAsia="Times"/>
        </w:rPr>
      </w:pPr>
      <w:r>
        <w:rPr>
          <w:rFonts w:eastAsia="Times"/>
        </w:rPr>
        <w:t>complete work on the regulatory impact assessment of potential minimum energy efficiency standards and other options for improving the energy efficiency of rental properties in the Territory.</w:t>
      </w:r>
    </w:p>
    <w:p w:rsidR="007114AE" w:rsidRDefault="002435BD" w:rsidP="007114AE">
      <w:pPr>
        <w:pStyle w:val="BStabletextbolditalics"/>
        <w:keepNext/>
      </w:pPr>
      <w:r>
        <w:rPr>
          <w:sz w:val="24"/>
          <w:szCs w:val="24"/>
        </w:rPr>
        <w:t>Environment</w:t>
      </w:r>
    </w:p>
    <w:p w:rsidR="007114AE" w:rsidRDefault="002435BD" w:rsidP="007114AE">
      <w:pPr>
        <w:pStyle w:val="BSbullet1"/>
        <w:numPr>
          <w:ilvl w:val="0"/>
          <w:numId w:val="3"/>
        </w:numPr>
      </w:pPr>
      <w:r>
        <w:t>continue to develop, review and implement legislation, policies and standards to protect the natural and built environment and enhance liveability;</w:t>
      </w:r>
    </w:p>
    <w:p w:rsidR="007114AE" w:rsidRDefault="002435BD" w:rsidP="007114AE">
      <w:pPr>
        <w:pStyle w:val="BSbullet1"/>
        <w:numPr>
          <w:ilvl w:val="0"/>
          <w:numId w:val="3"/>
        </w:numPr>
      </w:pPr>
      <w:r>
        <w:t>complete public consultation on a new Biosecurity Bill for the ACT and progress the development of the Bill to an advanced draft;</w:t>
      </w:r>
    </w:p>
    <w:p w:rsidR="007114AE" w:rsidRDefault="002435BD" w:rsidP="007114AE">
      <w:pPr>
        <w:pStyle w:val="BSbullet1"/>
        <w:keepNext/>
        <w:numPr>
          <w:ilvl w:val="0"/>
          <w:numId w:val="3"/>
        </w:numPr>
        <w:jc w:val="both"/>
      </w:pPr>
      <w:r>
        <w:t>improve water quality in the ACT’s waterways through improved catchment management and governance arrangements and implementing the Commonwealth/ACT Healthy Waterways project;</w:t>
      </w:r>
    </w:p>
    <w:p w:rsidR="007114AE" w:rsidRDefault="002435BD" w:rsidP="007114AE">
      <w:pPr>
        <w:pStyle w:val="BSbullet1"/>
        <w:numPr>
          <w:ilvl w:val="0"/>
          <w:numId w:val="3"/>
        </w:numPr>
        <w:jc w:val="both"/>
      </w:pPr>
      <w:r>
        <w:t xml:space="preserve">continue to implement the </w:t>
      </w:r>
      <w:r>
        <w:rPr>
          <w:i/>
        </w:rPr>
        <w:t>ACT</w:t>
      </w:r>
      <w:r>
        <w:t xml:space="preserve"> </w:t>
      </w:r>
      <w:r>
        <w:rPr>
          <w:i/>
        </w:rPr>
        <w:t>Nature Conservation Strategy</w:t>
      </w:r>
      <w:r>
        <w:t xml:space="preserve"> and the </w:t>
      </w:r>
      <w:r w:rsidRPr="007114AE">
        <w:t xml:space="preserve">ACT Water Strategy, </w:t>
      </w:r>
      <w:r>
        <w:rPr>
          <w:i/>
        </w:rPr>
        <w:t>Striking the Balance</w:t>
      </w:r>
      <w:r>
        <w:t>.</w:t>
      </w:r>
    </w:p>
    <w:p w:rsidR="007114AE" w:rsidRDefault="002435BD" w:rsidP="007114AE">
      <w:pPr>
        <w:pStyle w:val="BSbullet1"/>
        <w:numPr>
          <w:ilvl w:val="0"/>
          <w:numId w:val="3"/>
        </w:numPr>
        <w:jc w:val="both"/>
      </w:pPr>
      <w:r>
        <w:t xml:space="preserve">work with the ACT Natural Resource </w:t>
      </w:r>
      <w:r w:rsidR="00447EED">
        <w:t>Management Council, community, g</w:t>
      </w:r>
      <w:r>
        <w:t>overnments, landholders, industry, the local Aboriginal community, and scientific and research organisations to improve our natural resources;</w:t>
      </w:r>
    </w:p>
    <w:p w:rsidR="007114AE" w:rsidRDefault="002435BD" w:rsidP="007114AE">
      <w:pPr>
        <w:pStyle w:val="BSbullet1"/>
        <w:numPr>
          <w:ilvl w:val="0"/>
          <w:numId w:val="3"/>
        </w:numPr>
        <w:jc w:val="both"/>
      </w:pPr>
      <w:r>
        <w:t>reduce the ACT’s vulnerability to bushfire by managing fuel loads through stock grazing, mowing, prescribed burning and other measures in strategic areas, being sure to balance the impact on the environment;</w:t>
      </w:r>
    </w:p>
    <w:p w:rsidR="007114AE" w:rsidRDefault="002435BD" w:rsidP="007114AE">
      <w:pPr>
        <w:pStyle w:val="BSbullet1"/>
        <w:numPr>
          <w:ilvl w:val="0"/>
          <w:numId w:val="3"/>
        </w:numPr>
        <w:jc w:val="both"/>
      </w:pPr>
      <w:r>
        <w:t>in the Tidbinbilla Nature Reserve:</w:t>
      </w:r>
    </w:p>
    <w:p w:rsidR="007114AE" w:rsidRDefault="002435BD" w:rsidP="00390DB5">
      <w:pPr>
        <w:pStyle w:val="BSbullet2"/>
        <w:keepNext/>
        <w:numPr>
          <w:ilvl w:val="0"/>
          <w:numId w:val="52"/>
        </w:numPr>
        <w:ind w:left="714" w:hanging="357"/>
      </w:pPr>
      <w:r>
        <w:t>deliver planning and construction work on a new brush-tailed rock wallaby breeding enclosure;</w:t>
      </w:r>
    </w:p>
    <w:p w:rsidR="007114AE" w:rsidRDefault="002435BD" w:rsidP="00390DB5">
      <w:pPr>
        <w:pStyle w:val="BSbullet2"/>
        <w:keepNext/>
        <w:numPr>
          <w:ilvl w:val="0"/>
          <w:numId w:val="52"/>
        </w:numPr>
        <w:ind w:left="714" w:hanging="357"/>
      </w:pPr>
      <w:r>
        <w:t>partner with tertiary organisations to better utilise existing research and vet facilities; and</w:t>
      </w:r>
    </w:p>
    <w:p w:rsidR="007114AE" w:rsidRDefault="002435BD" w:rsidP="00390DB5">
      <w:pPr>
        <w:pStyle w:val="BSbullet2"/>
        <w:keepNext/>
        <w:numPr>
          <w:ilvl w:val="0"/>
          <w:numId w:val="52"/>
        </w:numPr>
        <w:ind w:left="714" w:hanging="357"/>
      </w:pPr>
      <w:r>
        <w:t>explore partnering opportunities with eco-tourism providers to better highlight the area’s natural beauty to visitors.</w:t>
      </w:r>
    </w:p>
    <w:p w:rsidR="007114AE" w:rsidRDefault="002435BD" w:rsidP="007114AE">
      <w:pPr>
        <w:pStyle w:val="BSbullet1"/>
        <w:numPr>
          <w:ilvl w:val="0"/>
          <w:numId w:val="3"/>
        </w:numPr>
        <w:tabs>
          <w:tab w:val="clear" w:pos="360"/>
          <w:tab w:val="left" w:pos="720"/>
        </w:tabs>
        <w:jc w:val="both"/>
      </w:pPr>
      <w:r>
        <w:t>in the Namadgi National Park and the Murrumbidgee River Corridor:</w:t>
      </w:r>
    </w:p>
    <w:p w:rsidR="007114AE" w:rsidRDefault="002435BD" w:rsidP="00390DB5">
      <w:pPr>
        <w:pStyle w:val="BSbullet2"/>
        <w:keepNext/>
        <w:numPr>
          <w:ilvl w:val="0"/>
          <w:numId w:val="52"/>
        </w:numPr>
        <w:ind w:left="714" w:hanging="357"/>
      </w:pPr>
      <w:r>
        <w:t>contribute to the 50</w:t>
      </w:r>
      <w:r w:rsidRPr="000C5F1E">
        <w:t>th</w:t>
      </w:r>
      <w:r>
        <w:t xml:space="preserve"> anniversary celebrations of the Apollo moon landings, focusing on the role of the Namadgi National Park space observatories;</w:t>
      </w:r>
    </w:p>
    <w:p w:rsidR="007114AE" w:rsidRDefault="002435BD" w:rsidP="00390DB5">
      <w:pPr>
        <w:pStyle w:val="BSbullet2"/>
        <w:keepNext/>
        <w:numPr>
          <w:ilvl w:val="0"/>
          <w:numId w:val="52"/>
        </w:numPr>
        <w:ind w:left="714" w:hanging="357"/>
      </w:pPr>
      <w:r>
        <w:t>continue to manage the restoration of the Lower Cotter Catchment; and</w:t>
      </w:r>
    </w:p>
    <w:p w:rsidR="007114AE" w:rsidRDefault="002435BD" w:rsidP="00390DB5">
      <w:pPr>
        <w:pStyle w:val="BSbullet2"/>
        <w:keepNext/>
        <w:numPr>
          <w:ilvl w:val="0"/>
          <w:numId w:val="52"/>
        </w:numPr>
        <w:ind w:left="714" w:hanging="357"/>
      </w:pPr>
      <w:r>
        <w:t>explore options for the development of eco</w:t>
      </w:r>
      <w:r>
        <w:noBreakHyphen/>
        <w:t>tourism opportunities.</w:t>
      </w:r>
    </w:p>
    <w:p w:rsidR="000C5F1E" w:rsidRDefault="000C5F1E">
      <w:pPr>
        <w:spacing w:before="0" w:after="0"/>
        <w:rPr>
          <w:szCs w:val="24"/>
        </w:rPr>
      </w:pPr>
      <w:r>
        <w:br w:type="page"/>
      </w:r>
    </w:p>
    <w:p w:rsidR="007114AE" w:rsidRDefault="002435BD" w:rsidP="007114AE">
      <w:pPr>
        <w:pStyle w:val="BSbullet1"/>
        <w:numPr>
          <w:ilvl w:val="0"/>
          <w:numId w:val="3"/>
        </w:numPr>
        <w:jc w:val="both"/>
      </w:pPr>
      <w:r>
        <w:t>in the Canberra Nature Park:</w:t>
      </w:r>
    </w:p>
    <w:p w:rsidR="007114AE" w:rsidRDefault="002435BD" w:rsidP="00390DB5">
      <w:pPr>
        <w:pStyle w:val="BSbullet2"/>
        <w:keepNext/>
        <w:numPr>
          <w:ilvl w:val="0"/>
          <w:numId w:val="52"/>
        </w:numPr>
        <w:ind w:left="714" w:hanging="357"/>
      </w:pPr>
      <w:r>
        <w:t>continue to support ParkCare and other volunteer groups to deliver rehabilitation works throughout the Canberra Nature Park;</w:t>
      </w:r>
    </w:p>
    <w:p w:rsidR="007114AE" w:rsidRDefault="002435BD" w:rsidP="00390DB5">
      <w:pPr>
        <w:pStyle w:val="BSbullet2"/>
        <w:keepNext/>
        <w:numPr>
          <w:ilvl w:val="0"/>
          <w:numId w:val="52"/>
        </w:numPr>
        <w:ind w:left="714" w:hanging="357"/>
      </w:pPr>
      <w:r>
        <w:t>work with the Woodlands and Wetlands Trust to complete the extension of the Mulligans Flat Woodland Sanctuary and commence work to eradicate feral animals from inside the extended sanctuary; and</w:t>
      </w:r>
    </w:p>
    <w:p w:rsidR="007114AE" w:rsidRDefault="002435BD" w:rsidP="00390DB5">
      <w:pPr>
        <w:pStyle w:val="BSbullet2"/>
        <w:keepNext/>
        <w:numPr>
          <w:ilvl w:val="0"/>
          <w:numId w:val="52"/>
        </w:numPr>
        <w:ind w:left="714" w:hanging="357"/>
      </w:pPr>
      <w:r>
        <w:t>continue with work to establish the Molonglo River Park and manage new offset areas.</w:t>
      </w:r>
    </w:p>
    <w:p w:rsidR="007114AE" w:rsidRDefault="002435BD" w:rsidP="007114AE">
      <w:pPr>
        <w:pStyle w:val="BSbullet1"/>
        <w:numPr>
          <w:ilvl w:val="0"/>
          <w:numId w:val="3"/>
        </w:numPr>
      </w:pPr>
      <w:r>
        <w:rPr>
          <w:rFonts w:eastAsia="Times"/>
        </w:rPr>
        <w:t>support the ACT Heritage Council and the Government to recognise, register, conserve, promote and celebrate the ACT’s places and objects of historic, Aboriginal and natural heritage significance; and</w:t>
      </w:r>
    </w:p>
    <w:p w:rsidR="007114AE" w:rsidRDefault="002435BD" w:rsidP="007114AE">
      <w:pPr>
        <w:pStyle w:val="BSbullet1"/>
        <w:numPr>
          <w:ilvl w:val="0"/>
          <w:numId w:val="3"/>
        </w:numPr>
        <w:jc w:val="both"/>
      </w:pPr>
      <w:r>
        <w:t>work nationally and across jurisdictional boundaries to achieve better outcomes for the environment and community of the ACT and region.</w:t>
      </w:r>
    </w:p>
    <w:p w:rsidR="007114AE" w:rsidRDefault="002435BD" w:rsidP="007114AE">
      <w:pPr>
        <w:pStyle w:val="BStabletextbolditalics"/>
        <w:keepNext/>
        <w:rPr>
          <w:sz w:val="24"/>
          <w:szCs w:val="24"/>
        </w:rPr>
      </w:pPr>
      <w:r>
        <w:rPr>
          <w:sz w:val="24"/>
          <w:szCs w:val="24"/>
        </w:rPr>
        <w:t>Climate Change and Sustainability</w:t>
      </w:r>
    </w:p>
    <w:p w:rsidR="007114AE" w:rsidRDefault="002435BD" w:rsidP="0048737F">
      <w:pPr>
        <w:pStyle w:val="BSbullet1"/>
        <w:numPr>
          <w:ilvl w:val="0"/>
          <w:numId w:val="3"/>
        </w:numPr>
      </w:pPr>
      <w:r>
        <w:t xml:space="preserve">deliver a climate change policy and action plan on the city’s pathway to zero-net </w:t>
      </w:r>
      <w:r w:rsidR="003F622F">
        <w:t>emissions by 2045</w:t>
      </w:r>
      <w:r>
        <w:t>;</w:t>
      </w:r>
    </w:p>
    <w:p w:rsidR="007114AE" w:rsidRDefault="002435BD" w:rsidP="007114AE">
      <w:pPr>
        <w:pStyle w:val="BSbullet1"/>
        <w:numPr>
          <w:ilvl w:val="0"/>
          <w:numId w:val="3"/>
        </w:numPr>
        <w:jc w:val="both"/>
      </w:pPr>
      <w:r>
        <w:t xml:space="preserve">deliver on the ACT’s </w:t>
      </w:r>
      <w:r>
        <w:rPr>
          <w:i/>
        </w:rPr>
        <w:t>Transition to Zero Emissions Vehicles Action Plan 2018–2021</w:t>
      </w:r>
      <w:r>
        <w:t>;</w:t>
      </w:r>
    </w:p>
    <w:p w:rsidR="007114AE" w:rsidRDefault="002435BD" w:rsidP="007114AE">
      <w:pPr>
        <w:pStyle w:val="BSbullet1"/>
        <w:numPr>
          <w:ilvl w:val="0"/>
          <w:numId w:val="3"/>
        </w:numPr>
        <w:jc w:val="both"/>
      </w:pPr>
      <w:r>
        <w:t>support the deployment of large-scale renewable energy generation to meet the ACT’s 100 per cent renewable electricity by 2020 target;</w:t>
      </w:r>
    </w:p>
    <w:p w:rsidR="007114AE" w:rsidRPr="007114AE" w:rsidRDefault="002435BD" w:rsidP="007114AE">
      <w:pPr>
        <w:pStyle w:val="BSbullet1"/>
        <w:numPr>
          <w:ilvl w:val="0"/>
          <w:numId w:val="3"/>
        </w:numPr>
        <w:jc w:val="both"/>
      </w:pPr>
      <w:r>
        <w:t xml:space="preserve">deliver the Government’s </w:t>
      </w:r>
      <w:r w:rsidRPr="007114AE">
        <w:t>Next Generation Battery Storage program to reduce network infrastructure costs and support the transition to a high penetration renewable electricity grid;</w:t>
      </w:r>
    </w:p>
    <w:p w:rsidR="007114AE" w:rsidRDefault="002435BD" w:rsidP="007114AE">
      <w:pPr>
        <w:pStyle w:val="BSbullet1"/>
        <w:numPr>
          <w:ilvl w:val="0"/>
          <w:numId w:val="3"/>
        </w:numPr>
        <w:jc w:val="both"/>
      </w:pPr>
      <w:r w:rsidRPr="007114AE">
        <w:t>administer the Renewable Energy Innovation Fund</w:t>
      </w:r>
      <w:r>
        <w:t xml:space="preserve"> and programs to realise the Government’s vision for the ACT as an internationally recognised centre for renewable energy innovation and investment, diversifying the economy and creating new export industries;</w:t>
      </w:r>
    </w:p>
    <w:p w:rsidR="007114AE" w:rsidRDefault="002435BD" w:rsidP="007114AE">
      <w:pPr>
        <w:pStyle w:val="BSbullet1"/>
        <w:numPr>
          <w:ilvl w:val="0"/>
          <w:numId w:val="3"/>
        </w:numPr>
        <w:jc w:val="both"/>
      </w:pPr>
      <w:r>
        <w:t xml:space="preserve">administer and assist industry to implement the </w:t>
      </w:r>
      <w:r>
        <w:rPr>
          <w:i/>
        </w:rPr>
        <w:t>Energy Efficiency (Cost of Living) Improvement Scheme</w:t>
      </w:r>
      <w:r>
        <w:t xml:space="preserve"> with a focus on reducing energy costs for small business and low</w:t>
      </w:r>
      <w:r>
        <w:noBreakHyphen/>
        <w:t>income households;</w:t>
      </w:r>
    </w:p>
    <w:p w:rsidR="007114AE" w:rsidRDefault="002435BD" w:rsidP="007114AE">
      <w:pPr>
        <w:pStyle w:val="BSbullet1"/>
        <w:numPr>
          <w:ilvl w:val="0"/>
          <w:numId w:val="3"/>
        </w:numPr>
        <w:jc w:val="both"/>
      </w:pPr>
      <w:r>
        <w:t>provide policy leadership and practical support to directorates in working towards carbon neutrality in the Government’s operations and service delivery by 2020;</w:t>
      </w:r>
    </w:p>
    <w:p w:rsidR="007114AE" w:rsidRDefault="002435BD" w:rsidP="007114AE">
      <w:pPr>
        <w:pStyle w:val="BSbullet1"/>
        <w:numPr>
          <w:ilvl w:val="0"/>
          <w:numId w:val="3"/>
        </w:numPr>
        <w:jc w:val="both"/>
      </w:pPr>
      <w:r>
        <w:t xml:space="preserve">develop and implement actions under an </w:t>
      </w:r>
      <w:r>
        <w:rPr>
          <w:i/>
        </w:rPr>
        <w:t>ACT Climate Change Adaptation Strategy</w:t>
      </w:r>
      <w:r>
        <w:t xml:space="preserve"> </w:t>
      </w:r>
      <w:r>
        <w:rPr>
          <w:i/>
        </w:rPr>
        <w:t>and Implementation Plan</w:t>
      </w:r>
      <w:r>
        <w:t>;</w:t>
      </w:r>
    </w:p>
    <w:p w:rsidR="007114AE" w:rsidRDefault="005F7A3D" w:rsidP="007114AE">
      <w:pPr>
        <w:pStyle w:val="BSbullet1"/>
        <w:keepNext/>
        <w:numPr>
          <w:ilvl w:val="0"/>
          <w:numId w:val="3"/>
        </w:numPr>
        <w:jc w:val="both"/>
      </w:pPr>
      <w:r>
        <w:t>help achieve the G</w:t>
      </w:r>
      <w:r w:rsidR="002435BD">
        <w:t>overnment’s climate change mitigation, waste reduction and renewable energy targets through Actsmart programs delivered to schools, businesses and households; and</w:t>
      </w:r>
    </w:p>
    <w:p w:rsidR="007114AE" w:rsidRDefault="002435BD" w:rsidP="007114AE">
      <w:pPr>
        <w:pStyle w:val="BSbullet1"/>
        <w:keepNext/>
        <w:numPr>
          <w:ilvl w:val="0"/>
          <w:numId w:val="3"/>
        </w:numPr>
        <w:jc w:val="both"/>
      </w:pPr>
      <w:r>
        <w:t xml:space="preserve">continue community engagement on climate change through workshops, public events and social media platforms to ensure </w:t>
      </w:r>
      <w:r w:rsidR="005F7A3D">
        <w:t xml:space="preserve">the </w:t>
      </w:r>
      <w:r>
        <w:t>Canberra</w:t>
      </w:r>
      <w:r w:rsidR="005F7A3D">
        <w:t xml:space="preserve"> community is included as a key part of Canberra’s climate change actions</w:t>
      </w:r>
      <w:r>
        <w:t>.</w:t>
      </w:r>
    </w:p>
    <w:p w:rsidR="007114AE" w:rsidRDefault="002435BD" w:rsidP="007114AE">
      <w:pPr>
        <w:pStyle w:val="BStabletextbolditalics"/>
        <w:rPr>
          <w:sz w:val="24"/>
          <w:szCs w:val="24"/>
        </w:rPr>
      </w:pPr>
      <w:r>
        <w:rPr>
          <w:sz w:val="24"/>
          <w:szCs w:val="24"/>
        </w:rPr>
        <w:t>Land Strategy and Urban Renewal</w:t>
      </w:r>
    </w:p>
    <w:p w:rsidR="007114AE" w:rsidRDefault="002435BD" w:rsidP="007114AE">
      <w:pPr>
        <w:pStyle w:val="BSbullet1"/>
        <w:keepLines/>
        <w:numPr>
          <w:ilvl w:val="0"/>
          <w:numId w:val="3"/>
        </w:numPr>
        <w:tabs>
          <w:tab w:val="clear" w:pos="360"/>
          <w:tab w:val="left" w:pos="720"/>
        </w:tabs>
      </w:pPr>
      <w:r>
        <w:t xml:space="preserve">develop the Government’s land release program in accordance with the </w:t>
      </w:r>
      <w:r>
        <w:rPr>
          <w:i/>
        </w:rPr>
        <w:t>ACT Planning Strategy Refresh</w:t>
      </w:r>
      <w:r>
        <w:t>;</w:t>
      </w:r>
    </w:p>
    <w:p w:rsidR="007114AE" w:rsidRDefault="002435BD" w:rsidP="007114AE">
      <w:pPr>
        <w:pStyle w:val="BSbullet1"/>
        <w:numPr>
          <w:ilvl w:val="0"/>
          <w:numId w:val="3"/>
        </w:numPr>
      </w:pPr>
      <w:r>
        <w:t xml:space="preserve">continue to develop the Government’s affordable housing and building policy;  </w:t>
      </w:r>
    </w:p>
    <w:p w:rsidR="007114AE" w:rsidRDefault="002435BD" w:rsidP="007114AE">
      <w:pPr>
        <w:pStyle w:val="BSbullet1"/>
        <w:numPr>
          <w:ilvl w:val="0"/>
          <w:numId w:val="3"/>
        </w:numPr>
      </w:pPr>
      <w:r>
        <w:t xml:space="preserve">work with the private sector to support the operation of </w:t>
      </w:r>
      <w:r w:rsidR="00CA72BA">
        <w:t xml:space="preserve">a </w:t>
      </w:r>
      <w:r>
        <w:t>competitive land development and construction market;</w:t>
      </w:r>
    </w:p>
    <w:p w:rsidR="007114AE" w:rsidRDefault="002435BD" w:rsidP="007114AE">
      <w:pPr>
        <w:pStyle w:val="BSbullet1"/>
        <w:numPr>
          <w:ilvl w:val="0"/>
          <w:numId w:val="3"/>
        </w:numPr>
      </w:pPr>
      <w:r>
        <w:rPr>
          <w:bdr w:val="none" w:sz="0" w:space="0" w:color="auto" w:frame="1"/>
        </w:rPr>
        <w:t>plan and deliver a range of initiatives that support urban growth and change in accordance with Government policies and priorities</w:t>
      </w:r>
      <w:r>
        <w:t xml:space="preserve">; </w:t>
      </w:r>
    </w:p>
    <w:p w:rsidR="007114AE" w:rsidRDefault="002435BD" w:rsidP="007114AE">
      <w:pPr>
        <w:pStyle w:val="BSbullet1"/>
        <w:numPr>
          <w:ilvl w:val="0"/>
          <w:numId w:val="3"/>
        </w:numPr>
      </w:pPr>
      <w:r>
        <w:t>deliver the ACT Government’s program of eradicating loose-fill asbestos insulation from Canberra homes under the Loose-fill Asbestos Insulation Eradication Scheme (Scheme) and engage across jurisdictional bounda</w:t>
      </w:r>
      <w:r w:rsidR="00447EED">
        <w:t>ries, and nationally, to guide G</w:t>
      </w:r>
      <w:r>
        <w:t>overnment, industry and community in the safe and effective practices developed under the Scheme;</w:t>
      </w:r>
    </w:p>
    <w:p w:rsidR="007114AE" w:rsidRDefault="002435BD" w:rsidP="007114AE">
      <w:pPr>
        <w:pStyle w:val="BSbullet1"/>
        <w:numPr>
          <w:ilvl w:val="0"/>
          <w:numId w:val="3"/>
        </w:numPr>
      </w:pPr>
      <w:r>
        <w:t xml:space="preserve">deliver the National Partnership Agreement on Asset Recycling; </w:t>
      </w:r>
    </w:p>
    <w:p w:rsidR="007114AE" w:rsidRDefault="002435BD" w:rsidP="007114AE">
      <w:pPr>
        <w:pStyle w:val="BSbullet1"/>
        <w:numPr>
          <w:ilvl w:val="0"/>
          <w:numId w:val="3"/>
        </w:numPr>
      </w:pPr>
      <w:r>
        <w:t>oversee the replacement of 1,288 outdated public housing units with properties that meet contemporary building and energy efficiency standards;</w:t>
      </w:r>
    </w:p>
    <w:p w:rsidR="007114AE" w:rsidRDefault="002435BD" w:rsidP="007114AE">
      <w:pPr>
        <w:pStyle w:val="BSbullet1"/>
        <w:numPr>
          <w:ilvl w:val="0"/>
          <w:numId w:val="3"/>
        </w:numPr>
      </w:pPr>
      <w:r>
        <w:t xml:space="preserve">assist the Community Services Directorate to deliver components of Housing ACT’s long term asset management program; </w:t>
      </w:r>
    </w:p>
    <w:p w:rsidR="007114AE" w:rsidRDefault="002435BD" w:rsidP="007114AE">
      <w:pPr>
        <w:pStyle w:val="BSbullet1"/>
        <w:numPr>
          <w:ilvl w:val="0"/>
          <w:numId w:val="3"/>
        </w:numPr>
      </w:pPr>
      <w:r>
        <w:t xml:space="preserve">provide support to the City Renewal Authority for the redevelopment of the City and Northbourne Avenue corridor; </w:t>
      </w:r>
    </w:p>
    <w:p w:rsidR="007114AE" w:rsidRDefault="002435BD" w:rsidP="007114AE">
      <w:pPr>
        <w:pStyle w:val="BSbullet1"/>
        <w:numPr>
          <w:ilvl w:val="0"/>
          <w:numId w:val="3"/>
        </w:numPr>
      </w:pPr>
      <w:r>
        <w:t xml:space="preserve">deliver urban renewal programs in areas outside the City Renewal Authority boundary; </w:t>
      </w:r>
    </w:p>
    <w:p w:rsidR="007114AE" w:rsidRDefault="002435BD" w:rsidP="007114AE">
      <w:pPr>
        <w:pStyle w:val="BSbullet1"/>
        <w:numPr>
          <w:ilvl w:val="0"/>
          <w:numId w:val="3"/>
        </w:numPr>
      </w:pPr>
      <w:r>
        <w:t xml:space="preserve">undertake project identification, establishment and preliminary planning for future urban land releases to be undertaken by the Territory through the Suburban Land Agency; </w:t>
      </w:r>
    </w:p>
    <w:p w:rsidR="007114AE" w:rsidRDefault="002435BD" w:rsidP="007114AE">
      <w:pPr>
        <w:pStyle w:val="BSbullet1"/>
        <w:numPr>
          <w:ilvl w:val="0"/>
          <w:numId w:val="3"/>
        </w:numPr>
      </w:pPr>
      <w:r>
        <w:t>coordinate appropriate land sales processes to facilitate urban renewal outcomes;</w:t>
      </w:r>
    </w:p>
    <w:p w:rsidR="007114AE" w:rsidRDefault="002435BD" w:rsidP="007114AE">
      <w:pPr>
        <w:pStyle w:val="BSbullet1"/>
        <w:numPr>
          <w:ilvl w:val="0"/>
          <w:numId w:val="3"/>
        </w:numPr>
      </w:pPr>
      <w:r>
        <w:t xml:space="preserve">investigate, trial and promote urban renewal initiatives that provide innovation, sustainability, liveability and design quality, such as the Demonstration Housing project; and </w:t>
      </w:r>
    </w:p>
    <w:p w:rsidR="007114AE" w:rsidRDefault="002435BD" w:rsidP="007114AE">
      <w:pPr>
        <w:pStyle w:val="BSbullet1"/>
        <w:numPr>
          <w:ilvl w:val="0"/>
          <w:numId w:val="3"/>
        </w:numPr>
      </w:pPr>
      <w:r>
        <w:t xml:space="preserve">prepare and undertake due diligence investigations on Territory land identified for future development in urban areas.  </w:t>
      </w:r>
    </w:p>
    <w:p w:rsidR="007114AE" w:rsidRDefault="002435BD" w:rsidP="002A5CF3">
      <w:pPr>
        <w:pStyle w:val="Heading2"/>
      </w:pPr>
      <w:bookmarkStart w:id="13" w:name="_Toc452467797"/>
      <w:bookmarkStart w:id="14" w:name="_Toc451895559"/>
      <w:bookmarkStart w:id="15" w:name="_Toc514840944"/>
      <w:bookmarkStart w:id="16" w:name="_Toc514840999"/>
      <w:r>
        <w:t>Estimated Employment Level</w:t>
      </w:r>
      <w:bookmarkEnd w:id="13"/>
      <w:bookmarkEnd w:id="14"/>
      <w:bookmarkEnd w:id="15"/>
      <w:bookmarkEnd w:id="16"/>
    </w:p>
    <w:p w:rsidR="007114AE" w:rsidRDefault="00566147" w:rsidP="00566147">
      <w:pPr>
        <w:pStyle w:val="Caption"/>
      </w:pPr>
      <w:r>
        <w:t xml:space="preserve">Table </w:t>
      </w:r>
      <w:fldSimple w:instr=" SEQ Table \* ARABIC ">
        <w:r w:rsidR="00C8791A">
          <w:rPr>
            <w:noProof/>
          </w:rPr>
          <w:t>1</w:t>
        </w:r>
      </w:fldSimple>
      <w:r w:rsidR="002435BD">
        <w:t>: Estimated Employment Level</w:t>
      </w:r>
    </w:p>
    <w:tbl>
      <w:tblPr>
        <w:tblW w:w="9105" w:type="dxa"/>
        <w:tblBorders>
          <w:top w:val="single" w:sz="12" w:space="0" w:color="000000"/>
        </w:tblBorders>
        <w:tblLayout w:type="fixed"/>
        <w:tblLook w:val="04A0" w:firstRow="1" w:lastRow="0" w:firstColumn="1" w:lastColumn="0" w:noHBand="0" w:noVBand="1"/>
        <w:tblCaption w:val="Table 1 - Estimated Employment Level"/>
      </w:tblPr>
      <w:tblGrid>
        <w:gridCol w:w="2700"/>
        <w:gridCol w:w="1601"/>
        <w:gridCol w:w="1601"/>
        <w:gridCol w:w="1601"/>
        <w:gridCol w:w="1602"/>
      </w:tblGrid>
      <w:tr w:rsidR="005576C2" w:rsidTr="007114AE">
        <w:trPr>
          <w:trHeight w:val="392"/>
          <w:tblHeader/>
        </w:trPr>
        <w:tc>
          <w:tcPr>
            <w:tcW w:w="2700" w:type="dxa"/>
            <w:tcBorders>
              <w:top w:val="single" w:sz="12" w:space="0" w:color="000000"/>
              <w:left w:val="nil"/>
              <w:bottom w:val="nil"/>
              <w:right w:val="nil"/>
            </w:tcBorders>
            <w:vAlign w:val="bottom"/>
          </w:tcPr>
          <w:p w:rsidR="007114AE" w:rsidRDefault="007114AE">
            <w:pPr>
              <w:pStyle w:val="BStabletext0"/>
            </w:pPr>
          </w:p>
        </w:tc>
        <w:tc>
          <w:tcPr>
            <w:tcW w:w="1601" w:type="dxa"/>
            <w:tcBorders>
              <w:top w:val="single" w:sz="12" w:space="0" w:color="000000"/>
              <w:left w:val="nil"/>
              <w:bottom w:val="nil"/>
              <w:right w:val="nil"/>
            </w:tcBorders>
            <w:hideMark/>
          </w:tcPr>
          <w:p w:rsidR="007114AE" w:rsidRDefault="002435BD">
            <w:pPr>
              <w:pStyle w:val="BStableheading10"/>
              <w:framePr w:wrap="around"/>
            </w:pPr>
            <w:r>
              <w:t>2016-17</w:t>
            </w:r>
          </w:p>
          <w:p w:rsidR="007114AE" w:rsidRDefault="002435BD">
            <w:pPr>
              <w:pStyle w:val="BStableheading10"/>
              <w:framePr w:wrap="around"/>
            </w:pPr>
            <w:r>
              <w:t>Actual</w:t>
            </w:r>
          </w:p>
          <w:p w:rsidR="007114AE" w:rsidRDefault="002435BD">
            <w:pPr>
              <w:pStyle w:val="BStableheading10"/>
              <w:framePr w:wrap="around"/>
            </w:pPr>
            <w:r>
              <w:t>Outcome</w:t>
            </w:r>
          </w:p>
        </w:tc>
        <w:tc>
          <w:tcPr>
            <w:tcW w:w="1601" w:type="dxa"/>
            <w:tcBorders>
              <w:top w:val="single" w:sz="12" w:space="0" w:color="000000"/>
              <w:left w:val="nil"/>
              <w:bottom w:val="nil"/>
              <w:right w:val="nil"/>
            </w:tcBorders>
            <w:hideMark/>
          </w:tcPr>
          <w:p w:rsidR="007114AE" w:rsidRDefault="002435BD" w:rsidP="007114AE">
            <w:pPr>
              <w:pStyle w:val="BStableheading10"/>
              <w:framePr w:wrap="auto" w:vAnchor="margin" w:yAlign="inline"/>
            </w:pPr>
            <w:r>
              <w:t>2017-18</w:t>
            </w:r>
          </w:p>
          <w:p w:rsidR="007114AE" w:rsidRDefault="002435BD">
            <w:pPr>
              <w:pStyle w:val="BStableheading10"/>
              <w:framePr w:wrap="around"/>
            </w:pPr>
            <w:r>
              <w:t>Budget</w:t>
            </w:r>
          </w:p>
        </w:tc>
        <w:tc>
          <w:tcPr>
            <w:tcW w:w="1601" w:type="dxa"/>
            <w:tcBorders>
              <w:top w:val="single" w:sz="12" w:space="0" w:color="000000"/>
              <w:left w:val="nil"/>
              <w:bottom w:val="nil"/>
              <w:right w:val="nil"/>
            </w:tcBorders>
            <w:hideMark/>
          </w:tcPr>
          <w:p w:rsidR="007114AE" w:rsidRDefault="002435BD">
            <w:pPr>
              <w:pStyle w:val="BStableheading10"/>
              <w:framePr w:wrap="around"/>
            </w:pPr>
            <w:r>
              <w:t>2017-18</w:t>
            </w:r>
          </w:p>
          <w:p w:rsidR="007114AE" w:rsidRDefault="002435BD">
            <w:pPr>
              <w:pStyle w:val="BStableheading10"/>
              <w:framePr w:wrap="around"/>
            </w:pPr>
            <w:r>
              <w:t>Estimated Outcome</w:t>
            </w:r>
          </w:p>
        </w:tc>
        <w:tc>
          <w:tcPr>
            <w:tcW w:w="1602" w:type="dxa"/>
            <w:tcBorders>
              <w:top w:val="single" w:sz="12" w:space="0" w:color="000000"/>
              <w:left w:val="nil"/>
              <w:bottom w:val="nil"/>
              <w:right w:val="nil"/>
            </w:tcBorders>
            <w:noWrap/>
            <w:hideMark/>
          </w:tcPr>
          <w:p w:rsidR="007114AE" w:rsidRDefault="002435BD">
            <w:pPr>
              <w:pStyle w:val="BStableheading10"/>
              <w:framePr w:wrap="around"/>
            </w:pPr>
            <w:r>
              <w:t>2018-19</w:t>
            </w:r>
          </w:p>
          <w:p w:rsidR="007114AE" w:rsidRDefault="002435BD">
            <w:pPr>
              <w:pStyle w:val="BStableheading10"/>
              <w:framePr w:wrap="around"/>
            </w:pPr>
            <w:r>
              <w:t>Budget</w:t>
            </w:r>
          </w:p>
        </w:tc>
      </w:tr>
      <w:tr w:rsidR="005576C2" w:rsidTr="007114AE">
        <w:trPr>
          <w:trHeight w:val="319"/>
          <w:tblHeader/>
        </w:trPr>
        <w:tc>
          <w:tcPr>
            <w:tcW w:w="2700" w:type="dxa"/>
            <w:tcBorders>
              <w:top w:val="single" w:sz="6" w:space="0" w:color="000000"/>
              <w:left w:val="nil"/>
              <w:bottom w:val="single" w:sz="12" w:space="0" w:color="000000"/>
              <w:right w:val="nil"/>
            </w:tcBorders>
            <w:vAlign w:val="bottom"/>
            <w:hideMark/>
          </w:tcPr>
          <w:p w:rsidR="007114AE" w:rsidRDefault="002435BD" w:rsidP="007114AE">
            <w:pPr>
              <w:pStyle w:val="BStabletext0"/>
              <w:rPr>
                <w:rStyle w:val="Strong"/>
                <w:bCs/>
              </w:rPr>
            </w:pPr>
            <w:r>
              <w:rPr>
                <w:rStyle w:val="Strong"/>
                <w:bCs/>
              </w:rPr>
              <w:t>Staffing (FTE)</w:t>
            </w:r>
            <w:r w:rsidRPr="00FC2D5A">
              <w:rPr>
                <w:rStyle w:val="Strong"/>
                <w:bCs/>
                <w:vertAlign w:val="superscript"/>
              </w:rPr>
              <w:t>1</w:t>
            </w:r>
          </w:p>
        </w:tc>
        <w:tc>
          <w:tcPr>
            <w:tcW w:w="1601" w:type="dxa"/>
            <w:tcBorders>
              <w:top w:val="single" w:sz="6" w:space="0" w:color="000000"/>
              <w:left w:val="nil"/>
              <w:bottom w:val="single" w:sz="12" w:space="0" w:color="000000"/>
              <w:right w:val="nil"/>
            </w:tcBorders>
            <w:vAlign w:val="bottom"/>
            <w:hideMark/>
          </w:tcPr>
          <w:p w:rsidR="007114AE" w:rsidRDefault="002435BD" w:rsidP="007114AE">
            <w:pPr>
              <w:pStyle w:val="BStablefigures"/>
            </w:pPr>
            <w:r>
              <w:t>561</w:t>
            </w:r>
          </w:p>
        </w:tc>
        <w:tc>
          <w:tcPr>
            <w:tcW w:w="1601" w:type="dxa"/>
            <w:tcBorders>
              <w:top w:val="single" w:sz="6" w:space="0" w:color="000000"/>
              <w:left w:val="nil"/>
              <w:bottom w:val="single" w:sz="12" w:space="0" w:color="000000"/>
              <w:right w:val="nil"/>
            </w:tcBorders>
            <w:vAlign w:val="bottom"/>
            <w:hideMark/>
          </w:tcPr>
          <w:p w:rsidR="007114AE" w:rsidRDefault="002435BD" w:rsidP="007114AE">
            <w:pPr>
              <w:pStyle w:val="BStablefigures"/>
            </w:pPr>
            <w:r>
              <w:t>690</w:t>
            </w:r>
            <w:r>
              <w:rPr>
                <w:vertAlign w:val="superscript"/>
              </w:rPr>
              <w:t>2</w:t>
            </w:r>
          </w:p>
        </w:tc>
        <w:tc>
          <w:tcPr>
            <w:tcW w:w="1601" w:type="dxa"/>
            <w:tcBorders>
              <w:top w:val="single" w:sz="6" w:space="0" w:color="000000"/>
              <w:left w:val="nil"/>
              <w:bottom w:val="single" w:sz="12" w:space="0" w:color="000000"/>
              <w:right w:val="nil"/>
            </w:tcBorders>
            <w:vAlign w:val="bottom"/>
            <w:hideMark/>
          </w:tcPr>
          <w:p w:rsidR="007114AE" w:rsidRDefault="002435BD" w:rsidP="007114AE">
            <w:pPr>
              <w:pStyle w:val="BStablefigures"/>
            </w:pPr>
            <w:r>
              <w:t>648</w:t>
            </w:r>
            <w:r>
              <w:rPr>
                <w:vertAlign w:val="superscript"/>
              </w:rPr>
              <w:t>3</w:t>
            </w:r>
          </w:p>
        </w:tc>
        <w:tc>
          <w:tcPr>
            <w:tcW w:w="1602" w:type="dxa"/>
            <w:tcBorders>
              <w:top w:val="single" w:sz="6" w:space="0" w:color="000000"/>
              <w:left w:val="nil"/>
              <w:bottom w:val="single" w:sz="12" w:space="0" w:color="000000"/>
              <w:right w:val="nil"/>
            </w:tcBorders>
            <w:noWrap/>
            <w:vAlign w:val="bottom"/>
            <w:hideMark/>
          </w:tcPr>
          <w:p w:rsidR="007114AE" w:rsidRDefault="00991D1B" w:rsidP="00566147">
            <w:pPr>
              <w:pStyle w:val="BStablefigures"/>
              <w:keepNext/>
            </w:pPr>
            <w:r>
              <w:t>67</w:t>
            </w:r>
            <w:r w:rsidR="002435BD">
              <w:t>8</w:t>
            </w:r>
            <w:r w:rsidR="002435BD">
              <w:rPr>
                <w:vertAlign w:val="superscript"/>
              </w:rPr>
              <w:t>4</w:t>
            </w:r>
          </w:p>
        </w:tc>
      </w:tr>
    </w:tbl>
    <w:p w:rsidR="007114AE" w:rsidRDefault="002435BD" w:rsidP="007114AE">
      <w:pPr>
        <w:pStyle w:val="BSnote"/>
      </w:pPr>
      <w:r>
        <w:t>Note(s):</w:t>
      </w:r>
    </w:p>
    <w:p w:rsidR="007114AE" w:rsidRDefault="002435BD" w:rsidP="007114AE">
      <w:pPr>
        <w:pStyle w:val="BSnoteslist"/>
      </w:pPr>
      <w:r>
        <w:t>Includes the Office of the Commissioner for Sustainability and the Environment.</w:t>
      </w:r>
    </w:p>
    <w:p w:rsidR="007114AE" w:rsidRDefault="002435BD" w:rsidP="007114AE">
      <w:pPr>
        <w:pStyle w:val="BSnoteslist"/>
      </w:pPr>
      <w:r>
        <w:t xml:space="preserve">The variation between the </w:t>
      </w:r>
      <w:r w:rsidRPr="00190050">
        <w:t>2017-18</w:t>
      </w:r>
      <w:r w:rsidR="00991D1B">
        <w:t xml:space="preserve"> </w:t>
      </w:r>
      <w:r>
        <w:t>Budget and the 2016-17 Actual Outcome is due to the transfer of land policy and urban renewal functions on 1 July 2017.</w:t>
      </w:r>
    </w:p>
    <w:p w:rsidR="007114AE" w:rsidRDefault="002435BD" w:rsidP="007114AE">
      <w:pPr>
        <w:pStyle w:val="BSnoteslist"/>
      </w:pPr>
      <w:r>
        <w:t xml:space="preserve">The variation between the </w:t>
      </w:r>
      <w:r w:rsidRPr="00190050">
        <w:t>2017-18</w:t>
      </w:r>
      <w:r>
        <w:t xml:space="preserve"> Estimated Outcome and the </w:t>
      </w:r>
      <w:r w:rsidRPr="00190050">
        <w:t>2017-18</w:t>
      </w:r>
      <w:r w:rsidR="00991D1B">
        <w:t xml:space="preserve"> </w:t>
      </w:r>
      <w:r>
        <w:t>Budget is mainly due to recruitment processes still underway, or about to be completed, associated with the new Directorate structure and new programs.</w:t>
      </w:r>
    </w:p>
    <w:p w:rsidR="007114AE" w:rsidRDefault="002435BD" w:rsidP="007114AE">
      <w:pPr>
        <w:pStyle w:val="BSnoteslist"/>
      </w:pPr>
      <w:r>
        <w:t xml:space="preserve">The variation between the 2017-18 Budget and the 2018-19 Budget is due to new FTE associated with </w:t>
      </w:r>
      <w:r w:rsidR="007114AE">
        <w:t xml:space="preserve">the </w:t>
      </w:r>
      <w:r>
        <w:t>2018</w:t>
      </w:r>
      <w:r>
        <w:noBreakHyphen/>
        <w:t xml:space="preserve">19 Budget initiatives, offset by a reduction in </w:t>
      </w:r>
      <w:r w:rsidR="005B37C2">
        <w:t>the size of the Asbestos Response</w:t>
      </w:r>
      <w:r>
        <w:t xml:space="preserve"> Taskforce</w:t>
      </w:r>
      <w:r w:rsidR="00991D1B">
        <w:t>, settlement of staffing numbers and associated functions with the Suburban Land Agency</w:t>
      </w:r>
      <w:r w:rsidR="00933FA6">
        <w:t xml:space="preserve"> </w:t>
      </w:r>
      <w:r>
        <w:t xml:space="preserve">and the transfer of transport planning staff to </w:t>
      </w:r>
      <w:r w:rsidR="00991D1B">
        <w:t>Transport Canberra and City Services</w:t>
      </w:r>
      <w:r>
        <w:t>.</w:t>
      </w:r>
    </w:p>
    <w:p w:rsidR="007114AE" w:rsidRDefault="002435BD" w:rsidP="002A5CF3">
      <w:pPr>
        <w:pStyle w:val="Heading2"/>
      </w:pPr>
      <w:bookmarkStart w:id="17" w:name="_Toc452467798"/>
      <w:bookmarkStart w:id="18" w:name="_Toc514840945"/>
      <w:bookmarkStart w:id="19" w:name="_Toc514841000"/>
      <w:r>
        <w:t>Strategic Objectives and Indicators</w:t>
      </w:r>
      <w:bookmarkEnd w:id="17"/>
      <w:bookmarkEnd w:id="18"/>
      <w:bookmarkEnd w:id="19"/>
      <w:r>
        <w:t xml:space="preserve"> </w:t>
      </w:r>
    </w:p>
    <w:p w:rsidR="007114AE" w:rsidRDefault="002435BD" w:rsidP="007114AE">
      <w:pPr>
        <w:pStyle w:val="Heading3"/>
        <w:keepNext w:val="0"/>
        <w:keepLines w:val="0"/>
      </w:pPr>
      <w:bookmarkStart w:id="20" w:name="_Toc514763772"/>
      <w:bookmarkStart w:id="21" w:name="_Toc514841001"/>
      <w:r>
        <w:t>Strategic Objective 1</w:t>
      </w:r>
      <w:bookmarkEnd w:id="20"/>
      <w:bookmarkEnd w:id="21"/>
      <w:r>
        <w:t xml:space="preserve"> </w:t>
      </w:r>
    </w:p>
    <w:p w:rsidR="007114AE" w:rsidRDefault="002435BD" w:rsidP="007114AE">
      <w:pPr>
        <w:pStyle w:val="Normal20"/>
        <w:rPr>
          <w:b/>
          <w:i/>
        </w:rPr>
      </w:pPr>
      <w:r>
        <w:rPr>
          <w:b/>
          <w:i/>
        </w:rPr>
        <w:t>A planning, building and leasehold system that contributes to a sustainable Canberra and economic prosperity by delivering quality spatial, urban design, integrated transport and development outcomes, and that rewards design excellence and innovation.</w:t>
      </w:r>
    </w:p>
    <w:p w:rsidR="007114AE" w:rsidRDefault="002435BD" w:rsidP="007114AE">
      <w:pPr>
        <w:pStyle w:val="Normal20"/>
      </w:pPr>
      <w:r>
        <w:t xml:space="preserve">This objective will be achieved through the implementation of the goals underpinning the </w:t>
      </w:r>
      <w:r>
        <w:rPr>
          <w:i/>
        </w:rPr>
        <w:t>ACT Planning Strategy</w:t>
      </w:r>
      <w:r>
        <w:t xml:space="preserve">, the </w:t>
      </w:r>
      <w:r>
        <w:rPr>
          <w:i/>
        </w:rPr>
        <w:t>Transport for Canberra</w:t>
      </w:r>
      <w:r>
        <w:t xml:space="preserve"> and </w:t>
      </w:r>
      <w:r>
        <w:rPr>
          <w:i/>
        </w:rPr>
        <w:t>AP2 Climate Change Strategy</w:t>
      </w:r>
      <w:r>
        <w:t xml:space="preserve"> policies.</w:t>
      </w:r>
    </w:p>
    <w:p w:rsidR="007114AE" w:rsidRDefault="002435BD" w:rsidP="007114AE">
      <w:pPr>
        <w:pStyle w:val="Normal20"/>
      </w:pPr>
      <w:r>
        <w:t>The Directorate will:</w:t>
      </w:r>
    </w:p>
    <w:p w:rsidR="007114AE" w:rsidRDefault="002435BD" w:rsidP="007114AE">
      <w:pPr>
        <w:pStyle w:val="BSbullet1"/>
      </w:pPr>
      <w:r>
        <w:t>prepare planning and land use management strategies that integrate with transport planning, shape the growth of the City, enhance the community’s lifestyle and balance environmental objectives;</w:t>
      </w:r>
    </w:p>
    <w:p w:rsidR="007114AE" w:rsidRDefault="002435BD" w:rsidP="007114AE">
      <w:pPr>
        <w:pStyle w:val="BSbullet1"/>
      </w:pPr>
      <w:r>
        <w:t xml:space="preserve">review the </w:t>
      </w:r>
      <w:r>
        <w:rPr>
          <w:i/>
        </w:rPr>
        <w:t>ACT Planning Strategy</w:t>
      </w:r>
      <w:r>
        <w:t xml:space="preserve"> to support the Government’s commitments to zero carbon emissions by 2045, urban renewal and light rail concurrent with the transpo</w:t>
      </w:r>
      <w:r w:rsidR="00CA72BA">
        <w:t>rt and climate change strategy</w:t>
      </w:r>
      <w:r>
        <w:t xml:space="preserve"> reviews;</w:t>
      </w:r>
    </w:p>
    <w:p w:rsidR="007114AE" w:rsidRDefault="002435BD" w:rsidP="007114AE">
      <w:pPr>
        <w:pStyle w:val="BSbullet1"/>
      </w:pPr>
      <w:r>
        <w:t>manage urban renewal strategies with a focus on integration around commercial centres and transport infrastructure and having regard to evolving community attitudes.  Initiatives include:</w:t>
      </w:r>
    </w:p>
    <w:p w:rsidR="007114AE" w:rsidRDefault="002435BD" w:rsidP="00390DB5">
      <w:pPr>
        <w:pStyle w:val="BSbullet2"/>
        <w:numPr>
          <w:ilvl w:val="0"/>
          <w:numId w:val="52"/>
        </w:numPr>
        <w:ind w:left="714" w:hanging="357"/>
      </w:pPr>
      <w:r>
        <w:t>completing the master plan program for centres to provide direction for future change and growth including sustainable design outcomes;</w:t>
      </w:r>
    </w:p>
    <w:p w:rsidR="007114AE" w:rsidRDefault="002435BD" w:rsidP="00390DB5">
      <w:pPr>
        <w:pStyle w:val="BSbullet2"/>
        <w:numPr>
          <w:ilvl w:val="0"/>
          <w:numId w:val="52"/>
        </w:numPr>
        <w:ind w:left="714" w:hanging="357"/>
      </w:pPr>
      <w:r>
        <w:t xml:space="preserve">finalise the </w:t>
      </w:r>
      <w:r w:rsidRPr="000C5F1E">
        <w:t>City and Gateway Design Framework</w:t>
      </w:r>
      <w:r>
        <w:t>;</w:t>
      </w:r>
    </w:p>
    <w:p w:rsidR="007114AE" w:rsidRDefault="002435BD" w:rsidP="00390DB5">
      <w:pPr>
        <w:pStyle w:val="BSbullet2"/>
        <w:numPr>
          <w:ilvl w:val="0"/>
          <w:numId w:val="52"/>
        </w:numPr>
        <w:ind w:left="714" w:hanging="357"/>
      </w:pPr>
      <w:r>
        <w:t>examining community facility planning to establish future policy positions;</w:t>
      </w:r>
    </w:p>
    <w:p w:rsidR="007114AE" w:rsidRDefault="002435BD" w:rsidP="00390DB5">
      <w:pPr>
        <w:pStyle w:val="BSbullet2"/>
        <w:keepNext/>
        <w:numPr>
          <w:ilvl w:val="0"/>
          <w:numId w:val="52"/>
        </w:numPr>
        <w:ind w:left="714" w:hanging="357"/>
      </w:pPr>
      <w:r>
        <w:t xml:space="preserve">ensuring Territory Plan land uses reflect the broad structure of the </w:t>
      </w:r>
      <w:r w:rsidRPr="000C5F1E">
        <w:t>ACT Planning Strategy</w:t>
      </w:r>
      <w:r>
        <w:t xml:space="preserve"> including a review of the locations of medium and higher density residential zones and future urban areas; and</w:t>
      </w:r>
    </w:p>
    <w:p w:rsidR="007114AE" w:rsidRDefault="002435BD" w:rsidP="00390DB5">
      <w:pPr>
        <w:pStyle w:val="BSbullet2"/>
        <w:keepNext/>
        <w:numPr>
          <w:ilvl w:val="0"/>
          <w:numId w:val="52"/>
        </w:numPr>
        <w:ind w:left="714" w:hanging="357"/>
      </w:pPr>
      <w:r>
        <w:t xml:space="preserve">reviewing the Territory Plan as necessary to reflect outcomes of strategic land use and transport plans and policies. </w:t>
      </w:r>
    </w:p>
    <w:p w:rsidR="007114AE" w:rsidRDefault="002435BD" w:rsidP="007114AE">
      <w:pPr>
        <w:pStyle w:val="BSbullet1"/>
      </w:pPr>
      <w:r>
        <w:rPr>
          <w:lang w:eastAsia="en-AU"/>
        </w:rPr>
        <w:t xml:space="preserve">continue to implement the outcomes of the review of the </w:t>
      </w:r>
      <w:r>
        <w:rPr>
          <w:i/>
          <w:lang w:eastAsia="en-AU"/>
        </w:rPr>
        <w:t>Building Act 2004</w:t>
      </w:r>
      <w:r>
        <w:rPr>
          <w:lang w:eastAsia="en-AU"/>
        </w:rPr>
        <w:t xml:space="preserve">, including the </w:t>
      </w:r>
      <w:r>
        <w:rPr>
          <w:i/>
          <w:lang w:eastAsia="en-AU"/>
        </w:rPr>
        <w:t>Improving the ACT Building Regulatory System</w:t>
      </w:r>
      <w:r>
        <w:rPr>
          <w:lang w:eastAsia="en-AU"/>
        </w:rPr>
        <w:t xml:space="preserve"> reform program;</w:t>
      </w:r>
    </w:p>
    <w:p w:rsidR="007114AE" w:rsidRDefault="002435BD" w:rsidP="007114AE">
      <w:pPr>
        <w:pStyle w:val="BSbullet1"/>
      </w:pPr>
      <w:r>
        <w:t>develop and implement policies that improve the sustainability and resilience of the natural and built environment;</w:t>
      </w:r>
    </w:p>
    <w:p w:rsidR="007114AE" w:rsidRDefault="002435BD" w:rsidP="007114AE">
      <w:pPr>
        <w:pStyle w:val="BSbullet1"/>
      </w:pPr>
      <w:r>
        <w:t>administer a transparent and accountable leasehold and planning approvals system that underpins the Territory’s economy;</w:t>
      </w:r>
    </w:p>
    <w:p w:rsidR="007114AE" w:rsidRDefault="002435BD" w:rsidP="007114AE">
      <w:pPr>
        <w:pStyle w:val="BSbullet1"/>
      </w:pPr>
      <w:r>
        <w:t>maintain and enhance an efficient spatial mapping and property description system;</w:t>
      </w:r>
    </w:p>
    <w:p w:rsidR="007114AE" w:rsidRDefault="002435BD" w:rsidP="007114AE">
      <w:pPr>
        <w:pStyle w:val="BSbullet1"/>
      </w:pPr>
      <w:r>
        <w:t>increase community and industry education to foster understanding of strategies and policies;</w:t>
      </w:r>
    </w:p>
    <w:p w:rsidR="007114AE" w:rsidRDefault="002435BD" w:rsidP="007114AE">
      <w:pPr>
        <w:pStyle w:val="BSbullet1"/>
      </w:pPr>
      <w:r>
        <w:t>continue to work with surrounding local government areas and the NSW Government to develop and deliver regional planning strategies for the Canberra region; and</w:t>
      </w:r>
    </w:p>
    <w:p w:rsidR="007114AE" w:rsidRDefault="002435BD" w:rsidP="007114AE">
      <w:pPr>
        <w:pStyle w:val="BSbullet1"/>
      </w:pPr>
      <w:r>
        <w:t>continue to participate in national forums to provide analysis and input to infrastructure policy nationally and in the ACT.</w:t>
      </w:r>
    </w:p>
    <w:p w:rsidR="007114AE" w:rsidRDefault="002435BD" w:rsidP="007114AE">
      <w:pPr>
        <w:pStyle w:val="Caption0"/>
        <w:rPr>
          <w:sz w:val="24"/>
          <w:szCs w:val="24"/>
        </w:rPr>
      </w:pPr>
      <w:r>
        <w:rPr>
          <w:sz w:val="24"/>
          <w:szCs w:val="24"/>
        </w:rPr>
        <w:t xml:space="preserve">Strategic Indicator 1.1:  </w:t>
      </w:r>
      <w:r>
        <w:rPr>
          <w:b w:val="0"/>
          <w:sz w:val="24"/>
          <w:szCs w:val="24"/>
        </w:rPr>
        <w:t>Develop, engage on and implement city-wide urban land policies, strategies and plans that underpin planning for the future urban growth, land supply, and major infrastructu</w:t>
      </w:r>
      <w:r w:rsidR="00CD3512">
        <w:rPr>
          <w:b w:val="0"/>
          <w:sz w:val="24"/>
          <w:szCs w:val="24"/>
        </w:rPr>
        <w:t>re in a coordinated way across G</w:t>
      </w:r>
      <w:r>
        <w:rPr>
          <w:b w:val="0"/>
          <w:sz w:val="24"/>
          <w:szCs w:val="24"/>
        </w:rPr>
        <w:t>overnment.</w:t>
      </w:r>
      <w:r w:rsidRPr="00240703">
        <w:rPr>
          <w:b w:val="0"/>
          <w:sz w:val="24"/>
          <w:szCs w:val="24"/>
          <w:vertAlign w:val="superscript"/>
        </w:rPr>
        <w:t>1</w:t>
      </w:r>
    </w:p>
    <w:p w:rsidR="007114AE" w:rsidRDefault="002435BD" w:rsidP="007114AE">
      <w:pPr>
        <w:pStyle w:val="BSbullet10"/>
        <w:tabs>
          <w:tab w:val="left" w:pos="720"/>
        </w:tabs>
        <w:ind w:left="0" w:firstLine="0"/>
      </w:pPr>
      <w:r>
        <w:rPr>
          <w:b/>
        </w:rPr>
        <w:t>Strategic Indicator 1.2</w:t>
      </w:r>
      <w:r>
        <w:t xml:space="preserve">: Implement the </w:t>
      </w:r>
      <w:r>
        <w:rPr>
          <w:i/>
        </w:rPr>
        <w:t>Improving the ACT Building Regulatory System</w:t>
      </w:r>
      <w:r>
        <w:t xml:space="preserve"> reforms.</w:t>
      </w:r>
      <w:r>
        <w:rPr>
          <w:vertAlign w:val="superscript"/>
        </w:rPr>
        <w:t>2</w:t>
      </w:r>
    </w:p>
    <w:p w:rsidR="007114AE" w:rsidRDefault="002435BD" w:rsidP="00A82598">
      <w:pPr>
        <w:pStyle w:val="BSnote0"/>
        <w:tabs>
          <w:tab w:val="left" w:pos="1935"/>
        </w:tabs>
      </w:pPr>
      <w:r>
        <w:t>Note(s):</w:t>
      </w:r>
      <w:r w:rsidR="00A82598">
        <w:tab/>
      </w:r>
    </w:p>
    <w:p w:rsidR="007114AE" w:rsidRDefault="002435BD" w:rsidP="00862CB5">
      <w:pPr>
        <w:pStyle w:val="BSnoteslist"/>
        <w:numPr>
          <w:ilvl w:val="0"/>
          <w:numId w:val="70"/>
        </w:numPr>
      </w:pPr>
      <w:r>
        <w:t>Revised Strategic Indicator. The word ‘transport’ has been taken out of the indicator as the transport planning fun</w:t>
      </w:r>
      <w:r w:rsidR="007114AE">
        <w:t>ction was transferred from the Directorate to Transport Canberra and City Services</w:t>
      </w:r>
      <w:r>
        <w:t xml:space="preserve"> on 1 July 2017.</w:t>
      </w:r>
    </w:p>
    <w:p w:rsidR="007114AE" w:rsidRDefault="002435BD" w:rsidP="00184B7C">
      <w:pPr>
        <w:pStyle w:val="BSnoteslist"/>
      </w:pPr>
      <w:r>
        <w:t>New Strategic Indicator.</w:t>
      </w:r>
    </w:p>
    <w:p w:rsidR="003165D3" w:rsidRDefault="003165D3">
      <w:pPr>
        <w:spacing w:before="0" w:after="0"/>
        <w:rPr>
          <w:b/>
          <w:bCs/>
          <w:sz w:val="28"/>
          <w:szCs w:val="26"/>
        </w:rPr>
      </w:pPr>
      <w:bookmarkStart w:id="22" w:name="_Toc514763773"/>
      <w:r>
        <w:br w:type="page"/>
      </w:r>
    </w:p>
    <w:p w:rsidR="007114AE" w:rsidRDefault="002435BD" w:rsidP="007114AE">
      <w:pPr>
        <w:pStyle w:val="Heading3"/>
      </w:pPr>
      <w:bookmarkStart w:id="23" w:name="_Toc514841002"/>
      <w:r>
        <w:t>Strategic Objective 2</w:t>
      </w:r>
      <w:bookmarkEnd w:id="22"/>
      <w:bookmarkEnd w:id="23"/>
      <w:r>
        <w:t xml:space="preserve"> </w:t>
      </w:r>
    </w:p>
    <w:p w:rsidR="007114AE" w:rsidRDefault="002435BD" w:rsidP="007114AE">
      <w:pPr>
        <w:pStyle w:val="Normal20"/>
        <w:rPr>
          <w:b/>
          <w:i/>
        </w:rPr>
      </w:pPr>
      <w:r>
        <w:rPr>
          <w:b/>
          <w:i/>
        </w:rPr>
        <w:t xml:space="preserve">Together with community protect and enhance Canberra’s built, natural and cultural environment providing nature based experiences and solutions to improve Canberra’s liveability.  </w:t>
      </w:r>
    </w:p>
    <w:p w:rsidR="007114AE" w:rsidRDefault="002435BD" w:rsidP="007114AE">
      <w:pPr>
        <w:pStyle w:val="Normal20"/>
      </w:pPr>
      <w:r>
        <w:t xml:space="preserve">The Directorate will continue to enhance and protect the built, natural and cultural environment through strategies, plans, research, programs and management of our parks, reserves and waterways, including through strong collaboration and partnerships with community, volunteers, business and other land managers and research institutions.      </w:t>
      </w:r>
    </w:p>
    <w:p w:rsidR="007114AE" w:rsidRDefault="002435BD" w:rsidP="007114AE">
      <w:pPr>
        <w:pStyle w:val="Normal20"/>
      </w:pPr>
      <w:r>
        <w:t>This will include exploring and supporting cost-effective ways to enhance Canberra’s liveability through:</w:t>
      </w:r>
    </w:p>
    <w:p w:rsidR="007114AE" w:rsidRDefault="002435BD" w:rsidP="00390DB5">
      <w:pPr>
        <w:pStyle w:val="BSbullet2"/>
        <w:keepNext/>
        <w:numPr>
          <w:ilvl w:val="0"/>
          <w:numId w:val="52"/>
        </w:numPr>
        <w:ind w:left="714" w:hanging="357"/>
      </w:pPr>
      <w:r>
        <w:t xml:space="preserve">sustainable water use through demand management and water sensitive urban design; </w:t>
      </w:r>
    </w:p>
    <w:p w:rsidR="007114AE" w:rsidRDefault="002435BD" w:rsidP="00390DB5">
      <w:pPr>
        <w:pStyle w:val="BSbullet2"/>
        <w:keepNext/>
        <w:numPr>
          <w:ilvl w:val="0"/>
          <w:numId w:val="52"/>
        </w:numPr>
        <w:ind w:left="714" w:hanging="357"/>
      </w:pPr>
      <w:r>
        <w:t xml:space="preserve">nature-based experiences (tourism, health, education, recreation); </w:t>
      </w:r>
    </w:p>
    <w:p w:rsidR="007114AE" w:rsidRDefault="002435BD" w:rsidP="00390DB5">
      <w:pPr>
        <w:pStyle w:val="BSbullet2"/>
        <w:keepNext/>
        <w:numPr>
          <w:ilvl w:val="0"/>
          <w:numId w:val="52"/>
        </w:numPr>
        <w:ind w:left="714" w:hanging="357"/>
      </w:pPr>
      <w:r>
        <w:t>private public partnerships; and</w:t>
      </w:r>
    </w:p>
    <w:p w:rsidR="007114AE" w:rsidRDefault="002435BD" w:rsidP="00390DB5">
      <w:pPr>
        <w:pStyle w:val="BSbullet2"/>
        <w:keepNext/>
        <w:numPr>
          <w:ilvl w:val="0"/>
          <w:numId w:val="52"/>
        </w:numPr>
        <w:ind w:left="714" w:hanging="357"/>
      </w:pPr>
      <w:r>
        <w:t xml:space="preserve">community activation. </w:t>
      </w:r>
    </w:p>
    <w:p w:rsidR="007114AE" w:rsidRDefault="002435BD" w:rsidP="007114AE">
      <w:pPr>
        <w:pStyle w:val="Normal20"/>
      </w:pPr>
      <w:r>
        <w:t>The Directorate will continue to promote knowledge sharing and implementation of contemporary, best practice environmental standards.</w:t>
      </w:r>
    </w:p>
    <w:p w:rsidR="007114AE" w:rsidRDefault="002435BD" w:rsidP="007114AE">
      <w:pPr>
        <w:pStyle w:val="Normal20"/>
      </w:pPr>
      <w:r>
        <w:t>The Directorate will:</w:t>
      </w:r>
    </w:p>
    <w:p w:rsidR="007114AE" w:rsidRDefault="002435BD" w:rsidP="00174972">
      <w:pPr>
        <w:pStyle w:val="BSbullet1"/>
      </w:pPr>
      <w:r>
        <w:t>partner with Traditional Custodians to proactively manage ACT’s natural and cultural environment, to enhance our global reputation as the bush capital;</w:t>
      </w:r>
    </w:p>
    <w:p w:rsidR="007114AE" w:rsidRDefault="002435BD" w:rsidP="00174972">
      <w:pPr>
        <w:pStyle w:val="BSbullet1"/>
      </w:pPr>
      <w:r>
        <w:t xml:space="preserve">support the development of State of the Environment reporting; </w:t>
      </w:r>
    </w:p>
    <w:p w:rsidR="007114AE" w:rsidRDefault="002435BD" w:rsidP="00174972">
      <w:pPr>
        <w:pStyle w:val="BSbullet1"/>
      </w:pPr>
      <w:r>
        <w:t>increase community awareness and involvement in protecting and conserving the ACT’s natural resources including by supporting ParkCare and other volunteer groups;</w:t>
      </w:r>
    </w:p>
    <w:p w:rsidR="007114AE" w:rsidRDefault="002435BD" w:rsidP="00174972">
      <w:pPr>
        <w:pStyle w:val="BSbullet1"/>
      </w:pPr>
      <w:r>
        <w:t>work with our partners, such as the Woodlands and Wetlands Trust, to deliver innovative conservation outcomes for endangered species;</w:t>
      </w:r>
    </w:p>
    <w:p w:rsidR="007114AE" w:rsidRDefault="002435BD" w:rsidP="00174972">
      <w:pPr>
        <w:pStyle w:val="BSbullet1"/>
      </w:pPr>
      <w:r>
        <w:t>administer a multi-agency governance model for water management in the ACT and region;</w:t>
      </w:r>
    </w:p>
    <w:p w:rsidR="007114AE" w:rsidRDefault="002435BD" w:rsidP="00174972">
      <w:pPr>
        <w:pStyle w:val="BSbullet1"/>
      </w:pPr>
      <w:r>
        <w:t>build knowledge and implement practices that protect and manage the ACT’s biodiversity;</w:t>
      </w:r>
    </w:p>
    <w:p w:rsidR="007114AE" w:rsidRDefault="002435BD" w:rsidP="00174972">
      <w:pPr>
        <w:pStyle w:val="BSbullet1"/>
      </w:pPr>
      <w:r>
        <w:t>enhance the policy framework to protect the quality of the ACT’s environment;</w:t>
      </w:r>
    </w:p>
    <w:p w:rsidR="007114AE" w:rsidRDefault="002435BD" w:rsidP="00174972">
      <w:pPr>
        <w:pStyle w:val="BSbullet1"/>
      </w:pPr>
      <w:r>
        <w:t xml:space="preserve">implement the ACT’s environment strategies and plans – </w:t>
      </w:r>
      <w:r>
        <w:rPr>
          <w:i/>
        </w:rPr>
        <w:t>Nature Conservation Strategy 2013-2023</w:t>
      </w:r>
      <w:r>
        <w:t xml:space="preserve">, Water Strategy </w:t>
      </w:r>
      <w:r>
        <w:rPr>
          <w:i/>
        </w:rPr>
        <w:t>‘Striking the Balance’ 2014–44, ACT and Region Catchment Strategy 2016-46</w:t>
      </w:r>
      <w:r>
        <w:t xml:space="preserve"> and Action Plans;</w:t>
      </w:r>
    </w:p>
    <w:p w:rsidR="007114AE" w:rsidRDefault="002435BD" w:rsidP="00174972">
      <w:pPr>
        <w:pStyle w:val="BSbullet1"/>
      </w:pPr>
      <w:r>
        <w:t>work with the Commonwealth and other states/territory to develop and implement national environmental and water reforms;</w:t>
      </w:r>
    </w:p>
    <w:p w:rsidR="007114AE" w:rsidRDefault="002435BD" w:rsidP="00174972">
      <w:pPr>
        <w:pStyle w:val="BSbullet1"/>
      </w:pPr>
      <w:r>
        <w:t>implement innovative water sensitive urban design systems;</w:t>
      </w:r>
    </w:p>
    <w:p w:rsidR="007114AE" w:rsidRDefault="002435BD" w:rsidP="00174972">
      <w:pPr>
        <w:pStyle w:val="BSbullet1"/>
      </w:pPr>
      <w:r>
        <w:t>continue to provide administrative support to the ACT Heritage Council to ensure the continued recognition, registration and conservation of the ACT’s heritage places and objects; and</w:t>
      </w:r>
    </w:p>
    <w:p w:rsidR="007114AE" w:rsidRDefault="002435BD" w:rsidP="00174972">
      <w:pPr>
        <w:pStyle w:val="BSbullet1"/>
      </w:pPr>
      <w:proofErr w:type="gramStart"/>
      <w:r>
        <w:t>continue</w:t>
      </w:r>
      <w:proofErr w:type="gramEnd"/>
      <w:r>
        <w:t xml:space="preserve"> to administer the</w:t>
      </w:r>
      <w:r w:rsidR="00991D1B">
        <w:t xml:space="preserve"> annual funding and delivery of</w:t>
      </w:r>
      <w:r>
        <w:t xml:space="preserve"> the ACT Heritage Grants Program, the Canberra and Region Heritage Festival and Capital Works projects as they relate to the conservation of the ACT’s heritage places and objects.</w:t>
      </w:r>
    </w:p>
    <w:p w:rsidR="007114AE" w:rsidRDefault="002435BD" w:rsidP="007114AE">
      <w:pPr>
        <w:pStyle w:val="BSbullet10"/>
        <w:ind w:left="0" w:firstLine="0"/>
      </w:pPr>
      <w:r>
        <w:rPr>
          <w:b/>
          <w:bCs/>
          <w:color w:val="000000"/>
        </w:rPr>
        <w:t xml:space="preserve">Strategic Indicator 2.1: </w:t>
      </w:r>
      <w:r>
        <w:rPr>
          <w:bCs/>
          <w:color w:val="000000"/>
        </w:rPr>
        <w:t>Submit two Water Resource Plans (one surface and one groundwater) for accreditation by the Commonwealth Minister for Agriculture and Water in early 2019 under the Murray Darling Basin Plan.</w:t>
      </w:r>
      <w:r>
        <w:rPr>
          <w:vertAlign w:val="superscript"/>
        </w:rPr>
        <w:t>1</w:t>
      </w:r>
    </w:p>
    <w:p w:rsidR="007114AE" w:rsidRDefault="002435BD" w:rsidP="007114AE">
      <w:pPr>
        <w:pStyle w:val="Normal20"/>
      </w:pPr>
      <w:r>
        <w:rPr>
          <w:b/>
        </w:rPr>
        <w:t>Strategic Indicator 2.2</w:t>
      </w:r>
      <w:r>
        <w:t>: Deliver the ACT Healthy Waterways infrastructure; research; monitoring and behaviour change projects by 30 June 2019 as agreed with the Commonwealth.</w:t>
      </w:r>
    </w:p>
    <w:p w:rsidR="007114AE" w:rsidRDefault="002435BD" w:rsidP="007114AE">
      <w:pPr>
        <w:pStyle w:val="BSbullet10"/>
        <w:tabs>
          <w:tab w:val="left" w:pos="720"/>
        </w:tabs>
        <w:ind w:left="0" w:firstLine="0"/>
      </w:pPr>
      <w:r>
        <w:rPr>
          <w:b/>
        </w:rPr>
        <w:t>Strategic Indicator 2.3:</w:t>
      </w:r>
      <w:r>
        <w:t xml:space="preserve"> Monitor implementation of the </w:t>
      </w:r>
      <w:r>
        <w:rPr>
          <w:i/>
        </w:rPr>
        <w:t>Nature Conservation Strategy</w:t>
      </w:r>
      <w:r>
        <w:t xml:space="preserve"> and Action Plans.</w:t>
      </w:r>
      <w:r>
        <w:rPr>
          <w:vertAlign w:val="superscript"/>
        </w:rPr>
        <w:t>2</w:t>
      </w:r>
    </w:p>
    <w:p w:rsidR="007114AE" w:rsidRDefault="002435BD" w:rsidP="007114AE">
      <w:pPr>
        <w:pStyle w:val="BSnote0"/>
      </w:pPr>
      <w:r>
        <w:t>Note(s):</w:t>
      </w:r>
    </w:p>
    <w:p w:rsidR="007114AE" w:rsidRDefault="002435BD" w:rsidP="00862CB5">
      <w:pPr>
        <w:pStyle w:val="BSnoteslist"/>
        <w:numPr>
          <w:ilvl w:val="0"/>
          <w:numId w:val="71"/>
        </w:numPr>
      </w:pPr>
      <w:r>
        <w:t>New Strategic Indicator.  Supports the implementation of the Murray Darling Basin Plan.</w:t>
      </w:r>
    </w:p>
    <w:p w:rsidR="007114AE" w:rsidRDefault="002435BD" w:rsidP="00184B7C">
      <w:pPr>
        <w:pStyle w:val="BSnoteslist"/>
      </w:pPr>
      <w:r>
        <w:t>New Strategic Indicator.  Supports development and implementation of sustainability policies including biodiversity conservation.</w:t>
      </w:r>
    </w:p>
    <w:p w:rsidR="007114AE" w:rsidRDefault="002435BD" w:rsidP="007114AE">
      <w:pPr>
        <w:pStyle w:val="Heading3"/>
      </w:pPr>
      <w:bookmarkStart w:id="24" w:name="_Toc514763774"/>
      <w:bookmarkStart w:id="25" w:name="_Toc514841003"/>
      <w:r>
        <w:t>Strategic Objective 3</w:t>
      </w:r>
      <w:bookmarkEnd w:id="24"/>
      <w:bookmarkEnd w:id="25"/>
      <w:r>
        <w:t xml:space="preserve"> </w:t>
      </w:r>
    </w:p>
    <w:p w:rsidR="007114AE" w:rsidRDefault="002435BD" w:rsidP="007114AE">
      <w:pPr>
        <w:pStyle w:val="Normal20"/>
        <w:rPr>
          <w:b/>
          <w:i/>
        </w:rPr>
      </w:pPr>
      <w:r>
        <w:rPr>
          <w:b/>
          <w:i/>
        </w:rPr>
        <w:t xml:space="preserve">Deliver balanced and effective legislation and policies for optimal land use outcomes, healthy, safe, diverse and affordable development, and effective and sustainable environmental management. </w:t>
      </w:r>
    </w:p>
    <w:p w:rsidR="007114AE" w:rsidRDefault="002435BD" w:rsidP="007114AE">
      <w:pPr>
        <w:pStyle w:val="Normal20"/>
      </w:pPr>
      <w:r>
        <w:t>This objective will be achieved through continuous review and enhancement of the legislation and policy administered by the Directorate and associated regulations to deliver an effective regulatory and policy framework.</w:t>
      </w:r>
    </w:p>
    <w:p w:rsidR="007114AE" w:rsidRDefault="002435BD" w:rsidP="007114AE">
      <w:pPr>
        <w:pStyle w:val="Normal20"/>
      </w:pPr>
      <w:r>
        <w:t>The Directorate will:</w:t>
      </w:r>
    </w:p>
    <w:p w:rsidR="007114AE" w:rsidRDefault="002435BD" w:rsidP="00174972">
      <w:pPr>
        <w:pStyle w:val="BSbullet1"/>
      </w:pPr>
      <w:r>
        <w:t>continually improve policies and supporting systems for consistent and timely decisions;</w:t>
      </w:r>
    </w:p>
    <w:p w:rsidR="007114AE" w:rsidRDefault="002435BD" w:rsidP="00174972">
      <w:pPr>
        <w:pStyle w:val="BSbullet1"/>
      </w:pPr>
      <w:r>
        <w:t>enhance regulatory frameworks to deliver high standards and safe outcomes for the community and business;</w:t>
      </w:r>
    </w:p>
    <w:p w:rsidR="007114AE" w:rsidRDefault="002435BD" w:rsidP="00174972">
      <w:pPr>
        <w:pStyle w:val="BSbullet1"/>
      </w:pPr>
      <w:r>
        <w:t>work with industry and business to develop and implement policies and guidelines to protect the quality of our environment and enhance liveability;</w:t>
      </w:r>
    </w:p>
    <w:p w:rsidR="007114AE" w:rsidRDefault="002435BD" w:rsidP="00174972">
      <w:pPr>
        <w:pStyle w:val="BSbullet1"/>
      </w:pPr>
      <w:r>
        <w:t>develop innovative legislation, policies, systems and processes to streamline the way we provide high quality outcomes for the community;</w:t>
      </w:r>
    </w:p>
    <w:p w:rsidR="007114AE" w:rsidRDefault="002435BD" w:rsidP="00174972">
      <w:pPr>
        <w:pStyle w:val="BSbullet1"/>
      </w:pPr>
      <w:r>
        <w:t>complete public consultation on a new Biosecurity Bill for the ACT and progress the development of the Bill to an advanced draft;</w:t>
      </w:r>
      <w:r w:rsidR="00991D1B">
        <w:t xml:space="preserve"> and</w:t>
      </w:r>
    </w:p>
    <w:p w:rsidR="007114AE" w:rsidRDefault="002435BD" w:rsidP="00174972">
      <w:pPr>
        <w:pStyle w:val="BSbullet1"/>
        <w:rPr>
          <w:lang w:eastAsia="en-AU"/>
        </w:rPr>
      </w:pPr>
      <w:r>
        <w:t xml:space="preserve">complete amendments to the </w:t>
      </w:r>
      <w:r>
        <w:rPr>
          <w:i/>
        </w:rPr>
        <w:t>Stock Act 2005</w:t>
      </w:r>
      <w:r>
        <w:t xml:space="preserve"> and the </w:t>
      </w:r>
      <w:r>
        <w:rPr>
          <w:i/>
        </w:rPr>
        <w:t>Animal Diseases Act 2005</w:t>
      </w:r>
      <w:r>
        <w:t>.</w:t>
      </w:r>
    </w:p>
    <w:p w:rsidR="007114AE" w:rsidRDefault="002435BD" w:rsidP="007114AE">
      <w:pPr>
        <w:pStyle w:val="BSbullet10"/>
        <w:tabs>
          <w:tab w:val="left" w:pos="720"/>
        </w:tabs>
        <w:ind w:left="0" w:firstLine="0"/>
      </w:pPr>
      <w:r>
        <w:rPr>
          <w:b/>
        </w:rPr>
        <w:t>Strategic Indicator 3.1:</w:t>
      </w:r>
      <w:r>
        <w:t xml:space="preserve"> Continuous review of regulatory policies and systems and supporting the effective application and coordination of planning, environment protection, heritage, and nature conservation.</w:t>
      </w:r>
      <w:r>
        <w:rPr>
          <w:vertAlign w:val="superscript"/>
        </w:rPr>
        <w:t>1</w:t>
      </w:r>
    </w:p>
    <w:p w:rsidR="007114AE" w:rsidRDefault="002435BD" w:rsidP="007114AE">
      <w:pPr>
        <w:pStyle w:val="BSbullet10"/>
        <w:tabs>
          <w:tab w:val="left" w:pos="720"/>
        </w:tabs>
        <w:ind w:left="0" w:firstLine="0"/>
        <w:rPr>
          <w:i/>
        </w:rPr>
      </w:pPr>
      <w:r>
        <w:rPr>
          <w:b/>
        </w:rPr>
        <w:t>Strategic Indicator 3.2</w:t>
      </w:r>
      <w:r>
        <w:t xml:space="preserve">: Report annually on the effectiveness of National Environment Protection Measures made under the </w:t>
      </w:r>
      <w:r>
        <w:rPr>
          <w:i/>
        </w:rPr>
        <w:t>National Environment Protection Council Act 1994.</w:t>
      </w:r>
      <w:r>
        <w:rPr>
          <w:vertAlign w:val="superscript"/>
        </w:rPr>
        <w:t>2</w:t>
      </w:r>
    </w:p>
    <w:p w:rsidR="007114AE" w:rsidRDefault="002435BD" w:rsidP="007114AE">
      <w:pPr>
        <w:pStyle w:val="BSnote0"/>
      </w:pPr>
      <w:r>
        <w:t>Note(s):</w:t>
      </w:r>
    </w:p>
    <w:p w:rsidR="007114AE" w:rsidRDefault="002435BD" w:rsidP="00862CB5">
      <w:pPr>
        <w:pStyle w:val="BSnoteslist"/>
        <w:numPr>
          <w:ilvl w:val="0"/>
          <w:numId w:val="72"/>
        </w:numPr>
      </w:pPr>
      <w:r>
        <w:t>Revised Strategic Indicator.  The delivery of building and construction policies are captured under the stand</w:t>
      </w:r>
      <w:r>
        <w:noBreakHyphen/>
        <w:t>alone Strategic Indicator 1.2.</w:t>
      </w:r>
    </w:p>
    <w:p w:rsidR="007114AE" w:rsidRPr="00174972" w:rsidRDefault="002435BD" w:rsidP="00184B7C">
      <w:pPr>
        <w:pStyle w:val="BSnoteslist"/>
      </w:pPr>
      <w:r>
        <w:t>New Strategic Indicator.</w:t>
      </w:r>
    </w:p>
    <w:p w:rsidR="007114AE" w:rsidRDefault="002435BD" w:rsidP="007114AE">
      <w:pPr>
        <w:pStyle w:val="Heading3"/>
      </w:pPr>
      <w:bookmarkStart w:id="26" w:name="_Toc514763775"/>
      <w:bookmarkStart w:id="27" w:name="_Toc514841004"/>
      <w:r>
        <w:t>Strategic Objective 4</w:t>
      </w:r>
      <w:bookmarkEnd w:id="26"/>
      <w:bookmarkEnd w:id="27"/>
      <w:r>
        <w:t xml:space="preserve"> </w:t>
      </w:r>
    </w:p>
    <w:p w:rsidR="007114AE" w:rsidRDefault="002435BD" w:rsidP="007114AE">
      <w:pPr>
        <w:pStyle w:val="Heading4"/>
      </w:pPr>
      <w:r>
        <w:t xml:space="preserve">Leading the Community Towards Making Canberra a Net Zero Carbon Emitter </w:t>
      </w:r>
    </w:p>
    <w:p w:rsidR="007114AE" w:rsidRDefault="002435BD" w:rsidP="006F1911">
      <w:pPr>
        <w:pStyle w:val="Normal20"/>
      </w:pPr>
      <w:r>
        <w:t>The Government’s vision for Canberra is to set the benchmark for world cities in zero emissions and sustainability</w:t>
      </w:r>
      <w:r w:rsidR="00447EED">
        <w:t>. The Directorate works across G</w:t>
      </w:r>
      <w:r>
        <w:t>overnment, the business sector and the broader community to achieve ambitious greenhouse gas emission reductions.</w:t>
      </w:r>
    </w:p>
    <w:p w:rsidR="007114AE" w:rsidRDefault="002435BD" w:rsidP="006F1911">
      <w:pPr>
        <w:pStyle w:val="Normal20"/>
      </w:pPr>
      <w:r>
        <w:t>The Directorate will raise awareness of climate change thro</w:t>
      </w:r>
      <w:r w:rsidR="00411902">
        <w:t>ugh engaging with the community and</w:t>
      </w:r>
      <w:r>
        <w:t xml:space="preserve"> building partnerships in mitigation and adaptation.</w:t>
      </w:r>
    </w:p>
    <w:p w:rsidR="007114AE" w:rsidRDefault="002435BD" w:rsidP="006F1911">
      <w:pPr>
        <w:pStyle w:val="Normal20"/>
      </w:pPr>
      <w:r>
        <w:t>The Directorate will:</w:t>
      </w:r>
    </w:p>
    <w:p w:rsidR="007114AE" w:rsidRDefault="002435BD" w:rsidP="006F1911">
      <w:pPr>
        <w:pStyle w:val="BSbullet1"/>
      </w:pPr>
      <w:r>
        <w:t>secure business and community understanding and endorsement on climate change action with support from the ACT’s Climate Change Council;</w:t>
      </w:r>
    </w:p>
    <w:p w:rsidR="007114AE" w:rsidRDefault="002435BD" w:rsidP="006F1911">
      <w:pPr>
        <w:pStyle w:val="BSbullet1"/>
      </w:pPr>
      <w:r>
        <w:t>support the deployment of large scale renewable energy generation to meet the ACT’s 100 per cent renewable electricity and greenhouse gas reduction targets;</w:t>
      </w:r>
    </w:p>
    <w:p w:rsidR="007114AE" w:rsidRDefault="002435BD" w:rsidP="006F1911">
      <w:pPr>
        <w:pStyle w:val="BSbullet1"/>
      </w:pPr>
      <w:r>
        <w:t>support and facilitate the growth of the renewable energy industry as part of a vibrant clean economy, built around Canberra’s existing competitive advantages and knowledge based economy;</w:t>
      </w:r>
    </w:p>
    <w:p w:rsidR="007114AE" w:rsidRDefault="002435BD" w:rsidP="006F1911">
      <w:pPr>
        <w:pStyle w:val="BSbullet1"/>
      </w:pPr>
      <w:r>
        <w:t>support increased energy efficiency in homes, businesses, schools and other parts of the built environment;</w:t>
      </w:r>
    </w:p>
    <w:p w:rsidR="007114AE" w:rsidRDefault="002435BD" w:rsidP="006F1911">
      <w:pPr>
        <w:pStyle w:val="BSbullet1"/>
      </w:pPr>
      <w:r>
        <w:t>contribute to the security and affordability of our energy supplies;</w:t>
      </w:r>
    </w:p>
    <w:p w:rsidR="007114AE" w:rsidRDefault="002435BD" w:rsidP="006F1911">
      <w:pPr>
        <w:pStyle w:val="BSbullet1"/>
      </w:pPr>
      <w:r>
        <w:t>promote an understanding of climate science implications for the ACT within and beyond the ACT Government, and guide adaptation strategies to increase the Territory’s resilience in the face of the unavoidable impacts of climate change;</w:t>
      </w:r>
    </w:p>
    <w:p w:rsidR="007114AE" w:rsidRDefault="002435BD" w:rsidP="006F1911">
      <w:pPr>
        <w:pStyle w:val="BSbullet1"/>
      </w:pPr>
      <w:r>
        <w:t>provide a guidi</w:t>
      </w:r>
      <w:r w:rsidR="00447EED">
        <w:t>ng influence to other parts of G</w:t>
      </w:r>
      <w:r>
        <w:t>overn</w:t>
      </w:r>
      <w:r w:rsidR="00447EED">
        <w:t>ment to deliver carbon neutral G</w:t>
      </w:r>
      <w:r>
        <w:t>overnment operations; and</w:t>
      </w:r>
    </w:p>
    <w:p w:rsidR="007114AE" w:rsidRDefault="002435BD" w:rsidP="006F1911">
      <w:pPr>
        <w:pStyle w:val="BSbullet1"/>
      </w:pPr>
      <w:r>
        <w:t>support the community to understand their own emissions and how to mitigate those emissions through participation in Actsmart programs for businesses, schools and households.</w:t>
      </w:r>
    </w:p>
    <w:p w:rsidR="007114AE" w:rsidRPr="00991D1B" w:rsidRDefault="002435BD" w:rsidP="007114AE">
      <w:pPr>
        <w:pStyle w:val="Normal20"/>
        <w:rPr>
          <w:vertAlign w:val="superscript"/>
        </w:rPr>
      </w:pPr>
      <w:r>
        <w:rPr>
          <w:b/>
        </w:rPr>
        <w:t xml:space="preserve">Strategic Indicator 4.1: </w:t>
      </w:r>
      <w:r>
        <w:t>Implement policies to achieve the ACT Government’s target of net zero carbon emissions in the ACT</w:t>
      </w:r>
      <w:r w:rsidR="003F622F">
        <w:t xml:space="preserve"> by 2045</w:t>
      </w:r>
      <w:r w:rsidR="00447EED">
        <w:t>, and in G</w:t>
      </w:r>
      <w:r>
        <w:t>overnment operations from 2020.</w:t>
      </w:r>
      <w:r w:rsidR="00991D1B">
        <w:rPr>
          <w:vertAlign w:val="superscript"/>
        </w:rPr>
        <w:t>1</w:t>
      </w:r>
    </w:p>
    <w:p w:rsidR="007114AE" w:rsidRDefault="002435BD" w:rsidP="007114AE">
      <w:pPr>
        <w:pStyle w:val="Normal20"/>
      </w:pPr>
      <w:r>
        <w:rPr>
          <w:b/>
        </w:rPr>
        <w:t xml:space="preserve">Strategic Indicator 4.2: </w:t>
      </w:r>
      <w:r>
        <w:t>Growth in renewable electricity generation.</w:t>
      </w:r>
    </w:p>
    <w:p w:rsidR="007114AE" w:rsidRDefault="002435BD" w:rsidP="007114AE">
      <w:pPr>
        <w:pStyle w:val="BSnote0"/>
      </w:pPr>
      <w:r>
        <w:t>Note(s):</w:t>
      </w:r>
    </w:p>
    <w:p w:rsidR="007114AE" w:rsidRDefault="002435BD" w:rsidP="00862CB5">
      <w:pPr>
        <w:pStyle w:val="BSnoteslist"/>
        <w:numPr>
          <w:ilvl w:val="0"/>
          <w:numId w:val="73"/>
        </w:numPr>
      </w:pPr>
      <w:r>
        <w:t>Revised Strategic Indicator.  The target for net zero carbon emissions in the ACT has changed from 2050 to 2045.</w:t>
      </w:r>
    </w:p>
    <w:p w:rsidR="007114AE" w:rsidRDefault="002435BD" w:rsidP="007114AE">
      <w:pPr>
        <w:pStyle w:val="Heading3"/>
      </w:pPr>
      <w:bookmarkStart w:id="28" w:name="_Toc514763776"/>
      <w:bookmarkStart w:id="29" w:name="_Toc514841005"/>
      <w:r>
        <w:t>Strategic Objective 5</w:t>
      </w:r>
      <w:bookmarkEnd w:id="28"/>
      <w:bookmarkEnd w:id="29"/>
    </w:p>
    <w:p w:rsidR="007114AE" w:rsidRDefault="002435BD" w:rsidP="007114AE">
      <w:pPr>
        <w:pStyle w:val="Normal20"/>
        <w:rPr>
          <w:b/>
          <w:i/>
        </w:rPr>
      </w:pPr>
      <w:r>
        <w:rPr>
          <w:b/>
          <w:i/>
        </w:rPr>
        <w:t>Improve the liveability of our cities and build on the character of our communities through strategic and sustainable land release and urban renewal programs.</w:t>
      </w:r>
    </w:p>
    <w:p w:rsidR="007114AE" w:rsidRDefault="002435BD" w:rsidP="007114AE">
      <w:pPr>
        <w:pStyle w:val="Normal20"/>
      </w:pPr>
      <w:r>
        <w:t xml:space="preserve">Development of a land release program and strategic urban project initiatives that implement actions in the </w:t>
      </w:r>
      <w:r>
        <w:rPr>
          <w:i/>
        </w:rPr>
        <w:t>ACT Planning Strategy Refresh</w:t>
      </w:r>
      <w:r>
        <w:t xml:space="preserve"> and that contribute to the Government’s financial, social and environmental objectives.</w:t>
      </w:r>
    </w:p>
    <w:p w:rsidR="007114AE" w:rsidRDefault="002435BD" w:rsidP="007114AE">
      <w:pPr>
        <w:pStyle w:val="Normal20"/>
      </w:pPr>
      <w:r>
        <w:t>The Directorate will:</w:t>
      </w:r>
    </w:p>
    <w:p w:rsidR="007114AE" w:rsidRDefault="002435BD" w:rsidP="00174972">
      <w:pPr>
        <w:pStyle w:val="BSbullet11"/>
      </w:pPr>
      <w:r>
        <w:t xml:space="preserve">deliver urban renewal by assessing, planning, activating and releasing land in strategic locations in accordance with </w:t>
      </w:r>
      <w:r>
        <w:rPr>
          <w:i/>
        </w:rPr>
        <w:t xml:space="preserve">Canberra: a Statement of Ambition, </w:t>
      </w:r>
      <w:r>
        <w:t>the ACT Indicative Land Release Program and other applicable Government policy and direction;</w:t>
      </w:r>
    </w:p>
    <w:p w:rsidR="007114AE" w:rsidRDefault="002435BD" w:rsidP="00174972">
      <w:pPr>
        <w:pStyle w:val="BSbullet11"/>
      </w:pPr>
      <w:r>
        <w:t>contribute to housing diversity, housing affordability and housing choice;</w:t>
      </w:r>
    </w:p>
    <w:p w:rsidR="007114AE" w:rsidRDefault="002435BD" w:rsidP="00174972">
      <w:pPr>
        <w:pStyle w:val="BSbullet11"/>
      </w:pPr>
      <w:r>
        <w:t>facilitate land supply and assist with policies to stimulate economic activity in the residential, commercial/mixed use, industrial and community sectors;</w:t>
      </w:r>
    </w:p>
    <w:p w:rsidR="007114AE" w:rsidRDefault="002435BD" w:rsidP="00174972">
      <w:pPr>
        <w:pStyle w:val="BSbullet11"/>
      </w:pPr>
      <w:r>
        <w:t>deliver policies that support a competitive land development and construction market;</w:t>
      </w:r>
    </w:p>
    <w:p w:rsidR="007114AE" w:rsidRDefault="002435BD" w:rsidP="00174972">
      <w:pPr>
        <w:pStyle w:val="BSbullet11"/>
      </w:pPr>
      <w:r>
        <w:t>provide information to the development market on Territory land sales and releases through responsible due diligence investigations that identify and reduce risk and improve certainty on land sales and developments;</w:t>
      </w:r>
    </w:p>
    <w:p w:rsidR="007114AE" w:rsidRDefault="002435BD" w:rsidP="00174972">
      <w:pPr>
        <w:pStyle w:val="BSbullet11"/>
      </w:pPr>
      <w:r>
        <w:t>achieve responsible returns from the sale of unleased Territory land; and</w:t>
      </w:r>
    </w:p>
    <w:p w:rsidR="007114AE" w:rsidRDefault="002435BD" w:rsidP="00174972">
      <w:pPr>
        <w:pStyle w:val="BSbullet11"/>
      </w:pPr>
      <w:r>
        <w:t>continue to engage across jurisdictional boundaries, and nationally, to guide Government, industry and community in the safe and effective practices developed under the Loose-fill Asbestos Insulation Eradication Scheme.</w:t>
      </w:r>
    </w:p>
    <w:p w:rsidR="007114AE" w:rsidRDefault="002435BD" w:rsidP="007114AE">
      <w:pPr>
        <w:pStyle w:val="Normal10"/>
      </w:pPr>
      <w:r>
        <w:rPr>
          <w:b/>
        </w:rPr>
        <w:t xml:space="preserve">Strategic Indicator 5.1: </w:t>
      </w:r>
      <w:r>
        <w:t>Delivery of the Government’s urban renewal programs through the ACT Indicative Land Release Program, public housing renewal and Loose-fill Asbestos Insulation Eradication Scheme.</w:t>
      </w:r>
      <w:r>
        <w:rPr>
          <w:vertAlign w:val="superscript"/>
        </w:rPr>
        <w:t>1</w:t>
      </w:r>
    </w:p>
    <w:p w:rsidR="007114AE" w:rsidRDefault="002435BD" w:rsidP="007114AE">
      <w:pPr>
        <w:pStyle w:val="Normal10"/>
      </w:pPr>
      <w:r>
        <w:rPr>
          <w:b/>
        </w:rPr>
        <w:t xml:space="preserve">Strategic Indicator 5.2: </w:t>
      </w:r>
      <w:r>
        <w:t>Assets recycled in line with the Commonwealth Government’s Asset Recycling Initiative (ARI) and subsequent public housing renewal in line with the ACT Government’s Public Housing Renewal Program.</w:t>
      </w:r>
      <w:r>
        <w:rPr>
          <w:vertAlign w:val="superscript"/>
        </w:rPr>
        <w:t>1</w:t>
      </w:r>
    </w:p>
    <w:p w:rsidR="007114AE" w:rsidRDefault="002435BD" w:rsidP="007114AE">
      <w:pPr>
        <w:pStyle w:val="Normal2"/>
        <w:rPr>
          <w:sz w:val="22"/>
        </w:rPr>
      </w:pPr>
      <w:r>
        <w:rPr>
          <w:b/>
        </w:rPr>
        <w:t>Strategic Indicator 5.3:</w:t>
      </w:r>
      <w:r>
        <w:t xml:space="preserve"> Work with the community and industry stakeholders to identify approaches for delivery of housing demonstration projects that promote best practice .</w:t>
      </w:r>
      <w:r>
        <w:rPr>
          <w:vertAlign w:val="superscript"/>
        </w:rPr>
        <w:t>1</w:t>
      </w:r>
    </w:p>
    <w:p w:rsidR="007114AE" w:rsidRDefault="002435BD" w:rsidP="007114AE">
      <w:pPr>
        <w:pStyle w:val="BSnote0"/>
      </w:pPr>
      <w:r>
        <w:t>Note(s):</w:t>
      </w:r>
    </w:p>
    <w:p w:rsidR="007114AE" w:rsidRDefault="002435BD" w:rsidP="00862CB5">
      <w:pPr>
        <w:pStyle w:val="BSnoteslist"/>
        <w:numPr>
          <w:ilvl w:val="0"/>
          <w:numId w:val="74"/>
        </w:numPr>
      </w:pPr>
      <w:r>
        <w:t>New Strategic Indicator.</w:t>
      </w:r>
    </w:p>
    <w:p w:rsidR="007114AE" w:rsidRDefault="002435BD" w:rsidP="002A5CF3">
      <w:pPr>
        <w:pStyle w:val="Heading2"/>
      </w:pPr>
      <w:bookmarkStart w:id="30" w:name="_Toc452467799"/>
      <w:bookmarkStart w:id="31" w:name="_Toc514840946"/>
      <w:bookmarkStart w:id="32" w:name="_Toc514841006"/>
      <w:r>
        <w:t>Output Classes</w:t>
      </w:r>
      <w:bookmarkEnd w:id="30"/>
      <w:bookmarkEnd w:id="31"/>
      <w:bookmarkEnd w:id="32"/>
    </w:p>
    <w:p w:rsidR="007114AE" w:rsidRPr="002A5CF3" w:rsidRDefault="002435BD" w:rsidP="002A5CF3">
      <w:pPr>
        <w:pStyle w:val="Heading3"/>
      </w:pPr>
      <w:bookmarkStart w:id="33" w:name="_Toc514763778"/>
      <w:bookmarkStart w:id="34" w:name="_Toc514841007"/>
      <w:r w:rsidRPr="002A5CF3">
        <w:t>Output Class 1: Planning</w:t>
      </w:r>
      <w:r w:rsidRPr="002A5CF3">
        <w:rPr>
          <w:vertAlign w:val="superscript"/>
        </w:rPr>
        <w:t>1</w:t>
      </w:r>
      <w:bookmarkEnd w:id="33"/>
      <w:bookmarkEnd w:id="34"/>
    </w:p>
    <w:p w:rsidR="007114AE" w:rsidRDefault="002435BD" w:rsidP="007114AE">
      <w:pPr>
        <w:pStyle w:val="Caption1"/>
      </w:pPr>
      <w:r w:rsidRPr="0056562C">
        <w:t xml:space="preserve">Table </w:t>
      </w:r>
      <w:r w:rsidR="00566147">
        <w:t>2</w:t>
      </w:r>
      <w:r w:rsidRPr="0056562C">
        <w:t xml:space="preserve"> Output Class 1: Planning</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29,682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32,308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25,306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27,319</w:t>
            </w:r>
          </w:p>
        </w:tc>
      </w:tr>
    </w:tbl>
    <w:p w:rsidR="007114AE" w:rsidRDefault="002435BD" w:rsidP="007114AE">
      <w:pPr>
        <w:pStyle w:val="BSnote1"/>
      </w:pPr>
      <w:r>
        <w:t>Note(s):</w:t>
      </w:r>
    </w:p>
    <w:p w:rsidR="007114AE" w:rsidRDefault="002435BD" w:rsidP="00390DB5">
      <w:pPr>
        <w:pStyle w:val="BSnoteslist1"/>
        <w:numPr>
          <w:ilvl w:val="0"/>
          <w:numId w:val="14"/>
        </w:numPr>
      </w:pPr>
      <w:r w:rsidRPr="00B71FD8">
        <w:rPr>
          <w:szCs w:val="16"/>
        </w:rPr>
        <w:t>Heritage has moved from Output 1: Planning to Output 2: Environment</w:t>
      </w:r>
      <w:r>
        <w:rPr>
          <w:szCs w:val="16"/>
        </w:rPr>
        <w:t>.</w:t>
      </w:r>
    </w:p>
    <w:p w:rsidR="007114AE" w:rsidRDefault="002435BD" w:rsidP="00390DB5">
      <w:pPr>
        <w:pStyle w:val="BSnoteslist1"/>
        <w:numPr>
          <w:ilvl w:val="0"/>
          <w:numId w:val="14"/>
        </w:numPr>
      </w:pPr>
      <w:r>
        <w:t xml:space="preserve">Total cost </w:t>
      </w:r>
      <w:r>
        <w:rPr>
          <w:szCs w:val="16"/>
        </w:rPr>
        <w:t>includes</w:t>
      </w:r>
      <w:r>
        <w:t xml:space="preserve"> </w:t>
      </w:r>
      <w:r w:rsidRPr="001C531D">
        <w:t>depreci</w:t>
      </w:r>
      <w:r>
        <w:t>ation and amortisation of $0.110</w:t>
      </w:r>
      <w:r w:rsidRPr="001C531D">
        <w:t> mill</w:t>
      </w:r>
      <w:r>
        <w:t>ion in 2017-18 and $0.151</w:t>
      </w:r>
      <w:r w:rsidRPr="001C531D">
        <w:t> million in 2018-19.  Total cost is also supplemented</w:t>
      </w:r>
      <w:r>
        <w:t xml:space="preserve"> by own source revenue of $2.703</w:t>
      </w:r>
      <w:r w:rsidRPr="001C531D">
        <w:t> mill</w:t>
      </w:r>
      <w:r>
        <w:t>ion in 2017-18 and $2.704</w:t>
      </w:r>
      <w:r w:rsidRPr="001C531D">
        <w:t> million in 2018-19.</w:t>
      </w:r>
      <w:r>
        <w:t xml:space="preserve">  </w:t>
      </w:r>
    </w:p>
    <w:p w:rsidR="007114AE" w:rsidRDefault="007114AE" w:rsidP="007114AE">
      <w:pPr>
        <w:pStyle w:val="BSnoteslist1"/>
        <w:numPr>
          <w:ilvl w:val="0"/>
          <w:numId w:val="0"/>
        </w:numPr>
        <w:ind w:left="360" w:hanging="360"/>
      </w:pPr>
    </w:p>
    <w:p w:rsidR="007114AE" w:rsidRDefault="002435BD" w:rsidP="007114AE">
      <w:pPr>
        <w:pStyle w:val="Heading40"/>
      </w:pPr>
      <w:r w:rsidRPr="003259FC">
        <w:t>Output 1.1: Planning Delivery</w:t>
      </w:r>
    </w:p>
    <w:p w:rsidR="007114AE" w:rsidRDefault="002435BD" w:rsidP="007114AE">
      <w:pPr>
        <w:pStyle w:val="Normal30"/>
      </w:pPr>
      <w:r>
        <w:t>Facilitate and manage growth and change within the ACT through development assessment and leasehold management, with the overarching objective of promoting and facilitating economically productive, sustainable, attractive, safe and well-designed urban and rural environments in the ACT.</w:t>
      </w:r>
    </w:p>
    <w:p w:rsidR="007114AE" w:rsidRPr="00B86090" w:rsidRDefault="00960417" w:rsidP="007114AE">
      <w:pPr>
        <w:pStyle w:val="BSbullet11"/>
        <w:keepNext/>
        <w:keepLines/>
        <w:numPr>
          <w:ilvl w:val="0"/>
          <w:numId w:val="0"/>
        </w:numPr>
        <w:jc w:val="left"/>
        <w:rPr>
          <w:b/>
        </w:rPr>
      </w:pPr>
      <w:r>
        <w:rPr>
          <w:b/>
        </w:rPr>
        <w:t>Table 3</w:t>
      </w:r>
      <w:r w:rsidR="00AC356D">
        <w:rPr>
          <w:b/>
        </w:rPr>
        <w:t>: Output</w:t>
      </w:r>
      <w:r w:rsidR="00447EED">
        <w:rPr>
          <w:b/>
        </w:rPr>
        <w:t xml:space="preserve"> 1.1: </w:t>
      </w:r>
      <w:r w:rsidR="002435BD" w:rsidRPr="003259FC">
        <w:rPr>
          <w:b/>
        </w:rPr>
        <w:t>Planning Delivery</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1</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18,289</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17,472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14,353</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12,949</w:t>
            </w:r>
          </w:p>
        </w:tc>
      </w:tr>
    </w:tbl>
    <w:p w:rsidR="007114AE" w:rsidRDefault="002435BD" w:rsidP="007114AE">
      <w:pPr>
        <w:pStyle w:val="BSnote1"/>
      </w:pPr>
      <w:r>
        <w:t>Note(s):</w:t>
      </w:r>
    </w:p>
    <w:p w:rsidR="007114AE" w:rsidRDefault="002435BD" w:rsidP="00390DB5">
      <w:pPr>
        <w:pStyle w:val="BSnoteslist1"/>
        <w:numPr>
          <w:ilvl w:val="0"/>
          <w:numId w:val="16"/>
        </w:numPr>
      </w:pPr>
      <w:r>
        <w:t>Total cost is</w:t>
      </w:r>
      <w:r w:rsidRPr="001C531D">
        <w:t xml:space="preserve"> supplemented by own sou</w:t>
      </w:r>
      <w:r>
        <w:t>rce revenue of $2.703</w:t>
      </w:r>
      <w:r w:rsidRPr="001C531D">
        <w:t> mill</w:t>
      </w:r>
      <w:r>
        <w:t>ion in 2017-18 and $2.704</w:t>
      </w:r>
      <w:r w:rsidRPr="001C531D">
        <w:t> million i</w:t>
      </w:r>
      <w:r>
        <w:t xml:space="preserve">n </w:t>
      </w:r>
      <w:r w:rsidRPr="001C531D">
        <w:t>2018-19.</w:t>
      </w:r>
      <w:r>
        <w:t xml:space="preserve">  </w:t>
      </w:r>
    </w:p>
    <w:p w:rsidR="003165D3" w:rsidRDefault="003165D3">
      <w:pPr>
        <w:spacing w:before="0" w:after="0"/>
        <w:rPr>
          <w:b/>
          <w:i/>
        </w:rPr>
      </w:pPr>
      <w:r>
        <w:br w:type="page"/>
      </w:r>
    </w:p>
    <w:p w:rsidR="007114AE" w:rsidRDefault="002435BD" w:rsidP="007114AE">
      <w:pPr>
        <w:pStyle w:val="Heading40"/>
      </w:pPr>
      <w:r w:rsidRPr="003259FC">
        <w:t>Output 1.2: Planning and Building Policy</w:t>
      </w:r>
      <w:r w:rsidRPr="003259FC">
        <w:rPr>
          <w:color w:val="000000"/>
          <w:szCs w:val="24"/>
          <w:vertAlign w:val="superscript"/>
          <w:lang w:eastAsia="en-AU"/>
        </w:rPr>
        <w:t>1</w:t>
      </w:r>
    </w:p>
    <w:p w:rsidR="007114AE" w:rsidRDefault="002435BD" w:rsidP="007114AE">
      <w:pPr>
        <w:pStyle w:val="Normal30"/>
      </w:pPr>
      <w:r>
        <w:t xml:space="preserve">Provision of high quality professional services in strategic land planning; administering the Territory Plan; planning for land release; developing policies for high quality urban design; and policies for buildings, building services, equipment and appliances, and the building and construction industry. </w:t>
      </w:r>
    </w:p>
    <w:p w:rsidR="007114AE" w:rsidRPr="00B86090" w:rsidRDefault="00960417" w:rsidP="007114AE">
      <w:pPr>
        <w:pStyle w:val="BSbullet11"/>
        <w:keepNext/>
        <w:keepLines/>
        <w:numPr>
          <w:ilvl w:val="0"/>
          <w:numId w:val="0"/>
        </w:numPr>
        <w:jc w:val="left"/>
        <w:rPr>
          <w:b/>
        </w:rPr>
      </w:pPr>
      <w:r>
        <w:rPr>
          <w:b/>
        </w:rPr>
        <w:t>Table 4</w:t>
      </w:r>
      <w:r w:rsidR="00AC356D" w:rsidRPr="003259FC">
        <w:rPr>
          <w:b/>
        </w:rPr>
        <w:t>: Output</w:t>
      </w:r>
      <w:r w:rsidR="002435BD" w:rsidRPr="003259FC">
        <w:rPr>
          <w:b/>
        </w:rPr>
        <w:t xml:space="preserve"> 1.2:  Planning and Building Policy</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11,393</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14,836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10,953</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14,370</w:t>
            </w:r>
          </w:p>
        </w:tc>
      </w:tr>
    </w:tbl>
    <w:p w:rsidR="007114AE" w:rsidRDefault="002435BD" w:rsidP="007114AE">
      <w:pPr>
        <w:pStyle w:val="BSnote1"/>
      </w:pPr>
      <w:r>
        <w:t>Note(s):</w:t>
      </w:r>
    </w:p>
    <w:p w:rsidR="007114AE" w:rsidRDefault="002435BD" w:rsidP="00862CB5">
      <w:pPr>
        <w:pStyle w:val="BSnoteslist1"/>
        <w:numPr>
          <w:ilvl w:val="0"/>
          <w:numId w:val="54"/>
        </w:numPr>
      </w:pPr>
      <w:r>
        <w:t>This output was previously called Planning Policy. The name has been changed to reflect the addition of Building Policy, which was transferred from Output 1.1 Planning Delivery.</w:t>
      </w:r>
    </w:p>
    <w:p w:rsidR="007114AE" w:rsidRPr="003259FC" w:rsidRDefault="002435BD" w:rsidP="007114AE">
      <w:pPr>
        <w:pStyle w:val="Heading30"/>
      </w:pPr>
      <w:bookmarkStart w:id="35" w:name="_Toc514763779"/>
      <w:bookmarkStart w:id="36" w:name="_Toc514841008"/>
      <w:r w:rsidRPr="003259FC">
        <w:t>Output Class 2: Environment</w:t>
      </w:r>
      <w:r w:rsidRPr="005A5FC9">
        <w:rPr>
          <w:vertAlign w:val="superscript"/>
        </w:rPr>
        <w:t>1</w:t>
      </w:r>
      <w:bookmarkEnd w:id="35"/>
      <w:bookmarkEnd w:id="36"/>
    </w:p>
    <w:p w:rsidR="007114AE" w:rsidRDefault="00960417" w:rsidP="007114AE">
      <w:pPr>
        <w:pStyle w:val="Caption1"/>
      </w:pPr>
      <w:r>
        <w:t>Table 5</w:t>
      </w:r>
      <w:r w:rsidR="002435BD" w:rsidRPr="003259FC">
        <w:t>: Output Class 2: Environment</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59,808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63,430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47,276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52,562</w:t>
            </w:r>
          </w:p>
        </w:tc>
      </w:tr>
    </w:tbl>
    <w:p w:rsidR="007114AE" w:rsidRDefault="002435BD" w:rsidP="007114AE">
      <w:pPr>
        <w:pStyle w:val="BSnote1"/>
      </w:pPr>
      <w:r>
        <w:t>Note(s):</w:t>
      </w:r>
    </w:p>
    <w:p w:rsidR="007114AE" w:rsidRDefault="002435BD" w:rsidP="00390DB5">
      <w:pPr>
        <w:pStyle w:val="BSnoteslist1"/>
        <w:keepNext/>
        <w:numPr>
          <w:ilvl w:val="0"/>
          <w:numId w:val="17"/>
        </w:numPr>
      </w:pPr>
      <w:r w:rsidRPr="009B3FA3">
        <w:rPr>
          <w:szCs w:val="16"/>
        </w:rPr>
        <w:t xml:space="preserve">Heritage has moved from Output </w:t>
      </w:r>
      <w:r>
        <w:rPr>
          <w:szCs w:val="16"/>
        </w:rPr>
        <w:t xml:space="preserve">Class </w:t>
      </w:r>
      <w:r w:rsidRPr="009B3FA3">
        <w:rPr>
          <w:szCs w:val="16"/>
        </w:rPr>
        <w:t xml:space="preserve">1: Planning to Output </w:t>
      </w:r>
      <w:r>
        <w:rPr>
          <w:szCs w:val="16"/>
        </w:rPr>
        <w:t xml:space="preserve">Class </w:t>
      </w:r>
      <w:r w:rsidRPr="009B3FA3">
        <w:rPr>
          <w:szCs w:val="16"/>
        </w:rPr>
        <w:t>2: Environment</w:t>
      </w:r>
      <w:r>
        <w:rPr>
          <w:szCs w:val="16"/>
        </w:rPr>
        <w:t xml:space="preserve">. </w:t>
      </w:r>
      <w:r w:rsidRPr="009B3FA3">
        <w:rPr>
          <w:szCs w:val="16"/>
        </w:rPr>
        <w:t xml:space="preserve"> Climate Change and Sustainability has moved from Output </w:t>
      </w:r>
      <w:r>
        <w:rPr>
          <w:szCs w:val="16"/>
        </w:rPr>
        <w:t xml:space="preserve">Class </w:t>
      </w:r>
      <w:r w:rsidRPr="009B3FA3">
        <w:rPr>
          <w:szCs w:val="16"/>
        </w:rPr>
        <w:t xml:space="preserve">2: Environment to Output </w:t>
      </w:r>
      <w:r>
        <w:rPr>
          <w:szCs w:val="16"/>
        </w:rPr>
        <w:t xml:space="preserve">Class </w:t>
      </w:r>
      <w:r w:rsidRPr="009B3FA3">
        <w:rPr>
          <w:szCs w:val="16"/>
        </w:rPr>
        <w:t xml:space="preserve">3: Climate Change and Sustainability. </w:t>
      </w:r>
    </w:p>
    <w:p w:rsidR="007114AE" w:rsidRPr="00B71FD8" w:rsidRDefault="002435BD" w:rsidP="007114AE">
      <w:pPr>
        <w:pStyle w:val="BSnoteslist1"/>
      </w:pPr>
      <w:r>
        <w:t xml:space="preserve">Total cost </w:t>
      </w:r>
      <w:r w:rsidRPr="00BF5974">
        <w:rPr>
          <w:szCs w:val="16"/>
        </w:rPr>
        <w:t>includes</w:t>
      </w:r>
      <w:r>
        <w:t xml:space="preserve"> </w:t>
      </w:r>
      <w:r w:rsidRPr="001C531D">
        <w:t>depreci</w:t>
      </w:r>
      <w:r>
        <w:t>ation and amortisation of $2.788</w:t>
      </w:r>
      <w:r w:rsidRPr="001C531D">
        <w:t> mill</w:t>
      </w:r>
      <w:r>
        <w:t>ion in 2017-18 and $2.844</w:t>
      </w:r>
      <w:r w:rsidRPr="001C531D">
        <w:t xml:space="preserve"> million in 2018-19.  </w:t>
      </w:r>
      <w:r>
        <w:t xml:space="preserve">Total cost is also </w:t>
      </w:r>
      <w:r w:rsidRPr="00BF5974">
        <w:rPr>
          <w:szCs w:val="16"/>
        </w:rPr>
        <w:t>supplemented by revenue from the Commonwealth Government and sales from forestry harvesting.</w:t>
      </w:r>
    </w:p>
    <w:p w:rsidR="007114AE" w:rsidRDefault="002435BD" w:rsidP="007114AE">
      <w:pPr>
        <w:pStyle w:val="Heading40"/>
      </w:pPr>
      <w:r w:rsidRPr="00B71FD8">
        <w:t>Output 2.1: Environment</w:t>
      </w:r>
    </w:p>
    <w:p w:rsidR="007114AE" w:rsidRDefault="002435BD" w:rsidP="007114AE">
      <w:pPr>
        <w:pStyle w:val="Normal30"/>
      </w:pPr>
      <w:r>
        <w:t>Help protect the ACT’s natural environment through:</w:t>
      </w:r>
    </w:p>
    <w:p w:rsidR="007114AE" w:rsidRDefault="002435BD" w:rsidP="001A782A">
      <w:pPr>
        <w:pStyle w:val="BSbullet1"/>
      </w:pPr>
      <w:r>
        <w:t>the implementation of programs responding to natural resource management;</w:t>
      </w:r>
    </w:p>
    <w:p w:rsidR="007114AE" w:rsidRDefault="002435BD" w:rsidP="001A782A">
      <w:pPr>
        <w:pStyle w:val="BSbullet1"/>
      </w:pPr>
      <w:r>
        <w:t xml:space="preserve">manage, review and implement legislation/action and plans to help protect land and species; </w:t>
      </w:r>
    </w:p>
    <w:p w:rsidR="007114AE" w:rsidRDefault="002435BD" w:rsidP="001A782A">
      <w:pPr>
        <w:pStyle w:val="BSbullet1"/>
      </w:pPr>
      <w:r>
        <w:t xml:space="preserve">sustainable use of water, including through implementation of </w:t>
      </w:r>
      <w:r>
        <w:rPr>
          <w:i/>
        </w:rPr>
        <w:t>Striking the Balance</w:t>
      </w:r>
      <w:r>
        <w:t>, the ACT’s Water Strategy;</w:t>
      </w:r>
    </w:p>
    <w:p w:rsidR="007114AE" w:rsidRDefault="002435BD" w:rsidP="001A782A">
      <w:pPr>
        <w:pStyle w:val="BSbullet1"/>
      </w:pPr>
      <w:r>
        <w:t xml:space="preserve">establish and support an ACT and region catchment management governance framework; </w:t>
      </w:r>
    </w:p>
    <w:p w:rsidR="007114AE" w:rsidRDefault="002435BD" w:rsidP="001A782A">
      <w:pPr>
        <w:pStyle w:val="BSbullet1"/>
      </w:pPr>
      <w:r>
        <w:t xml:space="preserve">administer the annual funding of the ACT Environment Grants Program; </w:t>
      </w:r>
    </w:p>
    <w:p w:rsidR="007114AE" w:rsidRDefault="002435BD" w:rsidP="001A782A">
      <w:pPr>
        <w:pStyle w:val="BSbullet1"/>
      </w:pPr>
      <w:r>
        <w:t>promotion and involvement of the community in caring for the ACT’s natural environment; and</w:t>
      </w:r>
    </w:p>
    <w:p w:rsidR="007114AE" w:rsidRDefault="002435BD" w:rsidP="001A782A">
      <w:pPr>
        <w:pStyle w:val="BSbullet1"/>
      </w:pPr>
      <w:r>
        <w:t xml:space="preserve">develop, review and implement legislation, policies and standards to protect the natural and built environment. </w:t>
      </w:r>
    </w:p>
    <w:p w:rsidR="007114AE" w:rsidRPr="00B86090" w:rsidRDefault="002435BD" w:rsidP="007114AE">
      <w:pPr>
        <w:pStyle w:val="Normal3"/>
        <w:rPr>
          <w:b/>
        </w:rPr>
      </w:pPr>
      <w:r w:rsidRPr="00B86090">
        <w:rPr>
          <w:b/>
        </w:rPr>
        <w:t xml:space="preserve"> </w:t>
      </w:r>
      <w:r w:rsidR="00960417">
        <w:rPr>
          <w:b/>
        </w:rPr>
        <w:t>Table 6</w:t>
      </w:r>
      <w:r w:rsidR="00AC356D" w:rsidRPr="00B71FD8">
        <w:rPr>
          <w:b/>
        </w:rPr>
        <w:t>: Output</w:t>
      </w:r>
      <w:r w:rsidRPr="00B71FD8">
        <w:rPr>
          <w:b/>
        </w:rPr>
        <w:t xml:space="preserve"> 2.1:  Environment</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1</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15,203</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17,028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11,393</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13,508</w:t>
            </w:r>
          </w:p>
        </w:tc>
      </w:tr>
    </w:tbl>
    <w:p w:rsidR="007114AE" w:rsidRDefault="002435BD" w:rsidP="007114AE">
      <w:pPr>
        <w:pStyle w:val="BSnote1"/>
      </w:pPr>
      <w:r>
        <w:t>Note(s):</w:t>
      </w:r>
    </w:p>
    <w:p w:rsidR="007114AE" w:rsidRDefault="002435BD" w:rsidP="00390DB5">
      <w:pPr>
        <w:pStyle w:val="BSnoteslist1"/>
        <w:numPr>
          <w:ilvl w:val="0"/>
          <w:numId w:val="18"/>
        </w:numPr>
      </w:pPr>
      <w:r w:rsidRPr="001C531D">
        <w:t>Total cost</w:t>
      </w:r>
      <w:r>
        <w:t xml:space="preserve"> includes </w:t>
      </w:r>
      <w:r w:rsidRPr="001C531D">
        <w:t>depreci</w:t>
      </w:r>
      <w:r>
        <w:t xml:space="preserve">ation and amortisation and is supplemented by </w:t>
      </w:r>
      <w:r w:rsidRPr="001C531D">
        <w:t xml:space="preserve">revenue </w:t>
      </w:r>
      <w:r>
        <w:t>from the Commonwealth for environmental programs.</w:t>
      </w:r>
    </w:p>
    <w:p w:rsidR="007114AE" w:rsidRDefault="002435BD" w:rsidP="007114AE">
      <w:pPr>
        <w:pStyle w:val="Heading40"/>
      </w:pPr>
      <w:r w:rsidRPr="00941F53">
        <w:t>Output 2.2: Conservation and Land Management</w:t>
      </w:r>
      <w:r w:rsidRPr="00941F53">
        <w:rPr>
          <w:color w:val="000000"/>
          <w:szCs w:val="24"/>
          <w:vertAlign w:val="superscript"/>
          <w:lang w:eastAsia="en-AU"/>
        </w:rPr>
        <w:t>1</w:t>
      </w:r>
    </w:p>
    <w:p w:rsidR="007114AE" w:rsidRDefault="002435BD" w:rsidP="007114AE">
      <w:pPr>
        <w:pStyle w:val="Normal200"/>
        <w:keepNext/>
        <w:keepLines/>
      </w:pPr>
      <w:r>
        <w:t>Planning and management of the ACT’s parks, reserves, unleased public land and plantations, including associated community infrastructure.  The land manager role includes management of land for recreational use; conservation management; including management of national parks, nature reserves; fire management; and pest and weed control as well as the management of the Territory’s softwood plantation and oversight of rural production areas.</w:t>
      </w:r>
    </w:p>
    <w:p w:rsidR="007114AE" w:rsidRPr="00B86090" w:rsidRDefault="00960417" w:rsidP="007114AE">
      <w:pPr>
        <w:pStyle w:val="BSbullet11"/>
        <w:keepNext/>
        <w:keepLines/>
        <w:numPr>
          <w:ilvl w:val="0"/>
          <w:numId w:val="0"/>
        </w:numPr>
        <w:jc w:val="left"/>
        <w:rPr>
          <w:b/>
        </w:rPr>
      </w:pPr>
      <w:r>
        <w:rPr>
          <w:b/>
        </w:rPr>
        <w:t>Table 7</w:t>
      </w:r>
      <w:r w:rsidR="00AC356D" w:rsidRPr="00941F53">
        <w:rPr>
          <w:b/>
        </w:rPr>
        <w:t>: Output</w:t>
      </w:r>
      <w:r w:rsidR="002435BD" w:rsidRPr="00941F53">
        <w:rPr>
          <w:b/>
        </w:rPr>
        <w:t xml:space="preserve"> 2.2:  Conservation and Land Management</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42,478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44,223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33,908</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36,993</w:t>
            </w:r>
          </w:p>
        </w:tc>
      </w:tr>
    </w:tbl>
    <w:p w:rsidR="007114AE" w:rsidRDefault="002435BD" w:rsidP="007114AE">
      <w:pPr>
        <w:pStyle w:val="BSnote1"/>
      </w:pPr>
      <w:r>
        <w:t>Note(s):</w:t>
      </w:r>
    </w:p>
    <w:p w:rsidR="007114AE" w:rsidRDefault="002435BD" w:rsidP="00390DB5">
      <w:pPr>
        <w:pStyle w:val="BSnoteslist1"/>
        <w:keepNext/>
        <w:keepLines/>
        <w:numPr>
          <w:ilvl w:val="0"/>
          <w:numId w:val="19"/>
        </w:numPr>
      </w:pPr>
      <w:r>
        <w:t>This output was previously Output 2.3.</w:t>
      </w:r>
    </w:p>
    <w:p w:rsidR="007114AE" w:rsidRPr="00B71FD8" w:rsidRDefault="002435BD" w:rsidP="00390DB5">
      <w:pPr>
        <w:pStyle w:val="BSnoteslist1"/>
        <w:numPr>
          <w:ilvl w:val="0"/>
          <w:numId w:val="19"/>
        </w:numPr>
      </w:pPr>
      <w:r>
        <w:t xml:space="preserve">Total cost </w:t>
      </w:r>
      <w:r w:rsidRPr="00941F53">
        <w:rPr>
          <w:szCs w:val="16"/>
        </w:rPr>
        <w:t>includes</w:t>
      </w:r>
      <w:r>
        <w:t xml:space="preserve"> </w:t>
      </w:r>
      <w:r w:rsidRPr="001C531D">
        <w:t>depreci</w:t>
      </w:r>
      <w:r>
        <w:t xml:space="preserve">ation and amortisation is also </w:t>
      </w:r>
      <w:r w:rsidRPr="00941F53">
        <w:rPr>
          <w:szCs w:val="16"/>
        </w:rPr>
        <w:t>supplemented by sales from forestry harvesting.</w:t>
      </w:r>
    </w:p>
    <w:p w:rsidR="007114AE" w:rsidRPr="007A164A" w:rsidRDefault="002435BD" w:rsidP="007114AE">
      <w:pPr>
        <w:pStyle w:val="Heading40"/>
      </w:pPr>
      <w:r>
        <w:t>Output 2.3</w:t>
      </w:r>
      <w:r w:rsidRPr="007A164A">
        <w:t>: Heritage</w:t>
      </w:r>
      <w:r w:rsidRPr="007A164A">
        <w:rPr>
          <w:color w:val="000000"/>
          <w:szCs w:val="24"/>
          <w:vertAlign w:val="superscript"/>
          <w:lang w:eastAsia="en-AU"/>
        </w:rPr>
        <w:t>1</w:t>
      </w:r>
    </w:p>
    <w:p w:rsidR="007114AE" w:rsidRPr="007A164A" w:rsidRDefault="002435BD" w:rsidP="007114AE">
      <w:pPr>
        <w:pStyle w:val="Normal200"/>
        <w:keepNext/>
        <w:keepLines/>
      </w:pPr>
      <w:r w:rsidRPr="007A164A">
        <w:t xml:space="preserve">Administration of the heritage provisions of the </w:t>
      </w:r>
      <w:r w:rsidRPr="00D444B6">
        <w:rPr>
          <w:i/>
        </w:rPr>
        <w:t>Heritage Act 2004</w:t>
      </w:r>
      <w:r w:rsidRPr="007A164A">
        <w:t xml:space="preserve"> and assistance in the conservation of the ACT’s heritage assets to ensure their recognition, registration and conservation.  The area provides administrative and operational support to the ACT Heritage Council and its projects, and administers the annual funding of the ACT Heritage Grants Program, the annual Canberra and Region Heritage Festival and Capital Works projects as they relate to heritage conservation works.  A key function is also the promotion and education of the community regarding heritage assets of the ACT.</w:t>
      </w:r>
    </w:p>
    <w:p w:rsidR="007114AE" w:rsidRPr="00B86090" w:rsidRDefault="002435BD" w:rsidP="007114AE">
      <w:pPr>
        <w:pStyle w:val="BSbullet11"/>
        <w:keepNext/>
        <w:keepLines/>
        <w:numPr>
          <w:ilvl w:val="0"/>
          <w:numId w:val="0"/>
        </w:numPr>
        <w:jc w:val="left"/>
        <w:rPr>
          <w:b/>
        </w:rPr>
      </w:pPr>
      <w:r w:rsidRPr="007A164A">
        <w:rPr>
          <w:b/>
        </w:rPr>
        <w:t xml:space="preserve">Table </w:t>
      </w:r>
      <w:r w:rsidR="00960417">
        <w:rPr>
          <w:b/>
        </w:rPr>
        <w:t>8</w:t>
      </w:r>
      <w:r w:rsidR="00AC356D" w:rsidRPr="007A164A">
        <w:rPr>
          <w:b/>
        </w:rPr>
        <w:t>: Output</w:t>
      </w:r>
      <w:r w:rsidRPr="007A164A">
        <w:rPr>
          <w:b/>
        </w:rPr>
        <w:t xml:space="preserve"> 2.3:  Heritage</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2,127</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2,179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1,975</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2,061</w:t>
            </w:r>
          </w:p>
        </w:tc>
      </w:tr>
    </w:tbl>
    <w:p w:rsidR="007114AE" w:rsidRDefault="002435BD" w:rsidP="007114AE">
      <w:pPr>
        <w:pStyle w:val="BSnote1"/>
      </w:pPr>
      <w:r>
        <w:t>Note(s):</w:t>
      </w:r>
    </w:p>
    <w:p w:rsidR="007114AE" w:rsidRDefault="002435BD" w:rsidP="00862CB5">
      <w:pPr>
        <w:pStyle w:val="BSnoteslist1"/>
        <w:numPr>
          <w:ilvl w:val="0"/>
          <w:numId w:val="55"/>
        </w:numPr>
      </w:pPr>
      <w:r>
        <w:t>This output was previously in Output Class 1: Planning</w:t>
      </w:r>
      <w:r w:rsidR="001A782A">
        <w:t>, as Output 1.3</w:t>
      </w:r>
      <w:r>
        <w:t xml:space="preserve">. </w:t>
      </w:r>
    </w:p>
    <w:p w:rsidR="007114AE" w:rsidRPr="007A164A" w:rsidRDefault="002435BD" w:rsidP="002A5CF3">
      <w:pPr>
        <w:pStyle w:val="Heading3"/>
      </w:pPr>
      <w:bookmarkStart w:id="37" w:name="_Toc514763780"/>
      <w:bookmarkStart w:id="38" w:name="_Toc514841009"/>
      <w:r w:rsidRPr="007A164A">
        <w:t>O</w:t>
      </w:r>
      <w:r>
        <w:t>utput Class 3: Climate Change and Sustainability</w:t>
      </w:r>
      <w:r w:rsidRPr="007A164A">
        <w:rPr>
          <w:vertAlign w:val="superscript"/>
        </w:rPr>
        <w:t>1</w:t>
      </w:r>
      <w:bookmarkEnd w:id="37"/>
      <w:bookmarkEnd w:id="38"/>
    </w:p>
    <w:p w:rsidR="007114AE" w:rsidRPr="007A164A" w:rsidRDefault="002435BD" w:rsidP="007114AE">
      <w:pPr>
        <w:pStyle w:val="Heading40"/>
      </w:pPr>
      <w:r w:rsidRPr="007A164A">
        <w:t>Output 3.1: Climate Change and Sustainability</w:t>
      </w:r>
    </w:p>
    <w:p w:rsidR="007114AE" w:rsidRPr="007A164A" w:rsidRDefault="002435BD" w:rsidP="007114AE">
      <w:pPr>
        <w:pStyle w:val="Normal30"/>
      </w:pPr>
      <w:r w:rsidRPr="007A164A">
        <w:t>Develop policy and provide advice in relation to:</w:t>
      </w:r>
    </w:p>
    <w:p w:rsidR="007114AE" w:rsidRPr="007A164A" w:rsidRDefault="002435BD" w:rsidP="001A782A">
      <w:pPr>
        <w:pStyle w:val="BSbullet1"/>
      </w:pPr>
      <w:r w:rsidRPr="007A164A">
        <w:t xml:space="preserve">the </w:t>
      </w:r>
      <w:r w:rsidRPr="001A782A">
        <w:rPr>
          <w:i/>
        </w:rPr>
        <w:t>ACT Climate Change Strategy</w:t>
      </w:r>
      <w:r w:rsidRPr="007A164A">
        <w:t xml:space="preserve"> and Action Plan – </w:t>
      </w:r>
      <w:r w:rsidRPr="001A782A">
        <w:rPr>
          <w:i/>
        </w:rPr>
        <w:t>AP2 Climate Change Strategy</w:t>
      </w:r>
      <w:r w:rsidRPr="007A164A">
        <w:t>;</w:t>
      </w:r>
    </w:p>
    <w:p w:rsidR="007114AE" w:rsidRPr="007A164A" w:rsidRDefault="002435BD" w:rsidP="001A782A">
      <w:pPr>
        <w:pStyle w:val="BSbullet1"/>
      </w:pPr>
      <w:r w:rsidRPr="007A164A">
        <w:t>investments in renewable electricity through a feed</w:t>
      </w:r>
      <w:r w:rsidRPr="007A164A">
        <w:noBreakHyphen/>
        <w:t>in</w:t>
      </w:r>
      <w:r w:rsidRPr="007A164A">
        <w:noBreakHyphen/>
        <w:t>tariff and delivery of local industry development strategies;</w:t>
      </w:r>
    </w:p>
    <w:p w:rsidR="007114AE" w:rsidRPr="007A164A" w:rsidRDefault="002435BD" w:rsidP="001A782A">
      <w:pPr>
        <w:pStyle w:val="BSbullet1"/>
      </w:pPr>
      <w:r w:rsidRPr="007A164A">
        <w:t>energy efficiency measures, including administration of the Actsmart and Outreach programs; and</w:t>
      </w:r>
    </w:p>
    <w:p w:rsidR="007114AE" w:rsidRPr="007A164A" w:rsidRDefault="002435BD" w:rsidP="001A782A">
      <w:pPr>
        <w:pStyle w:val="BSbullet1"/>
      </w:pPr>
      <w:r w:rsidRPr="007A164A">
        <w:t xml:space="preserve">administration of the Carbon Neutral ACT Government program and </w:t>
      </w:r>
      <w:r w:rsidRPr="001A782A">
        <w:rPr>
          <w:i/>
        </w:rPr>
        <w:t>Energy Efficiency (Cost of Living) Improvement Scheme</w:t>
      </w:r>
      <w:r w:rsidRPr="007A164A">
        <w:t>.</w:t>
      </w:r>
    </w:p>
    <w:p w:rsidR="007114AE" w:rsidRPr="00B86090" w:rsidRDefault="00960417" w:rsidP="007114AE">
      <w:pPr>
        <w:pStyle w:val="BSbullet11"/>
        <w:keepNext/>
        <w:keepLines/>
        <w:numPr>
          <w:ilvl w:val="0"/>
          <w:numId w:val="0"/>
        </w:numPr>
        <w:jc w:val="left"/>
        <w:rPr>
          <w:b/>
        </w:rPr>
      </w:pPr>
      <w:r>
        <w:rPr>
          <w:b/>
        </w:rPr>
        <w:t>Table 9</w:t>
      </w:r>
      <w:r w:rsidR="00AC356D" w:rsidRPr="007A164A">
        <w:rPr>
          <w:b/>
        </w:rPr>
        <w:t>: Output</w:t>
      </w:r>
      <w:r w:rsidR="002435BD" w:rsidRPr="007A164A">
        <w:rPr>
          <w:b/>
        </w:rPr>
        <w:t xml:space="preserve"> 3.1:  Climate Change and Sustainability</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25,412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28,454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11,354</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12,563</w:t>
            </w:r>
          </w:p>
        </w:tc>
      </w:tr>
    </w:tbl>
    <w:p w:rsidR="007114AE" w:rsidRDefault="002435BD" w:rsidP="007114AE">
      <w:pPr>
        <w:pStyle w:val="BSnote1"/>
      </w:pPr>
      <w:r>
        <w:t>Note(s):</w:t>
      </w:r>
    </w:p>
    <w:p w:rsidR="007114AE" w:rsidRDefault="002435BD" w:rsidP="00390DB5">
      <w:pPr>
        <w:pStyle w:val="BSnoteslist1"/>
        <w:keepNext/>
        <w:numPr>
          <w:ilvl w:val="0"/>
          <w:numId w:val="20"/>
        </w:numPr>
      </w:pPr>
      <w:r>
        <w:t>This is a new Output Class. Previously Climate Change and Sustainability was within Output Class 2: Environment</w:t>
      </w:r>
      <w:r w:rsidR="001A782A">
        <w:t>, as Output 2.2</w:t>
      </w:r>
      <w:r>
        <w:t>.</w:t>
      </w:r>
    </w:p>
    <w:p w:rsidR="007114AE" w:rsidRDefault="002435BD" w:rsidP="00390DB5">
      <w:pPr>
        <w:pStyle w:val="BSnoteslist1"/>
        <w:numPr>
          <w:ilvl w:val="0"/>
          <w:numId w:val="20"/>
        </w:numPr>
      </w:pPr>
      <w:r>
        <w:t xml:space="preserve">Total cost is supplemented by revenue from the </w:t>
      </w:r>
      <w:r w:rsidRPr="007A164A">
        <w:rPr>
          <w:i/>
        </w:rPr>
        <w:t>Energy Efficiency (Cost of Living) Improvement Scheme</w:t>
      </w:r>
      <w:r>
        <w:t xml:space="preserve"> of $4.633</w:t>
      </w:r>
      <w:r w:rsidRPr="001C531D">
        <w:t> mill</w:t>
      </w:r>
      <w:r>
        <w:t>ion in 2017-18 and $3.950</w:t>
      </w:r>
      <w:r w:rsidRPr="001C531D">
        <w:t> million in 2018-19.</w:t>
      </w:r>
      <w:r>
        <w:t xml:space="preserve">  Total cost is also supplemented by revenue from the Renewable Energy Innovation Fund and Next Gener</w:t>
      </w:r>
      <w:r w:rsidR="00D444B6">
        <w:t>ation Battery Storage of $8.369</w:t>
      </w:r>
      <w:r w:rsidRPr="001C531D">
        <w:t> mill</w:t>
      </w:r>
      <w:r>
        <w:t>i</w:t>
      </w:r>
      <w:r w:rsidR="00D444B6">
        <w:t>on in 2017-18 and $10.180</w:t>
      </w:r>
      <w:r w:rsidRPr="001C531D">
        <w:t> million in 2018-19.</w:t>
      </w:r>
      <w:r>
        <w:t xml:space="preserve">  </w:t>
      </w:r>
    </w:p>
    <w:p w:rsidR="007114AE" w:rsidRPr="00972717" w:rsidRDefault="002435BD" w:rsidP="002A5CF3">
      <w:pPr>
        <w:pStyle w:val="Heading3"/>
      </w:pPr>
      <w:bookmarkStart w:id="39" w:name="_Toc514763781"/>
      <w:bookmarkStart w:id="40" w:name="_Toc514841010"/>
      <w:r w:rsidRPr="00972717">
        <w:t>Output Class 4: Land Strategy and Urban Renewal</w:t>
      </w:r>
      <w:r w:rsidRPr="00972717">
        <w:rPr>
          <w:vertAlign w:val="superscript"/>
        </w:rPr>
        <w:t>1</w:t>
      </w:r>
      <w:bookmarkEnd w:id="39"/>
      <w:bookmarkEnd w:id="40"/>
    </w:p>
    <w:p w:rsidR="007114AE" w:rsidRDefault="00960417" w:rsidP="007114AE">
      <w:pPr>
        <w:pStyle w:val="Caption1"/>
      </w:pPr>
      <w:r>
        <w:t>Table 10</w:t>
      </w:r>
      <w:r w:rsidR="002435BD" w:rsidRPr="00972717">
        <w:t>: Output Class 4: Land Strategy and Urban Renewal</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18,664</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22,195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18,052</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21,606</w:t>
            </w:r>
          </w:p>
        </w:tc>
      </w:tr>
    </w:tbl>
    <w:p w:rsidR="007114AE" w:rsidRDefault="002435BD" w:rsidP="007114AE">
      <w:pPr>
        <w:pStyle w:val="BSnote1"/>
      </w:pPr>
      <w:r>
        <w:t>Note(s):</w:t>
      </w:r>
    </w:p>
    <w:p w:rsidR="007114AE" w:rsidRDefault="002435BD" w:rsidP="00390DB5">
      <w:pPr>
        <w:pStyle w:val="BSnoteslist10"/>
        <w:keepLines/>
        <w:numPr>
          <w:ilvl w:val="0"/>
          <w:numId w:val="21"/>
        </w:numPr>
      </w:pPr>
      <w:r>
        <w:t>This output class was previously called Land Policy and Renewal.  The Public Housing Renewal Taskforce has been moved to Output Class 6.</w:t>
      </w:r>
    </w:p>
    <w:p w:rsidR="001A782A" w:rsidRDefault="001A782A">
      <w:pPr>
        <w:spacing w:before="0" w:after="0"/>
        <w:rPr>
          <w:b/>
          <w:i/>
        </w:rPr>
      </w:pPr>
      <w:r>
        <w:br w:type="page"/>
      </w:r>
    </w:p>
    <w:p w:rsidR="007114AE" w:rsidRPr="005A4313" w:rsidRDefault="002435BD" w:rsidP="007114AE">
      <w:pPr>
        <w:pStyle w:val="Heading40"/>
      </w:pPr>
      <w:r w:rsidRPr="005A4313">
        <w:t>Output 4.1: Land Strategy</w:t>
      </w:r>
      <w:r w:rsidRPr="005A4313">
        <w:rPr>
          <w:color w:val="000000"/>
          <w:szCs w:val="24"/>
          <w:vertAlign w:val="superscript"/>
          <w:lang w:eastAsia="en-AU"/>
        </w:rPr>
        <w:t>1</w:t>
      </w:r>
    </w:p>
    <w:p w:rsidR="007114AE" w:rsidRPr="005A4313" w:rsidRDefault="002435BD" w:rsidP="007114AE">
      <w:pPr>
        <w:pStyle w:val="Normal30"/>
      </w:pPr>
      <w:r w:rsidRPr="005A4313">
        <w:t xml:space="preserve">Provide strategic, policy and planning support, including preparation of the four-year Indicative Land Release Program. The program sets out the Government’s intended program for land release and seeks to facilitate housing diversity, provide affordable housing, stimulate economic activity, and meet the demand for land in the Territory and support a competitive land development and construction market. </w:t>
      </w:r>
    </w:p>
    <w:p w:rsidR="007114AE" w:rsidRPr="00B86090" w:rsidRDefault="00960417" w:rsidP="007114AE">
      <w:pPr>
        <w:pStyle w:val="BSbullet11"/>
        <w:keepNext/>
        <w:keepLines/>
        <w:numPr>
          <w:ilvl w:val="0"/>
          <w:numId w:val="0"/>
        </w:numPr>
        <w:jc w:val="left"/>
        <w:rPr>
          <w:b/>
        </w:rPr>
      </w:pPr>
      <w:r>
        <w:rPr>
          <w:b/>
        </w:rPr>
        <w:t>Table 11</w:t>
      </w:r>
      <w:r w:rsidR="00AC356D" w:rsidRPr="005A4313">
        <w:rPr>
          <w:b/>
        </w:rPr>
        <w:t>: Output</w:t>
      </w:r>
      <w:r w:rsidR="002435BD" w:rsidRPr="005A4313">
        <w:rPr>
          <w:b/>
        </w:rPr>
        <w:t xml:space="preserve"> 4.1:  Land Strategy</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12,247</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12,959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12,021</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12,575</w:t>
            </w:r>
          </w:p>
        </w:tc>
      </w:tr>
    </w:tbl>
    <w:p w:rsidR="007114AE" w:rsidRDefault="002435BD" w:rsidP="007114AE">
      <w:pPr>
        <w:pStyle w:val="BSnote1"/>
      </w:pPr>
      <w:r>
        <w:t>Note(s):</w:t>
      </w:r>
    </w:p>
    <w:p w:rsidR="007114AE" w:rsidRDefault="002435BD" w:rsidP="00390DB5">
      <w:pPr>
        <w:pStyle w:val="BSnoteslist10"/>
        <w:numPr>
          <w:ilvl w:val="0"/>
          <w:numId w:val="22"/>
        </w:numPr>
      </w:pPr>
      <w:r>
        <w:t>This output was previously called Land Policy</w:t>
      </w:r>
      <w:r w:rsidR="001A782A">
        <w:t>.</w:t>
      </w:r>
    </w:p>
    <w:p w:rsidR="007114AE" w:rsidRPr="005A4313" w:rsidRDefault="002435BD" w:rsidP="007114AE">
      <w:pPr>
        <w:pStyle w:val="Heading40"/>
      </w:pPr>
      <w:r w:rsidRPr="005A4313">
        <w:t>Output 4.2: Urban Renewal</w:t>
      </w:r>
    </w:p>
    <w:p w:rsidR="007114AE" w:rsidRPr="005A4313" w:rsidRDefault="002435BD" w:rsidP="007114AE">
      <w:pPr>
        <w:pStyle w:val="Caption1"/>
        <w:rPr>
          <w:color w:val="auto"/>
        </w:rPr>
      </w:pPr>
      <w:r w:rsidRPr="005A4313">
        <w:rPr>
          <w:b w:val="0"/>
          <w:bCs w:val="0"/>
          <w:color w:val="auto"/>
          <w:sz w:val="24"/>
          <w:szCs w:val="20"/>
        </w:rPr>
        <w:t>Urban renewal delivers projects that involve multiple policy outcomes.  This work includes the identification of key precincts and individual projects, prioritisation of projects based on community need, undertaking feasibility studies and due diligence, and project delivery including demolition and minor works.  This work seeks to integrate urban renewal opportunities across Government around defined urban renewal precincts, including within town and group centres and within pockets of established suburbs, such as local centres.</w:t>
      </w:r>
      <w:r w:rsidRPr="005A4313">
        <w:rPr>
          <w:color w:val="auto"/>
        </w:rPr>
        <w:t xml:space="preserve"> </w:t>
      </w:r>
    </w:p>
    <w:p w:rsidR="007114AE" w:rsidRPr="00B86090" w:rsidRDefault="00960417" w:rsidP="007114AE">
      <w:pPr>
        <w:pStyle w:val="BSbullet11"/>
        <w:keepNext/>
        <w:keepLines/>
        <w:numPr>
          <w:ilvl w:val="0"/>
          <w:numId w:val="0"/>
        </w:numPr>
        <w:jc w:val="left"/>
        <w:rPr>
          <w:b/>
        </w:rPr>
      </w:pPr>
      <w:r>
        <w:rPr>
          <w:b/>
        </w:rPr>
        <w:t>Table 12</w:t>
      </w:r>
      <w:r w:rsidR="00AC356D" w:rsidRPr="005A4313">
        <w:rPr>
          <w:b/>
        </w:rPr>
        <w:t>: Output</w:t>
      </w:r>
      <w:r w:rsidR="002435BD" w:rsidRPr="005A4313">
        <w:rPr>
          <w:b/>
        </w:rPr>
        <w:t xml:space="preserve"> 4.2:  Urban Renewal</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6,417</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9,236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6,031</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9,031</w:t>
            </w:r>
          </w:p>
        </w:tc>
      </w:tr>
    </w:tbl>
    <w:p w:rsidR="001A782A" w:rsidRDefault="001A782A" w:rsidP="007114AE">
      <w:pPr>
        <w:pStyle w:val="Heading30"/>
      </w:pPr>
    </w:p>
    <w:p w:rsidR="001A782A" w:rsidRDefault="001A782A">
      <w:pPr>
        <w:spacing w:before="0" w:after="0"/>
        <w:rPr>
          <w:b/>
          <w:bCs/>
          <w:sz w:val="28"/>
          <w:szCs w:val="26"/>
        </w:rPr>
      </w:pPr>
      <w:r>
        <w:br w:type="page"/>
      </w:r>
    </w:p>
    <w:p w:rsidR="007114AE" w:rsidRPr="007A164A" w:rsidRDefault="002435BD" w:rsidP="002A5CF3">
      <w:pPr>
        <w:pStyle w:val="Heading3"/>
      </w:pPr>
      <w:bookmarkStart w:id="41" w:name="_Toc514763782"/>
      <w:bookmarkStart w:id="42" w:name="_Toc514841011"/>
      <w:r>
        <w:t>Output Class 5: Loose Fill Asbestos Insulation Eradication</w:t>
      </w:r>
      <w:r w:rsidRPr="007A164A">
        <w:rPr>
          <w:vertAlign w:val="superscript"/>
        </w:rPr>
        <w:t>1</w:t>
      </w:r>
      <w:bookmarkEnd w:id="41"/>
      <w:bookmarkEnd w:id="42"/>
    </w:p>
    <w:p w:rsidR="007114AE" w:rsidRPr="007A164A" w:rsidRDefault="002435BD" w:rsidP="007114AE">
      <w:pPr>
        <w:pStyle w:val="Heading40"/>
      </w:pPr>
      <w:r w:rsidRPr="007A164A">
        <w:t xml:space="preserve">Output </w:t>
      </w:r>
      <w:r>
        <w:t>5</w:t>
      </w:r>
      <w:r w:rsidRPr="007A164A">
        <w:t>.1: Loose-fill Asbestos Insulation Eradication Scheme</w:t>
      </w:r>
    </w:p>
    <w:p w:rsidR="007114AE" w:rsidRDefault="002435BD" w:rsidP="007114AE">
      <w:pPr>
        <w:pStyle w:val="Normal30"/>
        <w:keepNext/>
        <w:keepLines/>
      </w:pPr>
      <w:r>
        <w:t xml:space="preserve">The Asbestos Response Taskforce delivers the Loose-fill Asbestos Insulation Eradication Scheme safely, compassionately and efficiently. It provides support and advice to affected homeowners, the Canberra community, industry and Government.  </w:t>
      </w:r>
    </w:p>
    <w:p w:rsidR="007114AE" w:rsidRPr="00B86090" w:rsidRDefault="00960417" w:rsidP="007114AE">
      <w:pPr>
        <w:pStyle w:val="BSbullet11"/>
        <w:keepNext/>
        <w:keepLines/>
        <w:numPr>
          <w:ilvl w:val="0"/>
          <w:numId w:val="0"/>
        </w:numPr>
        <w:jc w:val="left"/>
        <w:rPr>
          <w:b/>
        </w:rPr>
      </w:pPr>
      <w:r>
        <w:rPr>
          <w:b/>
        </w:rPr>
        <w:t>Table 13</w:t>
      </w:r>
      <w:r w:rsidR="00AC356D">
        <w:rPr>
          <w:b/>
        </w:rPr>
        <w:t>: Output</w:t>
      </w:r>
      <w:r w:rsidR="002435BD">
        <w:rPr>
          <w:b/>
        </w:rPr>
        <w:t xml:space="preserve"> 5</w:t>
      </w:r>
      <w:r w:rsidR="002435BD" w:rsidRPr="007A164A">
        <w:rPr>
          <w:b/>
        </w:rPr>
        <w:t>.1:  Loose-fill Asbestos Insulation Eradication Scheme</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68,438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36,444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14,935</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10,200</w:t>
            </w:r>
          </w:p>
        </w:tc>
      </w:tr>
    </w:tbl>
    <w:p w:rsidR="007114AE" w:rsidRDefault="002435BD" w:rsidP="007114AE">
      <w:pPr>
        <w:pStyle w:val="BSnote1"/>
      </w:pPr>
      <w:r>
        <w:t>Note(s):</w:t>
      </w:r>
    </w:p>
    <w:p w:rsidR="001A782A" w:rsidRDefault="002435BD" w:rsidP="00390DB5">
      <w:pPr>
        <w:pStyle w:val="BSnoteslist10"/>
        <w:keepNext/>
        <w:keepLines/>
        <w:numPr>
          <w:ilvl w:val="0"/>
          <w:numId w:val="23"/>
        </w:numPr>
      </w:pPr>
      <w:r>
        <w:t>This output class was previously Output Class 3.</w:t>
      </w:r>
    </w:p>
    <w:p w:rsidR="007114AE" w:rsidRDefault="002435BD" w:rsidP="00390DB5">
      <w:pPr>
        <w:pStyle w:val="BSnoteslist10"/>
        <w:keepNext/>
        <w:keepLines/>
        <w:numPr>
          <w:ilvl w:val="0"/>
          <w:numId w:val="23"/>
        </w:numPr>
      </w:pPr>
      <w:r>
        <w:t xml:space="preserve">Total cost </w:t>
      </w:r>
      <w:r w:rsidRPr="001A782A">
        <w:rPr>
          <w:szCs w:val="16"/>
        </w:rPr>
        <w:t>includes</w:t>
      </w:r>
      <w:r>
        <w:t xml:space="preserve"> the transfer of the net profit on land sales back to the Government.</w:t>
      </w:r>
    </w:p>
    <w:p w:rsidR="007114AE" w:rsidRPr="007A164A" w:rsidRDefault="002435BD" w:rsidP="002A5CF3">
      <w:pPr>
        <w:pStyle w:val="Heading3"/>
      </w:pPr>
      <w:bookmarkStart w:id="43" w:name="_Toc514763783"/>
      <w:bookmarkStart w:id="44" w:name="_Toc514841012"/>
      <w:r>
        <w:t>Output Class 6: Public Housing Renewal Taskforce</w:t>
      </w:r>
      <w:r w:rsidRPr="007A164A">
        <w:rPr>
          <w:vertAlign w:val="superscript"/>
        </w:rPr>
        <w:t>1</w:t>
      </w:r>
      <w:bookmarkEnd w:id="43"/>
      <w:bookmarkEnd w:id="44"/>
    </w:p>
    <w:p w:rsidR="007114AE" w:rsidRPr="007A164A" w:rsidRDefault="002435BD" w:rsidP="007114AE">
      <w:pPr>
        <w:pStyle w:val="Heading40"/>
      </w:pPr>
      <w:r w:rsidRPr="007A164A">
        <w:t xml:space="preserve">Output </w:t>
      </w:r>
      <w:r>
        <w:t>6</w:t>
      </w:r>
      <w:r w:rsidRPr="007A164A">
        <w:t>.1: Public Housing Renewal Taskforce</w:t>
      </w:r>
    </w:p>
    <w:p w:rsidR="007114AE" w:rsidRDefault="002435BD" w:rsidP="007114AE">
      <w:pPr>
        <w:pStyle w:val="Normal30"/>
        <w:keepNext/>
        <w:keepLines/>
      </w:pPr>
      <w:r>
        <w:t xml:space="preserve">The Public Housing Renewal Taskforce is delivering 1,288 replacement public housing dwellings that will better meet the needs of tenants, now and into the future, as part of the ACT Government’s public housing renewal program. This program supports the renewal of Canberra’s urban areas as the Public Housing Renewal Taskforce works with Urban Renewal, the City Renewal Authority and Housing ACT, to support the sale of older multi-unit public housing properties that are no longer fit for purpose. </w:t>
      </w:r>
    </w:p>
    <w:p w:rsidR="007114AE" w:rsidRPr="00B86090" w:rsidRDefault="00960417" w:rsidP="007114AE">
      <w:pPr>
        <w:pStyle w:val="BSbullet11"/>
        <w:keepNext/>
        <w:keepLines/>
        <w:numPr>
          <w:ilvl w:val="0"/>
          <w:numId w:val="0"/>
        </w:numPr>
        <w:jc w:val="left"/>
        <w:rPr>
          <w:b/>
        </w:rPr>
      </w:pPr>
      <w:r>
        <w:rPr>
          <w:b/>
        </w:rPr>
        <w:t>Table 14</w:t>
      </w:r>
      <w:r w:rsidR="00AC356D">
        <w:rPr>
          <w:b/>
        </w:rPr>
        <w:t>: Output</w:t>
      </w:r>
      <w:r w:rsidR="002435BD">
        <w:rPr>
          <w:b/>
        </w:rPr>
        <w:t xml:space="preserve"> 6</w:t>
      </w:r>
      <w:r w:rsidR="002435BD" w:rsidRPr="007A164A">
        <w:rPr>
          <w:b/>
        </w:rPr>
        <w:t>.1:  Public Housing Renewal Taskforce</w:t>
      </w:r>
    </w:p>
    <w:tbl>
      <w:tblPr>
        <w:tblW w:w="9060" w:type="dxa"/>
        <w:tblLayout w:type="fixed"/>
        <w:tblLook w:val="0600" w:firstRow="0" w:lastRow="0" w:firstColumn="0" w:lastColumn="0" w:noHBand="1" w:noVBand="1"/>
      </w:tblPr>
      <w:tblGrid>
        <w:gridCol w:w="4695"/>
        <w:gridCol w:w="540"/>
        <w:gridCol w:w="2175"/>
        <w:gridCol w:w="1650"/>
      </w:tblGrid>
      <w:tr w:rsidR="005576C2">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Total Cost</w:t>
            </w:r>
            <w:r>
              <w:rPr>
                <w:rFonts w:eastAsia="Calibri" w:cs="Calibri"/>
                <w:b/>
                <w:color w:val="000000"/>
                <w:sz w:val="18"/>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41,716</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26,947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41,680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3"/>
              <w:spacing w:before="0" w:after="0"/>
              <w:jc w:val="right"/>
              <w:rPr>
                <w:rFonts w:eastAsia="Calibri" w:cs="Calibri"/>
                <w:color w:val="000000"/>
                <w:sz w:val="18"/>
              </w:rPr>
            </w:pPr>
            <w:r>
              <w:rPr>
                <w:rFonts w:eastAsia="Calibri" w:cs="Calibri"/>
                <w:color w:val="000000"/>
                <w:sz w:val="18"/>
              </w:rPr>
              <w:t>8,829</w:t>
            </w:r>
          </w:p>
        </w:tc>
      </w:tr>
    </w:tbl>
    <w:p w:rsidR="007114AE" w:rsidRDefault="002435BD" w:rsidP="007114AE">
      <w:pPr>
        <w:pStyle w:val="BSnote1"/>
      </w:pPr>
      <w:r>
        <w:t>Note(s):</w:t>
      </w:r>
    </w:p>
    <w:p w:rsidR="00D444B6" w:rsidRDefault="002435BD" w:rsidP="00390DB5">
      <w:pPr>
        <w:pStyle w:val="BSnoteslist10"/>
        <w:keepNext/>
        <w:keepLines/>
        <w:numPr>
          <w:ilvl w:val="0"/>
          <w:numId w:val="24"/>
        </w:numPr>
      </w:pPr>
      <w:r>
        <w:t>This is a n</w:t>
      </w:r>
      <w:r w:rsidR="00991D1B">
        <w:t>ew output class. Previously the Public Housing Renewal Taskforce</w:t>
      </w:r>
      <w:r>
        <w:t xml:space="preserve"> was included in Output Class 4.2.</w:t>
      </w:r>
    </w:p>
    <w:p w:rsidR="007114AE" w:rsidRDefault="002435BD" w:rsidP="00390DB5">
      <w:pPr>
        <w:pStyle w:val="BSnoteslist10"/>
        <w:keepNext/>
        <w:keepLines/>
        <w:numPr>
          <w:ilvl w:val="0"/>
          <w:numId w:val="24"/>
        </w:numPr>
      </w:pPr>
      <w:r>
        <w:t xml:space="preserve">Total cost in 2018-19 </w:t>
      </w:r>
      <w:r w:rsidRPr="00D444B6">
        <w:rPr>
          <w:szCs w:val="16"/>
        </w:rPr>
        <w:t>includes</w:t>
      </w:r>
      <w:r>
        <w:t xml:space="preserve"> the cost of land and transfer back to Government of the net profit on sale of land.</w:t>
      </w:r>
    </w:p>
    <w:p w:rsidR="007114AE" w:rsidRDefault="007114AE" w:rsidP="007114AE">
      <w:pPr>
        <w:pStyle w:val="Normal3"/>
      </w:pPr>
    </w:p>
    <w:p w:rsidR="007114AE" w:rsidRDefault="002435BD" w:rsidP="007114AE">
      <w:pPr>
        <w:pStyle w:val="Normal3"/>
      </w:pPr>
      <w:r>
        <w:t xml:space="preserve"> </w:t>
      </w:r>
    </w:p>
    <w:p w:rsidR="007114AE" w:rsidRPr="0096614C" w:rsidRDefault="002435BD" w:rsidP="002A5CF3">
      <w:pPr>
        <w:pStyle w:val="Heading3"/>
      </w:pPr>
      <w:bookmarkStart w:id="45" w:name="_Toc514763784"/>
      <w:bookmarkStart w:id="46" w:name="_Toc514841013"/>
      <w:r w:rsidRPr="0096614C">
        <w:t>Output Class EBT: Office of the Commissioner for Sustainability and the Environment</w:t>
      </w:r>
      <w:bookmarkEnd w:id="45"/>
      <w:bookmarkEnd w:id="46"/>
    </w:p>
    <w:p w:rsidR="007114AE" w:rsidRPr="0096614C" w:rsidRDefault="002435BD" w:rsidP="007114AE">
      <w:pPr>
        <w:pStyle w:val="Heading41"/>
      </w:pPr>
      <w:r w:rsidRPr="0096614C">
        <w:t>Output EBT 1: Office of the Commissioner for Sustainability and the Environment</w:t>
      </w:r>
    </w:p>
    <w:p w:rsidR="007114AE" w:rsidRPr="0096614C" w:rsidRDefault="002435BD" w:rsidP="007114AE">
      <w:pPr>
        <w:pStyle w:val="Normal4"/>
      </w:pPr>
      <w:r w:rsidRPr="0096614C">
        <w:t>Publication of the State of the Environment Report, investigation of complaints by Ministerial direction, or where a Territory agency’s actions may have a substantial impact on the environment.</w:t>
      </w:r>
    </w:p>
    <w:p w:rsidR="007114AE" w:rsidRPr="0096614C" w:rsidRDefault="00960417" w:rsidP="007114AE">
      <w:pPr>
        <w:pStyle w:val="BSbullet12"/>
        <w:keepNext/>
        <w:keepLines/>
        <w:numPr>
          <w:ilvl w:val="0"/>
          <w:numId w:val="0"/>
        </w:numPr>
        <w:tabs>
          <w:tab w:val="left" w:pos="720"/>
        </w:tabs>
        <w:jc w:val="left"/>
        <w:rPr>
          <w:b/>
        </w:rPr>
      </w:pPr>
      <w:r>
        <w:rPr>
          <w:b/>
        </w:rPr>
        <w:t>Table 15</w:t>
      </w:r>
      <w:r w:rsidR="00AC356D" w:rsidRPr="0096614C">
        <w:rPr>
          <w:b/>
        </w:rPr>
        <w:t>: Output</w:t>
      </w:r>
      <w:r w:rsidR="002435BD" w:rsidRPr="0096614C">
        <w:rPr>
          <w:b/>
        </w:rPr>
        <w:t xml:space="preserve"> EBT 1:  Office of the Commissioner for Sustainability and the Environment</w:t>
      </w:r>
    </w:p>
    <w:tbl>
      <w:tblPr>
        <w:tblW w:w="9060" w:type="dxa"/>
        <w:tblLayout w:type="fixed"/>
        <w:tblLook w:val="0600" w:firstRow="0" w:lastRow="0" w:firstColumn="0" w:lastColumn="0" w:noHBand="1" w:noVBand="1"/>
      </w:tblPr>
      <w:tblGrid>
        <w:gridCol w:w="4800"/>
        <w:gridCol w:w="540"/>
        <w:gridCol w:w="2175"/>
        <w:gridCol w:w="1545"/>
      </w:tblGrid>
      <w:tr w:rsidR="005576C2">
        <w:trPr>
          <w:trHeight w:hRule="exact" w:val="240"/>
        </w:trPr>
        <w:tc>
          <w:tcPr>
            <w:tcW w:w="480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b/>
                <w:color w:val="000000"/>
                <w:sz w:val="18"/>
              </w:rPr>
            </w:pPr>
            <w:r>
              <w:rPr>
                <w:rFonts w:eastAsia="Calibri" w:cs="Calibri"/>
                <w:b/>
                <w:color w:val="000000"/>
                <w:sz w:val="18"/>
              </w:rPr>
              <w:t>2017-18</w:t>
            </w:r>
          </w:p>
        </w:tc>
        <w:tc>
          <w:tcPr>
            <w:tcW w:w="154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b/>
                <w:color w:val="000000"/>
                <w:sz w:val="18"/>
              </w:rPr>
            </w:pPr>
            <w:r>
              <w:rPr>
                <w:rFonts w:eastAsia="Calibri" w:cs="Calibri"/>
                <w:b/>
                <w:color w:val="000000"/>
                <w:sz w:val="18"/>
              </w:rPr>
              <w:t>2018-19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5576C2" w:rsidRDefault="002435BD">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545" w:type="dxa"/>
            <w:tcBorders>
              <w:top w:val="nil"/>
              <w:left w:val="nil"/>
              <w:bottom w:val="nil"/>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b/>
                <w:color w:val="000000"/>
                <w:sz w:val="18"/>
              </w:rPr>
            </w:pPr>
            <w:r>
              <w:rPr>
                <w:rFonts w:eastAsia="Calibri" w:cs="Calibri"/>
                <w:b/>
                <w:color w:val="000000"/>
                <w:sz w:val="18"/>
              </w:rPr>
              <w:t>Budget</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80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b/>
                <w:color w:val="000000"/>
                <w:sz w:val="18"/>
              </w:rPr>
            </w:pPr>
            <w:r>
              <w:rPr>
                <w:rFonts w:eastAsia="Calibri" w:cs="Calibri"/>
                <w:b/>
                <w:color w:val="000000"/>
                <w:sz w:val="18"/>
              </w:rPr>
              <w:t>$'000</w:t>
            </w:r>
          </w:p>
        </w:tc>
        <w:tc>
          <w:tcPr>
            <w:tcW w:w="154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color w:val="000000"/>
                <w:sz w:val="18"/>
              </w:rPr>
            </w:pPr>
            <w:r>
              <w:rPr>
                <w:rFonts w:eastAsia="Calibri" w:cs="Calibri"/>
                <w:color w:val="000000"/>
                <w:sz w:val="18"/>
              </w:rPr>
              <w:t>1,542</w:t>
            </w:r>
          </w:p>
        </w:tc>
        <w:tc>
          <w:tcPr>
            <w:tcW w:w="1545" w:type="dxa"/>
            <w:tcBorders>
              <w:top w:val="single" w:sz="4" w:space="0" w:color="000000"/>
              <w:left w:val="nil"/>
              <w:bottom w:val="nil"/>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color w:val="000000"/>
                <w:sz w:val="18"/>
              </w:rPr>
            </w:pPr>
            <w:r>
              <w:rPr>
                <w:rFonts w:eastAsia="Calibri" w:cs="Calibri"/>
                <w:color w:val="000000"/>
                <w:sz w:val="18"/>
              </w:rPr>
              <w:t>1,670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80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4"/>
              <w:spacing w:before="0" w:after="0"/>
              <w:rPr>
                <w:rFonts w:eastAsia="Calibri" w:cs="Calibri"/>
                <w:b/>
                <w:color w:val="000000"/>
                <w:sz w:val="18"/>
              </w:rPr>
            </w:pPr>
            <w:r>
              <w:rPr>
                <w:rFonts w:eastAsia="Calibri" w:cs="Calibri"/>
                <w:b/>
                <w:color w:val="000000"/>
                <w:sz w:val="18"/>
              </w:rPr>
              <w:t>Payment for Expenses on Behalf of the Territory</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5576C2">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color w:val="000000"/>
                <w:sz w:val="18"/>
              </w:rPr>
            </w:pPr>
            <w:r>
              <w:rPr>
                <w:rFonts w:eastAsia="Calibri" w:cs="Calibri"/>
                <w:color w:val="000000"/>
                <w:sz w:val="18"/>
              </w:rPr>
              <w:t>1,535</w:t>
            </w:r>
          </w:p>
        </w:tc>
        <w:tc>
          <w:tcPr>
            <w:tcW w:w="1545" w:type="dxa"/>
            <w:tcBorders>
              <w:top w:val="nil"/>
              <w:left w:val="nil"/>
              <w:bottom w:val="single" w:sz="4" w:space="0" w:color="000000"/>
              <w:right w:val="nil"/>
              <w:tl2br w:val="nil"/>
              <w:tr2bl w:val="nil"/>
            </w:tcBorders>
            <w:shd w:val="clear" w:color="auto" w:fill="auto"/>
            <w:noWrap/>
            <w:tcMar>
              <w:left w:w="40" w:type="dxa"/>
              <w:right w:w="40" w:type="dxa"/>
            </w:tcMar>
          </w:tcPr>
          <w:p w:rsidR="005576C2" w:rsidRDefault="002435BD">
            <w:pPr>
              <w:pStyle w:val="Normal4"/>
              <w:spacing w:before="0" w:after="0"/>
              <w:jc w:val="right"/>
              <w:rPr>
                <w:rFonts w:eastAsia="Calibri" w:cs="Calibri"/>
                <w:color w:val="000000"/>
                <w:sz w:val="18"/>
              </w:rPr>
            </w:pPr>
            <w:r>
              <w:rPr>
                <w:rFonts w:eastAsia="Calibri" w:cs="Calibri"/>
                <w:color w:val="000000"/>
                <w:sz w:val="18"/>
              </w:rPr>
              <w:t>1,668</w:t>
            </w:r>
          </w:p>
        </w:tc>
      </w:tr>
    </w:tbl>
    <w:p w:rsidR="007114AE" w:rsidRDefault="002435BD" w:rsidP="002A5CF3">
      <w:pPr>
        <w:pStyle w:val="Heading2"/>
      </w:pPr>
      <w:bookmarkStart w:id="47" w:name="_Toc452467800"/>
      <w:bookmarkStart w:id="48" w:name="_Toc514840947"/>
      <w:bookmarkStart w:id="49" w:name="_Toc514841014"/>
      <w:r>
        <w:t>Accountability Indicators</w:t>
      </w:r>
      <w:bookmarkEnd w:id="47"/>
      <w:bookmarkEnd w:id="48"/>
      <w:bookmarkEnd w:id="49"/>
    </w:p>
    <w:p w:rsidR="007114AE" w:rsidRPr="002A5CF3" w:rsidRDefault="002435BD" w:rsidP="002A5CF3">
      <w:pPr>
        <w:pStyle w:val="Heading3"/>
      </w:pPr>
      <w:bookmarkStart w:id="50" w:name="_Toc514763786"/>
      <w:bookmarkStart w:id="51" w:name="_Toc514841015"/>
      <w:r w:rsidRPr="002A5CF3">
        <w:t>Output Class 1: Planning</w:t>
      </w:r>
      <w:bookmarkEnd w:id="50"/>
      <w:bookmarkEnd w:id="51"/>
    </w:p>
    <w:p w:rsidR="007114AE" w:rsidRPr="005E2960" w:rsidRDefault="002435BD" w:rsidP="007114AE">
      <w:pPr>
        <w:pStyle w:val="Heading42"/>
      </w:pPr>
      <w:r w:rsidRPr="005E2960">
        <w:t>Output 1.1: Planning Delivery</w:t>
      </w:r>
    </w:p>
    <w:p w:rsidR="007114AE" w:rsidRDefault="00DC58C5" w:rsidP="007114AE">
      <w:pPr>
        <w:pStyle w:val="Caption2"/>
        <w:rPr>
          <w:noProof/>
        </w:rPr>
      </w:pPr>
      <w:r>
        <w:t>Table 16</w:t>
      </w:r>
      <w:r w:rsidR="002435BD" w:rsidRPr="005E2960">
        <w:rPr>
          <w:noProof/>
        </w:rPr>
        <w:t>:</w:t>
      </w:r>
      <w:r w:rsidR="002435BD" w:rsidRPr="005E2960">
        <w:t xml:space="preserve"> Accountability Indicators</w:t>
      </w:r>
      <w:r w:rsidR="002435BD" w:rsidRPr="005E2960">
        <w:rPr>
          <w:noProof/>
        </w:rPr>
        <w:t xml:space="preserve"> Output 1.1</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pPr>
              <w:pStyle w:val="BStableheading11"/>
              <w:framePr w:wrap="around"/>
            </w:pPr>
            <w:r>
              <w:t>2017-18</w:t>
            </w:r>
          </w:p>
          <w:p w:rsidR="007114AE" w:rsidRDefault="002435BD">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pPr>
              <w:pStyle w:val="BStableheading11"/>
              <w:framePr w:wrap="around"/>
            </w:pPr>
            <w:r>
              <w:t>2017-18</w:t>
            </w:r>
          </w:p>
          <w:p w:rsidR="007114AE" w:rsidRDefault="002435BD">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pPr>
              <w:pStyle w:val="BStableheading11"/>
              <w:framePr w:wrap="around"/>
            </w:pPr>
            <w:r>
              <w:t>2018-19</w:t>
            </w:r>
          </w:p>
          <w:p w:rsidR="007114AE" w:rsidRDefault="002435BD">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Pr="00C277D8" w:rsidRDefault="002435BD" w:rsidP="00390DB5">
            <w:pPr>
              <w:pStyle w:val="BStablelist"/>
              <w:numPr>
                <w:ilvl w:val="0"/>
                <w:numId w:val="27"/>
              </w:numPr>
            </w:pPr>
            <w:r w:rsidRPr="00C277D8">
              <w:t>Development application processing times:</w:t>
            </w:r>
          </w:p>
        </w:tc>
        <w:tc>
          <w:tcPr>
            <w:tcW w:w="864" w:type="pct"/>
            <w:tcBorders>
              <w:top w:val="nil"/>
              <w:left w:val="nil"/>
              <w:bottom w:val="nil"/>
              <w:right w:val="nil"/>
            </w:tcBorders>
          </w:tcPr>
          <w:p w:rsidR="007114AE" w:rsidRPr="00C277D8" w:rsidRDefault="007114AE" w:rsidP="007114AE">
            <w:pPr>
              <w:pStyle w:val="BStablefigures0"/>
              <w:rPr>
                <w:b w:val="0"/>
              </w:rPr>
            </w:pPr>
          </w:p>
        </w:tc>
        <w:tc>
          <w:tcPr>
            <w:tcW w:w="864" w:type="pct"/>
            <w:tcBorders>
              <w:top w:val="nil"/>
              <w:left w:val="nil"/>
              <w:bottom w:val="nil"/>
              <w:right w:val="nil"/>
            </w:tcBorders>
          </w:tcPr>
          <w:p w:rsidR="007114AE" w:rsidRPr="00C277D8" w:rsidRDefault="007114AE" w:rsidP="007114AE">
            <w:pPr>
              <w:pStyle w:val="BStablefigures0"/>
              <w:rPr>
                <w:b w:val="0"/>
              </w:rPr>
            </w:pPr>
          </w:p>
        </w:tc>
        <w:tc>
          <w:tcPr>
            <w:tcW w:w="866" w:type="pct"/>
            <w:tcBorders>
              <w:top w:val="nil"/>
              <w:left w:val="nil"/>
              <w:bottom w:val="nil"/>
              <w:right w:val="nil"/>
            </w:tcBorders>
          </w:tcPr>
          <w:p w:rsidR="007114AE" w:rsidRPr="00C277D8" w:rsidRDefault="007114AE" w:rsidP="007114AE">
            <w:pPr>
              <w:pStyle w:val="BStablefigures0"/>
              <w:rPr>
                <w:b w:val="0"/>
              </w:rPr>
            </w:pPr>
          </w:p>
        </w:tc>
      </w:tr>
      <w:tr w:rsidR="005576C2" w:rsidTr="007114AE">
        <w:trPr>
          <w:trHeight w:val="283"/>
        </w:trPr>
        <w:tc>
          <w:tcPr>
            <w:tcW w:w="2406" w:type="pct"/>
            <w:tcBorders>
              <w:top w:val="nil"/>
              <w:left w:val="nil"/>
              <w:bottom w:val="nil"/>
              <w:right w:val="nil"/>
            </w:tcBorders>
            <w:hideMark/>
          </w:tcPr>
          <w:p w:rsidR="007114AE" w:rsidRPr="00C277D8" w:rsidRDefault="002435BD" w:rsidP="007114AE">
            <w:pPr>
              <w:pStyle w:val="BStabletext1"/>
              <w:rPr>
                <w:b w:val="0"/>
              </w:rPr>
            </w:pPr>
            <w:r w:rsidRPr="00C277D8">
              <w:rPr>
                <w:b w:val="0"/>
              </w:rPr>
              <w:t>- average processing times in working days</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45</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56</w:t>
            </w:r>
            <w:r w:rsidRPr="00C277D8">
              <w:rPr>
                <w:b w:val="0"/>
                <w:vertAlign w:val="superscript"/>
              </w:rPr>
              <w:t>1</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45</w:t>
            </w:r>
          </w:p>
        </w:tc>
      </w:tr>
      <w:tr w:rsidR="005576C2" w:rsidTr="007114AE">
        <w:trPr>
          <w:trHeight w:val="283"/>
        </w:trPr>
        <w:tc>
          <w:tcPr>
            <w:tcW w:w="2406" w:type="pct"/>
            <w:tcBorders>
              <w:top w:val="nil"/>
              <w:left w:val="nil"/>
              <w:bottom w:val="nil"/>
              <w:right w:val="nil"/>
            </w:tcBorders>
            <w:hideMark/>
          </w:tcPr>
          <w:p w:rsidR="007114AE" w:rsidRPr="00C277D8" w:rsidRDefault="002435BD" w:rsidP="007114AE">
            <w:pPr>
              <w:pStyle w:val="BStabletext1"/>
              <w:rPr>
                <w:b w:val="0"/>
              </w:rPr>
            </w:pPr>
            <w:r w:rsidRPr="00C277D8">
              <w:rPr>
                <w:b w:val="0"/>
              </w:rPr>
              <w:t>- median processing times in working days</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30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42</w:t>
            </w:r>
            <w:r w:rsidRPr="00C277D8">
              <w:rPr>
                <w:b w:val="0"/>
                <w:vertAlign w:val="superscript"/>
              </w:rPr>
              <w:t>1</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30</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27"/>
              </w:numPr>
            </w:pPr>
            <w:r>
              <w:t>Percentage of development application decisions made within statutory deadlines</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75%</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68%</w:t>
            </w:r>
            <w:r w:rsidRPr="00C277D8">
              <w:rPr>
                <w:b w:val="0"/>
                <w:vertAlign w:val="superscript"/>
              </w:rPr>
              <w:t>1</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75%</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27"/>
              </w:numPr>
            </w:pPr>
            <w:r>
              <w:t>Percentage of development applications appeals resolved by mediation in relation to development proposals</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35%</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68%</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35%</w:t>
            </w:r>
          </w:p>
        </w:tc>
      </w:tr>
      <w:tr w:rsidR="005576C2" w:rsidTr="007114AE">
        <w:trPr>
          <w:trHeight w:val="283"/>
        </w:trPr>
        <w:tc>
          <w:tcPr>
            <w:tcW w:w="2406" w:type="pct"/>
            <w:tcBorders>
              <w:top w:val="nil"/>
              <w:left w:val="nil"/>
              <w:bottom w:val="single" w:sz="12" w:space="0" w:color="000000"/>
              <w:right w:val="nil"/>
            </w:tcBorders>
            <w:hideMark/>
          </w:tcPr>
          <w:p w:rsidR="007114AE" w:rsidRDefault="002435BD" w:rsidP="00390DB5">
            <w:pPr>
              <w:pStyle w:val="BStablelist"/>
              <w:numPr>
                <w:ilvl w:val="0"/>
                <w:numId w:val="27"/>
              </w:numPr>
            </w:pPr>
            <w:r>
              <w:t>Percentage of ACT Civil and Administrative Tribunal (ACAT) decisions which uphold the Directorate’s original decision</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85%</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85%</w:t>
            </w:r>
          </w:p>
        </w:tc>
        <w:tc>
          <w:tcPr>
            <w:tcW w:w="866"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85%</w:t>
            </w:r>
          </w:p>
        </w:tc>
      </w:tr>
    </w:tbl>
    <w:p w:rsidR="007114AE" w:rsidRDefault="001A782A" w:rsidP="007114AE">
      <w:pPr>
        <w:pStyle w:val="BSnote2"/>
      </w:pPr>
      <w:bookmarkStart w:id="52" w:name="_Toc452127432"/>
      <w:bookmarkStart w:id="53" w:name="_Toc434844187"/>
      <w:r>
        <w:t>Note(s)</w:t>
      </w:r>
      <w:r w:rsidR="002435BD">
        <w:t>:</w:t>
      </w:r>
    </w:p>
    <w:p w:rsidR="007114AE" w:rsidRDefault="002435BD" w:rsidP="00390DB5">
      <w:pPr>
        <w:pStyle w:val="BSnoteslist2"/>
        <w:numPr>
          <w:ilvl w:val="0"/>
          <w:numId w:val="30"/>
        </w:numPr>
      </w:pPr>
      <w:r>
        <w:t xml:space="preserve">The variance from the </w:t>
      </w:r>
      <w:r w:rsidRPr="005E2960">
        <w:t>2017-18</w:t>
      </w:r>
      <w:r>
        <w:t xml:space="preserve"> Targets to the 2017-18 Estimated Outcome is mainly due to the substantial increase in the number of development applications received.  A large number of the development applications were complex, being in town centres and along Northbourne Avenue, which take longer due to the range of assessment issues and the required resolutions of entity advice relating to infrastructure and utility services.</w:t>
      </w:r>
    </w:p>
    <w:p w:rsidR="001A782A" w:rsidRDefault="001A782A">
      <w:pPr>
        <w:spacing w:before="0" w:after="0"/>
        <w:rPr>
          <w:b/>
          <w:i/>
        </w:rPr>
      </w:pPr>
      <w:r>
        <w:br w:type="page"/>
      </w:r>
    </w:p>
    <w:p w:rsidR="007114AE" w:rsidRPr="00EE2C16" w:rsidRDefault="002435BD" w:rsidP="007114AE">
      <w:pPr>
        <w:pStyle w:val="Heading42"/>
      </w:pPr>
      <w:r w:rsidRPr="00EE2C16">
        <w:t>Output 1.2: Planning and Building Policy</w:t>
      </w:r>
    </w:p>
    <w:p w:rsidR="007114AE" w:rsidRDefault="00DC58C5" w:rsidP="007114AE">
      <w:pPr>
        <w:pStyle w:val="Caption2"/>
        <w:rPr>
          <w:noProof/>
        </w:rPr>
      </w:pPr>
      <w:r>
        <w:t>Table 17</w:t>
      </w:r>
      <w:r w:rsidR="002435BD" w:rsidRPr="00EE2C16">
        <w:rPr>
          <w:noProof/>
        </w:rPr>
        <w:t>:</w:t>
      </w:r>
      <w:r w:rsidR="002435BD" w:rsidRPr="00EE2C16">
        <w:t xml:space="preserve"> Accountability</w:t>
      </w:r>
      <w:r w:rsidR="002435BD">
        <w:t xml:space="preserve"> Indicators</w:t>
      </w:r>
      <w:r w:rsidR="002435BD">
        <w:rPr>
          <w:noProof/>
        </w:rPr>
        <w:t xml:space="preserve"> Output 1.2</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31"/>
              </w:numPr>
            </w:pPr>
            <w:r>
              <w:t xml:space="preserve">Number of Environment and Planning Forums held during the year to assist in community </w:t>
            </w:r>
            <w:r w:rsidR="00AC356D">
              <w:t>consultations</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6</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7</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6</w:t>
            </w:r>
          </w:p>
        </w:tc>
      </w:tr>
      <w:tr w:rsidR="005576C2" w:rsidTr="007114AE">
        <w:trPr>
          <w:trHeight w:val="283"/>
        </w:trPr>
        <w:tc>
          <w:tcPr>
            <w:tcW w:w="2406" w:type="pct"/>
            <w:tcBorders>
              <w:top w:val="nil"/>
              <w:left w:val="nil"/>
              <w:bottom w:val="nil"/>
              <w:right w:val="nil"/>
            </w:tcBorders>
            <w:hideMark/>
          </w:tcPr>
          <w:p w:rsidR="007114AE" w:rsidRPr="0021762F" w:rsidRDefault="002435BD" w:rsidP="007114AE">
            <w:pPr>
              <w:pStyle w:val="BStablelist"/>
              <w:rPr>
                <w:kern w:val="28"/>
              </w:rPr>
            </w:pPr>
            <w:r w:rsidRPr="0021762F">
              <w:t>Prepare policy advice to inform Executive consideration of the requirement to review the ACT Planning Strategy in 2017</w:t>
            </w:r>
            <w:r>
              <w:rPr>
                <w:vertAlign w:val="superscript"/>
              </w:rPr>
              <w:t>1</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27"/>
              </w:numPr>
            </w:pPr>
            <w:r>
              <w:t xml:space="preserve">Report on the status of actions in the Minister for </w:t>
            </w:r>
            <w:r w:rsidR="009209C2">
              <w:t xml:space="preserve">Planning and Land Management’s </w:t>
            </w:r>
            <w:r>
              <w:t>Statement of Planning Intent</w:t>
            </w:r>
            <w:r>
              <w:rPr>
                <w:vertAlign w:val="superscript"/>
              </w:rPr>
              <w:t>1</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4</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4</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27"/>
              </w:numPr>
            </w:pPr>
            <w:r>
              <w:t>Continue to engage community and stakeholders in the preparation of city-wide urban land and transport policies, strategies and plans</w:t>
            </w:r>
            <w:r>
              <w:rPr>
                <w:vertAlign w:val="superscript"/>
              </w:rPr>
              <w:t>1</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6</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12</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r>
      <w:tr w:rsidR="005576C2" w:rsidTr="007114AE">
        <w:trPr>
          <w:trHeight w:val="283"/>
        </w:trPr>
        <w:tc>
          <w:tcPr>
            <w:tcW w:w="2406" w:type="pct"/>
            <w:tcBorders>
              <w:top w:val="nil"/>
              <w:left w:val="nil"/>
              <w:bottom w:val="nil"/>
              <w:right w:val="nil"/>
            </w:tcBorders>
          </w:tcPr>
          <w:p w:rsidR="007114AE" w:rsidRDefault="002435BD" w:rsidP="00390DB5">
            <w:pPr>
              <w:pStyle w:val="BStablelist"/>
              <w:numPr>
                <w:ilvl w:val="0"/>
                <w:numId w:val="27"/>
              </w:numPr>
            </w:pPr>
            <w:r>
              <w:t>Completion and publication of master plans</w:t>
            </w:r>
            <w:r w:rsidRPr="005E2960">
              <w:rPr>
                <w:vertAlign w:val="superscript"/>
              </w:rPr>
              <w:t>2</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2</w:t>
            </w:r>
          </w:p>
        </w:tc>
      </w:tr>
      <w:tr w:rsidR="005576C2" w:rsidTr="007114AE">
        <w:trPr>
          <w:trHeight w:val="283"/>
        </w:trPr>
        <w:tc>
          <w:tcPr>
            <w:tcW w:w="2406" w:type="pct"/>
            <w:tcBorders>
              <w:top w:val="nil"/>
              <w:left w:val="nil"/>
              <w:bottom w:val="nil"/>
              <w:right w:val="nil"/>
            </w:tcBorders>
          </w:tcPr>
          <w:p w:rsidR="007114AE" w:rsidRDefault="002435BD" w:rsidP="00390DB5">
            <w:pPr>
              <w:pStyle w:val="BStablelist"/>
              <w:numPr>
                <w:ilvl w:val="0"/>
                <w:numId w:val="27"/>
              </w:numPr>
            </w:pPr>
            <w:r>
              <w:t xml:space="preserve">Undertake the </w:t>
            </w:r>
            <w:r>
              <w:rPr>
                <w:i/>
              </w:rPr>
              <w:t>ACT Planning Strategy</w:t>
            </w:r>
            <w:r>
              <w:t xml:space="preserve"> </w:t>
            </w:r>
            <w:r>
              <w:rPr>
                <w:i/>
              </w:rPr>
              <w:t>Refresh</w:t>
            </w:r>
            <w:r>
              <w:rPr>
                <w:vertAlign w:val="superscript"/>
              </w:rPr>
              <w:t>3</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w:t>
            </w:r>
          </w:p>
        </w:tc>
      </w:tr>
      <w:tr w:rsidR="005576C2" w:rsidTr="007114AE">
        <w:trPr>
          <w:trHeight w:val="283"/>
        </w:trPr>
        <w:tc>
          <w:tcPr>
            <w:tcW w:w="2406" w:type="pct"/>
            <w:tcBorders>
              <w:top w:val="nil"/>
              <w:left w:val="nil"/>
              <w:bottom w:val="single" w:sz="12" w:space="0" w:color="000000"/>
              <w:right w:val="nil"/>
            </w:tcBorders>
          </w:tcPr>
          <w:p w:rsidR="007114AE" w:rsidRDefault="002435BD" w:rsidP="00390DB5">
            <w:pPr>
              <w:pStyle w:val="BStablelist"/>
              <w:numPr>
                <w:ilvl w:val="0"/>
                <w:numId w:val="27"/>
              </w:numPr>
            </w:pPr>
            <w:r>
              <w:t xml:space="preserve">Number of </w:t>
            </w:r>
            <w:r>
              <w:rPr>
                <w:i/>
              </w:rPr>
              <w:t>Improving the ACT Building Regulatory System</w:t>
            </w:r>
            <w:r>
              <w:t xml:space="preserve"> reforms completed in year</w:t>
            </w:r>
            <w:r>
              <w:rPr>
                <w:vertAlign w:val="superscript"/>
              </w:rPr>
              <w:t>4</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n/a</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n/a</w:t>
            </w:r>
          </w:p>
        </w:tc>
        <w:tc>
          <w:tcPr>
            <w:tcW w:w="866"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15</w:t>
            </w:r>
          </w:p>
        </w:tc>
      </w:tr>
    </w:tbl>
    <w:bookmarkEnd w:id="52"/>
    <w:bookmarkEnd w:id="53"/>
    <w:p w:rsidR="00250BBC" w:rsidRDefault="00250BBC" w:rsidP="00250BBC">
      <w:pPr>
        <w:pStyle w:val="BSnote"/>
      </w:pPr>
      <w:r>
        <w:t>Note(s):</w:t>
      </w:r>
    </w:p>
    <w:p w:rsidR="007114AE" w:rsidRDefault="002435BD" w:rsidP="00390DB5">
      <w:pPr>
        <w:pStyle w:val="BSnoteslist20"/>
        <w:keepNext/>
        <w:keepLines/>
        <w:numPr>
          <w:ilvl w:val="0"/>
          <w:numId w:val="33"/>
        </w:numPr>
      </w:pPr>
      <w:r>
        <w:t>Indicators discontinued.</w:t>
      </w:r>
    </w:p>
    <w:p w:rsidR="007114AE" w:rsidRDefault="002435BD" w:rsidP="00390DB5">
      <w:pPr>
        <w:pStyle w:val="BSnoteslist20"/>
        <w:keepNext/>
        <w:keepLines/>
        <w:numPr>
          <w:ilvl w:val="0"/>
          <w:numId w:val="33"/>
        </w:numPr>
      </w:pPr>
      <w:r>
        <w:t>New indicator. The Kippax and Curtin master plans are to be completed in 2018-19.</w:t>
      </w:r>
    </w:p>
    <w:p w:rsidR="007114AE" w:rsidRDefault="002435BD" w:rsidP="00390DB5">
      <w:pPr>
        <w:pStyle w:val="BSnoteslist20"/>
        <w:keepNext/>
        <w:keepLines/>
        <w:numPr>
          <w:ilvl w:val="0"/>
          <w:numId w:val="33"/>
        </w:numPr>
      </w:pPr>
      <w:r>
        <w:t xml:space="preserve">New indicator. This indicator will be considered complete when the </w:t>
      </w:r>
      <w:r>
        <w:rPr>
          <w:i/>
        </w:rPr>
        <w:t>ACT Planning Strategy Refresh</w:t>
      </w:r>
      <w:r>
        <w:t xml:space="preserve"> is published on the Directorate’s website.</w:t>
      </w:r>
    </w:p>
    <w:p w:rsidR="007114AE" w:rsidRDefault="002435BD" w:rsidP="00390DB5">
      <w:pPr>
        <w:pStyle w:val="BSnoteslist20"/>
        <w:keepNext/>
        <w:keepLines/>
        <w:numPr>
          <w:ilvl w:val="0"/>
          <w:numId w:val="33"/>
        </w:numPr>
      </w:pPr>
      <w:r>
        <w:t xml:space="preserve">New indicator. A reform will be considered complete when the Minister reports </w:t>
      </w:r>
      <w:r w:rsidR="00AC356D">
        <w:t>its</w:t>
      </w:r>
      <w:r>
        <w:t xml:space="preserve"> complete status to the Legislative Assembly and a complete status is recorded in a project status update published on the Directorate’s website.</w:t>
      </w:r>
    </w:p>
    <w:p w:rsidR="00B64095" w:rsidRDefault="00B64095">
      <w:pPr>
        <w:spacing w:before="0" w:after="0"/>
        <w:rPr>
          <w:b/>
          <w:bCs/>
          <w:sz w:val="28"/>
          <w:szCs w:val="26"/>
        </w:rPr>
      </w:pPr>
      <w:r>
        <w:br w:type="page"/>
      </w:r>
    </w:p>
    <w:p w:rsidR="007114AE" w:rsidRPr="00EE2C16" w:rsidRDefault="002435BD" w:rsidP="002A5CF3">
      <w:pPr>
        <w:pStyle w:val="Heading3"/>
      </w:pPr>
      <w:bookmarkStart w:id="54" w:name="_Toc514763787"/>
      <w:bookmarkStart w:id="55" w:name="_Toc514841016"/>
      <w:r w:rsidRPr="00EE2C16">
        <w:t>Output Class 2: Environment</w:t>
      </w:r>
      <w:bookmarkEnd w:id="54"/>
      <w:bookmarkEnd w:id="55"/>
    </w:p>
    <w:p w:rsidR="007114AE" w:rsidRPr="00EE2C16" w:rsidRDefault="002435BD" w:rsidP="007114AE">
      <w:pPr>
        <w:pStyle w:val="Heading42"/>
      </w:pPr>
      <w:r w:rsidRPr="00EE2C16">
        <w:t>Output 2.1: Environment</w:t>
      </w:r>
    </w:p>
    <w:p w:rsidR="007114AE" w:rsidRDefault="002435BD" w:rsidP="007114AE">
      <w:pPr>
        <w:pStyle w:val="Caption2"/>
        <w:rPr>
          <w:noProof/>
        </w:rPr>
      </w:pPr>
      <w:r w:rsidRPr="00EE2C16">
        <w:t>Table</w:t>
      </w:r>
      <w:r w:rsidR="00DC58C5">
        <w:t xml:space="preserve"> 18</w:t>
      </w:r>
      <w:r w:rsidRPr="00EE2C16">
        <w:rPr>
          <w:noProof/>
        </w:rPr>
        <w:t>:</w:t>
      </w:r>
      <w:r w:rsidRPr="00EE2C16">
        <w:t xml:space="preserve"> Accountability Indicators</w:t>
      </w:r>
      <w:r w:rsidRPr="00EE2C16">
        <w:rPr>
          <w:noProof/>
        </w:rPr>
        <w:t xml:space="preserve"> Output 2.1</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34"/>
              </w:numPr>
            </w:pPr>
            <w:r>
              <w:t xml:space="preserve">Submit twice yearly progress reports to the Commonwealth for the </w:t>
            </w:r>
            <w:r w:rsidRPr="00EE2C16">
              <w:rPr>
                <w:i/>
              </w:rPr>
              <w:t>National Landcare Program</w:t>
            </w:r>
            <w:r w:rsidRPr="00EE2C16">
              <w:rPr>
                <w:vertAlign w:val="superscript"/>
              </w:rPr>
              <w:t>1</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2</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2</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Prepare and submit National Environment Protection Measure jurisdictional reports to the National Environment Protection Council within agreed timeframe</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Sep 2017</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Oct 2017</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Sep 2018</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Response from the Conservator of Flora and Fauna on development applications issued within statutory timeframe</w:t>
            </w:r>
            <w:r w:rsidRPr="008E3FD9">
              <w:t>s</w:t>
            </w:r>
            <w:r w:rsidRPr="00EE2C16">
              <w:rPr>
                <w:vertAlign w:val="superscript"/>
              </w:rPr>
              <w:t>2</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90%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95%</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Prepare a public report on the implementation of the ACT Water Strategy</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Dec 2017</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Jun 2018</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Jun 2019</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Submit ACT Healthy Waterways project milestone reports to the Commonwealth in accordance with the Commonwealth agreement</w:t>
            </w:r>
            <w:r>
              <w:rPr>
                <w:vertAlign w:val="superscript"/>
              </w:rPr>
              <w:t>3</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2</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2</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4</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Implementation report on the 2015-17 Biodiversity Research and Monitoring Program finalised by December 2017</w:t>
            </w:r>
            <w:r>
              <w:rPr>
                <w:vertAlign w:val="superscript"/>
              </w:rPr>
              <w:t>4</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 xml:space="preserve">The conservator of Flora and Fauna to finalise Action Plans for matters listed under the </w:t>
            </w:r>
            <w:r w:rsidRPr="00571AF7">
              <w:rPr>
                <w:i/>
              </w:rPr>
              <w:t>Nature Conservation Act 2014</w:t>
            </w:r>
            <w:r>
              <w:t>, within 6 months following public consultation</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11%</w:t>
            </w:r>
            <w:r w:rsidRPr="00C277D8">
              <w:rPr>
                <w:b w:val="0"/>
                <w:vertAlign w:val="superscript"/>
              </w:rPr>
              <w:t>5</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r>
      <w:tr w:rsidR="005576C2" w:rsidTr="007114AE">
        <w:trPr>
          <w:trHeight w:val="283"/>
        </w:trPr>
        <w:tc>
          <w:tcPr>
            <w:tcW w:w="2406" w:type="pct"/>
            <w:tcBorders>
              <w:top w:val="nil"/>
              <w:left w:val="nil"/>
              <w:bottom w:val="nil"/>
              <w:right w:val="nil"/>
            </w:tcBorders>
          </w:tcPr>
          <w:p w:rsidR="007114AE" w:rsidRDefault="002435BD" w:rsidP="007114AE">
            <w:pPr>
              <w:pStyle w:val="BStablelist"/>
            </w:pPr>
            <w:r>
              <w:t xml:space="preserve">Implementation report on the </w:t>
            </w:r>
            <w:r w:rsidRPr="002458B3">
              <w:rPr>
                <w:i/>
              </w:rPr>
              <w:t>Nature Conservation Strategy 2013-23</w:t>
            </w:r>
            <w:r>
              <w:t xml:space="preserve"> to be publicly released by March 2019</w:t>
            </w:r>
            <w:r>
              <w:rPr>
                <w:vertAlign w:val="superscript"/>
              </w:rPr>
              <w:t>6</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n/a</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Mar 2019</w:t>
            </w:r>
          </w:p>
        </w:tc>
      </w:tr>
      <w:tr w:rsidR="005576C2" w:rsidTr="007114AE">
        <w:trPr>
          <w:trHeight w:val="283"/>
        </w:trPr>
        <w:tc>
          <w:tcPr>
            <w:tcW w:w="2406" w:type="pct"/>
            <w:tcBorders>
              <w:top w:val="nil"/>
              <w:left w:val="nil"/>
              <w:bottom w:val="single" w:sz="12" w:space="0" w:color="000000"/>
              <w:right w:val="nil"/>
            </w:tcBorders>
          </w:tcPr>
          <w:p w:rsidR="007114AE" w:rsidRDefault="002435BD" w:rsidP="007114AE">
            <w:pPr>
              <w:pStyle w:val="BStablelist"/>
            </w:pPr>
            <w:r>
              <w:t>Prepare a public report annually on the Conservators actions to protect ACT flora and fauna</w:t>
            </w:r>
            <w:r>
              <w:rPr>
                <w:vertAlign w:val="superscript"/>
              </w:rPr>
              <w:t>6</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n/a</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n/a</w:t>
            </w:r>
          </w:p>
        </w:tc>
        <w:tc>
          <w:tcPr>
            <w:tcW w:w="866"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w:t>
            </w:r>
          </w:p>
        </w:tc>
      </w:tr>
    </w:tbl>
    <w:p w:rsidR="007114AE" w:rsidRDefault="002435BD" w:rsidP="007114AE">
      <w:pPr>
        <w:pStyle w:val="BSnote2"/>
      </w:pPr>
      <w:r>
        <w:t>Note</w:t>
      </w:r>
      <w:r w:rsidR="00250BBC">
        <w:t>(</w:t>
      </w:r>
      <w:r>
        <w:t>s</w:t>
      </w:r>
      <w:r w:rsidR="00250BBC">
        <w:t>)</w:t>
      </w:r>
      <w:r>
        <w:t>:</w:t>
      </w:r>
    </w:p>
    <w:p w:rsidR="007114AE" w:rsidRDefault="002435BD" w:rsidP="00390DB5">
      <w:pPr>
        <w:pStyle w:val="BSnoteslist2"/>
        <w:numPr>
          <w:ilvl w:val="0"/>
          <w:numId w:val="35"/>
        </w:numPr>
      </w:pPr>
      <w:r>
        <w:t xml:space="preserve">The </w:t>
      </w:r>
      <w:r w:rsidRPr="00EE2C16">
        <w:t>2018-19</w:t>
      </w:r>
      <w:r>
        <w:t xml:space="preserve"> Target is one due to the completion of the current Commonwealth program. The final 2017</w:t>
      </w:r>
      <w:r>
        <w:noBreakHyphen/>
        <w:t>18 report will be submitted in 2018</w:t>
      </w:r>
      <w:r>
        <w:noBreakHyphen/>
        <w:t>19. The new agreement is currently in negotiation.</w:t>
      </w:r>
    </w:p>
    <w:p w:rsidR="007114AE" w:rsidRDefault="002435BD" w:rsidP="00390DB5">
      <w:pPr>
        <w:pStyle w:val="BSnoteslist2"/>
        <w:widowControl w:val="0"/>
        <w:numPr>
          <w:ilvl w:val="0"/>
          <w:numId w:val="35"/>
        </w:numPr>
      </w:pPr>
      <w:r>
        <w:t>Indicator discontinued as the response times are dependent on information provided by external parties.</w:t>
      </w:r>
    </w:p>
    <w:p w:rsidR="007114AE" w:rsidRDefault="002435BD" w:rsidP="00390DB5">
      <w:pPr>
        <w:pStyle w:val="BSnoteslist2"/>
        <w:numPr>
          <w:ilvl w:val="0"/>
          <w:numId w:val="35"/>
        </w:numPr>
      </w:pPr>
      <w:r>
        <w:t xml:space="preserve">The </w:t>
      </w:r>
      <w:r w:rsidRPr="00EE2C16">
        <w:t>2018-19</w:t>
      </w:r>
      <w:r>
        <w:t xml:space="preserve"> Target has increased to four to align with the number of milestone reports required under the Commonwealth agreement.</w:t>
      </w:r>
    </w:p>
    <w:p w:rsidR="007114AE" w:rsidRDefault="002435BD" w:rsidP="00390DB5">
      <w:pPr>
        <w:pStyle w:val="BSnoteslist2"/>
        <w:widowControl w:val="0"/>
        <w:numPr>
          <w:ilvl w:val="0"/>
          <w:numId w:val="35"/>
        </w:numPr>
      </w:pPr>
      <w:r>
        <w:t>Indicator discontinued as the report was completed in 2017</w:t>
      </w:r>
      <w:r>
        <w:noBreakHyphen/>
        <w:t>18.</w:t>
      </w:r>
    </w:p>
    <w:p w:rsidR="007114AE" w:rsidRDefault="002435BD" w:rsidP="00390DB5">
      <w:pPr>
        <w:pStyle w:val="BSnoteslist2"/>
        <w:widowControl w:val="0"/>
        <w:numPr>
          <w:ilvl w:val="0"/>
          <w:numId w:val="35"/>
        </w:numPr>
      </w:pPr>
      <w:r>
        <w:t>The Grasslands Strategy, which consisted of 8 Action Plans, was completed within 7 months. The Action Plans took longer due to extra time to respond to public consultation feedback prior to finalisation.</w:t>
      </w:r>
    </w:p>
    <w:p w:rsidR="007114AE" w:rsidRDefault="00991D1B" w:rsidP="00390DB5">
      <w:pPr>
        <w:pStyle w:val="BSnoteslist2"/>
        <w:widowControl w:val="0"/>
        <w:numPr>
          <w:ilvl w:val="0"/>
          <w:numId w:val="35"/>
        </w:numPr>
      </w:pPr>
      <w:r>
        <w:t>New indicator</w:t>
      </w:r>
      <w:r w:rsidR="002435BD">
        <w:t>.</w:t>
      </w:r>
    </w:p>
    <w:p w:rsidR="007114AE" w:rsidRPr="002458B3" w:rsidRDefault="002435BD" w:rsidP="007114AE">
      <w:pPr>
        <w:pStyle w:val="Heading42"/>
      </w:pPr>
      <w:r w:rsidRPr="002458B3">
        <w:t>Output 2.2: Conservation and Land Management</w:t>
      </w:r>
    </w:p>
    <w:p w:rsidR="007114AE" w:rsidRDefault="00DC58C5" w:rsidP="007114AE">
      <w:pPr>
        <w:pStyle w:val="Caption2"/>
        <w:rPr>
          <w:noProof/>
        </w:rPr>
      </w:pPr>
      <w:r>
        <w:t>Table 19</w:t>
      </w:r>
      <w:r w:rsidR="002435BD" w:rsidRPr="002458B3">
        <w:rPr>
          <w:noProof/>
        </w:rPr>
        <w:t>:</w:t>
      </w:r>
      <w:r w:rsidR="002435BD" w:rsidRPr="002458B3">
        <w:t xml:space="preserve"> Accountability Indicators</w:t>
      </w:r>
      <w:r w:rsidR="002435BD">
        <w:rPr>
          <w:noProof/>
        </w:rPr>
        <w:t xml:space="preserve"> Output 2.2</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36"/>
              </w:numPr>
            </w:pPr>
            <w:r>
              <w:t>Customer satisfaction with the Management of protected areas (Tidbinbilla Nature Reserve, Namadgi National Park and Canberra Nature Park)</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90%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90%</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90%</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Implement fuel management activities – grazing – as identified under the approved Bushfire Operational Plan (BOP)</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Implement fuel management activities – physical removal – as identified under the approved Bushfire Operational Plan (BOP)</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Implement fuel management activities – slashing – as identified under the approved Bushfire Operational Plan (BOP)</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Implement fuel management activities – burning – as identified under the approved Bushfire Operational Plan (BOP)</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r w:rsidRPr="009672C8">
              <w:rPr>
                <w:b w:val="0"/>
                <w:vertAlign w:val="superscript"/>
              </w:rPr>
              <w:t>1</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r>
      <w:tr w:rsidR="005576C2" w:rsidTr="007114AE">
        <w:trPr>
          <w:trHeight w:val="283"/>
        </w:trPr>
        <w:tc>
          <w:tcPr>
            <w:tcW w:w="2406" w:type="pct"/>
            <w:tcBorders>
              <w:top w:val="nil"/>
              <w:left w:val="nil"/>
              <w:bottom w:val="single" w:sz="12" w:space="0" w:color="000000"/>
              <w:right w:val="nil"/>
            </w:tcBorders>
            <w:hideMark/>
          </w:tcPr>
          <w:p w:rsidR="007114AE" w:rsidRDefault="002435BD" w:rsidP="007114AE">
            <w:pPr>
              <w:pStyle w:val="BStablelist"/>
            </w:pPr>
            <w:r>
              <w:t>Implement access activities – as identified under the approved Bushfire Operational Plan (BOP)</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100%</w:t>
            </w:r>
          </w:p>
        </w:tc>
        <w:tc>
          <w:tcPr>
            <w:tcW w:w="866"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100%</w:t>
            </w:r>
          </w:p>
        </w:tc>
      </w:tr>
    </w:tbl>
    <w:p w:rsidR="007114AE" w:rsidRDefault="002435BD" w:rsidP="007114AE">
      <w:pPr>
        <w:pStyle w:val="BSnote2"/>
      </w:pPr>
      <w:r>
        <w:t>Note</w:t>
      </w:r>
      <w:r w:rsidR="00250BBC">
        <w:t>(</w:t>
      </w:r>
      <w:r>
        <w:t>s</w:t>
      </w:r>
      <w:r w:rsidR="00250BBC">
        <w:t>)</w:t>
      </w:r>
      <w:r>
        <w:t>:</w:t>
      </w:r>
    </w:p>
    <w:p w:rsidR="007114AE" w:rsidRDefault="002435BD" w:rsidP="00390DB5">
      <w:pPr>
        <w:pStyle w:val="BSnoteslist2"/>
        <w:numPr>
          <w:ilvl w:val="0"/>
          <w:numId w:val="37"/>
        </w:numPr>
      </w:pPr>
      <w:r>
        <w:t>The Directorate anticipates the 100 per cent target will be met, however burning is subject to appropriate weather conditions.</w:t>
      </w:r>
    </w:p>
    <w:p w:rsidR="007114AE" w:rsidRPr="002458B3" w:rsidRDefault="002435BD" w:rsidP="007114AE">
      <w:pPr>
        <w:pStyle w:val="Heading42"/>
      </w:pPr>
      <w:r w:rsidRPr="002458B3">
        <w:t>Output 2.3: Heritage</w:t>
      </w:r>
    </w:p>
    <w:p w:rsidR="007114AE" w:rsidRDefault="00DC58C5" w:rsidP="007114AE">
      <w:pPr>
        <w:pStyle w:val="Caption2"/>
        <w:rPr>
          <w:noProof/>
        </w:rPr>
      </w:pPr>
      <w:r>
        <w:t>Table 20</w:t>
      </w:r>
      <w:r w:rsidR="002435BD" w:rsidRPr="002458B3">
        <w:rPr>
          <w:noProof/>
        </w:rPr>
        <w:t>:</w:t>
      </w:r>
      <w:r w:rsidR="002435BD" w:rsidRPr="002458B3">
        <w:t xml:space="preserve"> Accountability Indicators</w:t>
      </w:r>
      <w:r w:rsidR="002435BD">
        <w:rPr>
          <w:noProof/>
        </w:rPr>
        <w:t xml:space="preserve"> Output 2</w:t>
      </w:r>
      <w:r w:rsidR="002435BD" w:rsidRPr="002458B3">
        <w:rPr>
          <w:noProof/>
        </w:rPr>
        <w:t>.3</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38"/>
              </w:numPr>
            </w:pPr>
            <w:r>
              <w:t>Notification on the legislation register of Heritage Council decisions within 5 working days of the decision</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100%</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Development application advice issued within 15 working days of referral by the ACT Land and Planning Authority</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95%</w:t>
            </w:r>
          </w:p>
        </w:tc>
        <w:tc>
          <w:tcPr>
            <w:tcW w:w="864" w:type="pct"/>
            <w:tcBorders>
              <w:top w:val="nil"/>
              <w:left w:val="nil"/>
              <w:bottom w:val="nil"/>
              <w:right w:val="nil"/>
            </w:tcBorders>
          </w:tcPr>
          <w:p w:rsidR="007114AE" w:rsidRPr="00C277D8" w:rsidRDefault="002435BD" w:rsidP="007114AE">
            <w:pPr>
              <w:pStyle w:val="BStablefigures0"/>
              <w:rPr>
                <w:b w:val="0"/>
              </w:rPr>
            </w:pPr>
            <w:r w:rsidRPr="00C277D8">
              <w:rPr>
                <w:b w:val="0"/>
              </w:rPr>
              <w:t>88%</w:t>
            </w:r>
          </w:p>
        </w:tc>
        <w:tc>
          <w:tcPr>
            <w:tcW w:w="866" w:type="pct"/>
            <w:tcBorders>
              <w:top w:val="nil"/>
              <w:left w:val="nil"/>
              <w:bottom w:val="nil"/>
              <w:right w:val="nil"/>
            </w:tcBorders>
          </w:tcPr>
          <w:p w:rsidR="007114AE" w:rsidRPr="00C277D8" w:rsidRDefault="002435BD" w:rsidP="007114AE">
            <w:pPr>
              <w:pStyle w:val="BStablefigures0"/>
              <w:rPr>
                <w:b w:val="0"/>
              </w:rPr>
            </w:pPr>
            <w:r w:rsidRPr="00C277D8">
              <w:rPr>
                <w:b w:val="0"/>
              </w:rPr>
              <w:t>90%</w:t>
            </w:r>
            <w:r w:rsidRPr="009672C8">
              <w:rPr>
                <w:b w:val="0"/>
                <w:vertAlign w:val="superscript"/>
              </w:rPr>
              <w:t>1</w:t>
            </w:r>
          </w:p>
        </w:tc>
      </w:tr>
      <w:tr w:rsidR="005576C2" w:rsidTr="007114AE">
        <w:trPr>
          <w:trHeight w:val="283"/>
        </w:trPr>
        <w:tc>
          <w:tcPr>
            <w:tcW w:w="2406" w:type="pct"/>
            <w:tcBorders>
              <w:top w:val="nil"/>
              <w:left w:val="nil"/>
              <w:bottom w:val="single" w:sz="12" w:space="0" w:color="000000"/>
              <w:right w:val="nil"/>
            </w:tcBorders>
            <w:hideMark/>
          </w:tcPr>
          <w:p w:rsidR="007114AE" w:rsidRDefault="002435BD" w:rsidP="007114AE">
            <w:pPr>
              <w:pStyle w:val="BStablelist"/>
            </w:pPr>
            <w:r>
              <w:t>Decisions about heritage registrations by the ACT Heritage Council made within statutory timeframes</w:t>
            </w:r>
            <w:r>
              <w:rPr>
                <w:vertAlign w:val="superscript"/>
              </w:rPr>
              <w:t>2</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100%</w:t>
            </w:r>
          </w:p>
        </w:tc>
        <w:tc>
          <w:tcPr>
            <w:tcW w:w="864"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100%</w:t>
            </w:r>
          </w:p>
        </w:tc>
        <w:tc>
          <w:tcPr>
            <w:tcW w:w="866" w:type="pct"/>
            <w:tcBorders>
              <w:top w:val="nil"/>
              <w:left w:val="nil"/>
              <w:bottom w:val="single" w:sz="12" w:space="0" w:color="000000"/>
              <w:right w:val="nil"/>
            </w:tcBorders>
          </w:tcPr>
          <w:p w:rsidR="007114AE" w:rsidRPr="00C277D8" w:rsidRDefault="002435BD" w:rsidP="007114AE">
            <w:pPr>
              <w:pStyle w:val="BStablefigures0"/>
              <w:rPr>
                <w:b w:val="0"/>
              </w:rPr>
            </w:pPr>
            <w:r w:rsidRPr="00C277D8">
              <w:rPr>
                <w:b w:val="0"/>
              </w:rPr>
              <w:t>100%</w:t>
            </w:r>
          </w:p>
        </w:tc>
      </w:tr>
    </w:tbl>
    <w:p w:rsidR="007114AE" w:rsidRDefault="002435BD" w:rsidP="007114AE">
      <w:pPr>
        <w:pStyle w:val="BSnote10"/>
        <w:keepNext w:val="0"/>
        <w:widowControl w:val="0"/>
      </w:pPr>
      <w:r>
        <w:t>Note</w:t>
      </w:r>
      <w:r w:rsidR="00250BBC">
        <w:t>(</w:t>
      </w:r>
      <w:r>
        <w:t>s</w:t>
      </w:r>
      <w:r w:rsidR="00250BBC">
        <w:t>)</w:t>
      </w:r>
      <w:r>
        <w:t>:</w:t>
      </w:r>
    </w:p>
    <w:p w:rsidR="007114AE" w:rsidRDefault="002435BD" w:rsidP="007114AE">
      <w:pPr>
        <w:pStyle w:val="BSnoteslist20"/>
      </w:pPr>
      <w:r>
        <w:t xml:space="preserve">The </w:t>
      </w:r>
      <w:r w:rsidRPr="009672C8">
        <w:t>2018-19</w:t>
      </w:r>
      <w:r>
        <w:t xml:space="preserve"> target is based on actual time to assess development applications including consultation and clarifications.</w:t>
      </w:r>
    </w:p>
    <w:p w:rsidR="007114AE" w:rsidRDefault="002435BD" w:rsidP="007114AE">
      <w:pPr>
        <w:pStyle w:val="BSnoteslist20"/>
      </w:pPr>
      <w:r>
        <w:t xml:space="preserve">This indicator relates to the timeframe imposed on the ACT Heritage Council to make a decision on final registrations under the </w:t>
      </w:r>
      <w:r>
        <w:rPr>
          <w:i/>
        </w:rPr>
        <w:t>Heritage Act 2004</w:t>
      </w:r>
      <w:r>
        <w:t>.</w:t>
      </w:r>
    </w:p>
    <w:p w:rsidR="007114AE" w:rsidRDefault="002435BD" w:rsidP="002A5CF3">
      <w:pPr>
        <w:pStyle w:val="Heading3"/>
      </w:pPr>
      <w:bookmarkStart w:id="56" w:name="_Toc514763788"/>
      <w:bookmarkStart w:id="57" w:name="_Toc514841017"/>
      <w:r w:rsidRPr="002458B3">
        <w:t>Output Class 3: Climate Change and Sustainability</w:t>
      </w:r>
      <w:bookmarkEnd w:id="56"/>
      <w:bookmarkEnd w:id="57"/>
    </w:p>
    <w:p w:rsidR="007114AE" w:rsidRDefault="002435BD" w:rsidP="007114AE">
      <w:pPr>
        <w:pStyle w:val="Heading42"/>
      </w:pPr>
      <w:r w:rsidRPr="002458B3">
        <w:t>Output 3.1: Climate Change and Sustainability</w:t>
      </w:r>
    </w:p>
    <w:p w:rsidR="007114AE" w:rsidRDefault="00DC58C5" w:rsidP="007114AE">
      <w:pPr>
        <w:pStyle w:val="Caption2"/>
        <w:rPr>
          <w:noProof/>
        </w:rPr>
      </w:pPr>
      <w:r>
        <w:t>Table 21</w:t>
      </w:r>
      <w:r w:rsidR="002435BD" w:rsidRPr="002458B3">
        <w:rPr>
          <w:noProof/>
        </w:rPr>
        <w:t>:</w:t>
      </w:r>
      <w:r w:rsidR="002435BD" w:rsidRPr="002458B3">
        <w:t xml:space="preserve"> Accountability Indicators</w:t>
      </w:r>
      <w:r w:rsidR="002435BD">
        <w:rPr>
          <w:noProof/>
        </w:rPr>
        <w:t xml:space="preserve"> Output 3.1</w:t>
      </w:r>
    </w:p>
    <w:tbl>
      <w:tblPr>
        <w:tblW w:w="5000" w:type="pct"/>
        <w:tblBorders>
          <w:top w:val="single" w:sz="12" w:space="0" w:color="000000"/>
          <w:bottom w:val="single" w:sz="12" w:space="0" w:color="000000"/>
        </w:tblBorders>
        <w:tblLook w:val="04A0" w:firstRow="1" w:lastRow="0" w:firstColumn="1" w:lastColumn="0" w:noHBand="0" w:noVBand="1"/>
      </w:tblPr>
      <w:tblGrid>
        <w:gridCol w:w="4182"/>
        <w:gridCol w:w="1614"/>
        <w:gridCol w:w="1614"/>
        <w:gridCol w:w="1616"/>
      </w:tblGrid>
      <w:tr w:rsidR="005576C2" w:rsidTr="007114AE">
        <w:trPr>
          <w:tblHeader/>
        </w:trPr>
        <w:tc>
          <w:tcPr>
            <w:tcW w:w="2317" w:type="pct"/>
            <w:tcBorders>
              <w:top w:val="single" w:sz="12" w:space="0" w:color="000000"/>
              <w:left w:val="nil"/>
              <w:bottom w:val="single" w:sz="12" w:space="0" w:color="000000"/>
              <w:right w:val="nil"/>
            </w:tcBorders>
          </w:tcPr>
          <w:p w:rsidR="007114AE" w:rsidRDefault="007114AE" w:rsidP="007114AE">
            <w:pPr>
              <w:pStyle w:val="BStabletext1"/>
            </w:pPr>
          </w:p>
        </w:tc>
        <w:tc>
          <w:tcPr>
            <w:tcW w:w="89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9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95"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317" w:type="pct"/>
            <w:tcBorders>
              <w:top w:val="nil"/>
              <w:left w:val="nil"/>
              <w:bottom w:val="nil"/>
              <w:right w:val="nil"/>
            </w:tcBorders>
            <w:hideMark/>
          </w:tcPr>
          <w:p w:rsidR="007114AE" w:rsidRPr="00C277D8" w:rsidRDefault="002435BD" w:rsidP="00390DB5">
            <w:pPr>
              <w:pStyle w:val="BStablelist"/>
              <w:numPr>
                <w:ilvl w:val="0"/>
                <w:numId w:val="39"/>
              </w:numPr>
            </w:pPr>
            <w:r w:rsidRPr="00C277D8">
              <w:t xml:space="preserve">Oversee the actions of the ACT Climate Change Strategy and Action Plan – </w:t>
            </w:r>
            <w:r w:rsidRPr="00C277D8">
              <w:rPr>
                <w:i/>
              </w:rPr>
              <w:t>AP2</w:t>
            </w:r>
            <w:r w:rsidRPr="00C277D8">
              <w:t>:</w:t>
            </w:r>
          </w:p>
        </w:tc>
        <w:tc>
          <w:tcPr>
            <w:tcW w:w="894" w:type="pct"/>
            <w:tcBorders>
              <w:top w:val="nil"/>
              <w:left w:val="nil"/>
              <w:bottom w:val="nil"/>
              <w:right w:val="nil"/>
            </w:tcBorders>
          </w:tcPr>
          <w:p w:rsidR="007114AE" w:rsidRDefault="007114AE" w:rsidP="007114AE">
            <w:pPr>
              <w:pStyle w:val="BStablefigures0"/>
            </w:pPr>
          </w:p>
        </w:tc>
        <w:tc>
          <w:tcPr>
            <w:tcW w:w="894" w:type="pct"/>
            <w:tcBorders>
              <w:top w:val="nil"/>
              <w:left w:val="nil"/>
              <w:bottom w:val="nil"/>
              <w:right w:val="nil"/>
            </w:tcBorders>
          </w:tcPr>
          <w:p w:rsidR="007114AE" w:rsidRDefault="007114AE" w:rsidP="007114AE">
            <w:pPr>
              <w:pStyle w:val="BStablefigures0"/>
            </w:pPr>
          </w:p>
        </w:tc>
        <w:tc>
          <w:tcPr>
            <w:tcW w:w="895" w:type="pct"/>
            <w:tcBorders>
              <w:top w:val="nil"/>
              <w:left w:val="nil"/>
              <w:bottom w:val="nil"/>
              <w:right w:val="nil"/>
            </w:tcBorders>
          </w:tcPr>
          <w:p w:rsidR="007114AE" w:rsidRDefault="007114AE" w:rsidP="007114AE">
            <w:pPr>
              <w:pStyle w:val="BStablefigures0"/>
            </w:pPr>
          </w:p>
        </w:tc>
      </w:tr>
      <w:tr w:rsidR="005576C2" w:rsidTr="007114AE">
        <w:trPr>
          <w:trHeight w:val="283"/>
        </w:trPr>
        <w:tc>
          <w:tcPr>
            <w:tcW w:w="2317" w:type="pct"/>
            <w:tcBorders>
              <w:top w:val="nil"/>
              <w:left w:val="nil"/>
              <w:bottom w:val="nil"/>
              <w:right w:val="nil"/>
            </w:tcBorders>
            <w:hideMark/>
          </w:tcPr>
          <w:p w:rsidR="007114AE" w:rsidRPr="00C277D8" w:rsidRDefault="002435BD" w:rsidP="007114AE">
            <w:pPr>
              <w:pStyle w:val="BStabletext1"/>
              <w:rPr>
                <w:b w:val="0"/>
              </w:rPr>
            </w:pPr>
            <w:r w:rsidRPr="00C277D8">
              <w:rPr>
                <w:b w:val="0"/>
              </w:rPr>
              <w:t>- publish an annual inventory</w:t>
            </w:r>
            <w:r w:rsidRPr="00C277D8">
              <w:rPr>
                <w:b w:val="0"/>
                <w:vertAlign w:val="superscript"/>
              </w:rPr>
              <w:t>1</w:t>
            </w:r>
          </w:p>
        </w:tc>
        <w:tc>
          <w:tcPr>
            <w:tcW w:w="894" w:type="pct"/>
            <w:tcBorders>
              <w:top w:val="nil"/>
              <w:left w:val="nil"/>
              <w:bottom w:val="nil"/>
              <w:right w:val="nil"/>
            </w:tcBorders>
          </w:tcPr>
          <w:p w:rsidR="007114AE" w:rsidRDefault="002435BD" w:rsidP="007114AE">
            <w:pPr>
              <w:pStyle w:val="BStablefigures00"/>
            </w:pPr>
            <w:r>
              <w:t>Dec 2017</w:t>
            </w:r>
          </w:p>
        </w:tc>
        <w:tc>
          <w:tcPr>
            <w:tcW w:w="894" w:type="pct"/>
            <w:tcBorders>
              <w:top w:val="nil"/>
              <w:left w:val="nil"/>
              <w:bottom w:val="nil"/>
              <w:right w:val="nil"/>
            </w:tcBorders>
          </w:tcPr>
          <w:p w:rsidR="007114AE" w:rsidRDefault="002435BD" w:rsidP="007114AE">
            <w:pPr>
              <w:pStyle w:val="BStablefigures00"/>
            </w:pPr>
            <w:r>
              <w:t>Nov 2017</w:t>
            </w:r>
          </w:p>
        </w:tc>
        <w:tc>
          <w:tcPr>
            <w:tcW w:w="895"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317" w:type="pct"/>
            <w:tcBorders>
              <w:top w:val="nil"/>
              <w:left w:val="nil"/>
              <w:bottom w:val="nil"/>
              <w:right w:val="nil"/>
            </w:tcBorders>
            <w:hideMark/>
          </w:tcPr>
          <w:p w:rsidR="007114AE" w:rsidRPr="00C277D8" w:rsidRDefault="002435BD" w:rsidP="007114AE">
            <w:pPr>
              <w:pStyle w:val="BStabletext1"/>
              <w:rPr>
                <w:b w:val="0"/>
              </w:rPr>
            </w:pPr>
            <w:r w:rsidRPr="00C277D8">
              <w:rPr>
                <w:b w:val="0"/>
              </w:rPr>
              <w:t>- publish an annual report on emissions            targets</w:t>
            </w:r>
            <w:r w:rsidRPr="00C277D8">
              <w:rPr>
                <w:b w:val="0"/>
                <w:vertAlign w:val="superscript"/>
              </w:rPr>
              <w:t>1</w:t>
            </w:r>
          </w:p>
        </w:tc>
        <w:tc>
          <w:tcPr>
            <w:tcW w:w="894" w:type="pct"/>
            <w:tcBorders>
              <w:top w:val="nil"/>
              <w:left w:val="nil"/>
              <w:bottom w:val="nil"/>
              <w:right w:val="nil"/>
            </w:tcBorders>
          </w:tcPr>
          <w:p w:rsidR="007114AE" w:rsidRDefault="002435BD" w:rsidP="007114AE">
            <w:pPr>
              <w:pStyle w:val="BStablefigures00"/>
            </w:pPr>
            <w:r>
              <w:t>Dec 2017</w:t>
            </w:r>
          </w:p>
        </w:tc>
        <w:tc>
          <w:tcPr>
            <w:tcW w:w="894" w:type="pct"/>
            <w:tcBorders>
              <w:top w:val="nil"/>
              <w:left w:val="nil"/>
              <w:bottom w:val="nil"/>
              <w:right w:val="nil"/>
            </w:tcBorders>
          </w:tcPr>
          <w:p w:rsidR="007114AE" w:rsidRDefault="002435BD" w:rsidP="007114AE">
            <w:pPr>
              <w:pStyle w:val="BStablefigures00"/>
            </w:pPr>
            <w:r>
              <w:t>Nov 2017</w:t>
            </w:r>
          </w:p>
        </w:tc>
        <w:tc>
          <w:tcPr>
            <w:tcW w:w="895"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317" w:type="pct"/>
            <w:tcBorders>
              <w:top w:val="nil"/>
              <w:left w:val="nil"/>
              <w:bottom w:val="nil"/>
              <w:right w:val="nil"/>
            </w:tcBorders>
            <w:hideMark/>
          </w:tcPr>
          <w:p w:rsidR="007114AE" w:rsidRDefault="002435BD" w:rsidP="007114AE">
            <w:pPr>
              <w:pStyle w:val="BStablelist"/>
            </w:pPr>
            <w:r>
              <w:t>Increase in the number of businesses or offices assisted to improve energy and water efficiency, reduce waste and increase recycling</w:t>
            </w:r>
            <w:r w:rsidRPr="002458B3">
              <w:rPr>
                <w:vertAlign w:val="superscript"/>
              </w:rPr>
              <w:t>2</w:t>
            </w:r>
          </w:p>
        </w:tc>
        <w:tc>
          <w:tcPr>
            <w:tcW w:w="894" w:type="pct"/>
            <w:tcBorders>
              <w:top w:val="nil"/>
              <w:left w:val="nil"/>
              <w:bottom w:val="nil"/>
              <w:right w:val="nil"/>
            </w:tcBorders>
          </w:tcPr>
          <w:p w:rsidR="007114AE" w:rsidRDefault="002435BD" w:rsidP="007114AE">
            <w:pPr>
              <w:pStyle w:val="BStablefigures00"/>
            </w:pPr>
            <w:r>
              <w:t>10%</w:t>
            </w:r>
          </w:p>
        </w:tc>
        <w:tc>
          <w:tcPr>
            <w:tcW w:w="894" w:type="pct"/>
            <w:tcBorders>
              <w:top w:val="nil"/>
              <w:left w:val="nil"/>
              <w:bottom w:val="nil"/>
              <w:right w:val="nil"/>
            </w:tcBorders>
          </w:tcPr>
          <w:p w:rsidR="007114AE" w:rsidRDefault="002435BD" w:rsidP="007114AE">
            <w:pPr>
              <w:pStyle w:val="BStablefigures00"/>
            </w:pPr>
            <w:r>
              <w:t>7%</w:t>
            </w:r>
          </w:p>
        </w:tc>
        <w:tc>
          <w:tcPr>
            <w:tcW w:w="895"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317" w:type="pct"/>
            <w:tcBorders>
              <w:top w:val="nil"/>
              <w:left w:val="nil"/>
              <w:bottom w:val="nil"/>
              <w:right w:val="nil"/>
            </w:tcBorders>
            <w:hideMark/>
          </w:tcPr>
          <w:p w:rsidR="007114AE" w:rsidRDefault="002435BD" w:rsidP="007114AE">
            <w:pPr>
              <w:pStyle w:val="BStablelist"/>
            </w:pPr>
            <w:r>
              <w:t>Estimated total electricity saved from Carbon Neutral Government Fund projects</w:t>
            </w:r>
          </w:p>
        </w:tc>
        <w:tc>
          <w:tcPr>
            <w:tcW w:w="894" w:type="pct"/>
            <w:tcBorders>
              <w:top w:val="nil"/>
              <w:left w:val="nil"/>
              <w:bottom w:val="nil"/>
              <w:right w:val="nil"/>
            </w:tcBorders>
          </w:tcPr>
          <w:p w:rsidR="007114AE" w:rsidRDefault="002435BD" w:rsidP="007114AE">
            <w:pPr>
              <w:pStyle w:val="BStablefigures00"/>
            </w:pPr>
            <w:r>
              <w:t>10,000MWh</w:t>
            </w:r>
          </w:p>
        </w:tc>
        <w:tc>
          <w:tcPr>
            <w:tcW w:w="894" w:type="pct"/>
            <w:tcBorders>
              <w:top w:val="nil"/>
              <w:left w:val="nil"/>
              <w:bottom w:val="nil"/>
              <w:right w:val="nil"/>
            </w:tcBorders>
          </w:tcPr>
          <w:p w:rsidR="007114AE" w:rsidRDefault="002435BD" w:rsidP="007114AE">
            <w:pPr>
              <w:pStyle w:val="BStablefigures00"/>
            </w:pPr>
            <w:r>
              <w:t>9,724MWh</w:t>
            </w:r>
          </w:p>
        </w:tc>
        <w:tc>
          <w:tcPr>
            <w:tcW w:w="895" w:type="pct"/>
            <w:tcBorders>
              <w:top w:val="nil"/>
              <w:left w:val="nil"/>
              <w:bottom w:val="nil"/>
              <w:right w:val="nil"/>
            </w:tcBorders>
          </w:tcPr>
          <w:p w:rsidR="007114AE" w:rsidRDefault="003F622F" w:rsidP="007114AE">
            <w:pPr>
              <w:pStyle w:val="BStablefigures00"/>
            </w:pPr>
            <w:r>
              <w:t>10,000MWh</w:t>
            </w:r>
          </w:p>
        </w:tc>
      </w:tr>
      <w:tr w:rsidR="005576C2" w:rsidTr="007114AE">
        <w:trPr>
          <w:trHeight w:val="283"/>
        </w:trPr>
        <w:tc>
          <w:tcPr>
            <w:tcW w:w="2317" w:type="pct"/>
            <w:tcBorders>
              <w:top w:val="nil"/>
              <w:left w:val="nil"/>
              <w:bottom w:val="nil"/>
              <w:right w:val="nil"/>
            </w:tcBorders>
            <w:hideMark/>
          </w:tcPr>
          <w:p w:rsidR="007114AE" w:rsidRDefault="002435BD" w:rsidP="007114AE">
            <w:pPr>
              <w:pStyle w:val="BStablelist"/>
            </w:pPr>
            <w:r>
              <w:t>Number of households assisted by the Household Low Income Program</w:t>
            </w:r>
          </w:p>
        </w:tc>
        <w:tc>
          <w:tcPr>
            <w:tcW w:w="894" w:type="pct"/>
            <w:tcBorders>
              <w:top w:val="nil"/>
              <w:left w:val="nil"/>
              <w:bottom w:val="nil"/>
              <w:right w:val="nil"/>
            </w:tcBorders>
          </w:tcPr>
          <w:p w:rsidR="007114AE" w:rsidRDefault="002435BD" w:rsidP="007114AE">
            <w:pPr>
              <w:pStyle w:val="BStablefigures00"/>
            </w:pPr>
            <w:r>
              <w:t>1,000</w:t>
            </w:r>
          </w:p>
        </w:tc>
        <w:tc>
          <w:tcPr>
            <w:tcW w:w="894" w:type="pct"/>
            <w:tcBorders>
              <w:top w:val="nil"/>
              <w:left w:val="nil"/>
              <w:bottom w:val="nil"/>
              <w:right w:val="nil"/>
            </w:tcBorders>
          </w:tcPr>
          <w:p w:rsidR="007114AE" w:rsidRDefault="002435BD" w:rsidP="007114AE">
            <w:pPr>
              <w:pStyle w:val="BStablefigures00"/>
            </w:pPr>
            <w:r>
              <w:t>1,200</w:t>
            </w:r>
          </w:p>
        </w:tc>
        <w:tc>
          <w:tcPr>
            <w:tcW w:w="895" w:type="pct"/>
            <w:tcBorders>
              <w:top w:val="nil"/>
              <w:left w:val="nil"/>
              <w:bottom w:val="nil"/>
              <w:right w:val="nil"/>
            </w:tcBorders>
          </w:tcPr>
          <w:p w:rsidR="007114AE" w:rsidRDefault="002435BD" w:rsidP="007114AE">
            <w:pPr>
              <w:pStyle w:val="BStablefigures00"/>
            </w:pPr>
            <w:r>
              <w:t>1,200</w:t>
            </w:r>
          </w:p>
        </w:tc>
      </w:tr>
      <w:tr w:rsidR="005576C2" w:rsidTr="007114AE">
        <w:trPr>
          <w:trHeight w:val="283"/>
        </w:trPr>
        <w:tc>
          <w:tcPr>
            <w:tcW w:w="2317" w:type="pct"/>
            <w:tcBorders>
              <w:top w:val="nil"/>
              <w:left w:val="nil"/>
              <w:bottom w:val="nil"/>
              <w:right w:val="nil"/>
            </w:tcBorders>
          </w:tcPr>
          <w:p w:rsidR="007114AE" w:rsidRDefault="002435BD" w:rsidP="007114AE">
            <w:pPr>
              <w:pStyle w:val="BStablelist"/>
            </w:pPr>
            <w:r>
              <w:t>Number of businesses supported by energy, water and waste programs</w:t>
            </w:r>
            <w:r w:rsidR="003F622F">
              <w:rPr>
                <w:vertAlign w:val="superscript"/>
              </w:rPr>
              <w:t>3</w:t>
            </w:r>
          </w:p>
        </w:tc>
        <w:tc>
          <w:tcPr>
            <w:tcW w:w="894" w:type="pct"/>
            <w:tcBorders>
              <w:top w:val="nil"/>
              <w:left w:val="nil"/>
              <w:bottom w:val="nil"/>
              <w:right w:val="nil"/>
            </w:tcBorders>
          </w:tcPr>
          <w:p w:rsidR="007114AE" w:rsidRDefault="002435BD" w:rsidP="007114AE">
            <w:pPr>
              <w:pStyle w:val="BStablefigures00"/>
            </w:pPr>
            <w:r>
              <w:t>n/a</w:t>
            </w:r>
          </w:p>
        </w:tc>
        <w:tc>
          <w:tcPr>
            <w:tcW w:w="894" w:type="pct"/>
            <w:tcBorders>
              <w:top w:val="nil"/>
              <w:left w:val="nil"/>
              <w:bottom w:val="nil"/>
              <w:right w:val="nil"/>
            </w:tcBorders>
          </w:tcPr>
          <w:p w:rsidR="007114AE" w:rsidRDefault="002435BD" w:rsidP="007114AE">
            <w:pPr>
              <w:pStyle w:val="BStablefigures00"/>
            </w:pPr>
            <w:r>
              <w:t>n/a</w:t>
            </w:r>
          </w:p>
        </w:tc>
        <w:tc>
          <w:tcPr>
            <w:tcW w:w="895" w:type="pct"/>
            <w:tcBorders>
              <w:top w:val="nil"/>
              <w:left w:val="nil"/>
              <w:bottom w:val="nil"/>
              <w:right w:val="nil"/>
            </w:tcBorders>
          </w:tcPr>
          <w:p w:rsidR="007114AE" w:rsidRDefault="002435BD" w:rsidP="007114AE">
            <w:pPr>
              <w:pStyle w:val="BStablefigures00"/>
            </w:pPr>
            <w:r>
              <w:t>750</w:t>
            </w:r>
          </w:p>
        </w:tc>
      </w:tr>
      <w:tr w:rsidR="005576C2" w:rsidTr="007114AE">
        <w:trPr>
          <w:trHeight w:val="283"/>
        </w:trPr>
        <w:tc>
          <w:tcPr>
            <w:tcW w:w="2317" w:type="pct"/>
            <w:tcBorders>
              <w:top w:val="nil"/>
              <w:left w:val="nil"/>
              <w:bottom w:val="single" w:sz="12" w:space="0" w:color="000000"/>
              <w:right w:val="nil"/>
            </w:tcBorders>
          </w:tcPr>
          <w:p w:rsidR="007114AE" w:rsidRDefault="002435BD" w:rsidP="007114AE">
            <w:pPr>
              <w:pStyle w:val="BStablelist"/>
            </w:pPr>
            <w:r>
              <w:t xml:space="preserve">Oversee the actions of the ACT’s Climate Strategy to a Net Zero Emissions Territory: </w:t>
            </w:r>
          </w:p>
          <w:p w:rsidR="007114AE" w:rsidRDefault="002435BD" w:rsidP="007114AE">
            <w:pPr>
              <w:pStyle w:val="BStablelist"/>
              <w:numPr>
                <w:ilvl w:val="0"/>
                <w:numId w:val="0"/>
              </w:numPr>
              <w:ind w:left="360"/>
            </w:pPr>
            <w:r>
              <w:t>- publish an annual greenhouse gas   inventory for the ACT</w:t>
            </w:r>
            <w:r w:rsidR="003F622F">
              <w:rPr>
                <w:vertAlign w:val="superscript"/>
              </w:rPr>
              <w:t>4</w:t>
            </w:r>
          </w:p>
          <w:p w:rsidR="007114AE" w:rsidRDefault="002435BD" w:rsidP="007114AE">
            <w:pPr>
              <w:pStyle w:val="BStablelist"/>
              <w:numPr>
                <w:ilvl w:val="0"/>
                <w:numId w:val="0"/>
              </w:numPr>
              <w:ind w:left="360"/>
            </w:pPr>
            <w:r>
              <w:t>- publish an annual report on actions to achieve the ACT Government’s target of net zero car</w:t>
            </w:r>
            <w:r w:rsidR="00D444B6">
              <w:t>bon emissions in the ACT by 2045</w:t>
            </w:r>
            <w:r w:rsidR="00447EED">
              <w:t xml:space="preserve"> and in G</w:t>
            </w:r>
            <w:r>
              <w:t>overnment operations by 2020</w:t>
            </w:r>
            <w:r w:rsidR="003F622F">
              <w:rPr>
                <w:vertAlign w:val="superscript"/>
              </w:rPr>
              <w:t>4</w:t>
            </w:r>
          </w:p>
        </w:tc>
        <w:tc>
          <w:tcPr>
            <w:tcW w:w="894" w:type="pct"/>
            <w:tcBorders>
              <w:top w:val="nil"/>
              <w:left w:val="nil"/>
              <w:bottom w:val="single" w:sz="12" w:space="0" w:color="000000"/>
              <w:right w:val="nil"/>
            </w:tcBorders>
          </w:tcPr>
          <w:p w:rsidR="007114AE" w:rsidRDefault="007114AE" w:rsidP="007114AE">
            <w:pPr>
              <w:pStyle w:val="BStablefigures00"/>
            </w:pPr>
          </w:p>
          <w:p w:rsidR="007114AE" w:rsidRDefault="007114AE" w:rsidP="007114AE">
            <w:pPr>
              <w:pStyle w:val="BStablefigures00"/>
            </w:pPr>
          </w:p>
          <w:p w:rsidR="007114AE" w:rsidRDefault="002435BD" w:rsidP="007114AE">
            <w:pPr>
              <w:pStyle w:val="BStablefigures00"/>
            </w:pPr>
            <w:r>
              <w:t>n/a</w:t>
            </w:r>
          </w:p>
          <w:p w:rsidR="007114AE" w:rsidRDefault="007114AE" w:rsidP="007114AE">
            <w:pPr>
              <w:pStyle w:val="BStablefigures00"/>
            </w:pPr>
          </w:p>
          <w:p w:rsidR="007114AE" w:rsidRDefault="002435BD" w:rsidP="007114AE">
            <w:pPr>
              <w:pStyle w:val="BStablefigures00"/>
            </w:pPr>
            <w:r>
              <w:t>n/a</w:t>
            </w:r>
          </w:p>
        </w:tc>
        <w:tc>
          <w:tcPr>
            <w:tcW w:w="894" w:type="pct"/>
            <w:tcBorders>
              <w:top w:val="nil"/>
              <w:left w:val="nil"/>
              <w:bottom w:val="single" w:sz="12" w:space="0" w:color="000000"/>
              <w:right w:val="nil"/>
            </w:tcBorders>
          </w:tcPr>
          <w:p w:rsidR="007114AE" w:rsidRDefault="007114AE" w:rsidP="007114AE">
            <w:pPr>
              <w:pStyle w:val="BStablefigures00"/>
            </w:pPr>
          </w:p>
          <w:p w:rsidR="007114AE" w:rsidRDefault="007114AE" w:rsidP="007114AE">
            <w:pPr>
              <w:pStyle w:val="BStablefigures00"/>
            </w:pPr>
          </w:p>
          <w:p w:rsidR="007114AE" w:rsidRDefault="002435BD" w:rsidP="007114AE">
            <w:pPr>
              <w:pStyle w:val="BStablefigures00"/>
            </w:pPr>
            <w:r>
              <w:t>n/a</w:t>
            </w:r>
          </w:p>
          <w:p w:rsidR="007114AE" w:rsidRDefault="007114AE" w:rsidP="007114AE">
            <w:pPr>
              <w:pStyle w:val="BStablefigures00"/>
            </w:pPr>
          </w:p>
          <w:p w:rsidR="007114AE" w:rsidRDefault="002435BD" w:rsidP="007114AE">
            <w:pPr>
              <w:pStyle w:val="BStablefigures00"/>
            </w:pPr>
            <w:r>
              <w:t>n/a</w:t>
            </w:r>
          </w:p>
        </w:tc>
        <w:tc>
          <w:tcPr>
            <w:tcW w:w="895" w:type="pct"/>
            <w:tcBorders>
              <w:top w:val="nil"/>
              <w:left w:val="nil"/>
              <w:bottom w:val="single" w:sz="12" w:space="0" w:color="000000"/>
              <w:right w:val="nil"/>
            </w:tcBorders>
          </w:tcPr>
          <w:p w:rsidR="007114AE" w:rsidRDefault="007114AE" w:rsidP="007114AE">
            <w:pPr>
              <w:pStyle w:val="BStablefigures00"/>
            </w:pPr>
          </w:p>
          <w:p w:rsidR="007114AE" w:rsidRDefault="007114AE" w:rsidP="007114AE">
            <w:pPr>
              <w:pStyle w:val="BStablefigures00"/>
            </w:pPr>
          </w:p>
          <w:p w:rsidR="007114AE" w:rsidRDefault="002435BD" w:rsidP="007114AE">
            <w:pPr>
              <w:pStyle w:val="BStablefigures00"/>
            </w:pPr>
            <w:r>
              <w:t>Dec 2018</w:t>
            </w:r>
          </w:p>
          <w:p w:rsidR="007114AE" w:rsidRDefault="007114AE" w:rsidP="007114AE">
            <w:pPr>
              <w:pStyle w:val="BStablefigures00"/>
            </w:pPr>
          </w:p>
          <w:p w:rsidR="007114AE" w:rsidRDefault="002435BD" w:rsidP="007114AE">
            <w:pPr>
              <w:pStyle w:val="BStablefigures00"/>
            </w:pPr>
            <w:r>
              <w:t>Dec 2018</w:t>
            </w:r>
          </w:p>
        </w:tc>
      </w:tr>
    </w:tbl>
    <w:p w:rsidR="007114AE" w:rsidRDefault="002435BD" w:rsidP="007114AE">
      <w:pPr>
        <w:pStyle w:val="BSnote10"/>
      </w:pPr>
      <w:r>
        <w:t>Note</w:t>
      </w:r>
      <w:r w:rsidR="00250BBC">
        <w:t>(</w:t>
      </w:r>
      <w:r>
        <w:t>s</w:t>
      </w:r>
      <w:r w:rsidR="00250BBC">
        <w:t>)</w:t>
      </w:r>
      <w:r>
        <w:t>:</w:t>
      </w:r>
    </w:p>
    <w:p w:rsidR="007114AE" w:rsidRDefault="002435BD" w:rsidP="00390DB5">
      <w:pPr>
        <w:pStyle w:val="BSnoteslist20"/>
        <w:keepLines/>
        <w:numPr>
          <w:ilvl w:val="0"/>
          <w:numId w:val="40"/>
        </w:numPr>
      </w:pPr>
      <w:r>
        <w:t>Indicator discontinued and replaced with indicator 3.1(f).</w:t>
      </w:r>
    </w:p>
    <w:p w:rsidR="007114AE" w:rsidRDefault="002435BD" w:rsidP="00390DB5">
      <w:pPr>
        <w:pStyle w:val="BSnoteslist20"/>
        <w:keepLines/>
        <w:numPr>
          <w:ilvl w:val="0"/>
          <w:numId w:val="40"/>
        </w:numPr>
      </w:pPr>
      <w:r>
        <w:t>Indicator discontinued and replaced with indicator 3.1(e).</w:t>
      </w:r>
    </w:p>
    <w:p w:rsidR="007114AE" w:rsidRDefault="002435BD" w:rsidP="00390DB5">
      <w:pPr>
        <w:pStyle w:val="BSnoteslist20"/>
        <w:keepLines/>
        <w:numPr>
          <w:ilvl w:val="0"/>
          <w:numId w:val="40"/>
        </w:numPr>
      </w:pPr>
      <w:r>
        <w:t xml:space="preserve">New indicator which replaces 3.1(b). </w:t>
      </w:r>
    </w:p>
    <w:p w:rsidR="007114AE" w:rsidRDefault="002435BD" w:rsidP="00390DB5">
      <w:pPr>
        <w:pStyle w:val="BSnoteslist20"/>
        <w:keepLines/>
        <w:numPr>
          <w:ilvl w:val="0"/>
          <w:numId w:val="40"/>
        </w:numPr>
      </w:pPr>
      <w:r>
        <w:t>New indicator which replaces 3.1(a). The indicator was changed to reflect new program names.</w:t>
      </w:r>
    </w:p>
    <w:p w:rsidR="00B64095" w:rsidRDefault="00B64095">
      <w:pPr>
        <w:spacing w:before="0" w:after="0"/>
        <w:rPr>
          <w:b/>
          <w:bCs/>
          <w:sz w:val="28"/>
          <w:szCs w:val="26"/>
        </w:rPr>
      </w:pPr>
      <w:r>
        <w:br w:type="page"/>
      </w:r>
    </w:p>
    <w:p w:rsidR="007114AE" w:rsidRPr="004B1342" w:rsidRDefault="002435BD" w:rsidP="002A5CF3">
      <w:pPr>
        <w:pStyle w:val="Heading3"/>
      </w:pPr>
      <w:bookmarkStart w:id="58" w:name="_Toc514763789"/>
      <w:bookmarkStart w:id="59" w:name="_Toc514841018"/>
      <w:r w:rsidRPr="004B1342">
        <w:t>Output Class 4: Land Strategy and Urban Renewal</w:t>
      </w:r>
      <w:bookmarkEnd w:id="58"/>
      <w:bookmarkEnd w:id="59"/>
    </w:p>
    <w:p w:rsidR="007114AE" w:rsidRPr="004B1342" w:rsidRDefault="002435BD" w:rsidP="007114AE">
      <w:pPr>
        <w:pStyle w:val="Heading42"/>
      </w:pPr>
      <w:r w:rsidRPr="004B1342">
        <w:t>Output 4.1: Land Strategy</w:t>
      </w:r>
    </w:p>
    <w:p w:rsidR="007114AE" w:rsidRDefault="00DC58C5" w:rsidP="007114AE">
      <w:pPr>
        <w:pStyle w:val="Caption2"/>
        <w:rPr>
          <w:noProof/>
        </w:rPr>
      </w:pPr>
      <w:r>
        <w:t>Table 22</w:t>
      </w:r>
      <w:r w:rsidR="002435BD" w:rsidRPr="004B1342">
        <w:rPr>
          <w:noProof/>
        </w:rPr>
        <w:t>:</w:t>
      </w:r>
      <w:r w:rsidR="002435BD" w:rsidRPr="004B1342">
        <w:t xml:space="preserve"> Accountability Indicators</w:t>
      </w:r>
      <w:r w:rsidR="002435BD" w:rsidRPr="004B1342">
        <w:rPr>
          <w:noProof/>
        </w:rPr>
        <w:t xml:space="preserve"> Output 4.1</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41"/>
              </w:numPr>
            </w:pPr>
            <w:r>
              <w:t>4 year Indicative Land Release Program published</w:t>
            </w:r>
            <w:r w:rsidRPr="0007746F">
              <w:rPr>
                <w:vertAlign w:val="superscript"/>
              </w:rPr>
              <w:t>1</w:t>
            </w:r>
            <w:r>
              <w:t xml:space="preserve"> </w:t>
            </w:r>
          </w:p>
        </w:tc>
        <w:tc>
          <w:tcPr>
            <w:tcW w:w="864" w:type="pct"/>
            <w:tcBorders>
              <w:top w:val="nil"/>
              <w:left w:val="nil"/>
              <w:bottom w:val="nil"/>
              <w:right w:val="nil"/>
            </w:tcBorders>
          </w:tcPr>
          <w:p w:rsidR="007114AE" w:rsidRDefault="002435BD" w:rsidP="007114AE">
            <w:pPr>
              <w:pStyle w:val="BStablefigures00"/>
            </w:pPr>
            <w:r>
              <w:t>1</w:t>
            </w:r>
          </w:p>
        </w:tc>
        <w:tc>
          <w:tcPr>
            <w:tcW w:w="864" w:type="pct"/>
            <w:tcBorders>
              <w:top w:val="nil"/>
              <w:left w:val="nil"/>
              <w:bottom w:val="nil"/>
              <w:right w:val="nil"/>
            </w:tcBorders>
          </w:tcPr>
          <w:p w:rsidR="007114AE" w:rsidRDefault="002435BD" w:rsidP="007114AE">
            <w:pPr>
              <w:pStyle w:val="BStablefigures00"/>
            </w:pPr>
            <w:r>
              <w:t>1</w:t>
            </w:r>
          </w:p>
        </w:tc>
        <w:tc>
          <w:tcPr>
            <w:tcW w:w="866" w:type="pct"/>
            <w:tcBorders>
              <w:top w:val="nil"/>
              <w:left w:val="nil"/>
              <w:bottom w:val="nil"/>
              <w:right w:val="nil"/>
            </w:tcBorders>
          </w:tcPr>
          <w:p w:rsidR="007114AE" w:rsidRDefault="002435BD" w:rsidP="007114AE">
            <w:pPr>
              <w:pStyle w:val="BStablefigures00"/>
            </w:pPr>
            <w:r>
              <w:t>1</w:t>
            </w:r>
          </w:p>
        </w:tc>
      </w:tr>
      <w:tr w:rsidR="005576C2" w:rsidTr="007114AE">
        <w:trPr>
          <w:trHeight w:val="283"/>
        </w:trPr>
        <w:tc>
          <w:tcPr>
            <w:tcW w:w="2406" w:type="pct"/>
            <w:tcBorders>
              <w:top w:val="nil"/>
              <w:left w:val="nil"/>
              <w:bottom w:val="single" w:sz="12" w:space="0" w:color="000000"/>
              <w:right w:val="nil"/>
            </w:tcBorders>
          </w:tcPr>
          <w:p w:rsidR="007114AE" w:rsidRDefault="002435BD" w:rsidP="00390DB5">
            <w:pPr>
              <w:pStyle w:val="BStablelist"/>
              <w:numPr>
                <w:ilvl w:val="0"/>
                <w:numId w:val="41"/>
              </w:numPr>
            </w:pPr>
            <w:r>
              <w:t>Publish the annual affordable, commu</w:t>
            </w:r>
            <w:r w:rsidR="00D444B6">
              <w:t>nity and public housing targets</w:t>
            </w:r>
            <w:r w:rsidR="00D444B6" w:rsidRPr="00D444B6">
              <w:rPr>
                <w:vertAlign w:val="superscript"/>
              </w:rPr>
              <w:t>2</w:t>
            </w:r>
          </w:p>
        </w:tc>
        <w:tc>
          <w:tcPr>
            <w:tcW w:w="864" w:type="pct"/>
            <w:tcBorders>
              <w:top w:val="nil"/>
              <w:left w:val="nil"/>
              <w:bottom w:val="single" w:sz="12" w:space="0" w:color="000000"/>
              <w:right w:val="nil"/>
            </w:tcBorders>
          </w:tcPr>
          <w:p w:rsidR="007114AE" w:rsidRPr="00D008C8" w:rsidRDefault="002435BD" w:rsidP="007114AE">
            <w:pPr>
              <w:pStyle w:val="BStablefigures0"/>
              <w:rPr>
                <w:b w:val="0"/>
              </w:rPr>
            </w:pPr>
            <w:r w:rsidRPr="00D008C8">
              <w:rPr>
                <w:b w:val="0"/>
              </w:rPr>
              <w:t>n/a</w:t>
            </w:r>
          </w:p>
        </w:tc>
        <w:tc>
          <w:tcPr>
            <w:tcW w:w="864" w:type="pct"/>
            <w:tcBorders>
              <w:top w:val="nil"/>
              <w:left w:val="nil"/>
              <w:bottom w:val="single" w:sz="12" w:space="0" w:color="000000"/>
              <w:right w:val="nil"/>
            </w:tcBorders>
          </w:tcPr>
          <w:p w:rsidR="007114AE" w:rsidRPr="00D008C8" w:rsidRDefault="002435BD" w:rsidP="007114AE">
            <w:pPr>
              <w:pStyle w:val="BStablefigures0"/>
              <w:rPr>
                <w:b w:val="0"/>
              </w:rPr>
            </w:pPr>
            <w:r w:rsidRPr="00D008C8">
              <w:rPr>
                <w:b w:val="0"/>
              </w:rPr>
              <w:t>n/a</w:t>
            </w:r>
          </w:p>
        </w:tc>
        <w:tc>
          <w:tcPr>
            <w:tcW w:w="866" w:type="pct"/>
            <w:tcBorders>
              <w:top w:val="nil"/>
              <w:left w:val="nil"/>
              <w:bottom w:val="single" w:sz="12" w:space="0" w:color="000000"/>
              <w:right w:val="nil"/>
            </w:tcBorders>
          </w:tcPr>
          <w:p w:rsidR="007114AE" w:rsidRPr="00D008C8" w:rsidRDefault="002435BD" w:rsidP="007114AE">
            <w:pPr>
              <w:pStyle w:val="BStablefigures0"/>
              <w:rPr>
                <w:b w:val="0"/>
              </w:rPr>
            </w:pPr>
            <w:r w:rsidRPr="00D008C8">
              <w:rPr>
                <w:b w:val="0"/>
              </w:rPr>
              <w:t>1</w:t>
            </w:r>
          </w:p>
        </w:tc>
      </w:tr>
    </w:tbl>
    <w:p w:rsidR="007114AE" w:rsidRDefault="002435BD" w:rsidP="007114AE">
      <w:pPr>
        <w:pStyle w:val="BSnote2"/>
      </w:pPr>
      <w:r>
        <w:t>Note</w:t>
      </w:r>
      <w:r w:rsidR="00250BBC">
        <w:t>(</w:t>
      </w:r>
      <w:r>
        <w:t>s</w:t>
      </w:r>
      <w:r w:rsidR="00250BBC">
        <w:t>)</w:t>
      </w:r>
      <w:r>
        <w:t>:</w:t>
      </w:r>
    </w:p>
    <w:p w:rsidR="007114AE" w:rsidRDefault="002435BD" w:rsidP="00390DB5">
      <w:pPr>
        <w:pStyle w:val="BSnoteslist20"/>
        <w:keepNext/>
        <w:numPr>
          <w:ilvl w:val="0"/>
          <w:numId w:val="42"/>
        </w:numPr>
      </w:pPr>
      <w:r>
        <w:t>This accountability indicator covers publication of the 2018-19 to 2021-22 Indicative Land Release Program.</w:t>
      </w:r>
    </w:p>
    <w:p w:rsidR="007114AE" w:rsidRPr="0057419E" w:rsidRDefault="002435BD" w:rsidP="00390DB5">
      <w:pPr>
        <w:pStyle w:val="BSnoteslist20"/>
        <w:keepNext/>
        <w:numPr>
          <w:ilvl w:val="0"/>
          <w:numId w:val="42"/>
        </w:numPr>
      </w:pPr>
      <w:r>
        <w:t>New indicator. This indicator will be considered complete when the targets are notified on the ACT Legislation website.</w:t>
      </w:r>
    </w:p>
    <w:p w:rsidR="007114AE" w:rsidRPr="004B1342" w:rsidRDefault="002435BD" w:rsidP="007114AE">
      <w:pPr>
        <w:pStyle w:val="Heading42"/>
      </w:pPr>
      <w:r w:rsidRPr="004B1342">
        <w:t>Output 4.2: Urban Renewal</w:t>
      </w:r>
    </w:p>
    <w:p w:rsidR="007114AE" w:rsidRDefault="00DC58C5" w:rsidP="007114AE">
      <w:pPr>
        <w:pStyle w:val="Caption2"/>
        <w:rPr>
          <w:noProof/>
        </w:rPr>
      </w:pPr>
      <w:r>
        <w:t>Table 23</w:t>
      </w:r>
      <w:r w:rsidR="002435BD" w:rsidRPr="004B1342">
        <w:rPr>
          <w:noProof/>
        </w:rPr>
        <w:t>:</w:t>
      </w:r>
      <w:r w:rsidR="002435BD" w:rsidRPr="004B1342">
        <w:t xml:space="preserve"> Accountability Indicators</w:t>
      </w:r>
      <w:r w:rsidR="002435BD" w:rsidRPr="004B1342">
        <w:rPr>
          <w:noProof/>
        </w:rPr>
        <w:t xml:space="preserve"> Output 4.2</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43"/>
              </w:numPr>
            </w:pPr>
            <w:r>
              <w:t>Asset Recycling Initiative</w:t>
            </w:r>
            <w:r>
              <w:rPr>
                <w:vertAlign w:val="superscript"/>
              </w:rPr>
              <w:t>1</w:t>
            </w:r>
          </w:p>
        </w:tc>
        <w:tc>
          <w:tcPr>
            <w:tcW w:w="864" w:type="pct"/>
            <w:tcBorders>
              <w:top w:val="nil"/>
              <w:left w:val="nil"/>
              <w:bottom w:val="nil"/>
              <w:right w:val="nil"/>
            </w:tcBorders>
          </w:tcPr>
          <w:p w:rsidR="007114AE" w:rsidRDefault="002435BD" w:rsidP="007114AE">
            <w:pPr>
              <w:pStyle w:val="BStablefigures00"/>
            </w:pPr>
            <w:r>
              <w:t>100%</w:t>
            </w:r>
          </w:p>
        </w:tc>
        <w:tc>
          <w:tcPr>
            <w:tcW w:w="864" w:type="pct"/>
            <w:tcBorders>
              <w:top w:val="nil"/>
              <w:left w:val="nil"/>
              <w:bottom w:val="nil"/>
              <w:right w:val="nil"/>
            </w:tcBorders>
          </w:tcPr>
          <w:p w:rsidR="007114AE" w:rsidRDefault="009209C2" w:rsidP="007114AE">
            <w:pPr>
              <w:pStyle w:val="BStablefigures00"/>
            </w:pPr>
            <w:r>
              <w:t>100%</w:t>
            </w:r>
          </w:p>
        </w:tc>
        <w:tc>
          <w:tcPr>
            <w:tcW w:w="866"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406" w:type="pct"/>
            <w:tcBorders>
              <w:top w:val="nil"/>
              <w:left w:val="nil"/>
              <w:bottom w:val="single" w:sz="12" w:space="0" w:color="000000"/>
              <w:right w:val="nil"/>
            </w:tcBorders>
            <w:hideMark/>
          </w:tcPr>
          <w:p w:rsidR="007114AE" w:rsidRDefault="002435BD" w:rsidP="007114AE">
            <w:pPr>
              <w:pStyle w:val="BStablelist"/>
            </w:pPr>
            <w:r>
              <w:t>Asset Recycling Initiative</w:t>
            </w:r>
            <w:r>
              <w:rPr>
                <w:vertAlign w:val="superscript"/>
              </w:rPr>
              <w:t xml:space="preserve"> </w:t>
            </w:r>
            <w:r>
              <w:t>– number of settlements to be finalised of the eight remaining sites by 2018-19 to enable claim of the 15% Commonwealth Bonus</w:t>
            </w:r>
            <w:r w:rsidRPr="004B1342">
              <w:rPr>
                <w:vertAlign w:val="superscript"/>
              </w:rPr>
              <w:t>2</w:t>
            </w:r>
          </w:p>
        </w:tc>
        <w:tc>
          <w:tcPr>
            <w:tcW w:w="864" w:type="pct"/>
            <w:tcBorders>
              <w:top w:val="nil"/>
              <w:left w:val="nil"/>
              <w:bottom w:val="single" w:sz="12" w:space="0" w:color="000000"/>
              <w:right w:val="nil"/>
            </w:tcBorders>
          </w:tcPr>
          <w:p w:rsidR="007114AE" w:rsidRDefault="002435BD" w:rsidP="007114AE">
            <w:pPr>
              <w:pStyle w:val="BStablefigures00"/>
            </w:pPr>
            <w:r>
              <w:t>n/a</w:t>
            </w:r>
          </w:p>
        </w:tc>
        <w:tc>
          <w:tcPr>
            <w:tcW w:w="864" w:type="pct"/>
            <w:tcBorders>
              <w:top w:val="nil"/>
              <w:left w:val="nil"/>
              <w:bottom w:val="single" w:sz="12" w:space="0" w:color="000000"/>
              <w:right w:val="nil"/>
            </w:tcBorders>
          </w:tcPr>
          <w:p w:rsidR="007114AE" w:rsidRDefault="002435BD" w:rsidP="007114AE">
            <w:pPr>
              <w:pStyle w:val="BStablefigures00"/>
            </w:pPr>
            <w:r>
              <w:t>n/a</w:t>
            </w:r>
          </w:p>
        </w:tc>
        <w:tc>
          <w:tcPr>
            <w:tcW w:w="866" w:type="pct"/>
            <w:tcBorders>
              <w:top w:val="nil"/>
              <w:left w:val="nil"/>
              <w:bottom w:val="single" w:sz="12" w:space="0" w:color="000000"/>
              <w:right w:val="nil"/>
            </w:tcBorders>
          </w:tcPr>
          <w:p w:rsidR="007114AE" w:rsidRDefault="002435BD" w:rsidP="007114AE">
            <w:pPr>
              <w:pStyle w:val="BStablefigures00"/>
            </w:pPr>
            <w:r>
              <w:t>100%</w:t>
            </w:r>
          </w:p>
        </w:tc>
      </w:tr>
    </w:tbl>
    <w:p w:rsidR="007114AE" w:rsidRDefault="002435BD" w:rsidP="007114AE">
      <w:pPr>
        <w:pStyle w:val="BSnote2"/>
      </w:pPr>
      <w:r>
        <w:t>Note</w:t>
      </w:r>
      <w:r w:rsidR="00250BBC">
        <w:t>(</w:t>
      </w:r>
      <w:r>
        <w:t>s</w:t>
      </w:r>
      <w:r w:rsidR="00250BBC">
        <w:t>)</w:t>
      </w:r>
      <w:r>
        <w:t>:</w:t>
      </w:r>
    </w:p>
    <w:p w:rsidR="007114AE" w:rsidRDefault="002435BD" w:rsidP="00390DB5">
      <w:pPr>
        <w:pStyle w:val="BSnoteslist20"/>
        <w:keepLines/>
        <w:numPr>
          <w:ilvl w:val="0"/>
          <w:numId w:val="44"/>
        </w:numPr>
      </w:pPr>
      <w:r>
        <w:t xml:space="preserve">Indicator </w:t>
      </w:r>
      <w:r w:rsidR="00D444B6">
        <w:t>discontinued</w:t>
      </w:r>
      <w:r>
        <w:t xml:space="preserve"> as this measured the percentage of ARI sites for which sales strategies have been established and endorsed, which is now completed.  </w:t>
      </w:r>
    </w:p>
    <w:p w:rsidR="007114AE" w:rsidRDefault="002435BD" w:rsidP="00390DB5">
      <w:pPr>
        <w:pStyle w:val="BSnoteslist20"/>
        <w:keepLines/>
        <w:numPr>
          <w:ilvl w:val="0"/>
          <w:numId w:val="44"/>
        </w:numPr>
      </w:pPr>
      <w:r>
        <w:t>New</w:t>
      </w:r>
      <w:r w:rsidR="00D444B6">
        <w:t xml:space="preserve"> indicator</w:t>
      </w:r>
      <w:r>
        <w:t xml:space="preserve">. </w:t>
      </w:r>
    </w:p>
    <w:p w:rsidR="00B64095" w:rsidRDefault="00B64095">
      <w:pPr>
        <w:spacing w:before="0" w:after="0"/>
        <w:rPr>
          <w:b/>
          <w:bCs/>
          <w:sz w:val="28"/>
          <w:szCs w:val="26"/>
        </w:rPr>
      </w:pPr>
      <w:r>
        <w:br w:type="page"/>
      </w:r>
    </w:p>
    <w:p w:rsidR="007114AE" w:rsidRPr="004B1342" w:rsidRDefault="002435BD" w:rsidP="002A5CF3">
      <w:pPr>
        <w:pStyle w:val="Heading3"/>
      </w:pPr>
      <w:bookmarkStart w:id="60" w:name="_Toc514763790"/>
      <w:bookmarkStart w:id="61" w:name="_Toc514841019"/>
      <w:r>
        <w:t>Output Class 5</w:t>
      </w:r>
      <w:r w:rsidRPr="004B1342">
        <w:t xml:space="preserve">: </w:t>
      </w:r>
      <w:r>
        <w:t>Loose Fill Asbestos Insulation Eradication</w:t>
      </w:r>
      <w:bookmarkEnd w:id="60"/>
      <w:bookmarkEnd w:id="61"/>
    </w:p>
    <w:p w:rsidR="007114AE" w:rsidRPr="004B1342" w:rsidRDefault="002435BD" w:rsidP="007114AE">
      <w:pPr>
        <w:pStyle w:val="Heading42"/>
      </w:pPr>
      <w:r w:rsidRPr="004B1342">
        <w:t>O</w:t>
      </w:r>
      <w:r>
        <w:t>utput 5</w:t>
      </w:r>
      <w:r w:rsidRPr="004B1342">
        <w:t>.1: Loose-fill Asbestos Insulation Eradication Scheme</w:t>
      </w:r>
    </w:p>
    <w:p w:rsidR="007114AE" w:rsidRDefault="00DC58C5" w:rsidP="007114AE">
      <w:pPr>
        <w:pStyle w:val="Caption2"/>
        <w:rPr>
          <w:noProof/>
        </w:rPr>
      </w:pPr>
      <w:r>
        <w:t>Table 24</w:t>
      </w:r>
      <w:r w:rsidR="002435BD" w:rsidRPr="004B1342">
        <w:rPr>
          <w:noProof/>
        </w:rPr>
        <w:t>:</w:t>
      </w:r>
      <w:r w:rsidR="002435BD" w:rsidRPr="004B1342">
        <w:t xml:space="preserve"> Accountability Indicators</w:t>
      </w:r>
      <w:r w:rsidR="002435BD">
        <w:rPr>
          <w:noProof/>
        </w:rPr>
        <w:t xml:space="preserve"> Output 5</w:t>
      </w:r>
      <w:r w:rsidR="002435BD" w:rsidRPr="004B1342">
        <w:rPr>
          <w:noProof/>
        </w:rPr>
        <w:t>.1</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c>
          <w:tcPr>
            <w:tcW w:w="5000" w:type="pct"/>
            <w:gridSpan w:val="4"/>
            <w:tcBorders>
              <w:top w:val="single" w:sz="12" w:space="0" w:color="000000"/>
              <w:left w:val="nil"/>
              <w:bottom w:val="nil"/>
              <w:right w:val="nil"/>
            </w:tcBorders>
            <w:hideMark/>
          </w:tcPr>
          <w:p w:rsidR="007114AE" w:rsidRPr="004B1342" w:rsidRDefault="002435BD" w:rsidP="007114AE">
            <w:pPr>
              <w:pStyle w:val="BStabletext1"/>
            </w:pPr>
            <w:r w:rsidRPr="004B1342">
              <w:t>Community Engagement and Advice:</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45"/>
              </w:numPr>
            </w:pPr>
            <w:r>
              <w:t>Undertake a program to provide advice and support to residents of properties affected by loose fill asbestos insulation</w:t>
            </w:r>
            <w:r w:rsidRPr="004B1342">
              <w:rPr>
                <w:vertAlign w:val="superscript"/>
              </w:rPr>
              <w:t>1</w:t>
            </w:r>
          </w:p>
        </w:tc>
        <w:tc>
          <w:tcPr>
            <w:tcW w:w="864" w:type="pct"/>
            <w:tcBorders>
              <w:top w:val="nil"/>
              <w:left w:val="nil"/>
              <w:bottom w:val="nil"/>
              <w:right w:val="nil"/>
            </w:tcBorders>
          </w:tcPr>
          <w:p w:rsidR="007114AE" w:rsidRDefault="002435BD" w:rsidP="007114AE">
            <w:pPr>
              <w:pStyle w:val="BStablefigures00"/>
            </w:pPr>
            <w:r>
              <w:t>1</w:t>
            </w:r>
          </w:p>
        </w:tc>
        <w:tc>
          <w:tcPr>
            <w:tcW w:w="864" w:type="pct"/>
            <w:tcBorders>
              <w:top w:val="nil"/>
              <w:left w:val="nil"/>
              <w:bottom w:val="nil"/>
              <w:right w:val="nil"/>
            </w:tcBorders>
          </w:tcPr>
          <w:p w:rsidR="007114AE" w:rsidRDefault="002435BD" w:rsidP="007114AE">
            <w:pPr>
              <w:pStyle w:val="BStablefigures00"/>
            </w:pPr>
            <w:r>
              <w:t>1</w:t>
            </w:r>
          </w:p>
        </w:tc>
        <w:tc>
          <w:tcPr>
            <w:tcW w:w="866"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Conduct and/or attend Community Forums/Meetings on loose fill asbestos insulation (e.g. health, management, demolition and personal support)</w:t>
            </w:r>
            <w:r w:rsidRPr="004B1342">
              <w:rPr>
                <w:vertAlign w:val="superscript"/>
              </w:rPr>
              <w:t>1</w:t>
            </w:r>
          </w:p>
        </w:tc>
        <w:tc>
          <w:tcPr>
            <w:tcW w:w="864" w:type="pct"/>
            <w:tcBorders>
              <w:top w:val="nil"/>
              <w:left w:val="nil"/>
              <w:bottom w:val="nil"/>
              <w:right w:val="nil"/>
            </w:tcBorders>
          </w:tcPr>
          <w:p w:rsidR="007114AE" w:rsidRDefault="002435BD" w:rsidP="007114AE">
            <w:pPr>
              <w:pStyle w:val="BStablefigures00"/>
            </w:pPr>
            <w:r>
              <w:t>3</w:t>
            </w:r>
          </w:p>
        </w:tc>
        <w:tc>
          <w:tcPr>
            <w:tcW w:w="864" w:type="pct"/>
            <w:tcBorders>
              <w:top w:val="nil"/>
              <w:left w:val="nil"/>
              <w:bottom w:val="nil"/>
              <w:right w:val="nil"/>
            </w:tcBorders>
          </w:tcPr>
          <w:p w:rsidR="007114AE" w:rsidRDefault="002435BD" w:rsidP="007114AE">
            <w:pPr>
              <w:pStyle w:val="BStablefigures00"/>
            </w:pPr>
            <w:r>
              <w:t>3</w:t>
            </w:r>
          </w:p>
        </w:tc>
        <w:tc>
          <w:tcPr>
            <w:tcW w:w="866"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Undertake an awareness program to inform the broader community about the demolition and sales activities of the Scheme</w:t>
            </w:r>
            <w:r w:rsidRPr="004B1342">
              <w:rPr>
                <w:vertAlign w:val="superscript"/>
              </w:rPr>
              <w:t>1</w:t>
            </w:r>
          </w:p>
        </w:tc>
        <w:tc>
          <w:tcPr>
            <w:tcW w:w="864" w:type="pct"/>
            <w:tcBorders>
              <w:top w:val="nil"/>
              <w:left w:val="nil"/>
              <w:bottom w:val="nil"/>
              <w:right w:val="nil"/>
            </w:tcBorders>
          </w:tcPr>
          <w:p w:rsidR="007114AE" w:rsidRDefault="002435BD" w:rsidP="007114AE">
            <w:pPr>
              <w:pStyle w:val="BStablefigures00"/>
            </w:pPr>
            <w:r>
              <w:t>1</w:t>
            </w:r>
          </w:p>
        </w:tc>
        <w:tc>
          <w:tcPr>
            <w:tcW w:w="864" w:type="pct"/>
            <w:tcBorders>
              <w:top w:val="nil"/>
              <w:left w:val="nil"/>
              <w:bottom w:val="nil"/>
              <w:right w:val="nil"/>
            </w:tcBorders>
          </w:tcPr>
          <w:p w:rsidR="007114AE" w:rsidRDefault="002435BD" w:rsidP="007114AE">
            <w:pPr>
              <w:pStyle w:val="BStablefigures00"/>
            </w:pPr>
            <w:r>
              <w:t>1</w:t>
            </w:r>
          </w:p>
        </w:tc>
        <w:tc>
          <w:tcPr>
            <w:tcW w:w="866"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text1"/>
            </w:pPr>
            <w:r>
              <w:t>Buy-Back and Demolition Program:</w:t>
            </w:r>
          </w:p>
        </w:tc>
        <w:tc>
          <w:tcPr>
            <w:tcW w:w="864" w:type="pct"/>
            <w:tcBorders>
              <w:top w:val="nil"/>
              <w:left w:val="nil"/>
              <w:bottom w:val="nil"/>
              <w:right w:val="nil"/>
            </w:tcBorders>
          </w:tcPr>
          <w:p w:rsidR="007114AE" w:rsidRPr="004B1342" w:rsidRDefault="007114AE" w:rsidP="007114AE">
            <w:pPr>
              <w:pStyle w:val="BStablefigures0"/>
              <w:rPr>
                <w:b w:val="0"/>
              </w:rPr>
            </w:pPr>
          </w:p>
        </w:tc>
        <w:tc>
          <w:tcPr>
            <w:tcW w:w="864" w:type="pct"/>
            <w:tcBorders>
              <w:top w:val="nil"/>
              <w:left w:val="nil"/>
              <w:bottom w:val="nil"/>
              <w:right w:val="nil"/>
            </w:tcBorders>
          </w:tcPr>
          <w:p w:rsidR="007114AE" w:rsidRPr="004B1342" w:rsidRDefault="007114AE" w:rsidP="007114AE">
            <w:pPr>
              <w:pStyle w:val="BStablefigures0"/>
              <w:rPr>
                <w:b w:val="0"/>
              </w:rPr>
            </w:pPr>
          </w:p>
        </w:tc>
        <w:tc>
          <w:tcPr>
            <w:tcW w:w="866" w:type="pct"/>
            <w:tcBorders>
              <w:top w:val="nil"/>
              <w:left w:val="nil"/>
              <w:bottom w:val="nil"/>
              <w:right w:val="nil"/>
            </w:tcBorders>
          </w:tcPr>
          <w:p w:rsidR="007114AE" w:rsidRPr="004B1342" w:rsidRDefault="007114AE" w:rsidP="007114AE">
            <w:pPr>
              <w:pStyle w:val="BStablefigures0"/>
              <w:rPr>
                <w:b w:val="0"/>
              </w:rPr>
            </w:pP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Continue to facilitate settlement of the surrender of properties under the Buyback program</w:t>
            </w:r>
            <w:r w:rsidRPr="004B1342">
              <w:rPr>
                <w:vertAlign w:val="superscript"/>
              </w:rPr>
              <w:t>2</w:t>
            </w:r>
          </w:p>
        </w:tc>
        <w:tc>
          <w:tcPr>
            <w:tcW w:w="864" w:type="pct"/>
            <w:tcBorders>
              <w:top w:val="nil"/>
              <w:left w:val="nil"/>
              <w:bottom w:val="nil"/>
              <w:right w:val="nil"/>
            </w:tcBorders>
          </w:tcPr>
          <w:p w:rsidR="007114AE" w:rsidRDefault="002435BD" w:rsidP="007114AE">
            <w:pPr>
              <w:pStyle w:val="BStablefigures00"/>
            </w:pPr>
            <w:r>
              <w:t>1</w:t>
            </w:r>
          </w:p>
        </w:tc>
        <w:tc>
          <w:tcPr>
            <w:tcW w:w="864" w:type="pct"/>
            <w:tcBorders>
              <w:top w:val="nil"/>
              <w:left w:val="nil"/>
              <w:bottom w:val="nil"/>
              <w:right w:val="nil"/>
            </w:tcBorders>
          </w:tcPr>
          <w:p w:rsidR="007114AE" w:rsidRDefault="002435BD" w:rsidP="007114AE">
            <w:pPr>
              <w:pStyle w:val="BStablefigures00"/>
            </w:pPr>
            <w:r>
              <w:t>1</w:t>
            </w:r>
          </w:p>
        </w:tc>
        <w:tc>
          <w:tcPr>
            <w:tcW w:w="866" w:type="pct"/>
            <w:tcBorders>
              <w:top w:val="nil"/>
              <w:left w:val="nil"/>
              <w:bottom w:val="nil"/>
              <w:right w:val="nil"/>
            </w:tcBorders>
          </w:tcPr>
          <w:p w:rsidR="007114AE" w:rsidRDefault="002435BD" w:rsidP="007114AE">
            <w:pPr>
              <w:pStyle w:val="BStablefigures00"/>
            </w:pPr>
            <w:r>
              <w:t>n/a</w:t>
            </w:r>
          </w:p>
        </w:tc>
      </w:tr>
      <w:tr w:rsidR="005576C2" w:rsidTr="007114AE">
        <w:trPr>
          <w:trHeight w:val="283"/>
        </w:trPr>
        <w:tc>
          <w:tcPr>
            <w:tcW w:w="2406" w:type="pct"/>
            <w:tcBorders>
              <w:top w:val="nil"/>
              <w:left w:val="nil"/>
              <w:bottom w:val="nil"/>
              <w:right w:val="nil"/>
            </w:tcBorders>
          </w:tcPr>
          <w:p w:rsidR="007114AE" w:rsidRDefault="002435BD" w:rsidP="007114AE">
            <w:pPr>
              <w:pStyle w:val="BStablelist"/>
            </w:pPr>
            <w:r>
              <w:t>Purchase affected dwellings</w:t>
            </w:r>
            <w:r>
              <w:rPr>
                <w:vertAlign w:val="superscript"/>
              </w:rPr>
              <w:t>3</w:t>
            </w:r>
          </w:p>
        </w:tc>
        <w:tc>
          <w:tcPr>
            <w:tcW w:w="864" w:type="pct"/>
            <w:tcBorders>
              <w:top w:val="nil"/>
              <w:left w:val="nil"/>
              <w:bottom w:val="nil"/>
              <w:right w:val="nil"/>
            </w:tcBorders>
          </w:tcPr>
          <w:p w:rsidR="007114AE" w:rsidRDefault="002435BD" w:rsidP="007114AE">
            <w:pPr>
              <w:pStyle w:val="BStablefigures00"/>
            </w:pPr>
            <w:r>
              <w:t>n/a</w:t>
            </w:r>
          </w:p>
        </w:tc>
        <w:tc>
          <w:tcPr>
            <w:tcW w:w="864" w:type="pct"/>
            <w:tcBorders>
              <w:top w:val="nil"/>
              <w:left w:val="nil"/>
              <w:bottom w:val="nil"/>
              <w:right w:val="nil"/>
            </w:tcBorders>
          </w:tcPr>
          <w:p w:rsidR="007114AE" w:rsidRDefault="002435BD" w:rsidP="007114AE">
            <w:pPr>
              <w:pStyle w:val="BStablefigures00"/>
            </w:pPr>
            <w:r>
              <w:t>n/a</w:t>
            </w:r>
          </w:p>
        </w:tc>
        <w:tc>
          <w:tcPr>
            <w:tcW w:w="866" w:type="pct"/>
            <w:tcBorders>
              <w:top w:val="nil"/>
              <w:left w:val="nil"/>
              <w:bottom w:val="nil"/>
              <w:right w:val="nil"/>
            </w:tcBorders>
          </w:tcPr>
          <w:p w:rsidR="007114AE" w:rsidRDefault="002435BD" w:rsidP="007114AE">
            <w:pPr>
              <w:pStyle w:val="BStablefigures00"/>
            </w:pPr>
            <w:r>
              <w:t>1</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Demolish affected dwellings</w:t>
            </w:r>
          </w:p>
        </w:tc>
        <w:tc>
          <w:tcPr>
            <w:tcW w:w="864" w:type="pct"/>
            <w:tcBorders>
              <w:top w:val="nil"/>
              <w:left w:val="nil"/>
              <w:bottom w:val="nil"/>
              <w:right w:val="nil"/>
            </w:tcBorders>
          </w:tcPr>
          <w:p w:rsidR="007114AE" w:rsidRDefault="002435BD" w:rsidP="007114AE">
            <w:pPr>
              <w:pStyle w:val="BStablefigures00"/>
            </w:pPr>
            <w:r>
              <w:t>222</w:t>
            </w:r>
          </w:p>
        </w:tc>
        <w:tc>
          <w:tcPr>
            <w:tcW w:w="864" w:type="pct"/>
            <w:tcBorders>
              <w:top w:val="nil"/>
              <w:left w:val="nil"/>
              <w:bottom w:val="nil"/>
              <w:right w:val="nil"/>
            </w:tcBorders>
          </w:tcPr>
          <w:p w:rsidR="007114AE" w:rsidRDefault="002435BD" w:rsidP="007114AE">
            <w:pPr>
              <w:pStyle w:val="BStablefigures00"/>
            </w:pPr>
            <w:r>
              <w:t>187</w:t>
            </w:r>
          </w:p>
        </w:tc>
        <w:tc>
          <w:tcPr>
            <w:tcW w:w="866" w:type="pct"/>
            <w:tcBorders>
              <w:top w:val="nil"/>
              <w:left w:val="nil"/>
              <w:bottom w:val="nil"/>
              <w:right w:val="nil"/>
            </w:tcBorders>
          </w:tcPr>
          <w:p w:rsidR="007114AE" w:rsidRDefault="002435BD" w:rsidP="007114AE">
            <w:pPr>
              <w:pStyle w:val="BStablefigures00"/>
            </w:pPr>
            <w:r>
              <w:t>21</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pPr>
            <w:r>
              <w:t>Deregister affected properties post demolition and soil validation</w:t>
            </w:r>
          </w:p>
        </w:tc>
        <w:tc>
          <w:tcPr>
            <w:tcW w:w="864" w:type="pct"/>
            <w:tcBorders>
              <w:top w:val="nil"/>
              <w:left w:val="nil"/>
              <w:bottom w:val="nil"/>
              <w:right w:val="nil"/>
            </w:tcBorders>
          </w:tcPr>
          <w:p w:rsidR="007114AE" w:rsidRDefault="002435BD" w:rsidP="007114AE">
            <w:pPr>
              <w:pStyle w:val="BStablefigures00"/>
            </w:pPr>
            <w:r>
              <w:t>178</w:t>
            </w:r>
          </w:p>
        </w:tc>
        <w:tc>
          <w:tcPr>
            <w:tcW w:w="864" w:type="pct"/>
            <w:tcBorders>
              <w:top w:val="nil"/>
              <w:left w:val="nil"/>
              <w:bottom w:val="nil"/>
              <w:right w:val="nil"/>
            </w:tcBorders>
          </w:tcPr>
          <w:p w:rsidR="007114AE" w:rsidRDefault="002435BD" w:rsidP="007114AE">
            <w:pPr>
              <w:pStyle w:val="BStablefigures00"/>
            </w:pPr>
            <w:r>
              <w:t>255</w:t>
            </w:r>
          </w:p>
        </w:tc>
        <w:tc>
          <w:tcPr>
            <w:tcW w:w="866" w:type="pct"/>
            <w:tcBorders>
              <w:top w:val="nil"/>
              <w:left w:val="nil"/>
              <w:bottom w:val="nil"/>
              <w:right w:val="nil"/>
            </w:tcBorders>
          </w:tcPr>
          <w:p w:rsidR="007114AE" w:rsidRDefault="002435BD" w:rsidP="007114AE">
            <w:pPr>
              <w:pStyle w:val="BStablefigures00"/>
            </w:pPr>
            <w:r>
              <w:t>27</w:t>
            </w:r>
          </w:p>
        </w:tc>
      </w:tr>
      <w:tr w:rsidR="005576C2" w:rsidTr="007114AE">
        <w:trPr>
          <w:trHeight w:val="283"/>
        </w:trPr>
        <w:tc>
          <w:tcPr>
            <w:tcW w:w="2406" w:type="pct"/>
            <w:tcBorders>
              <w:top w:val="nil"/>
              <w:left w:val="nil"/>
              <w:bottom w:val="nil"/>
              <w:right w:val="nil"/>
            </w:tcBorders>
            <w:hideMark/>
          </w:tcPr>
          <w:p w:rsidR="007114AE" w:rsidRDefault="002435BD" w:rsidP="007114AE">
            <w:pPr>
              <w:pStyle w:val="BStablelist"/>
              <w:numPr>
                <w:ilvl w:val="0"/>
                <w:numId w:val="0"/>
              </w:numPr>
              <w:ind w:left="360"/>
            </w:pPr>
            <w:r>
              <w:rPr>
                <w:b/>
              </w:rPr>
              <w:t>Sales Program:</w:t>
            </w:r>
          </w:p>
        </w:tc>
        <w:tc>
          <w:tcPr>
            <w:tcW w:w="864" w:type="pct"/>
            <w:tcBorders>
              <w:top w:val="nil"/>
              <w:left w:val="nil"/>
              <w:bottom w:val="nil"/>
              <w:right w:val="nil"/>
            </w:tcBorders>
          </w:tcPr>
          <w:p w:rsidR="007114AE" w:rsidRPr="004B1342" w:rsidRDefault="007114AE" w:rsidP="007114AE">
            <w:pPr>
              <w:pStyle w:val="BStablefigures0"/>
              <w:rPr>
                <w:b w:val="0"/>
              </w:rPr>
            </w:pPr>
          </w:p>
        </w:tc>
        <w:tc>
          <w:tcPr>
            <w:tcW w:w="864" w:type="pct"/>
            <w:tcBorders>
              <w:top w:val="nil"/>
              <w:left w:val="nil"/>
              <w:bottom w:val="nil"/>
              <w:right w:val="nil"/>
            </w:tcBorders>
          </w:tcPr>
          <w:p w:rsidR="007114AE" w:rsidRPr="004B1342" w:rsidRDefault="007114AE" w:rsidP="007114AE">
            <w:pPr>
              <w:pStyle w:val="BStablefigures0"/>
              <w:rPr>
                <w:b w:val="0"/>
              </w:rPr>
            </w:pPr>
          </w:p>
        </w:tc>
        <w:tc>
          <w:tcPr>
            <w:tcW w:w="866" w:type="pct"/>
            <w:tcBorders>
              <w:top w:val="nil"/>
              <w:left w:val="nil"/>
              <w:bottom w:val="nil"/>
              <w:right w:val="nil"/>
            </w:tcBorders>
          </w:tcPr>
          <w:p w:rsidR="007114AE" w:rsidRPr="004B1342" w:rsidRDefault="007114AE" w:rsidP="007114AE">
            <w:pPr>
              <w:pStyle w:val="BStablefigures0"/>
              <w:rPr>
                <w:b w:val="0"/>
              </w:rPr>
            </w:pPr>
          </w:p>
        </w:tc>
      </w:tr>
      <w:tr w:rsidR="005576C2" w:rsidTr="007114AE">
        <w:trPr>
          <w:trHeight w:val="283"/>
        </w:trPr>
        <w:tc>
          <w:tcPr>
            <w:tcW w:w="2406" w:type="pct"/>
            <w:tcBorders>
              <w:top w:val="nil"/>
              <w:left w:val="nil"/>
              <w:bottom w:val="single" w:sz="12" w:space="0" w:color="000000"/>
              <w:right w:val="nil"/>
            </w:tcBorders>
            <w:hideMark/>
          </w:tcPr>
          <w:p w:rsidR="007114AE" w:rsidRDefault="002435BD" w:rsidP="007114AE">
            <w:pPr>
              <w:pStyle w:val="BStablelist"/>
            </w:pPr>
            <w:r>
              <w:t>Sale of remediated and deregistered blocks</w:t>
            </w:r>
          </w:p>
        </w:tc>
        <w:tc>
          <w:tcPr>
            <w:tcW w:w="864" w:type="pct"/>
            <w:tcBorders>
              <w:top w:val="nil"/>
              <w:left w:val="nil"/>
              <w:bottom w:val="single" w:sz="12" w:space="0" w:color="000000"/>
              <w:right w:val="nil"/>
            </w:tcBorders>
          </w:tcPr>
          <w:p w:rsidR="007114AE" w:rsidRDefault="002435BD" w:rsidP="007114AE">
            <w:pPr>
              <w:pStyle w:val="BStablefigures00"/>
              <w:rPr>
                <w:lang w:eastAsia="en-US"/>
              </w:rPr>
            </w:pPr>
            <w:r>
              <w:rPr>
                <w:lang w:eastAsia="en-US"/>
              </w:rPr>
              <w:t>395</w:t>
            </w:r>
          </w:p>
        </w:tc>
        <w:tc>
          <w:tcPr>
            <w:tcW w:w="864" w:type="pct"/>
            <w:tcBorders>
              <w:top w:val="nil"/>
              <w:left w:val="nil"/>
              <w:bottom w:val="single" w:sz="12" w:space="0" w:color="000000"/>
              <w:right w:val="nil"/>
            </w:tcBorders>
          </w:tcPr>
          <w:p w:rsidR="007114AE" w:rsidRDefault="002435BD" w:rsidP="007114AE">
            <w:pPr>
              <w:pStyle w:val="BStablefigures00"/>
              <w:rPr>
                <w:lang w:eastAsia="en-US"/>
              </w:rPr>
            </w:pPr>
            <w:r>
              <w:rPr>
                <w:lang w:eastAsia="en-US"/>
              </w:rPr>
              <w:t>395</w:t>
            </w:r>
          </w:p>
        </w:tc>
        <w:tc>
          <w:tcPr>
            <w:tcW w:w="866" w:type="pct"/>
            <w:tcBorders>
              <w:top w:val="nil"/>
              <w:left w:val="nil"/>
              <w:bottom w:val="single" w:sz="12" w:space="0" w:color="000000"/>
              <w:right w:val="nil"/>
            </w:tcBorders>
          </w:tcPr>
          <w:p w:rsidR="007114AE" w:rsidRDefault="002435BD" w:rsidP="007114AE">
            <w:pPr>
              <w:pStyle w:val="BStablefigures00"/>
              <w:rPr>
                <w:lang w:eastAsia="en-US"/>
              </w:rPr>
            </w:pPr>
            <w:r>
              <w:rPr>
                <w:lang w:eastAsia="en-US"/>
              </w:rPr>
              <w:t>221</w:t>
            </w:r>
          </w:p>
        </w:tc>
      </w:tr>
    </w:tbl>
    <w:p w:rsidR="007114AE" w:rsidRDefault="002435BD" w:rsidP="007114AE">
      <w:pPr>
        <w:pStyle w:val="BSnote2"/>
      </w:pPr>
      <w:r>
        <w:t>Note</w:t>
      </w:r>
      <w:r w:rsidR="00250BBC">
        <w:t>(</w:t>
      </w:r>
      <w:r>
        <w:t>s</w:t>
      </w:r>
      <w:r w:rsidR="00250BBC">
        <w:t>)</w:t>
      </w:r>
      <w:r>
        <w:t>:</w:t>
      </w:r>
    </w:p>
    <w:p w:rsidR="007114AE" w:rsidRDefault="002435BD" w:rsidP="00390DB5">
      <w:pPr>
        <w:pStyle w:val="BSnoteslist20"/>
        <w:numPr>
          <w:ilvl w:val="0"/>
          <w:numId w:val="46"/>
        </w:numPr>
      </w:pPr>
      <w:r>
        <w:t>Indicators discontinued as the Scheme has moved into the final phase of operations.</w:t>
      </w:r>
    </w:p>
    <w:p w:rsidR="007114AE" w:rsidRDefault="002435BD" w:rsidP="00390DB5">
      <w:pPr>
        <w:pStyle w:val="BSnoteslist20"/>
        <w:numPr>
          <w:ilvl w:val="0"/>
          <w:numId w:val="46"/>
        </w:numPr>
      </w:pPr>
      <w:r>
        <w:t>Indicator discontinued and replaced with indicator 5.1(e).</w:t>
      </w:r>
    </w:p>
    <w:p w:rsidR="007114AE" w:rsidRDefault="002435BD" w:rsidP="00390DB5">
      <w:pPr>
        <w:pStyle w:val="BSnoteslist20"/>
        <w:numPr>
          <w:ilvl w:val="0"/>
          <w:numId w:val="46"/>
        </w:numPr>
      </w:pPr>
      <w:r>
        <w:t>New indicator which replaces indicator 5.1(d).</w:t>
      </w:r>
    </w:p>
    <w:p w:rsidR="007114AE" w:rsidRPr="004B1342" w:rsidRDefault="002435BD" w:rsidP="002A5CF3">
      <w:pPr>
        <w:pStyle w:val="Heading3"/>
      </w:pPr>
      <w:r>
        <w:t xml:space="preserve"> </w:t>
      </w:r>
      <w:bookmarkStart w:id="62" w:name="_Toc514763791"/>
      <w:bookmarkStart w:id="63" w:name="_Toc514841020"/>
      <w:r>
        <w:t>Output Class 6</w:t>
      </w:r>
      <w:r w:rsidRPr="004B1342">
        <w:t xml:space="preserve">: </w:t>
      </w:r>
      <w:r>
        <w:t>Public Housing Renewal Taskforce</w:t>
      </w:r>
      <w:bookmarkEnd w:id="62"/>
      <w:bookmarkEnd w:id="63"/>
    </w:p>
    <w:p w:rsidR="007114AE" w:rsidRPr="004B1342" w:rsidRDefault="002435BD" w:rsidP="007114AE">
      <w:pPr>
        <w:pStyle w:val="Heading42"/>
      </w:pPr>
      <w:r w:rsidRPr="004B1342">
        <w:t>O</w:t>
      </w:r>
      <w:r>
        <w:t>utput 6</w:t>
      </w:r>
      <w:r w:rsidRPr="004B1342">
        <w:t>.1: Public Housing Renewal Taskforce</w:t>
      </w:r>
    </w:p>
    <w:p w:rsidR="007114AE" w:rsidRDefault="00DC58C5" w:rsidP="007114AE">
      <w:pPr>
        <w:pStyle w:val="Caption2"/>
        <w:rPr>
          <w:noProof/>
        </w:rPr>
      </w:pPr>
      <w:r>
        <w:t>Table 25</w:t>
      </w:r>
      <w:r w:rsidR="002435BD" w:rsidRPr="004B1342">
        <w:rPr>
          <w:noProof/>
        </w:rPr>
        <w:t>:</w:t>
      </w:r>
      <w:r w:rsidR="002435BD" w:rsidRPr="004B1342">
        <w:t xml:space="preserve"> Accountability Indicators</w:t>
      </w:r>
      <w:r w:rsidR="002435BD">
        <w:rPr>
          <w:noProof/>
        </w:rPr>
        <w:t xml:space="preserve"> Output 6</w:t>
      </w:r>
      <w:r w:rsidR="002435BD" w:rsidRPr="004B1342">
        <w:rPr>
          <w:noProof/>
        </w:rPr>
        <w:t>.1</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9209C2" w:rsidP="007114AE">
            <w:pPr>
              <w:pStyle w:val="BStableheading11"/>
              <w:framePr w:wrap="around"/>
            </w:pPr>
            <w:r>
              <w:t xml:space="preserve">Amended </w:t>
            </w:r>
            <w:r w:rsidR="002435BD">
              <w:t>Targets</w:t>
            </w:r>
            <w:r w:rsidRPr="009209C2">
              <w:rPr>
                <w:vertAlign w:val="superscript"/>
              </w:rPr>
              <w:t>1</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47"/>
              </w:numPr>
            </w:pPr>
            <w:r>
              <w:t>Public Housing Renewal Program Contracts</w:t>
            </w:r>
            <w:r w:rsidRPr="00D008C8">
              <w:rPr>
                <w:vertAlign w:val="superscript"/>
              </w:rPr>
              <w:t>1</w:t>
            </w:r>
          </w:p>
        </w:tc>
        <w:tc>
          <w:tcPr>
            <w:tcW w:w="864" w:type="pct"/>
            <w:tcBorders>
              <w:top w:val="nil"/>
              <w:left w:val="nil"/>
              <w:bottom w:val="nil"/>
              <w:right w:val="nil"/>
            </w:tcBorders>
          </w:tcPr>
          <w:p w:rsidR="007114AE" w:rsidRDefault="002435BD" w:rsidP="007114AE">
            <w:pPr>
              <w:pStyle w:val="BStablefigures00"/>
            </w:pPr>
            <w:r>
              <w:t>320</w:t>
            </w:r>
          </w:p>
        </w:tc>
        <w:tc>
          <w:tcPr>
            <w:tcW w:w="864" w:type="pct"/>
            <w:tcBorders>
              <w:top w:val="nil"/>
              <w:left w:val="nil"/>
              <w:bottom w:val="nil"/>
              <w:right w:val="nil"/>
            </w:tcBorders>
          </w:tcPr>
          <w:p w:rsidR="007114AE" w:rsidRDefault="002435BD" w:rsidP="007114AE">
            <w:pPr>
              <w:pStyle w:val="BStablefigures00"/>
            </w:pPr>
            <w:r>
              <w:t>414</w:t>
            </w:r>
          </w:p>
        </w:tc>
        <w:tc>
          <w:tcPr>
            <w:tcW w:w="866" w:type="pct"/>
            <w:tcBorders>
              <w:top w:val="nil"/>
              <w:left w:val="nil"/>
              <w:bottom w:val="nil"/>
              <w:right w:val="nil"/>
            </w:tcBorders>
          </w:tcPr>
          <w:p w:rsidR="007114AE" w:rsidRDefault="002435BD" w:rsidP="007114AE">
            <w:pPr>
              <w:pStyle w:val="BStablefigures00"/>
            </w:pPr>
            <w:r>
              <w:t>78</w:t>
            </w:r>
          </w:p>
        </w:tc>
      </w:tr>
      <w:tr w:rsidR="005576C2" w:rsidTr="007114AE">
        <w:trPr>
          <w:trHeight w:val="283"/>
        </w:trPr>
        <w:tc>
          <w:tcPr>
            <w:tcW w:w="2406" w:type="pct"/>
            <w:tcBorders>
              <w:top w:val="nil"/>
              <w:left w:val="nil"/>
              <w:bottom w:val="single" w:sz="12" w:space="0" w:color="000000"/>
              <w:right w:val="nil"/>
            </w:tcBorders>
            <w:hideMark/>
          </w:tcPr>
          <w:p w:rsidR="007114AE" w:rsidRDefault="002435BD" w:rsidP="007114AE">
            <w:pPr>
              <w:pStyle w:val="BStablelist"/>
            </w:pPr>
            <w:r>
              <w:t>Public Housing Renewal Program Delivery</w:t>
            </w:r>
            <w:r>
              <w:rPr>
                <w:vertAlign w:val="superscript"/>
              </w:rPr>
              <w:t>2</w:t>
            </w:r>
          </w:p>
        </w:tc>
        <w:tc>
          <w:tcPr>
            <w:tcW w:w="864" w:type="pct"/>
            <w:tcBorders>
              <w:top w:val="nil"/>
              <w:left w:val="nil"/>
              <w:bottom w:val="single" w:sz="12" w:space="0" w:color="000000"/>
              <w:right w:val="nil"/>
            </w:tcBorders>
          </w:tcPr>
          <w:p w:rsidR="007114AE" w:rsidRDefault="002435BD" w:rsidP="007114AE">
            <w:pPr>
              <w:pStyle w:val="BStablefigures00"/>
            </w:pPr>
            <w:r>
              <w:t>260</w:t>
            </w:r>
          </w:p>
        </w:tc>
        <w:tc>
          <w:tcPr>
            <w:tcW w:w="864" w:type="pct"/>
            <w:tcBorders>
              <w:top w:val="nil"/>
              <w:left w:val="nil"/>
              <w:bottom w:val="single" w:sz="12" w:space="0" w:color="000000"/>
              <w:right w:val="nil"/>
            </w:tcBorders>
          </w:tcPr>
          <w:p w:rsidR="007114AE" w:rsidRDefault="002435BD" w:rsidP="007114AE">
            <w:pPr>
              <w:pStyle w:val="BStablefigures00"/>
            </w:pPr>
            <w:r>
              <w:t>314</w:t>
            </w:r>
          </w:p>
        </w:tc>
        <w:tc>
          <w:tcPr>
            <w:tcW w:w="866" w:type="pct"/>
            <w:tcBorders>
              <w:top w:val="nil"/>
              <w:left w:val="nil"/>
              <w:bottom w:val="single" w:sz="12" w:space="0" w:color="000000"/>
              <w:right w:val="nil"/>
            </w:tcBorders>
          </w:tcPr>
          <w:p w:rsidR="007114AE" w:rsidRDefault="002435BD" w:rsidP="007114AE">
            <w:pPr>
              <w:pStyle w:val="BStablefigures00"/>
            </w:pPr>
            <w:r>
              <w:t>464</w:t>
            </w:r>
          </w:p>
        </w:tc>
      </w:tr>
    </w:tbl>
    <w:p w:rsidR="007114AE" w:rsidRDefault="002435BD" w:rsidP="007114AE">
      <w:pPr>
        <w:pStyle w:val="BSnote2"/>
      </w:pPr>
      <w:r>
        <w:t>Note</w:t>
      </w:r>
      <w:r w:rsidR="00250BBC">
        <w:t>(</w:t>
      </w:r>
      <w:r>
        <w:t>s</w:t>
      </w:r>
      <w:r w:rsidR="00250BBC">
        <w:t>)</w:t>
      </w:r>
      <w:r>
        <w:t>:</w:t>
      </w:r>
    </w:p>
    <w:p w:rsidR="009209C2" w:rsidRDefault="009209C2" w:rsidP="00390DB5">
      <w:pPr>
        <w:pStyle w:val="BSnoteslist20"/>
        <w:keepLines/>
        <w:numPr>
          <w:ilvl w:val="0"/>
          <w:numId w:val="48"/>
        </w:numPr>
      </w:pPr>
      <w:r>
        <w:t>The 2017</w:t>
      </w:r>
      <w:r>
        <w:noBreakHyphen/>
        <w:t xml:space="preserve">18 Targets were amended during the year via a Section 19D instrument under the </w:t>
      </w:r>
      <w:r w:rsidRPr="009209C2">
        <w:rPr>
          <w:i/>
        </w:rPr>
        <w:t>Financial Management Act 1996</w:t>
      </w:r>
      <w:r>
        <w:t>.</w:t>
      </w:r>
    </w:p>
    <w:p w:rsidR="007114AE" w:rsidRDefault="002435BD" w:rsidP="00390DB5">
      <w:pPr>
        <w:pStyle w:val="BSnoteslist20"/>
        <w:keepLines/>
        <w:numPr>
          <w:ilvl w:val="0"/>
          <w:numId w:val="48"/>
        </w:numPr>
      </w:pPr>
      <w:r>
        <w:t>This accountability indicator covers the delivery of the ACT Government’s Public Housing Renewal Program and measures the number of replacement dwellings covered by new contracts in the target year.  This includes dwellings covered by purchasing contracts and dwellings covered by construction contracts.</w:t>
      </w:r>
    </w:p>
    <w:p w:rsidR="007114AE" w:rsidRDefault="002435BD" w:rsidP="007114AE">
      <w:pPr>
        <w:pStyle w:val="BSnoteslist20"/>
        <w:keepLines/>
      </w:pPr>
      <w:r>
        <w:t>This indicator covers the delivery of the ACT Government’s Public Housing Renewal Program and measures the number of replacement dwellings completed and transferred to Housing ACT in the target year.</w:t>
      </w:r>
    </w:p>
    <w:p w:rsidR="007114AE" w:rsidRPr="00D008C8" w:rsidRDefault="002435BD" w:rsidP="002A5CF3">
      <w:pPr>
        <w:pStyle w:val="Heading3"/>
      </w:pPr>
      <w:bookmarkStart w:id="64" w:name="_Toc514763792"/>
      <w:bookmarkStart w:id="65" w:name="_Toc514841021"/>
      <w:r w:rsidRPr="00D008C8">
        <w:t>Output Class EBT: Office of the Commissioner for Sustainability and the Environment</w:t>
      </w:r>
      <w:bookmarkEnd w:id="64"/>
      <w:bookmarkEnd w:id="65"/>
    </w:p>
    <w:p w:rsidR="007114AE" w:rsidRPr="00D008C8" w:rsidRDefault="002435BD" w:rsidP="007114AE">
      <w:pPr>
        <w:pStyle w:val="Heading42"/>
      </w:pPr>
      <w:r w:rsidRPr="00D008C8">
        <w:t>Output EBT 1: Office of the Commissioner for Sustainability and the Environment</w:t>
      </w:r>
    </w:p>
    <w:p w:rsidR="007114AE" w:rsidRDefault="00DC58C5" w:rsidP="007114AE">
      <w:pPr>
        <w:pStyle w:val="Caption2"/>
        <w:rPr>
          <w:noProof/>
        </w:rPr>
      </w:pPr>
      <w:r>
        <w:t>Table 26</w:t>
      </w:r>
      <w:r w:rsidR="002435BD" w:rsidRPr="00D008C8">
        <w:rPr>
          <w:noProof/>
        </w:rPr>
        <w:t>:</w:t>
      </w:r>
      <w:r w:rsidR="002435BD" w:rsidRPr="00D008C8">
        <w:t xml:space="preserve"> Accountability Indicators</w:t>
      </w:r>
      <w:r w:rsidR="002435BD" w:rsidRPr="00D008C8">
        <w:rPr>
          <w:noProof/>
        </w:rPr>
        <w:t xml:space="preserve"> Output EBT 1</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5576C2" w:rsidTr="007114AE">
        <w:trPr>
          <w:tblHeader/>
        </w:trPr>
        <w:tc>
          <w:tcPr>
            <w:tcW w:w="2406" w:type="pct"/>
            <w:tcBorders>
              <w:top w:val="single" w:sz="12" w:space="0" w:color="000000"/>
              <w:left w:val="nil"/>
              <w:bottom w:val="single" w:sz="12" w:space="0" w:color="000000"/>
              <w:right w:val="nil"/>
            </w:tcBorders>
          </w:tcPr>
          <w:p w:rsidR="007114AE" w:rsidRDefault="007114AE" w:rsidP="007114AE">
            <w:pPr>
              <w:pStyle w:val="BStabletext1"/>
            </w:pP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2017-18</w:t>
            </w:r>
          </w:p>
          <w:p w:rsidR="007114AE" w:rsidRDefault="002435BD" w:rsidP="007114AE">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7114AE" w:rsidRDefault="002435BD" w:rsidP="007114AE">
            <w:pPr>
              <w:pStyle w:val="BStableheading11"/>
              <w:framePr w:wrap="around"/>
            </w:pPr>
            <w:r>
              <w:t>2018-19</w:t>
            </w:r>
          </w:p>
          <w:p w:rsidR="007114AE" w:rsidRDefault="002435BD" w:rsidP="007114AE">
            <w:pPr>
              <w:pStyle w:val="BStableheading11"/>
              <w:framePr w:wrap="around"/>
            </w:pPr>
            <w:r>
              <w:t>Targets</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49"/>
              </w:numPr>
            </w:pPr>
            <w:r>
              <w:t xml:space="preserve">Report on the uptake of recommendations on the ACT State of the Environment and special reports as part of the annual report </w:t>
            </w:r>
          </w:p>
        </w:tc>
        <w:tc>
          <w:tcPr>
            <w:tcW w:w="864" w:type="pct"/>
            <w:tcBorders>
              <w:top w:val="nil"/>
              <w:left w:val="nil"/>
              <w:bottom w:val="nil"/>
              <w:right w:val="nil"/>
            </w:tcBorders>
          </w:tcPr>
          <w:p w:rsidR="007114AE" w:rsidRPr="00D008C8" w:rsidRDefault="002435BD" w:rsidP="007114AE">
            <w:pPr>
              <w:pStyle w:val="BStablefigures0"/>
              <w:keepNext/>
              <w:rPr>
                <w:b w:val="0"/>
              </w:rPr>
            </w:pPr>
            <w:r w:rsidRPr="00D008C8">
              <w:rPr>
                <w:b w:val="0"/>
              </w:rPr>
              <w:t>Oct 2017</w:t>
            </w:r>
          </w:p>
        </w:tc>
        <w:tc>
          <w:tcPr>
            <w:tcW w:w="864" w:type="pct"/>
            <w:tcBorders>
              <w:top w:val="nil"/>
              <w:left w:val="nil"/>
              <w:bottom w:val="nil"/>
              <w:right w:val="nil"/>
            </w:tcBorders>
          </w:tcPr>
          <w:p w:rsidR="007114AE" w:rsidRPr="00D008C8" w:rsidRDefault="002435BD" w:rsidP="007114AE">
            <w:pPr>
              <w:pStyle w:val="BStablefigures0"/>
              <w:keepNext/>
              <w:rPr>
                <w:b w:val="0"/>
              </w:rPr>
            </w:pPr>
            <w:r w:rsidRPr="00D008C8">
              <w:rPr>
                <w:b w:val="0"/>
              </w:rPr>
              <w:t>Oct 2017</w:t>
            </w:r>
          </w:p>
        </w:tc>
        <w:tc>
          <w:tcPr>
            <w:tcW w:w="866" w:type="pct"/>
            <w:tcBorders>
              <w:top w:val="nil"/>
              <w:left w:val="nil"/>
              <w:bottom w:val="nil"/>
              <w:right w:val="nil"/>
            </w:tcBorders>
          </w:tcPr>
          <w:p w:rsidR="007114AE" w:rsidRPr="00D008C8" w:rsidRDefault="002435BD" w:rsidP="007114AE">
            <w:pPr>
              <w:pStyle w:val="BStablefigures0"/>
              <w:keepNext/>
              <w:rPr>
                <w:b w:val="0"/>
              </w:rPr>
            </w:pPr>
            <w:r w:rsidRPr="00D008C8">
              <w:rPr>
                <w:b w:val="0"/>
              </w:rPr>
              <w:t>Oct 2018</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50"/>
              </w:numPr>
            </w:pPr>
            <w:r>
              <w:t>Undertake Ministerial initiated investigations in accordance with the Minister’s direction</w:t>
            </w:r>
          </w:p>
        </w:tc>
        <w:tc>
          <w:tcPr>
            <w:tcW w:w="864"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c>
          <w:tcPr>
            <w:tcW w:w="864"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c>
          <w:tcPr>
            <w:tcW w:w="866"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50"/>
              </w:numPr>
            </w:pPr>
            <w:r>
              <w:t>Undertake Commissioner initiated investigations in accordance with the Terms of Reference</w:t>
            </w:r>
          </w:p>
        </w:tc>
        <w:tc>
          <w:tcPr>
            <w:tcW w:w="864"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c>
          <w:tcPr>
            <w:tcW w:w="864"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c>
          <w:tcPr>
            <w:tcW w:w="866"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r>
      <w:tr w:rsidR="005576C2" w:rsidTr="007114AE">
        <w:trPr>
          <w:trHeight w:val="283"/>
        </w:trPr>
        <w:tc>
          <w:tcPr>
            <w:tcW w:w="2406" w:type="pct"/>
            <w:tcBorders>
              <w:top w:val="nil"/>
              <w:left w:val="nil"/>
              <w:bottom w:val="nil"/>
              <w:right w:val="nil"/>
            </w:tcBorders>
            <w:hideMark/>
          </w:tcPr>
          <w:p w:rsidR="007114AE" w:rsidRDefault="002435BD" w:rsidP="00390DB5">
            <w:pPr>
              <w:pStyle w:val="BStablelist"/>
              <w:numPr>
                <w:ilvl w:val="0"/>
                <w:numId w:val="50"/>
              </w:numPr>
            </w:pPr>
            <w:r>
              <w:t>Undertake complaints generated investigations in accordance with the Terms of Reference</w:t>
            </w:r>
          </w:p>
        </w:tc>
        <w:tc>
          <w:tcPr>
            <w:tcW w:w="864"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c>
          <w:tcPr>
            <w:tcW w:w="864"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c>
          <w:tcPr>
            <w:tcW w:w="866" w:type="pct"/>
            <w:tcBorders>
              <w:top w:val="nil"/>
              <w:left w:val="nil"/>
              <w:bottom w:val="nil"/>
              <w:right w:val="nil"/>
            </w:tcBorders>
          </w:tcPr>
          <w:p w:rsidR="007114AE" w:rsidRPr="00D008C8" w:rsidRDefault="002435BD" w:rsidP="007114AE">
            <w:pPr>
              <w:pStyle w:val="BStablefigures0"/>
              <w:rPr>
                <w:b w:val="0"/>
              </w:rPr>
            </w:pPr>
            <w:r w:rsidRPr="00D008C8">
              <w:rPr>
                <w:b w:val="0"/>
              </w:rPr>
              <w:t>100%</w:t>
            </w:r>
          </w:p>
        </w:tc>
      </w:tr>
      <w:tr w:rsidR="005576C2" w:rsidTr="007114AE">
        <w:trPr>
          <w:trHeight w:val="283"/>
        </w:trPr>
        <w:tc>
          <w:tcPr>
            <w:tcW w:w="2406" w:type="pct"/>
            <w:tcBorders>
              <w:top w:val="nil"/>
              <w:left w:val="nil"/>
              <w:bottom w:val="single" w:sz="12" w:space="0" w:color="000000"/>
              <w:right w:val="nil"/>
            </w:tcBorders>
            <w:hideMark/>
          </w:tcPr>
          <w:p w:rsidR="007114AE" w:rsidRDefault="002435BD" w:rsidP="00390DB5">
            <w:pPr>
              <w:pStyle w:val="BStablelist"/>
              <w:numPr>
                <w:ilvl w:val="0"/>
                <w:numId w:val="50"/>
              </w:numPr>
            </w:pPr>
            <w:r>
              <w:t>Report on the complaints about the management of the environment by the Territory or a Territory agency as part of the annual report</w:t>
            </w:r>
          </w:p>
        </w:tc>
        <w:tc>
          <w:tcPr>
            <w:tcW w:w="864" w:type="pct"/>
            <w:tcBorders>
              <w:top w:val="nil"/>
              <w:left w:val="nil"/>
              <w:bottom w:val="single" w:sz="12" w:space="0" w:color="000000"/>
              <w:right w:val="nil"/>
            </w:tcBorders>
          </w:tcPr>
          <w:p w:rsidR="007114AE" w:rsidRPr="00D008C8" w:rsidRDefault="002435BD" w:rsidP="007114AE">
            <w:pPr>
              <w:pStyle w:val="BStablefigures0"/>
              <w:keepNext/>
              <w:rPr>
                <w:b w:val="0"/>
              </w:rPr>
            </w:pPr>
            <w:r w:rsidRPr="00D008C8">
              <w:rPr>
                <w:b w:val="0"/>
              </w:rPr>
              <w:t>Oct 2017</w:t>
            </w:r>
          </w:p>
        </w:tc>
        <w:tc>
          <w:tcPr>
            <w:tcW w:w="864" w:type="pct"/>
            <w:tcBorders>
              <w:top w:val="nil"/>
              <w:left w:val="nil"/>
              <w:bottom w:val="single" w:sz="12" w:space="0" w:color="000000"/>
              <w:right w:val="nil"/>
            </w:tcBorders>
          </w:tcPr>
          <w:p w:rsidR="007114AE" w:rsidRPr="00D008C8" w:rsidRDefault="002435BD" w:rsidP="007114AE">
            <w:pPr>
              <w:pStyle w:val="BStablefigures0"/>
              <w:keepNext/>
              <w:rPr>
                <w:b w:val="0"/>
              </w:rPr>
            </w:pPr>
            <w:r w:rsidRPr="00D008C8">
              <w:rPr>
                <w:b w:val="0"/>
              </w:rPr>
              <w:t>Oct 2017</w:t>
            </w:r>
          </w:p>
        </w:tc>
        <w:tc>
          <w:tcPr>
            <w:tcW w:w="866" w:type="pct"/>
            <w:tcBorders>
              <w:top w:val="nil"/>
              <w:left w:val="nil"/>
              <w:bottom w:val="single" w:sz="12" w:space="0" w:color="000000"/>
              <w:right w:val="nil"/>
            </w:tcBorders>
          </w:tcPr>
          <w:p w:rsidR="007114AE" w:rsidRPr="00D008C8" w:rsidRDefault="002435BD" w:rsidP="007114AE">
            <w:pPr>
              <w:pStyle w:val="BStablefigures0"/>
              <w:keepNext/>
              <w:rPr>
                <w:b w:val="0"/>
              </w:rPr>
            </w:pPr>
            <w:r w:rsidRPr="00D008C8">
              <w:rPr>
                <w:b w:val="0"/>
              </w:rPr>
              <w:t>Oct 2018</w:t>
            </w:r>
          </w:p>
        </w:tc>
      </w:tr>
    </w:tbl>
    <w:p w:rsidR="007114AE" w:rsidRDefault="007114AE" w:rsidP="007114AE">
      <w:pPr>
        <w:pStyle w:val="BSnoteslist2"/>
        <w:keepLines/>
        <w:numPr>
          <w:ilvl w:val="0"/>
          <w:numId w:val="0"/>
        </w:numPr>
        <w:ind w:left="360"/>
      </w:pPr>
    </w:p>
    <w:p w:rsidR="007114AE" w:rsidRPr="002D7CEB" w:rsidRDefault="007114AE" w:rsidP="007114AE">
      <w:pPr>
        <w:pStyle w:val="BSnoteslist2"/>
        <w:keepLines/>
        <w:numPr>
          <w:ilvl w:val="0"/>
          <w:numId w:val="0"/>
        </w:numPr>
        <w:ind w:left="360"/>
      </w:pPr>
    </w:p>
    <w:p w:rsidR="007114AE" w:rsidRPr="002A5CF3" w:rsidRDefault="002435BD" w:rsidP="000529E7">
      <w:pPr>
        <w:pStyle w:val="Heading2"/>
        <w:pageBreakBefore/>
      </w:pPr>
      <w:bookmarkStart w:id="66" w:name="_Toc452467801"/>
      <w:bookmarkStart w:id="67" w:name="_Toc514840948"/>
      <w:bookmarkStart w:id="68" w:name="_Toc514841022"/>
      <w:r w:rsidRPr="002A5CF3">
        <w:t>Changes to Appropriation</w:t>
      </w:r>
      <w:bookmarkEnd w:id="66"/>
      <w:bookmarkEnd w:id="67"/>
      <w:bookmarkEnd w:id="68"/>
    </w:p>
    <w:p w:rsidR="007114AE" w:rsidRPr="00F0682D" w:rsidRDefault="00DC58C5" w:rsidP="007114AE">
      <w:pPr>
        <w:pStyle w:val="Caption"/>
        <w:pBdr>
          <w:top w:val="nil"/>
          <w:left w:val="nil"/>
          <w:bottom w:val="nil"/>
          <w:right w:val="nil"/>
          <w:between w:val="nil"/>
          <w:bar w:val="nil"/>
        </w:pBdr>
        <w:rPr>
          <w:bdr w:val="nil"/>
        </w:rPr>
      </w:pPr>
      <w:r>
        <w:rPr>
          <w:bdr w:val="nil"/>
        </w:rPr>
        <w:t>Table 27</w:t>
      </w:r>
      <w:r w:rsidR="002435BD" w:rsidRPr="00B64095">
        <w:rPr>
          <w:bdr w:val="nil"/>
        </w:rPr>
        <w:t>:</w:t>
      </w:r>
      <w:r w:rsidR="002435BD" w:rsidRPr="00F0682D">
        <w:rPr>
          <w:bdr w:val="nil"/>
        </w:rPr>
        <w:t xml:space="preserve"> Changes to appropriation –</w:t>
      </w:r>
      <w:r w:rsidR="002435BD" w:rsidRPr="00F0682D">
        <w:rPr>
          <w:szCs w:val="20"/>
          <w:bdr w:val="nil"/>
        </w:rPr>
        <w:t xml:space="preserve"> </w:t>
      </w:r>
      <w:r w:rsidR="002435BD" w:rsidRPr="00F0682D">
        <w:rPr>
          <w:bdr w:val="nil"/>
        </w:rPr>
        <w:t>Controlled Recurrent Payments</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5576C2" w:rsidTr="000F7964">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2018-19 Budget</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2019-20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2020-21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2021-22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157,379</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119,020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122,547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118,321</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118,996</w:t>
            </w: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2nd Appropriation</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4800"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Better support when it matters – Housing Innovation Fund</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r>
      <w:tr w:rsidR="005576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Actsmart Programs</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Better Public Housing – New public housing properties</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353</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Canberra Urban and Regional Futures</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62</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411902" w:rsidP="0058341A">
            <w:pPr>
              <w:spacing w:before="0" w:after="0"/>
              <w:rPr>
                <w:rFonts w:eastAsia="Calibri" w:cs="Calibri"/>
                <w:color w:val="000000"/>
                <w:sz w:val="18"/>
              </w:rPr>
            </w:pPr>
            <w:r>
              <w:rPr>
                <w:rFonts w:eastAsia="Calibri" w:cs="Calibri"/>
                <w:color w:val="000000"/>
                <w:sz w:val="18"/>
              </w:rPr>
              <w:t>Caring for our Country Comple</w:t>
            </w:r>
            <w:r w:rsidR="0058341A">
              <w:rPr>
                <w:rFonts w:eastAsia="Calibri" w:cs="Calibri"/>
                <w:color w:val="000000"/>
                <w:sz w:val="18"/>
              </w:rPr>
              <w:t>mentary Investment</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84</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Caring for our Environment – Kangaroo population research and control</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367</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920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Commonwealth Grant – Established Weed and Pest Management</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34</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Digital Canberra – Upgrade of the ACT Government spatial data management system</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159</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Greenfields Planning for Affordable Housing (Early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58</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Implementing Water Reform in the Murray-Darling Basin</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640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Improving Our Suburbs – New Molonglo Valley infrastructure</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Infill Development Infrastructure Studies (Feasibility)</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59</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Loose-fill Asbestos Insulation Eradication Scheme</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622</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Master Planning Program – Group Centres, Transport Corridors and Rural Villages</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172</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Molonglo Valley – Implementation of Commitments in the NES Plan</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80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Securing Electricity Supply in the ACT – Second supply network</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62</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Supporting Aboriginal and Torres Strait Islander Peoples – Kickstarting careers by connecting to culture</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75</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rPr>
                <w:rFonts w:eastAsia="Calibri" w:cs="Calibri"/>
                <w:color w:val="000000"/>
                <w:sz w:val="18"/>
              </w:rPr>
            </w:pPr>
            <w:r>
              <w:rPr>
                <w:rFonts w:eastAsia="Calibri" w:cs="Calibri"/>
                <w:color w:val="000000"/>
                <w:sz w:val="18"/>
              </w:rPr>
              <w:t>Upper Murrumbidgee Waterwatch Program</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74</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Urban Renewal Program – Better Public Housing – Allawah Court</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25</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Urban Renewal Program – Better Public Housing – Karuah</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24</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Urban Renewal Program – Better Public Housing – Owen Flats</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21</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5834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58341A" w:rsidRDefault="0058341A" w:rsidP="0058341A">
            <w:pPr>
              <w:spacing w:before="0" w:after="0"/>
              <w:ind w:left="113" w:hanging="113"/>
              <w:rPr>
                <w:rFonts w:eastAsia="Calibri" w:cs="Calibri"/>
                <w:color w:val="000000"/>
                <w:sz w:val="18"/>
              </w:rPr>
            </w:pPr>
            <w:r>
              <w:rPr>
                <w:rFonts w:eastAsia="Calibri" w:cs="Calibri"/>
                <w:color w:val="000000"/>
                <w:sz w:val="18"/>
              </w:rPr>
              <w:t>Urban Renewal Program – Better Public Housing - Red Hill housing precinct</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592</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8341A" w:rsidRDefault="0058341A" w:rsidP="0058341A">
            <w:pPr>
              <w:spacing w:before="0" w:after="0"/>
              <w:jc w:val="right"/>
              <w:rPr>
                <w:rFonts w:eastAsia="Calibri" w:cs="Calibri"/>
                <w:color w:val="000000"/>
                <w:sz w:val="18"/>
              </w:rPr>
            </w:pPr>
            <w:r>
              <w:rPr>
                <w:rFonts w:eastAsia="Calibri" w:cs="Calibri"/>
                <w:color w:val="000000"/>
                <w:sz w:val="18"/>
              </w:rPr>
              <w:t>0</w:t>
            </w:r>
          </w:p>
        </w:tc>
      </w:tr>
      <w:tr w:rsidR="009209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9209C2" w:rsidRDefault="009209C2" w:rsidP="009209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000000"/>
                <w:sz w:val="18"/>
              </w:rPr>
            </w:pPr>
          </w:p>
        </w:tc>
      </w:tr>
      <w:tr w:rsidR="009209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9209C2" w:rsidRDefault="009209C2" w:rsidP="009209C2">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9209C2" w:rsidRDefault="009209C2" w:rsidP="009209C2">
            <w:pPr>
              <w:spacing w:before="0" w:after="0"/>
              <w:rPr>
                <w:rFonts w:eastAsia="Calibri" w:cs="Calibri"/>
                <w:color w:val="FFFFFF"/>
                <w:sz w:val="18"/>
              </w:rPr>
            </w:pPr>
          </w:p>
        </w:tc>
      </w:tr>
      <w:tr w:rsidR="009209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rPr>
                <w:rFonts w:eastAsia="Calibri" w:cs="Calibri"/>
                <w:color w:val="000000"/>
                <w:sz w:val="18"/>
              </w:rPr>
            </w:pPr>
            <w:r>
              <w:rPr>
                <w:rFonts w:eastAsia="Calibri" w:cs="Calibri"/>
                <w:color w:val="000000"/>
                <w:sz w:val="18"/>
              </w:rPr>
              <w:t>Better Government:</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r>
      <w:tr w:rsidR="009209C2"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841DC6" w:rsidP="009209C2">
            <w:pPr>
              <w:spacing w:before="0" w:after="0"/>
              <w:ind w:left="113"/>
              <w:rPr>
                <w:rFonts w:eastAsia="Calibri" w:cs="Calibri"/>
                <w:color w:val="000000"/>
                <w:sz w:val="18"/>
              </w:rPr>
            </w:pPr>
            <w:r>
              <w:rPr>
                <w:rFonts w:eastAsia="Calibri" w:cs="Calibri"/>
                <w:color w:val="000000"/>
                <w:sz w:val="18"/>
              </w:rPr>
              <w:t>Better telecommunication</w:t>
            </w:r>
            <w:r w:rsidR="009209C2">
              <w:rPr>
                <w:rFonts w:eastAsia="Calibri" w:cs="Calibri"/>
                <w:color w:val="000000"/>
                <w:sz w:val="18"/>
              </w:rPr>
              <w:t xml:space="preserve"> licensing</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142</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r>
      <w:tr w:rsidR="009209C2" w:rsidTr="002A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rPr>
                <w:rFonts w:eastAsia="Calibri" w:cs="Calibri"/>
                <w:color w:val="000000"/>
                <w:sz w:val="18"/>
              </w:rPr>
            </w:pPr>
            <w:r>
              <w:rPr>
                <w:rFonts w:eastAsia="Calibri" w:cs="Calibri"/>
                <w:color w:val="000000"/>
                <w:sz w:val="18"/>
              </w:rPr>
              <w:t>Carbon Neutral ACT Government Program improvements</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814</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r>
      <w:tr w:rsidR="009209C2" w:rsidTr="002A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rPr>
                <w:rFonts w:eastAsia="Calibri" w:cs="Calibri"/>
                <w:color w:val="000000"/>
                <w:sz w:val="18"/>
              </w:rPr>
            </w:pPr>
            <w:r>
              <w:rPr>
                <w:rFonts w:eastAsia="Calibri" w:cs="Calibri"/>
                <w:color w:val="000000"/>
                <w:sz w:val="18"/>
              </w:rPr>
              <w:t>Engineer Registration Scheme – early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35</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407</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r>
      <w:tr w:rsidR="009209C2" w:rsidTr="002A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hanging="113"/>
              <w:rPr>
                <w:rFonts w:eastAsia="Calibri" w:cs="Calibri"/>
                <w:color w:val="000000"/>
                <w:sz w:val="18"/>
              </w:rPr>
            </w:pPr>
            <w:r>
              <w:rPr>
                <w:rFonts w:eastAsia="Calibri" w:cs="Calibri"/>
                <w:color w:val="000000"/>
                <w:sz w:val="18"/>
              </w:rPr>
              <w:t>Keeping our growing city moving:</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r>
      <w:tr w:rsidR="009209C2" w:rsidTr="002A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rPr>
                <w:rFonts w:eastAsia="Calibri" w:cs="Calibri"/>
                <w:color w:val="000000"/>
                <w:sz w:val="18"/>
              </w:rPr>
            </w:pPr>
            <w:r>
              <w:rPr>
                <w:rFonts w:eastAsia="Calibri" w:cs="Calibri"/>
                <w:color w:val="000000"/>
                <w:sz w:val="18"/>
              </w:rPr>
              <w:t>Antill Street Sewer – design works</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184</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r>
      <w:tr w:rsidR="009209C2" w:rsidTr="002A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rPr>
                <w:rFonts w:eastAsia="Calibri" w:cs="Calibri"/>
                <w:color w:val="000000"/>
                <w:sz w:val="18"/>
              </w:rPr>
            </w:pPr>
            <w:r>
              <w:rPr>
                <w:rFonts w:eastAsia="Calibri" w:cs="Calibri"/>
                <w:color w:val="000000"/>
                <w:sz w:val="18"/>
              </w:rPr>
              <w:t>National Capital City Design Review Panel</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248</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252</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244</w:t>
            </w:r>
          </w:p>
        </w:tc>
      </w:tr>
      <w:tr w:rsidR="009209C2" w:rsidTr="002A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hanging="113"/>
              <w:rPr>
                <w:rFonts w:eastAsia="Calibri" w:cs="Calibri"/>
                <w:color w:val="000000"/>
                <w:sz w:val="18"/>
              </w:rPr>
            </w:pPr>
            <w:r>
              <w:rPr>
                <w:rFonts w:eastAsia="Calibri" w:cs="Calibri"/>
                <w:color w:val="000000"/>
                <w:sz w:val="18"/>
              </w:rPr>
              <w:t>More jobs for our growing city:</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r>
      <w:tr w:rsidR="009209C2" w:rsidTr="002A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EC14E6">
            <w:pPr>
              <w:spacing w:before="0" w:after="0"/>
              <w:ind w:left="226" w:hanging="113"/>
              <w:rPr>
                <w:rFonts w:eastAsia="Calibri" w:cs="Calibri"/>
                <w:color w:val="000000"/>
                <w:sz w:val="18"/>
              </w:rPr>
            </w:pPr>
            <w:r>
              <w:rPr>
                <w:rFonts w:eastAsia="Calibri" w:cs="Calibri"/>
                <w:color w:val="000000"/>
                <w:sz w:val="18"/>
              </w:rPr>
              <w:t>Aboriginal and Torres Strait Islander Arts Officer – Contribution to CMTEDD</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-6</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-8</w:t>
            </w:r>
          </w:p>
        </w:tc>
      </w:tr>
      <w:tr w:rsidR="00257ED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57EDA" w:rsidRDefault="00257EDA" w:rsidP="00257EDA">
            <w:pPr>
              <w:spacing w:before="0" w:after="0"/>
              <w:ind w:left="113"/>
              <w:rPr>
                <w:rFonts w:eastAsia="Calibri" w:cs="Calibri"/>
                <w:color w:val="000000"/>
                <w:sz w:val="18"/>
              </w:rPr>
            </w:pPr>
            <w:r>
              <w:rPr>
                <w:rFonts w:eastAsia="Calibri" w:cs="Calibri"/>
                <w:color w:val="000000"/>
                <w:sz w:val="18"/>
              </w:rPr>
              <w:t>Protecting the Murrumbidgee River Corridor</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75</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r>
      <w:tr w:rsidR="00C879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Supporting a sustainable community</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661</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0F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Urban renewal in Kenny – early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bl>
    <w:p w:rsidR="000F7964" w:rsidRPr="000F7964" w:rsidRDefault="00DC58C5" w:rsidP="000F7964">
      <w:pPr>
        <w:pStyle w:val="Caption"/>
        <w:pBdr>
          <w:top w:val="nil"/>
          <w:left w:val="nil"/>
          <w:bottom w:val="nil"/>
          <w:right w:val="nil"/>
          <w:between w:val="nil"/>
          <w:bar w:val="nil"/>
        </w:pBdr>
        <w:rPr>
          <w:bdr w:val="nil"/>
        </w:rPr>
      </w:pPr>
      <w:r>
        <w:rPr>
          <w:bdr w:val="nil"/>
        </w:rPr>
        <w:t>Table 27</w:t>
      </w:r>
      <w:r w:rsidR="000F7964" w:rsidRPr="00B64095">
        <w:rPr>
          <w:bdr w:val="nil"/>
        </w:rPr>
        <w:t>:</w:t>
      </w:r>
      <w:r w:rsidR="000F7964" w:rsidRPr="00F0682D">
        <w:rPr>
          <w:bdr w:val="nil"/>
        </w:rPr>
        <w:t xml:space="preserve"> Changes to appropriation –</w:t>
      </w:r>
      <w:r w:rsidR="000F7964" w:rsidRPr="00F0682D">
        <w:rPr>
          <w:szCs w:val="20"/>
          <w:bdr w:val="nil"/>
        </w:rPr>
        <w:t xml:space="preserve"> </w:t>
      </w:r>
      <w:r w:rsidR="000F7964" w:rsidRPr="00F0682D">
        <w:rPr>
          <w:bdr w:val="nil"/>
        </w:rPr>
        <w:t>Controlled Recurrent Payments</w:t>
      </w:r>
      <w:r w:rsidR="000F7964">
        <w:rPr>
          <w:bdr w:val="nil"/>
        </w:rPr>
        <w:t xml:space="preserve"> (continued)</w:t>
      </w:r>
    </w:p>
    <w:tbl>
      <w:tblPr>
        <w:tblStyle w:val="CDMRange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00"/>
        <w:gridCol w:w="1035"/>
        <w:gridCol w:w="1035"/>
        <w:gridCol w:w="1035"/>
        <w:gridCol w:w="1035"/>
        <w:gridCol w:w="1035"/>
      </w:tblGrid>
      <w:tr w:rsidR="000F7964" w:rsidTr="000F7964">
        <w:trPr>
          <w:trHeight w:val="480"/>
        </w:trPr>
        <w:tc>
          <w:tcPr>
            <w:tcW w:w="4800" w:type="dxa"/>
            <w:tcBorders>
              <w:top w:val="single" w:sz="12" w:space="0" w:color="auto"/>
              <w:left w:val="nil"/>
              <w:bottom w:val="single" w:sz="12" w:space="0" w:color="auto"/>
              <w:right w:val="nil"/>
              <w:tl2br w:val="nil"/>
              <w:tr2bl w:val="nil"/>
            </w:tcBorders>
            <w:shd w:val="clear" w:color="auto" w:fill="auto"/>
            <w:tcMar>
              <w:left w:w="101" w:type="dxa"/>
              <w:right w:w="101" w:type="dxa"/>
            </w:tcMar>
            <w:vAlign w:val="bottom"/>
          </w:tcPr>
          <w:p w:rsidR="000F7964" w:rsidRDefault="000F7964" w:rsidP="000F7964">
            <w:pPr>
              <w:spacing w:before="0" w:after="0"/>
              <w:rPr>
                <w:rFonts w:eastAsia="Calibri" w:cs="Calibri"/>
                <w:color w:val="000000"/>
                <w:sz w:val="18"/>
              </w:rPr>
            </w:pP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b/>
                <w:color w:val="000000"/>
                <w:sz w:val="18"/>
              </w:rPr>
            </w:pPr>
            <w:r>
              <w:rPr>
                <w:rFonts w:eastAsia="Calibri" w:cs="Calibri"/>
                <w:b/>
                <w:color w:val="000000"/>
                <w:sz w:val="18"/>
              </w:rPr>
              <w:t>2017-18 Estimated Outcome</w:t>
            </w:r>
          </w:p>
          <w:p w:rsidR="000F7964" w:rsidRDefault="000F7964" w:rsidP="000F79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b/>
                <w:color w:val="000000"/>
                <w:sz w:val="18"/>
              </w:rPr>
            </w:pPr>
            <w:r>
              <w:rPr>
                <w:rFonts w:eastAsia="Calibri" w:cs="Calibri"/>
                <w:b/>
                <w:color w:val="000000"/>
                <w:sz w:val="18"/>
              </w:rPr>
              <w:t>2018-19 Budget</w:t>
            </w:r>
          </w:p>
          <w:p w:rsidR="000F7964" w:rsidRDefault="000F7964" w:rsidP="000F7964">
            <w:pPr>
              <w:spacing w:before="0" w:after="0"/>
              <w:jc w:val="right"/>
              <w:rPr>
                <w:rFonts w:eastAsia="Calibri" w:cs="Calibri"/>
                <w:b/>
                <w:color w:val="000000"/>
                <w:sz w:val="18"/>
              </w:rPr>
            </w:pPr>
          </w:p>
          <w:p w:rsidR="000F7964" w:rsidRDefault="000F7964" w:rsidP="000F79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b/>
                <w:color w:val="000000"/>
                <w:sz w:val="18"/>
              </w:rPr>
            </w:pPr>
            <w:r>
              <w:rPr>
                <w:rFonts w:eastAsia="Calibri" w:cs="Calibri"/>
                <w:b/>
                <w:color w:val="000000"/>
                <w:sz w:val="18"/>
              </w:rPr>
              <w:t>2019-20 Estimate</w:t>
            </w:r>
          </w:p>
          <w:p w:rsidR="000F7964" w:rsidRDefault="000F7964" w:rsidP="000F7964">
            <w:pPr>
              <w:spacing w:before="0" w:after="0"/>
              <w:jc w:val="right"/>
              <w:rPr>
                <w:rFonts w:eastAsia="Calibri" w:cs="Calibri"/>
                <w:b/>
                <w:color w:val="000000"/>
                <w:sz w:val="18"/>
              </w:rPr>
            </w:pPr>
          </w:p>
          <w:p w:rsidR="000F7964" w:rsidRDefault="000F7964" w:rsidP="000F79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b/>
                <w:color w:val="000000"/>
                <w:sz w:val="18"/>
              </w:rPr>
            </w:pPr>
            <w:r>
              <w:rPr>
                <w:rFonts w:eastAsia="Calibri" w:cs="Calibri"/>
                <w:b/>
                <w:color w:val="000000"/>
                <w:sz w:val="18"/>
              </w:rPr>
              <w:t>2020-21 Estimate</w:t>
            </w:r>
          </w:p>
          <w:p w:rsidR="000F7964" w:rsidRDefault="000F7964" w:rsidP="000F7964">
            <w:pPr>
              <w:spacing w:before="0" w:after="0"/>
              <w:jc w:val="right"/>
              <w:rPr>
                <w:rFonts w:eastAsia="Calibri" w:cs="Calibri"/>
                <w:b/>
                <w:color w:val="000000"/>
                <w:sz w:val="18"/>
              </w:rPr>
            </w:pPr>
          </w:p>
          <w:p w:rsidR="000F7964" w:rsidRDefault="000F7964" w:rsidP="000F79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b/>
                <w:color w:val="000000"/>
                <w:sz w:val="18"/>
              </w:rPr>
            </w:pPr>
            <w:r>
              <w:rPr>
                <w:rFonts w:eastAsia="Calibri" w:cs="Calibri"/>
                <w:b/>
                <w:color w:val="000000"/>
                <w:sz w:val="18"/>
              </w:rPr>
              <w:t>2021-22 Estimate</w:t>
            </w:r>
          </w:p>
          <w:p w:rsidR="000F7964" w:rsidRDefault="000F7964" w:rsidP="000F7964">
            <w:pPr>
              <w:spacing w:before="0" w:after="0"/>
              <w:jc w:val="right"/>
              <w:rPr>
                <w:rFonts w:eastAsia="Calibri" w:cs="Calibri"/>
                <w:b/>
                <w:color w:val="000000"/>
                <w:sz w:val="18"/>
              </w:rPr>
            </w:pPr>
          </w:p>
          <w:p w:rsidR="000F7964" w:rsidRDefault="000F7964" w:rsidP="000F7964">
            <w:pPr>
              <w:spacing w:before="0" w:after="0"/>
              <w:jc w:val="right"/>
              <w:rPr>
                <w:rFonts w:eastAsia="Calibri" w:cs="Calibri"/>
                <w:b/>
                <w:color w:val="000000"/>
                <w:sz w:val="18"/>
              </w:rPr>
            </w:pPr>
            <w:r>
              <w:rPr>
                <w:rFonts w:eastAsia="Calibri" w:cs="Calibri"/>
                <w:b/>
                <w:color w:val="000000"/>
                <w:sz w:val="18"/>
              </w:rPr>
              <w:t>$'000</w:t>
            </w:r>
          </w:p>
        </w:tc>
      </w:tr>
      <w:tr w:rsidR="00E427DD" w:rsidTr="00E427DD">
        <w:trPr>
          <w:trHeight w:val="155"/>
        </w:trPr>
        <w:tc>
          <w:tcPr>
            <w:tcW w:w="4800" w:type="dxa"/>
            <w:tcBorders>
              <w:top w:val="nil"/>
              <w:left w:val="nil"/>
              <w:bottom w:val="nil"/>
              <w:right w:val="nil"/>
              <w:tl2br w:val="nil"/>
              <w:tr2bl w:val="nil"/>
            </w:tcBorders>
            <w:shd w:val="clear" w:color="auto" w:fill="auto"/>
            <w:tcMar>
              <w:left w:w="101" w:type="dxa"/>
              <w:right w:w="101" w:type="dxa"/>
            </w:tcMar>
          </w:tcPr>
          <w:p w:rsidR="00E427DD" w:rsidRDefault="00E427DD" w:rsidP="000F7964">
            <w:pPr>
              <w:spacing w:before="0" w:after="0"/>
              <w:ind w:left="113" w:hanging="113"/>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E427DD" w:rsidRDefault="00E427DD" w:rsidP="000F79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E427DD" w:rsidRDefault="00E427DD" w:rsidP="000F79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E427DD" w:rsidRDefault="00E427DD" w:rsidP="000F79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E427DD" w:rsidRDefault="00E427DD" w:rsidP="000F79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E427DD" w:rsidRDefault="00E427DD" w:rsidP="000F7964">
            <w:pPr>
              <w:spacing w:before="0" w:after="0"/>
              <w:jc w:val="right"/>
              <w:rPr>
                <w:rFonts w:eastAsia="Calibri" w:cs="Calibri"/>
                <w:color w:val="000000"/>
                <w:sz w:val="18"/>
              </w:rPr>
            </w:pPr>
          </w:p>
        </w:tc>
      </w:tr>
      <w:tr w:rsidR="009209C2" w:rsidTr="00D55240">
        <w:trPr>
          <w:trHeight w:val="104"/>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hanging="113"/>
              <w:rPr>
                <w:rFonts w:eastAsia="Calibri" w:cs="Calibri"/>
                <w:color w:val="000000"/>
                <w:sz w:val="18"/>
              </w:rPr>
            </w:pPr>
            <w:r>
              <w:rPr>
                <w:rFonts w:eastAsia="Calibri" w:cs="Calibri"/>
                <w:color w:val="000000"/>
                <w:sz w:val="18"/>
              </w:rPr>
              <w:t>More services for our suburbs:</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p>
        </w:tc>
      </w:tr>
      <w:tr w:rsidR="009209C2" w:rsidTr="00D55240">
        <w:trPr>
          <w:trHeight w:val="55"/>
        </w:trPr>
        <w:tc>
          <w:tcPr>
            <w:tcW w:w="4800" w:type="dxa"/>
            <w:tcBorders>
              <w:top w:val="nil"/>
              <w:left w:val="nil"/>
              <w:bottom w:val="nil"/>
              <w:right w:val="nil"/>
              <w:tl2br w:val="nil"/>
              <w:tr2bl w:val="nil"/>
            </w:tcBorders>
            <w:shd w:val="clear" w:color="auto" w:fill="auto"/>
            <w:tcMar>
              <w:left w:w="101" w:type="dxa"/>
              <w:right w:w="101" w:type="dxa"/>
            </w:tcMar>
          </w:tcPr>
          <w:p w:rsidR="009209C2" w:rsidRDefault="009209C2" w:rsidP="009209C2">
            <w:pPr>
              <w:spacing w:before="0" w:after="0"/>
              <w:ind w:left="113"/>
              <w:rPr>
                <w:rFonts w:eastAsia="Calibri" w:cs="Calibri"/>
                <w:color w:val="000000"/>
                <w:sz w:val="18"/>
              </w:rPr>
            </w:pPr>
            <w:r>
              <w:rPr>
                <w:rFonts w:eastAsia="Calibri" w:cs="Calibri"/>
                <w:color w:val="000000"/>
                <w:sz w:val="18"/>
              </w:rPr>
              <w:t>Aerial imagery for better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58341A" w:rsidP="009209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410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400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420</w:t>
            </w:r>
          </w:p>
        </w:tc>
        <w:tc>
          <w:tcPr>
            <w:tcW w:w="1035" w:type="dxa"/>
            <w:tcBorders>
              <w:top w:val="nil"/>
              <w:left w:val="nil"/>
              <w:bottom w:val="nil"/>
              <w:right w:val="nil"/>
              <w:tl2br w:val="nil"/>
              <w:tr2bl w:val="nil"/>
            </w:tcBorders>
            <w:shd w:val="clear" w:color="auto" w:fill="auto"/>
            <w:noWrap/>
            <w:tcMar>
              <w:left w:w="101" w:type="dxa"/>
              <w:right w:w="101" w:type="dxa"/>
            </w:tcMar>
          </w:tcPr>
          <w:p w:rsidR="009209C2" w:rsidRDefault="009209C2" w:rsidP="009209C2">
            <w:pPr>
              <w:spacing w:before="0" w:after="0"/>
              <w:jc w:val="right"/>
              <w:rPr>
                <w:rFonts w:eastAsia="Calibri" w:cs="Calibri"/>
                <w:color w:val="000000"/>
                <w:sz w:val="18"/>
              </w:rPr>
            </w:pPr>
            <w:r>
              <w:rPr>
                <w:rFonts w:eastAsia="Calibri" w:cs="Calibri"/>
                <w:color w:val="000000"/>
                <w:sz w:val="18"/>
              </w:rPr>
              <w:t>56</w:t>
            </w:r>
          </w:p>
        </w:tc>
      </w:tr>
      <w:tr w:rsidR="00257EDA" w:rsidTr="000F7964">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57EDA" w:rsidRDefault="006F3E26" w:rsidP="00257EDA">
            <w:pPr>
              <w:spacing w:before="0" w:after="0"/>
              <w:ind w:left="113"/>
              <w:rPr>
                <w:rFonts w:eastAsia="Calibri" w:cs="Calibri"/>
                <w:color w:val="000000"/>
                <w:sz w:val="18"/>
              </w:rPr>
            </w:pPr>
            <w:r>
              <w:rPr>
                <w:rFonts w:eastAsia="Calibri" w:cs="Calibri"/>
                <w:color w:val="000000"/>
                <w:sz w:val="18"/>
              </w:rPr>
              <w:t>Better public pl</w:t>
            </w:r>
            <w:r w:rsidR="00257EDA">
              <w:rPr>
                <w:rFonts w:eastAsia="Calibri" w:cs="Calibri"/>
                <w:color w:val="000000"/>
                <w:sz w:val="18"/>
              </w:rPr>
              <w:t>aces</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r>
      <w:tr w:rsidR="00257EDA" w:rsidTr="000F7964">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257EDA" w:rsidRDefault="00257EDA" w:rsidP="00257EDA">
            <w:pPr>
              <w:spacing w:before="0" w:after="0"/>
              <w:ind w:left="113"/>
              <w:rPr>
                <w:rFonts w:eastAsia="Calibri" w:cs="Calibri"/>
                <w:color w:val="000000"/>
                <w:sz w:val="18"/>
              </w:rPr>
            </w:pPr>
            <w:r>
              <w:rPr>
                <w:rFonts w:eastAsia="Calibri" w:cs="Calibri"/>
                <w:color w:val="000000"/>
                <w:sz w:val="18"/>
              </w:rPr>
              <w:t>Cleaning up carp</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153</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156</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160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r>
      <w:tr w:rsidR="00257EDA" w:rsidTr="00D55240">
        <w:trPr>
          <w:trHeight w:val="142"/>
        </w:trPr>
        <w:tc>
          <w:tcPr>
            <w:tcW w:w="4800" w:type="dxa"/>
            <w:tcBorders>
              <w:top w:val="nil"/>
              <w:left w:val="nil"/>
              <w:bottom w:val="nil"/>
              <w:right w:val="nil"/>
              <w:tl2br w:val="nil"/>
              <w:tr2bl w:val="nil"/>
            </w:tcBorders>
            <w:shd w:val="clear" w:color="auto" w:fill="auto"/>
            <w:tcMar>
              <w:left w:w="101" w:type="dxa"/>
              <w:right w:w="101" w:type="dxa"/>
            </w:tcMar>
          </w:tcPr>
          <w:p w:rsidR="00257EDA" w:rsidRDefault="00257EDA" w:rsidP="00257EDA">
            <w:pPr>
              <w:spacing w:before="0" w:after="0"/>
              <w:ind w:left="113"/>
              <w:rPr>
                <w:rFonts w:eastAsia="Calibri" w:cs="Calibri"/>
                <w:color w:val="000000"/>
                <w:sz w:val="18"/>
              </w:rPr>
            </w:pPr>
            <w:r>
              <w:rPr>
                <w:rFonts w:eastAsia="Calibri" w:cs="Calibri"/>
                <w:color w:val="000000"/>
                <w:sz w:val="18"/>
              </w:rPr>
              <w:t>Due diligence for urban renewal</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1,499</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r>
      <w:tr w:rsidR="00257EDA" w:rsidTr="00D55240">
        <w:trPr>
          <w:trHeight w:val="203"/>
        </w:trPr>
        <w:tc>
          <w:tcPr>
            <w:tcW w:w="4800" w:type="dxa"/>
            <w:tcBorders>
              <w:top w:val="nil"/>
              <w:left w:val="nil"/>
              <w:bottom w:val="nil"/>
              <w:right w:val="nil"/>
              <w:tl2br w:val="nil"/>
              <w:tr2bl w:val="nil"/>
            </w:tcBorders>
            <w:shd w:val="clear" w:color="auto" w:fill="auto"/>
            <w:tcMar>
              <w:left w:w="101" w:type="dxa"/>
              <w:right w:w="101" w:type="dxa"/>
            </w:tcMar>
          </w:tcPr>
          <w:p w:rsidR="00257EDA" w:rsidRDefault="00257EDA" w:rsidP="00257EDA">
            <w:pPr>
              <w:spacing w:before="0" w:after="0"/>
              <w:ind w:left="113"/>
              <w:rPr>
                <w:rFonts w:eastAsia="Calibri" w:cs="Calibri"/>
                <w:color w:val="000000"/>
                <w:sz w:val="18"/>
              </w:rPr>
            </w:pPr>
            <w:r>
              <w:rPr>
                <w:rFonts w:eastAsia="Calibri" w:cs="Calibri"/>
                <w:color w:val="000000"/>
                <w:sz w:val="18"/>
              </w:rPr>
              <w:t>Ecotourism Woodlands Learning Centre</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r>
      <w:tr w:rsidR="00257EDA" w:rsidTr="00D55240">
        <w:trPr>
          <w:trHeight w:val="203"/>
        </w:trPr>
        <w:tc>
          <w:tcPr>
            <w:tcW w:w="4800" w:type="dxa"/>
            <w:tcBorders>
              <w:top w:val="nil"/>
              <w:left w:val="nil"/>
              <w:bottom w:val="nil"/>
              <w:right w:val="nil"/>
              <w:tl2br w:val="nil"/>
              <w:tr2bl w:val="nil"/>
            </w:tcBorders>
            <w:shd w:val="clear" w:color="auto" w:fill="auto"/>
            <w:tcMar>
              <w:left w:w="101" w:type="dxa"/>
              <w:right w:w="101" w:type="dxa"/>
            </w:tcMar>
          </w:tcPr>
          <w:p w:rsidR="00257EDA" w:rsidRDefault="00257EDA" w:rsidP="00257EDA">
            <w:pPr>
              <w:spacing w:before="0" w:after="0"/>
              <w:ind w:left="113"/>
              <w:rPr>
                <w:rFonts w:eastAsia="Calibri" w:cs="Calibri"/>
                <w:color w:val="000000"/>
                <w:sz w:val="18"/>
              </w:rPr>
            </w:pPr>
            <w:r>
              <w:rPr>
                <w:rFonts w:eastAsia="Calibri" w:cs="Calibri"/>
                <w:color w:val="000000"/>
                <w:sz w:val="18"/>
              </w:rPr>
              <w:t>Equestrian infrastructure</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257EDA" w:rsidRDefault="00257EDA" w:rsidP="00257ED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134"/>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Establishing the Molonglo River Reserve</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19</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37</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62</w:t>
            </w:r>
          </w:p>
        </w:tc>
      </w:tr>
      <w:tr w:rsidR="00C8791A" w:rsidTr="00D55240">
        <w:trPr>
          <w:trHeight w:val="134"/>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Healthier catchments through better water management</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120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5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Improved conservation management</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91</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221</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260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277</w:t>
            </w:r>
          </w:p>
        </w:tc>
      </w:tr>
      <w:tr w:rsidR="00C8791A" w:rsidTr="00D55240">
        <w:trPr>
          <w:trHeight w:val="113"/>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Protecting local catchments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352</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113"/>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Protecting Mulligans Flat Woodland Sanctuary from pests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255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189</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154</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113"/>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Protecting native species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975</w:t>
            </w:r>
          </w:p>
        </w:tc>
      </w:tr>
      <w:tr w:rsidR="00C8791A" w:rsidTr="00D55240">
        <w:trPr>
          <w:trHeight w:val="172"/>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Sullivans Creek Flood Management Plan</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172"/>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Urban renewal in Dickson</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1,006</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91"/>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More support for families and the vulnerable:</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p>
        </w:tc>
      </w:tr>
      <w:tr w:rsidR="00C8791A" w:rsidTr="00D55240">
        <w:trPr>
          <w:trHeight w:val="16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Innovation in housing choices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125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22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rPr>
                <w:rFonts w:eastAsia="Calibri" w:cs="Calibri"/>
                <w:color w:val="000000"/>
                <w:sz w:val="18"/>
              </w:rPr>
            </w:pPr>
            <w:r>
              <w:rPr>
                <w:rFonts w:eastAsia="Calibri" w:cs="Calibri"/>
                <w:color w:val="000000"/>
                <w:sz w:val="18"/>
              </w:rPr>
              <w:t>Innovation to boost affordable housing</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0F7964">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C8791A" w:rsidRDefault="00C8791A" w:rsidP="00C8791A">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000000"/>
                <w:sz w:val="18"/>
              </w:rPr>
            </w:pPr>
          </w:p>
        </w:tc>
      </w:tr>
      <w:tr w:rsidR="00C8791A" w:rsidTr="000F7964">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C8791A" w:rsidRDefault="00C8791A" w:rsidP="00C8791A">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C8791A" w:rsidRDefault="00C8791A" w:rsidP="00C8791A">
            <w:pPr>
              <w:spacing w:before="0" w:after="0"/>
              <w:rPr>
                <w:rFonts w:eastAsia="Calibri" w:cs="Calibri"/>
                <w:color w:val="FFFFFF"/>
                <w:sz w:val="18"/>
              </w:rPr>
            </w:pPr>
          </w:p>
        </w:tc>
      </w:tr>
      <w:tr w:rsidR="00C8791A" w:rsidTr="00D55240">
        <w:trPr>
          <w:trHeight w:val="23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Cessation – University of Canberra – Support for Student Accommodation Projects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-794</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-814</w:t>
            </w:r>
          </w:p>
        </w:tc>
      </w:tr>
      <w:tr w:rsidR="00C8791A" w:rsidTr="00D55240">
        <w:trPr>
          <w:trHeight w:val="23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rPr>
                <w:rFonts w:eastAsia="Calibri" w:cs="Calibri"/>
                <w:color w:val="000000"/>
                <w:sz w:val="18"/>
              </w:rPr>
            </w:pPr>
            <w:r>
              <w:rPr>
                <w:rFonts w:eastAsia="Calibri" w:cs="Calibri"/>
                <w:color w:val="000000"/>
                <w:sz w:val="18"/>
              </w:rPr>
              <w:t>Comcare Premium Reduction</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-305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23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Commonwealth Grant - Established Pest and Weed Management</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-21</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-21</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23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rPr>
                <w:rFonts w:eastAsia="Calibri" w:cs="Calibri"/>
                <w:color w:val="000000"/>
                <w:sz w:val="18"/>
              </w:rPr>
            </w:pPr>
            <w:r>
              <w:rPr>
                <w:rFonts w:eastAsia="Calibri" w:cs="Calibri"/>
                <w:color w:val="000000"/>
                <w:sz w:val="18"/>
              </w:rPr>
              <w:t>General Savings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-424</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-3,415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-926</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-947</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-858</w:t>
            </w:r>
          </w:p>
        </w:tc>
      </w:tr>
      <w:tr w:rsidR="00C8791A" w:rsidTr="00D55240">
        <w:trPr>
          <w:trHeight w:val="23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Better services in your community – Community participation in net zero emissions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9</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23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Better services in your community – Implementation of ACT Climate Change Adaptation Strategy</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-350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D55240">
        <w:trPr>
          <w:trHeight w:val="23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Better services in your community – Improving sustainability through innovative financing</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885E9C">
        <w:trPr>
          <w:trHeight w:val="338"/>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Better services in your community – Managing native wildlife</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-198</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198</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885E9C">
        <w:trPr>
          <w:trHeight w:val="43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Better services in your community – Reviewing the ACT energy rating disclosure scheme</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885E9C">
        <w:trPr>
          <w:trHeight w:val="407"/>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Better support when it matters – Housing Innovation Fund</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0F7964">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Better support when it matters – Public Housing Renewal – New and better properties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-507</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-1,288</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1,795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885E9C">
        <w:trPr>
          <w:trHeight w:val="334"/>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Building a better city –  Building Regulation Reform</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-225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225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885E9C">
        <w:trPr>
          <w:trHeight w:val="326"/>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Building a better city – Bindubi Street extension – Early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-295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195</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885E9C">
        <w:trPr>
          <w:trHeight w:val="305"/>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Building a better city – Building audits</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-1,000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600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400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0F7964">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Building a better city – Molonglo East-West arterial road – Early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-198</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0F7964">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Building a better city - William Hovell Drive upgrade – Early planning</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0F7964">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Caring for our Country Complimentary Investment</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r w:rsidR="00C8791A" w:rsidTr="000F7964">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C8791A" w:rsidRDefault="00C8791A" w:rsidP="00C8791A">
            <w:pPr>
              <w:spacing w:before="0" w:after="0"/>
              <w:ind w:left="113" w:hanging="113"/>
              <w:rPr>
                <w:rFonts w:eastAsia="Calibri" w:cs="Calibri"/>
                <w:color w:val="000000"/>
                <w:sz w:val="18"/>
              </w:rPr>
            </w:pPr>
            <w:r>
              <w:rPr>
                <w:rFonts w:eastAsia="Calibri" w:cs="Calibri"/>
                <w:color w:val="000000"/>
                <w:sz w:val="18"/>
              </w:rPr>
              <w:t>Revised Funding Profile – Implementing Water Reform in the Murray-Darling Basin</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-400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400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8791A" w:rsidRDefault="00C8791A" w:rsidP="00C8791A">
            <w:pPr>
              <w:spacing w:before="0" w:after="0"/>
              <w:jc w:val="right"/>
              <w:rPr>
                <w:rFonts w:eastAsia="Calibri" w:cs="Calibri"/>
                <w:color w:val="000000"/>
                <w:sz w:val="18"/>
              </w:rPr>
            </w:pPr>
            <w:r>
              <w:rPr>
                <w:rFonts w:eastAsia="Calibri" w:cs="Calibri"/>
                <w:color w:val="000000"/>
                <w:sz w:val="18"/>
              </w:rPr>
              <w:t>0</w:t>
            </w:r>
          </w:p>
        </w:tc>
      </w:tr>
    </w:tbl>
    <w:p w:rsidR="00885E9C" w:rsidRPr="00885E9C" w:rsidRDefault="00885E9C" w:rsidP="00885E9C">
      <w:pPr>
        <w:pStyle w:val="Caption"/>
        <w:pBdr>
          <w:top w:val="nil"/>
          <w:left w:val="nil"/>
          <w:bottom w:val="nil"/>
          <w:right w:val="nil"/>
          <w:between w:val="nil"/>
          <w:bar w:val="nil"/>
        </w:pBdr>
        <w:rPr>
          <w:bdr w:val="nil"/>
        </w:rPr>
      </w:pPr>
      <w:r w:rsidRPr="00B64095">
        <w:rPr>
          <w:bdr w:val="nil"/>
        </w:rPr>
        <w:t>T</w:t>
      </w:r>
      <w:r w:rsidR="00DC58C5">
        <w:rPr>
          <w:bdr w:val="nil"/>
        </w:rPr>
        <w:t>able 27</w:t>
      </w:r>
      <w:r w:rsidRPr="00B64095">
        <w:rPr>
          <w:bdr w:val="nil"/>
        </w:rPr>
        <w:t>:</w:t>
      </w:r>
      <w:r w:rsidRPr="00F0682D">
        <w:rPr>
          <w:bdr w:val="nil"/>
        </w:rPr>
        <w:t xml:space="preserve"> Changes to appropriation –</w:t>
      </w:r>
      <w:r w:rsidRPr="00F0682D">
        <w:rPr>
          <w:szCs w:val="20"/>
          <w:bdr w:val="nil"/>
        </w:rPr>
        <w:t xml:space="preserve"> </w:t>
      </w:r>
      <w:r w:rsidRPr="00F0682D">
        <w:rPr>
          <w:bdr w:val="nil"/>
        </w:rPr>
        <w:t>Controlled Recurrent Payments</w:t>
      </w:r>
      <w:r>
        <w:rPr>
          <w:bdr w:val="nil"/>
        </w:rPr>
        <w:t xml:space="preserve"> (continued)</w:t>
      </w:r>
    </w:p>
    <w:tbl>
      <w:tblPr>
        <w:tblStyle w:val="CDMRange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00"/>
        <w:gridCol w:w="1035"/>
        <w:gridCol w:w="1035"/>
        <w:gridCol w:w="1035"/>
        <w:gridCol w:w="1035"/>
        <w:gridCol w:w="1035"/>
      </w:tblGrid>
      <w:tr w:rsidR="00885E9C" w:rsidTr="00885E9C">
        <w:trPr>
          <w:trHeight w:val="480"/>
        </w:trPr>
        <w:tc>
          <w:tcPr>
            <w:tcW w:w="4800" w:type="dxa"/>
            <w:tcBorders>
              <w:top w:val="single" w:sz="12" w:space="0" w:color="auto"/>
              <w:left w:val="nil"/>
              <w:bottom w:val="single" w:sz="12" w:space="0" w:color="auto"/>
              <w:right w:val="nil"/>
              <w:tl2br w:val="nil"/>
              <w:tr2bl w:val="nil"/>
            </w:tcBorders>
            <w:shd w:val="clear" w:color="auto" w:fill="auto"/>
            <w:tcMar>
              <w:left w:w="101" w:type="dxa"/>
              <w:right w:w="101" w:type="dxa"/>
            </w:tcMar>
            <w:vAlign w:val="bottom"/>
          </w:tcPr>
          <w:p w:rsidR="00885E9C" w:rsidRDefault="00885E9C" w:rsidP="00885E9C">
            <w:pPr>
              <w:spacing w:before="0" w:after="0"/>
              <w:rPr>
                <w:rFonts w:eastAsia="Calibri" w:cs="Calibri"/>
                <w:color w:val="000000"/>
                <w:sz w:val="18"/>
              </w:rPr>
            </w:pP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85E9C" w:rsidRDefault="00885E9C" w:rsidP="00885E9C">
            <w:pPr>
              <w:spacing w:before="0" w:after="0"/>
              <w:jc w:val="right"/>
              <w:rPr>
                <w:rFonts w:eastAsia="Calibri" w:cs="Calibri"/>
                <w:b/>
                <w:color w:val="000000"/>
                <w:sz w:val="18"/>
              </w:rPr>
            </w:pPr>
            <w:r>
              <w:rPr>
                <w:rFonts w:eastAsia="Calibri" w:cs="Calibri"/>
                <w:b/>
                <w:color w:val="000000"/>
                <w:sz w:val="18"/>
              </w:rPr>
              <w:t>2017-18 Estimated Outcome</w:t>
            </w:r>
          </w:p>
          <w:p w:rsidR="00885E9C" w:rsidRDefault="00885E9C" w:rsidP="00885E9C">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85E9C" w:rsidRDefault="00885E9C" w:rsidP="00885E9C">
            <w:pPr>
              <w:spacing w:before="0" w:after="0"/>
              <w:jc w:val="right"/>
              <w:rPr>
                <w:rFonts w:eastAsia="Calibri" w:cs="Calibri"/>
                <w:b/>
                <w:color w:val="000000"/>
                <w:sz w:val="18"/>
              </w:rPr>
            </w:pPr>
            <w:r>
              <w:rPr>
                <w:rFonts w:eastAsia="Calibri" w:cs="Calibri"/>
                <w:b/>
                <w:color w:val="000000"/>
                <w:sz w:val="18"/>
              </w:rPr>
              <w:t>2018-19 Budget</w:t>
            </w:r>
          </w:p>
          <w:p w:rsidR="00885E9C" w:rsidRDefault="00885E9C" w:rsidP="00885E9C">
            <w:pPr>
              <w:spacing w:before="0" w:after="0"/>
              <w:jc w:val="right"/>
              <w:rPr>
                <w:rFonts w:eastAsia="Calibri" w:cs="Calibri"/>
                <w:b/>
                <w:color w:val="000000"/>
                <w:sz w:val="18"/>
              </w:rPr>
            </w:pPr>
          </w:p>
          <w:p w:rsidR="00885E9C" w:rsidRDefault="00885E9C" w:rsidP="00885E9C">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85E9C" w:rsidRDefault="00885E9C" w:rsidP="00885E9C">
            <w:pPr>
              <w:spacing w:before="0" w:after="0"/>
              <w:jc w:val="right"/>
              <w:rPr>
                <w:rFonts w:eastAsia="Calibri" w:cs="Calibri"/>
                <w:b/>
                <w:color w:val="000000"/>
                <w:sz w:val="18"/>
              </w:rPr>
            </w:pPr>
            <w:r>
              <w:rPr>
                <w:rFonts w:eastAsia="Calibri" w:cs="Calibri"/>
                <w:b/>
                <w:color w:val="000000"/>
                <w:sz w:val="18"/>
              </w:rPr>
              <w:t>2019-20 Estimate</w:t>
            </w:r>
          </w:p>
          <w:p w:rsidR="00885E9C" w:rsidRDefault="00885E9C" w:rsidP="00885E9C">
            <w:pPr>
              <w:spacing w:before="0" w:after="0"/>
              <w:jc w:val="right"/>
              <w:rPr>
                <w:rFonts w:eastAsia="Calibri" w:cs="Calibri"/>
                <w:b/>
                <w:color w:val="000000"/>
                <w:sz w:val="18"/>
              </w:rPr>
            </w:pPr>
          </w:p>
          <w:p w:rsidR="00885E9C" w:rsidRDefault="00885E9C" w:rsidP="00885E9C">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85E9C" w:rsidRDefault="00885E9C" w:rsidP="00885E9C">
            <w:pPr>
              <w:spacing w:before="0" w:after="0"/>
              <w:jc w:val="right"/>
              <w:rPr>
                <w:rFonts w:eastAsia="Calibri" w:cs="Calibri"/>
                <w:b/>
                <w:color w:val="000000"/>
                <w:sz w:val="18"/>
              </w:rPr>
            </w:pPr>
            <w:r>
              <w:rPr>
                <w:rFonts w:eastAsia="Calibri" w:cs="Calibri"/>
                <w:b/>
                <w:color w:val="000000"/>
                <w:sz w:val="18"/>
              </w:rPr>
              <w:t>2020-21 Estimate</w:t>
            </w:r>
          </w:p>
          <w:p w:rsidR="00885E9C" w:rsidRDefault="00885E9C" w:rsidP="00885E9C">
            <w:pPr>
              <w:spacing w:before="0" w:after="0"/>
              <w:jc w:val="right"/>
              <w:rPr>
                <w:rFonts w:eastAsia="Calibri" w:cs="Calibri"/>
                <w:b/>
                <w:color w:val="000000"/>
                <w:sz w:val="18"/>
              </w:rPr>
            </w:pPr>
          </w:p>
          <w:p w:rsidR="00885E9C" w:rsidRDefault="00885E9C" w:rsidP="00885E9C">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85E9C" w:rsidRDefault="00885E9C" w:rsidP="00885E9C">
            <w:pPr>
              <w:spacing w:before="0" w:after="0"/>
              <w:jc w:val="right"/>
              <w:rPr>
                <w:rFonts w:eastAsia="Calibri" w:cs="Calibri"/>
                <w:b/>
                <w:color w:val="000000"/>
                <w:sz w:val="18"/>
              </w:rPr>
            </w:pPr>
            <w:r>
              <w:rPr>
                <w:rFonts w:eastAsia="Calibri" w:cs="Calibri"/>
                <w:b/>
                <w:color w:val="000000"/>
                <w:sz w:val="18"/>
              </w:rPr>
              <w:t>2021-22 Estimate</w:t>
            </w:r>
          </w:p>
          <w:p w:rsidR="00885E9C" w:rsidRDefault="00885E9C" w:rsidP="00885E9C">
            <w:pPr>
              <w:spacing w:before="0" w:after="0"/>
              <w:jc w:val="right"/>
              <w:rPr>
                <w:rFonts w:eastAsia="Calibri" w:cs="Calibri"/>
                <w:b/>
                <w:color w:val="000000"/>
                <w:sz w:val="18"/>
              </w:rPr>
            </w:pPr>
          </w:p>
          <w:p w:rsidR="00885E9C" w:rsidRDefault="00885E9C" w:rsidP="00885E9C">
            <w:pPr>
              <w:spacing w:before="0" w:after="0"/>
              <w:jc w:val="right"/>
              <w:rPr>
                <w:rFonts w:eastAsia="Calibri" w:cs="Calibri"/>
                <w:b/>
                <w:color w:val="000000"/>
                <w:sz w:val="18"/>
              </w:rPr>
            </w:pPr>
            <w:r>
              <w:rPr>
                <w:rFonts w:eastAsia="Calibri" w:cs="Calibri"/>
                <w:b/>
                <w:color w:val="000000"/>
                <w:sz w:val="18"/>
              </w:rPr>
              <w:t>$'000</w:t>
            </w:r>
          </w:p>
        </w:tc>
      </w:tr>
      <w:tr w:rsidR="00885E9C" w:rsidTr="00885E9C">
        <w:trPr>
          <w:trHeight w:val="155"/>
        </w:trPr>
        <w:tc>
          <w:tcPr>
            <w:tcW w:w="4800" w:type="dxa"/>
            <w:tcBorders>
              <w:top w:val="single" w:sz="12" w:space="0" w:color="auto"/>
              <w:left w:val="nil"/>
              <w:bottom w:val="nil"/>
              <w:right w:val="nil"/>
              <w:tl2br w:val="nil"/>
              <w:tr2bl w:val="nil"/>
            </w:tcBorders>
            <w:shd w:val="clear" w:color="auto" w:fill="auto"/>
            <w:tcMar>
              <w:left w:w="101" w:type="dxa"/>
              <w:right w:w="101" w:type="dxa"/>
            </w:tcMar>
          </w:tcPr>
          <w:p w:rsidR="00885E9C" w:rsidRDefault="00885E9C" w:rsidP="008339A7">
            <w:pPr>
              <w:spacing w:before="0" w:after="0"/>
              <w:ind w:left="113" w:hanging="113"/>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85E9C" w:rsidRDefault="00885E9C" w:rsidP="000F7964">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85E9C" w:rsidRDefault="00885E9C" w:rsidP="000F7964">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85E9C" w:rsidRDefault="00885E9C" w:rsidP="000F7964">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85E9C" w:rsidRDefault="00885E9C" w:rsidP="000F7964">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85E9C" w:rsidRDefault="00885E9C" w:rsidP="000F7964">
            <w:pPr>
              <w:spacing w:before="0" w:after="0"/>
              <w:jc w:val="right"/>
              <w:rPr>
                <w:rFonts w:eastAsia="Calibri" w:cs="Calibri"/>
                <w:color w:val="000000"/>
                <w:sz w:val="18"/>
              </w:rPr>
            </w:pPr>
          </w:p>
        </w:tc>
      </w:tr>
      <w:tr w:rsidR="000F7964" w:rsidTr="00885E9C">
        <w:trPr>
          <w:trHeight w:val="321"/>
        </w:trPr>
        <w:tc>
          <w:tcPr>
            <w:tcW w:w="4800" w:type="dxa"/>
            <w:tcBorders>
              <w:top w:val="nil"/>
              <w:left w:val="nil"/>
              <w:bottom w:val="nil"/>
              <w:right w:val="nil"/>
              <w:tl2br w:val="nil"/>
              <w:tr2bl w:val="nil"/>
            </w:tcBorders>
            <w:shd w:val="clear" w:color="auto" w:fill="auto"/>
            <w:tcMar>
              <w:left w:w="101" w:type="dxa"/>
              <w:right w:w="101" w:type="dxa"/>
            </w:tcMar>
          </w:tcPr>
          <w:p w:rsidR="000F7964" w:rsidRDefault="000F7964" w:rsidP="008339A7">
            <w:pPr>
              <w:spacing w:before="0" w:after="0"/>
              <w:ind w:left="113" w:hanging="113"/>
              <w:rPr>
                <w:rFonts w:eastAsia="Calibri" w:cs="Calibri"/>
                <w:color w:val="000000"/>
                <w:sz w:val="18"/>
              </w:rPr>
            </w:pPr>
            <w:r>
              <w:rPr>
                <w:rFonts w:eastAsia="Calibri" w:cs="Calibri"/>
                <w:color w:val="000000"/>
                <w:sz w:val="18"/>
              </w:rPr>
              <w:t>Revised Funding Profile - Loose-fill Asbestos Eradication Scheme</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55</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3,843</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2,361</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4,974</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13,537</w:t>
            </w:r>
          </w:p>
        </w:tc>
      </w:tr>
      <w:tr w:rsidR="000F7964" w:rsidTr="000F7964">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0F7964" w:rsidRDefault="000F7964" w:rsidP="008339A7">
            <w:pPr>
              <w:spacing w:before="0" w:after="0"/>
              <w:ind w:left="113" w:hanging="113"/>
              <w:rPr>
                <w:rFonts w:eastAsia="Calibri" w:cs="Calibri"/>
                <w:color w:val="000000"/>
                <w:sz w:val="18"/>
              </w:rPr>
            </w:pPr>
            <w:r>
              <w:rPr>
                <w:rFonts w:eastAsia="Calibri" w:cs="Calibri"/>
                <w:color w:val="000000"/>
                <w:sz w:val="18"/>
              </w:rPr>
              <w:t>Revised Funding Profile – Molonglo Valley – Implementation of Commitments in the NES Plan</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89</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89</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r>
      <w:tr w:rsidR="000F7964" w:rsidTr="000F7964">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0F7964" w:rsidRDefault="000F7964" w:rsidP="008339A7">
            <w:pPr>
              <w:spacing w:before="0" w:after="0"/>
              <w:ind w:left="113" w:hanging="113"/>
              <w:rPr>
                <w:rFonts w:eastAsia="Calibri" w:cs="Calibri"/>
                <w:color w:val="000000"/>
                <w:sz w:val="18"/>
              </w:rPr>
            </w:pPr>
            <w:r>
              <w:rPr>
                <w:rFonts w:eastAsia="Calibri" w:cs="Calibri"/>
                <w:color w:val="000000"/>
                <w:sz w:val="18"/>
              </w:rPr>
              <w:t>Revised Funding Profile – More and better jobs – Ensuring sustainable commercial development</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325</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125</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r>
      <w:tr w:rsidR="000F7964" w:rsidTr="00885E9C">
        <w:trPr>
          <w:trHeight w:val="410"/>
        </w:trPr>
        <w:tc>
          <w:tcPr>
            <w:tcW w:w="4800" w:type="dxa"/>
            <w:tcBorders>
              <w:top w:val="nil"/>
              <w:left w:val="nil"/>
              <w:bottom w:val="nil"/>
              <w:right w:val="nil"/>
              <w:tl2br w:val="nil"/>
              <w:tr2bl w:val="nil"/>
            </w:tcBorders>
            <w:shd w:val="clear" w:color="auto" w:fill="auto"/>
            <w:tcMar>
              <w:left w:w="101" w:type="dxa"/>
              <w:right w:w="101" w:type="dxa"/>
            </w:tcMar>
          </w:tcPr>
          <w:p w:rsidR="000F7964" w:rsidRDefault="000F7964" w:rsidP="008339A7">
            <w:pPr>
              <w:spacing w:before="0" w:after="0"/>
              <w:ind w:left="113" w:hanging="113"/>
              <w:rPr>
                <w:rFonts w:eastAsia="Calibri" w:cs="Calibri"/>
                <w:color w:val="000000"/>
                <w:sz w:val="18"/>
              </w:rPr>
            </w:pPr>
            <w:r>
              <w:rPr>
                <w:rFonts w:eastAsia="Calibri" w:cs="Calibri"/>
                <w:color w:val="000000"/>
                <w:sz w:val="18"/>
              </w:rPr>
              <w:t>Revised Funding Profile – Progressing Actions on Climate Change</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r>
      <w:tr w:rsidR="000F7964" w:rsidTr="000F7964">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0F7964" w:rsidRDefault="000F7964" w:rsidP="00885E9C">
            <w:pPr>
              <w:spacing w:before="0" w:after="0"/>
              <w:ind w:left="113" w:hanging="113"/>
              <w:rPr>
                <w:rFonts w:eastAsia="Calibri" w:cs="Calibri"/>
                <w:color w:val="000000"/>
                <w:sz w:val="18"/>
              </w:rPr>
            </w:pPr>
            <w:r>
              <w:rPr>
                <w:rFonts w:eastAsia="Calibri" w:cs="Calibri"/>
                <w:color w:val="000000"/>
                <w:sz w:val="18"/>
              </w:rPr>
              <w:t>Revised Funding Profile - Supporting Aboriginal and Torres Strait Islander Peoples – Kickstarting careers by connecting to culture</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55</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55</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r>
      <w:tr w:rsidR="000F7964" w:rsidTr="00885E9C">
        <w:trPr>
          <w:trHeight w:val="171"/>
        </w:trPr>
        <w:tc>
          <w:tcPr>
            <w:tcW w:w="4800" w:type="dxa"/>
            <w:tcBorders>
              <w:top w:val="nil"/>
              <w:left w:val="nil"/>
              <w:bottom w:val="nil"/>
              <w:right w:val="nil"/>
              <w:tl2br w:val="nil"/>
              <w:tr2bl w:val="nil"/>
            </w:tcBorders>
            <w:shd w:val="clear" w:color="auto" w:fill="auto"/>
            <w:tcMar>
              <w:left w:w="101" w:type="dxa"/>
              <w:right w:w="101" w:type="dxa"/>
            </w:tcMar>
          </w:tcPr>
          <w:p w:rsidR="000F7964" w:rsidRDefault="000F7964" w:rsidP="000F7964">
            <w:pPr>
              <w:spacing w:before="0" w:after="0"/>
              <w:rPr>
                <w:rFonts w:eastAsia="Calibri" w:cs="Calibri"/>
                <w:color w:val="000000"/>
                <w:sz w:val="18"/>
              </w:rPr>
            </w:pPr>
            <w:r>
              <w:rPr>
                <w:rFonts w:eastAsia="Calibri" w:cs="Calibri"/>
                <w:color w:val="000000"/>
                <w:sz w:val="18"/>
              </w:rPr>
              <w:t>Revised Funding Profile – Threatened Species Conservation</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w:t>
            </w:r>
            <w:r w:rsidR="000F7964">
              <w:rPr>
                <w:rFonts w:eastAsia="Calibri" w:cs="Calibri"/>
                <w:color w:val="000000"/>
                <w:sz w:val="18"/>
              </w:rPr>
              <w:t>350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0F7964" w:rsidP="000F7964">
            <w:pPr>
              <w:spacing w:before="0" w:after="0"/>
              <w:jc w:val="right"/>
              <w:rPr>
                <w:rFonts w:eastAsia="Calibri" w:cs="Calibri"/>
                <w:color w:val="000000"/>
                <w:sz w:val="18"/>
              </w:rPr>
            </w:pPr>
            <w:r>
              <w:rPr>
                <w:rFonts w:eastAsia="Calibri" w:cs="Calibri"/>
                <w:color w:val="000000"/>
                <w:sz w:val="18"/>
              </w:rPr>
              <w:t>350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0F7964" w:rsidRDefault="00485BCC" w:rsidP="000F7964">
            <w:pPr>
              <w:spacing w:before="0" w:after="0"/>
              <w:jc w:val="right"/>
              <w:rPr>
                <w:rFonts w:eastAsia="Calibri" w:cs="Calibri"/>
                <w:color w:val="000000"/>
                <w:sz w:val="18"/>
              </w:rPr>
            </w:pPr>
            <w:r>
              <w:rPr>
                <w:rFonts w:eastAsia="Calibri" w:cs="Calibri"/>
                <w:color w:val="000000"/>
                <w:sz w:val="18"/>
              </w:rPr>
              <w:t>0</w:t>
            </w:r>
          </w:p>
        </w:tc>
      </w:tr>
      <w:tr w:rsidR="00DC0A59" w:rsidTr="00885E9C">
        <w:trPr>
          <w:trHeight w:val="88"/>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1,996</w:t>
            </w:r>
          </w:p>
        </w:tc>
      </w:tr>
      <w:tr w:rsidR="00DC0A59" w:rsidTr="00885E9C">
        <w:trPr>
          <w:trHeight w:val="88"/>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Superannuation Guarantee Rate</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93</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191</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385</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349</w:t>
            </w:r>
          </w:p>
        </w:tc>
      </w:tr>
      <w:tr w:rsidR="00DC0A59" w:rsidTr="00885E9C">
        <w:trPr>
          <w:trHeight w:val="88"/>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-98</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41</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199</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413</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1,095</w:t>
            </w:r>
          </w:p>
        </w:tc>
      </w:tr>
      <w:tr w:rsidR="00DC0A59" w:rsidTr="00885E9C">
        <w:trPr>
          <w:trHeight w:val="88"/>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707</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1,661</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2,602</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3,377</w:t>
            </w:r>
          </w:p>
        </w:tc>
      </w:tr>
      <w:tr w:rsidR="00DC0A59" w:rsidTr="00885E9C">
        <w:trPr>
          <w:trHeight w:val="88"/>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ind w:left="113" w:hanging="113"/>
              <w:rPr>
                <w:rFonts w:eastAsia="Calibri" w:cs="Calibri"/>
                <w:color w:val="000000"/>
                <w:sz w:val="18"/>
              </w:rPr>
            </w:pPr>
            <w:r>
              <w:rPr>
                <w:rFonts w:eastAsia="Calibri" w:cs="Calibri"/>
                <w:color w:val="000000"/>
                <w:sz w:val="18"/>
              </w:rPr>
              <w:t>Transfer – Australian Building Code Board membership contribution from CMTEDD</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120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120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120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120</w:t>
            </w:r>
          </w:p>
        </w:tc>
      </w:tr>
      <w:tr w:rsidR="00DC0A59" w:rsidTr="00885E9C">
        <w:trPr>
          <w:trHeight w:val="88"/>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ind w:left="113" w:hanging="113"/>
              <w:rPr>
                <w:rFonts w:eastAsia="Calibri" w:cs="Calibri"/>
                <w:color w:val="000000"/>
                <w:sz w:val="18"/>
              </w:rPr>
            </w:pPr>
            <w:r>
              <w:rPr>
                <w:rFonts w:eastAsia="Calibri" w:cs="Calibri"/>
                <w:color w:val="000000"/>
                <w:sz w:val="18"/>
              </w:rPr>
              <w:t>Transfer – Better Services – Weston Creek and Stromlo swimming pool and leisure centre to CMTEDD</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-1,050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-1,050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-1,076</w:t>
            </w:r>
          </w:p>
        </w:tc>
      </w:tr>
      <w:tr w:rsidR="00DC0A59" w:rsidTr="00CA2286">
        <w:trPr>
          <w:trHeight w:val="149"/>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ind w:left="113" w:hanging="113"/>
              <w:rPr>
                <w:rFonts w:eastAsia="Calibri" w:cs="Calibri"/>
                <w:color w:val="000000"/>
                <w:sz w:val="18"/>
              </w:rPr>
            </w:pPr>
            <w:r>
              <w:rPr>
                <w:rFonts w:eastAsia="Calibri" w:cs="Calibri"/>
                <w:color w:val="000000"/>
                <w:sz w:val="18"/>
              </w:rPr>
              <w:t>Transfer – More and better jobs – New Canberra Theatre (Early Planning) (formerly City to the Lake – New Canberra Theatre (Feasibility)) to CMTEDD</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r>
      <w:tr w:rsidR="00DC0A59" w:rsidTr="00DC0A59">
        <w:trPr>
          <w:trHeight w:val="170"/>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ind w:left="113" w:hanging="113"/>
              <w:rPr>
                <w:rFonts w:eastAsia="Calibri" w:cs="Calibri"/>
                <w:color w:val="000000"/>
                <w:sz w:val="18"/>
              </w:rPr>
            </w:pPr>
            <w:r>
              <w:rPr>
                <w:rFonts w:eastAsia="Calibri" w:cs="Calibri"/>
                <w:color w:val="000000"/>
                <w:sz w:val="18"/>
              </w:rPr>
              <w:t>Transfer – Strategy and Program Design from CMTEDD</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3,075</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3,129</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3,185</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3,240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3,298</w:t>
            </w:r>
          </w:p>
        </w:tc>
      </w:tr>
      <w:tr w:rsidR="00DC0A59" w:rsidTr="00CA2286">
        <w:trPr>
          <w:trHeight w:val="343"/>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ind w:left="113" w:hanging="113"/>
              <w:rPr>
                <w:rFonts w:eastAsia="Calibri" w:cs="Calibri"/>
                <w:color w:val="000000"/>
                <w:sz w:val="18"/>
              </w:rPr>
            </w:pPr>
            <w:r>
              <w:rPr>
                <w:rFonts w:eastAsia="Calibri" w:cs="Calibri"/>
                <w:color w:val="000000"/>
                <w:sz w:val="18"/>
              </w:rPr>
              <w:t>Transfer – Transport Planning to TCCS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-583</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-594</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-603</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-611</w:t>
            </w:r>
          </w:p>
        </w:tc>
      </w:tr>
      <w:tr w:rsidR="00DC0A59" w:rsidTr="000F7964">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r>
      <w:tr w:rsidR="00DC0A59" w:rsidTr="000F7964">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158,603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133,079</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134,024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119,064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113,941</w:t>
            </w:r>
          </w:p>
        </w:tc>
      </w:tr>
    </w:tbl>
    <w:p w:rsidR="005576C2" w:rsidRPr="00A13278" w:rsidRDefault="00DC58C5" w:rsidP="00A13278">
      <w:pPr>
        <w:pStyle w:val="Caption"/>
        <w:pageBreakBefore/>
        <w:pBdr>
          <w:top w:val="nil"/>
          <w:left w:val="nil"/>
          <w:bottom w:val="nil"/>
          <w:right w:val="nil"/>
          <w:between w:val="nil"/>
          <w:bar w:val="nil"/>
        </w:pBdr>
        <w:outlineLvl w:val="0"/>
        <w:rPr>
          <w:bdr w:val="nil"/>
        </w:rPr>
      </w:pPr>
      <w:bookmarkStart w:id="69" w:name="_Toc514763794"/>
      <w:bookmarkStart w:id="70" w:name="_Toc514840949"/>
      <w:bookmarkStart w:id="71" w:name="_Toc514841023"/>
      <w:r>
        <w:rPr>
          <w:bdr w:val="nil"/>
        </w:rPr>
        <w:t>Table 28</w:t>
      </w:r>
      <w:r w:rsidR="002435BD" w:rsidRPr="00A13278">
        <w:rPr>
          <w:bdr w:val="nil"/>
        </w:rPr>
        <w:t>: Changes to appropriation –</w:t>
      </w:r>
      <w:r w:rsidR="002435BD" w:rsidRPr="00A13278">
        <w:rPr>
          <w:szCs w:val="20"/>
          <w:bdr w:val="nil"/>
        </w:rPr>
        <w:t xml:space="preserve"> Expenses on Behalf of the </w:t>
      </w:r>
      <w:r w:rsidR="002435BD" w:rsidRPr="00A13278">
        <w:rPr>
          <w:bdr w:val="nil"/>
        </w:rPr>
        <w:t>Territory</w:t>
      </w:r>
      <w:bookmarkEnd w:id="69"/>
      <w:bookmarkEnd w:id="70"/>
      <w:bookmarkEnd w:id="71"/>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5576C2">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2018-19 Budget</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2019-20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2020-21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2021-22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2,367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2,004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2,044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2,083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2,083</w:t>
            </w:r>
          </w:p>
        </w:tc>
      </w:tr>
      <w:tr w:rsidR="005576C2"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5"/>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r>
      <w:tr w:rsidR="005576C2"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
        </w:trPr>
        <w:tc>
          <w:tcPr>
            <w:tcW w:w="4800"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Environmental Grants</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r>
      <w:tr w:rsidR="00A13278"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4800" w:type="dxa"/>
            <w:tcBorders>
              <w:top w:val="nil"/>
              <w:left w:val="nil"/>
              <w:bottom w:val="nil"/>
              <w:right w:val="nil"/>
              <w:tl2br w:val="nil"/>
              <w:tr2bl w:val="nil"/>
            </w:tcBorders>
            <w:shd w:val="clear" w:color="auto" w:fill="auto"/>
            <w:tcMar>
              <w:left w:w="101" w:type="dxa"/>
              <w:right w:w="101" w:type="dxa"/>
            </w:tcMar>
          </w:tcPr>
          <w:p w:rsidR="00A13278" w:rsidRDefault="00A13278" w:rsidP="00A13278">
            <w:pPr>
              <w:spacing w:before="0" w:after="0"/>
              <w:rPr>
                <w:rFonts w:eastAsia="Calibri" w:cs="Calibri"/>
                <w:color w:val="000000"/>
                <w:sz w:val="18"/>
              </w:rPr>
            </w:pPr>
            <w:r>
              <w:rPr>
                <w:rFonts w:eastAsia="Calibri" w:cs="Calibri"/>
                <w:color w:val="000000"/>
                <w:sz w:val="18"/>
              </w:rPr>
              <w:t>Heritage Grants</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A13278" w:rsidP="00A13278">
            <w:pPr>
              <w:spacing w:before="0" w:after="0"/>
              <w:jc w:val="right"/>
              <w:rPr>
                <w:rFonts w:eastAsia="Calibri" w:cs="Calibri"/>
                <w:color w:val="000000"/>
                <w:sz w:val="18"/>
              </w:rPr>
            </w:pPr>
            <w:r>
              <w:rPr>
                <w:rFonts w:eastAsia="Calibri" w:cs="Calibri"/>
                <w:color w:val="000000"/>
                <w:sz w:val="18"/>
              </w:rPr>
              <w:t>299</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r>
      <w:tr w:rsidR="00A13278"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4800" w:type="dxa"/>
            <w:tcBorders>
              <w:top w:val="nil"/>
              <w:left w:val="nil"/>
              <w:bottom w:val="nil"/>
              <w:right w:val="nil"/>
              <w:tl2br w:val="nil"/>
              <w:tr2bl w:val="nil"/>
            </w:tcBorders>
            <w:shd w:val="clear" w:color="auto" w:fill="auto"/>
            <w:tcMar>
              <w:left w:w="101" w:type="dxa"/>
              <w:right w:w="101" w:type="dxa"/>
            </w:tcMar>
          </w:tcPr>
          <w:p w:rsidR="00A13278" w:rsidRDefault="00A13278" w:rsidP="00A13278">
            <w:pPr>
              <w:spacing w:before="0" w:after="0"/>
              <w:ind w:left="113" w:hanging="113"/>
              <w:rPr>
                <w:rFonts w:eastAsia="Calibri" w:cs="Calibri"/>
                <w:color w:val="000000"/>
                <w:sz w:val="18"/>
              </w:rPr>
            </w:pPr>
            <w:r>
              <w:rPr>
                <w:rFonts w:eastAsia="Calibri" w:cs="Calibri"/>
                <w:color w:val="000000"/>
                <w:sz w:val="18"/>
              </w:rPr>
              <w:t>Office of the Commissioner for Sustainability and the Environment (Operations)</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A13278" w:rsidP="00A13278">
            <w:pPr>
              <w:spacing w:before="0" w:after="0"/>
              <w:jc w:val="right"/>
              <w:rPr>
                <w:rFonts w:eastAsia="Calibri" w:cs="Calibri"/>
                <w:color w:val="000000"/>
                <w:sz w:val="18"/>
              </w:rPr>
            </w:pPr>
            <w:r>
              <w:rPr>
                <w:rFonts w:eastAsia="Calibri" w:cs="Calibri"/>
                <w:color w:val="000000"/>
                <w:sz w:val="18"/>
              </w:rPr>
              <w:t>110</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A13278" w:rsidRDefault="00485BCC" w:rsidP="00A13278">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r>
      <w:tr w:rsidR="00DC0A59"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ind w:left="113" w:hanging="113"/>
              <w:rPr>
                <w:rFonts w:eastAsia="Calibri" w:cs="Calibri"/>
                <w:color w:val="000000"/>
                <w:sz w:val="18"/>
              </w:rPr>
            </w:pPr>
            <w:r>
              <w:rPr>
                <w:rFonts w:eastAsia="Calibri" w:cs="Calibri"/>
                <w:color w:val="000000"/>
                <w:sz w:val="18"/>
              </w:rPr>
              <w:t>Revised Funding Profile – Commissioner for Sustainability and the Environment (Operations)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410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210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r>
      <w:tr w:rsidR="00DC0A59"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Funding Profile – Environmental Grants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15</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2</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8</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20</w:t>
            </w:r>
          </w:p>
        </w:tc>
      </w:tr>
      <w:tr w:rsidR="00DC0A59"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137</w:t>
            </w:r>
          </w:p>
        </w:tc>
      </w:tr>
      <w:tr w:rsidR="00DC0A59"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Superannuation Guarantee Rate</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2</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4</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9</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9</w:t>
            </w:r>
          </w:p>
        </w:tc>
      </w:tr>
      <w:tr w:rsidR="00DC0A59"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9</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11</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12</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w:t>
            </w:r>
            <w:r w:rsidR="00DC0A59">
              <w:rPr>
                <w:rFonts w:eastAsia="Calibri" w:cs="Calibri"/>
                <w:color w:val="000000"/>
                <w:sz w:val="18"/>
              </w:rPr>
              <w:t>12</w:t>
            </w:r>
          </w:p>
        </w:tc>
      </w:tr>
      <w:tr w:rsidR="00DC0A59" w:rsidTr="00A13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4800" w:type="dxa"/>
            <w:tcBorders>
              <w:top w:val="nil"/>
              <w:left w:val="nil"/>
              <w:bottom w:val="nil"/>
              <w:right w:val="nil"/>
              <w:tl2br w:val="nil"/>
              <w:tr2bl w:val="nil"/>
            </w:tcBorders>
            <w:shd w:val="clear" w:color="auto" w:fill="auto"/>
            <w:tcMar>
              <w:left w:w="101" w:type="dxa"/>
              <w:right w:w="101" w:type="dxa"/>
            </w:tcMar>
          </w:tcPr>
          <w:p w:rsidR="00DC0A59" w:rsidRDefault="00DC0A59" w:rsidP="00DC0A59">
            <w:pPr>
              <w:spacing w:before="0" w:after="0"/>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485BCC" w:rsidP="00DC0A59">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10</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24</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38</w:t>
            </w:r>
          </w:p>
        </w:tc>
        <w:tc>
          <w:tcPr>
            <w:tcW w:w="1035" w:type="dxa"/>
            <w:tcBorders>
              <w:top w:val="nil"/>
              <w:left w:val="nil"/>
              <w:bottom w:val="nil"/>
              <w:right w:val="nil"/>
              <w:tl2br w:val="nil"/>
              <w:tr2bl w:val="nil"/>
            </w:tcBorders>
            <w:shd w:val="clear" w:color="auto" w:fill="auto"/>
            <w:noWrap/>
            <w:tcMar>
              <w:left w:w="101" w:type="dxa"/>
              <w:right w:w="101" w:type="dxa"/>
            </w:tcMar>
          </w:tcPr>
          <w:p w:rsidR="00DC0A59" w:rsidRDefault="00DC0A59" w:rsidP="00DC0A59">
            <w:pPr>
              <w:spacing w:before="0" w:after="0"/>
              <w:jc w:val="right"/>
              <w:rPr>
                <w:rFonts w:eastAsia="Calibri" w:cs="Calibri"/>
                <w:color w:val="000000"/>
                <w:sz w:val="18"/>
              </w:rPr>
            </w:pPr>
            <w:r>
              <w:rPr>
                <w:rFonts w:eastAsia="Calibri" w:cs="Calibri"/>
                <w:color w:val="000000"/>
                <w:sz w:val="18"/>
              </w:rPr>
              <w:t>52</w:t>
            </w:r>
          </w:p>
        </w:tc>
      </w:tr>
      <w:tr w:rsidR="00DC0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C0A59" w:rsidRDefault="00DC0A59" w:rsidP="00DC0A59">
            <w:pPr>
              <w:spacing w:before="0" w:after="0"/>
              <w:rPr>
                <w:rFonts w:eastAsia="Calibri" w:cs="Calibri"/>
                <w:color w:val="000000"/>
                <w:sz w:val="18"/>
              </w:rPr>
            </w:pPr>
          </w:p>
        </w:tc>
      </w:tr>
      <w:tr w:rsidR="00DC0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2,396</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2,209</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2,279</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2,113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C0A59" w:rsidRDefault="00DC0A59" w:rsidP="00DC0A59">
            <w:pPr>
              <w:spacing w:before="0" w:after="0"/>
              <w:jc w:val="right"/>
              <w:rPr>
                <w:rFonts w:eastAsia="Calibri" w:cs="Calibri"/>
                <w:b/>
                <w:color w:val="000000"/>
                <w:sz w:val="18"/>
              </w:rPr>
            </w:pPr>
            <w:r>
              <w:rPr>
                <w:rFonts w:eastAsia="Calibri" w:cs="Calibri"/>
                <w:b/>
                <w:color w:val="000000"/>
                <w:sz w:val="18"/>
              </w:rPr>
              <w:t>1,975</w:t>
            </w:r>
          </w:p>
        </w:tc>
      </w:tr>
    </w:tbl>
    <w:p w:rsidR="005576C2" w:rsidRPr="003E6C40" w:rsidRDefault="00DC58C5" w:rsidP="003E6C40">
      <w:pPr>
        <w:pStyle w:val="Caption"/>
        <w:pageBreakBefore/>
        <w:pBdr>
          <w:top w:val="nil"/>
          <w:left w:val="nil"/>
          <w:bottom w:val="nil"/>
          <w:right w:val="nil"/>
          <w:between w:val="nil"/>
          <w:bar w:val="nil"/>
        </w:pBdr>
        <w:rPr>
          <w:bdr w:val="nil"/>
        </w:rPr>
      </w:pPr>
      <w:r>
        <w:rPr>
          <w:bdr w:val="nil"/>
        </w:rPr>
        <w:t>Table 29</w:t>
      </w:r>
      <w:r w:rsidR="002435BD" w:rsidRPr="003E6C40">
        <w:rPr>
          <w:bdr w:val="nil"/>
        </w:rPr>
        <w:t>: Changes to appropriation – Capital Injections, Controlled</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5576C2">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2018-19 Budget</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2019-20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2020-21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2021-22 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327,040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126,183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14,669</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24,361</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jc w:val="right"/>
              <w:rPr>
                <w:rFonts w:eastAsia="Calibri" w:cs="Calibri"/>
                <w:color w:val="000000"/>
                <w:sz w:val="18"/>
              </w:rPr>
            </w:pPr>
            <w:r>
              <w:rPr>
                <w:rFonts w:eastAsia="Calibri" w:cs="Calibri"/>
                <w:color w:val="000000"/>
                <w:sz w:val="18"/>
              </w:rPr>
              <w:t>24,361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r>
      <w:tr w:rsidR="005576C2"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4800" w:type="dxa"/>
            <w:tcBorders>
              <w:top w:val="nil"/>
              <w:left w:val="nil"/>
              <w:bottom w:val="nil"/>
              <w:right w:val="nil"/>
              <w:tl2br w:val="nil"/>
              <w:tr2bl w:val="nil"/>
            </w:tcBorders>
            <w:shd w:val="clear" w:color="auto" w:fill="auto"/>
            <w:tcMar>
              <w:left w:w="101" w:type="dxa"/>
              <w:right w:w="101" w:type="dxa"/>
            </w:tcMar>
          </w:tcPr>
          <w:p w:rsidR="005576C2" w:rsidRDefault="002435BD" w:rsidP="003E6C40">
            <w:pPr>
              <w:spacing w:before="0" w:after="0"/>
              <w:ind w:left="113" w:hanging="113"/>
              <w:rPr>
                <w:rFonts w:eastAsia="Calibri" w:cs="Calibri"/>
                <w:color w:val="000000"/>
                <w:sz w:val="18"/>
              </w:rPr>
            </w:pPr>
            <w:r>
              <w:rPr>
                <w:rFonts w:eastAsia="Calibri" w:cs="Calibri"/>
                <w:color w:val="000000"/>
                <w:sz w:val="18"/>
              </w:rPr>
              <w:t>Better Infrastructure Fund</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471</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Better Public Housing – New public housing properties</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16,183</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Carbon Neutral Government</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2,094</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Caring for our Environment – Establishing the Molonglo River Reserve Stage 3</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142</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Caring for our Environment – Improving species and habitat protection</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141</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Caring for our Environment – Tharwa fish habitat improvement</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63</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Digital Canberra – New digital radio communication system</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Enhancement of eDevelopment Interface</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313</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Enhancing the Protection of Endangered Species and Habitat</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784</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Environmental Offsets – Gungahlin (EPIC)</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120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Environmental Offsets – Lawson South</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55</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 xml:space="preserve">Loose-fill Asbestos </w:t>
            </w:r>
            <w:r w:rsidR="00AC356D">
              <w:rPr>
                <w:rFonts w:eastAsia="Calibri" w:cs="Calibri"/>
                <w:color w:val="000000"/>
                <w:sz w:val="18"/>
              </w:rPr>
              <w:t>Insulation</w:t>
            </w:r>
            <w:r>
              <w:rPr>
                <w:rFonts w:eastAsia="Calibri" w:cs="Calibri"/>
                <w:color w:val="000000"/>
                <w:sz w:val="18"/>
              </w:rPr>
              <w:t xml:space="preserve"> Eradication Scheme</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3,805</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Molonglo Valley – Implementation of Commitments in the NES Plan – Stage 2</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477</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Strategic Bushfire Management Plan</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524</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3E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Urban Renewal Program – Better Public Housing – Allawah Court</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-1,027</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426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Urban Renewal Program – Better Public Housing – Karuah</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728</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rsidTr="00426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Urban Renewal Program – Better Public Housing – Red Hill housing precinct</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-80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485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485BCC" w:rsidRDefault="00485BCC" w:rsidP="00485BCC">
            <w:pPr>
              <w:spacing w:before="0" w:after="0"/>
              <w:ind w:left="113" w:hanging="113"/>
              <w:rPr>
                <w:rFonts w:eastAsia="Calibri" w:cs="Calibri"/>
                <w:color w:val="000000"/>
                <w:sz w:val="18"/>
              </w:rPr>
            </w:pPr>
            <w:r>
              <w:rPr>
                <w:rFonts w:eastAsia="Calibri" w:cs="Calibri"/>
                <w:color w:val="000000"/>
                <w:sz w:val="18"/>
              </w:rPr>
              <w:t>Woden Valley Stormwater Retardation Basins (Design)</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3</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85BCC" w:rsidRDefault="00485BCC" w:rsidP="00485BCC">
            <w:pPr>
              <w:spacing w:before="0" w:after="0"/>
              <w:jc w:val="right"/>
              <w:rPr>
                <w:rFonts w:eastAsia="Calibri" w:cs="Calibri"/>
                <w:color w:val="000000"/>
                <w:sz w:val="18"/>
              </w:rPr>
            </w:pPr>
            <w:r>
              <w:rPr>
                <w:rFonts w:eastAsia="Calibri" w:cs="Calibri"/>
                <w:color w:val="000000"/>
                <w:sz w:val="18"/>
              </w:rPr>
              <w:t>0</w:t>
            </w:r>
          </w:p>
        </w:tc>
      </w:tr>
      <w:tr w:rsidR="005576C2" w:rsidTr="00840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4800" w:type="dxa"/>
            <w:tcBorders>
              <w:top w:val="nil"/>
              <w:left w:val="nil"/>
              <w:bottom w:val="nil"/>
              <w:right w:val="nil"/>
              <w:tl2br w:val="nil"/>
              <w:tr2bl w:val="nil"/>
            </w:tcBorders>
            <w:shd w:val="clear" w:color="auto" w:fill="auto"/>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576C2" w:rsidRDefault="005576C2">
            <w:pPr>
              <w:spacing w:before="0" w:after="0"/>
              <w:rPr>
                <w:rFonts w:eastAsia="Calibri" w:cs="Calibri"/>
                <w:color w:val="FFFFFF"/>
                <w:sz w:val="18"/>
              </w:rPr>
            </w:pPr>
          </w:p>
        </w:tc>
      </w:tr>
      <w:tr w:rsidR="00CB271B" w:rsidTr="00426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Better services in your community – Red Hill Nature Reserve – Landfill Remediation</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305</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426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More jobs for our growing city:</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p>
        </w:tc>
      </w:tr>
      <w:tr w:rsidR="00CB271B" w:rsidTr="00426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4E06E6">
            <w:pPr>
              <w:spacing w:before="0" w:after="0"/>
              <w:ind w:left="226" w:hanging="113"/>
              <w:rPr>
                <w:rFonts w:eastAsia="Calibri" w:cs="Calibri"/>
                <w:color w:val="000000"/>
                <w:sz w:val="18"/>
              </w:rPr>
            </w:pPr>
            <w:r>
              <w:rPr>
                <w:rFonts w:eastAsia="Calibri" w:cs="Calibri"/>
                <w:color w:val="000000"/>
                <w:sz w:val="18"/>
              </w:rPr>
              <w:t>Commemorating the 50th anniversary of the first moon landing</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391</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840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226" w:hanging="113"/>
              <w:rPr>
                <w:rFonts w:eastAsia="Calibri" w:cs="Calibri"/>
                <w:color w:val="000000"/>
                <w:sz w:val="18"/>
              </w:rPr>
            </w:pPr>
            <w:r w:rsidRPr="0054018C">
              <w:rPr>
                <w:rFonts w:eastAsia="Calibri" w:cs="Calibri"/>
                <w:color w:val="000000"/>
                <w:sz w:val="18"/>
              </w:rPr>
              <w:t>More electric vehicle charging</w:t>
            </w:r>
            <w:r w:rsidRPr="0054018C">
              <w:rPr>
                <w:rFonts w:eastAsia="Calibri" w:cs="Calibri"/>
                <w:color w:val="000000"/>
                <w:sz w:val="18"/>
                <w:vertAlign w:val="superscript"/>
              </w:rPr>
              <w:t>1</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840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226" w:hanging="113"/>
              <w:rPr>
                <w:rFonts w:eastAsia="Calibri" w:cs="Calibri"/>
                <w:color w:val="000000"/>
                <w:sz w:val="18"/>
              </w:rPr>
            </w:pPr>
            <w:r>
              <w:rPr>
                <w:rFonts w:eastAsia="Calibri" w:cs="Calibri"/>
                <w:color w:val="000000"/>
                <w:sz w:val="18"/>
              </w:rPr>
              <w:t>Protecting the Murrumbidgee River Corridor</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4E06E6" w:rsidT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CB271B">
            <w:pPr>
              <w:spacing w:before="0" w:after="0"/>
              <w:ind w:left="113" w:hanging="113"/>
              <w:rPr>
                <w:rFonts w:eastAsia="Calibri" w:cs="Calibri"/>
                <w:color w:val="000000"/>
                <w:sz w:val="18"/>
              </w:rPr>
            </w:pPr>
            <w:r>
              <w:rPr>
                <w:rFonts w:eastAsia="Calibri" w:cs="Calibri"/>
                <w:color w:val="000000"/>
                <w:sz w:val="18"/>
              </w:rPr>
              <w:t>More services for our suburbs:</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CB271B">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CB271B">
            <w:pPr>
              <w:spacing w:before="0" w:after="0"/>
              <w:jc w:val="right"/>
              <w:rPr>
                <w:rFonts w:eastAsia="Calibri" w:cs="Calibri"/>
                <w:color w:val="000000"/>
                <w:sz w:val="18"/>
              </w:rPr>
            </w:pPr>
          </w:p>
        </w:tc>
      </w:tr>
      <w:tr w:rsidR="004E06E6" w:rsidT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226" w:hanging="113"/>
              <w:rPr>
                <w:rFonts w:eastAsia="Calibri" w:cs="Calibri"/>
                <w:color w:val="000000"/>
                <w:sz w:val="18"/>
              </w:rPr>
            </w:pPr>
            <w:r w:rsidRPr="004D0578">
              <w:rPr>
                <w:rFonts w:eastAsia="Calibri" w:cs="Calibri"/>
                <w:color w:val="000000"/>
                <w:sz w:val="18"/>
              </w:rPr>
              <w:t xml:space="preserve">Best of Canberra mountain bike experience </w:t>
            </w:r>
            <w:r>
              <w:rPr>
                <w:rFonts w:eastAsia="Calibri" w:cs="Calibri"/>
                <w:color w:val="000000"/>
                <w:sz w:val="18"/>
              </w:rPr>
              <w:t>–</w:t>
            </w:r>
            <w:r w:rsidRPr="004D0578">
              <w:rPr>
                <w:rFonts w:eastAsia="Calibri" w:cs="Calibri"/>
                <w:color w:val="000000"/>
                <w:sz w:val="18"/>
              </w:rPr>
              <w:t xml:space="preserve"> Design</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74</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r>
      <w:tr w:rsidR="004E06E6" w:rsidT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226" w:hanging="113"/>
              <w:rPr>
                <w:rFonts w:eastAsia="Calibri" w:cs="Calibri"/>
                <w:color w:val="000000"/>
                <w:sz w:val="18"/>
              </w:rPr>
            </w:pPr>
            <w:r>
              <w:rPr>
                <w:rFonts w:eastAsia="Calibri" w:cs="Calibri"/>
                <w:color w:val="000000"/>
                <w:sz w:val="18"/>
              </w:rPr>
              <w:t>Establishing the Molonglo River Reserve</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1,044</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834</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504</w:t>
            </w:r>
          </w:p>
        </w:tc>
      </w:tr>
      <w:tr w:rsid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226" w:hanging="113"/>
              <w:rPr>
                <w:rFonts w:eastAsia="Calibri" w:cs="Calibri"/>
                <w:color w:val="000000"/>
                <w:sz w:val="18"/>
              </w:rPr>
            </w:pPr>
            <w:r>
              <w:rPr>
                <w:rFonts w:eastAsia="Calibri" w:cs="Calibri"/>
                <w:color w:val="000000"/>
                <w:sz w:val="18"/>
              </w:rPr>
              <w:t>Improved conservation management</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50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232</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65</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r>
      <w:tr w:rsidR="004E06E6" w:rsidTr="00840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4800" w:type="dxa"/>
            <w:tcBorders>
              <w:top w:val="nil"/>
              <w:left w:val="nil"/>
              <w:bottom w:val="nil"/>
              <w:right w:val="nil"/>
              <w:tl2br w:val="nil"/>
              <w:tr2bl w:val="nil"/>
            </w:tcBorders>
            <w:shd w:val="clear" w:color="auto" w:fill="auto"/>
            <w:tcMar>
              <w:left w:w="0" w:type="dxa"/>
              <w:right w:w="0" w:type="dxa"/>
            </w:tcMar>
            <w:vAlign w:val="bottom"/>
          </w:tcPr>
          <w:p w:rsidR="004E06E6" w:rsidRDefault="004E06E6" w:rsidP="004E06E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000000"/>
                <w:sz w:val="18"/>
              </w:rPr>
            </w:pPr>
          </w:p>
        </w:tc>
      </w:tr>
      <w:tr w:rsid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4E06E6" w:rsidRDefault="004E06E6" w:rsidP="004E06E6">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4E06E6" w:rsidRDefault="004E06E6" w:rsidP="004E06E6">
            <w:pPr>
              <w:spacing w:before="0" w:after="0"/>
              <w:rPr>
                <w:rFonts w:eastAsia="Calibri" w:cs="Calibri"/>
                <w:color w:val="FFFFFF"/>
                <w:sz w:val="18"/>
              </w:rPr>
            </w:pPr>
          </w:p>
        </w:tc>
      </w:tr>
      <w:tr w:rsid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113" w:hanging="113"/>
              <w:rPr>
                <w:rFonts w:eastAsia="Calibri" w:cs="Calibri"/>
                <w:color w:val="000000"/>
                <w:sz w:val="18"/>
              </w:rPr>
            </w:pPr>
            <w:r>
              <w:rPr>
                <w:rFonts w:eastAsia="Calibri" w:cs="Calibri"/>
                <w:color w:val="000000"/>
                <w:sz w:val="18"/>
              </w:rPr>
              <w:t>Better Infrastructure Fund Indexation</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26</w:t>
            </w:r>
          </w:p>
        </w:tc>
      </w:tr>
      <w:tr w:rsid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113" w:hanging="113"/>
              <w:rPr>
                <w:rFonts w:eastAsia="Calibri" w:cs="Calibri"/>
                <w:color w:val="000000"/>
                <w:sz w:val="18"/>
              </w:rPr>
            </w:pPr>
            <w:r>
              <w:rPr>
                <w:rFonts w:eastAsia="Calibri" w:cs="Calibri"/>
                <w:color w:val="000000"/>
                <w:sz w:val="18"/>
              </w:rPr>
              <w:t>Commonwealth Grant – Sustainable Rural Water Use and Infrastructure Program</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-4,000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4,000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r>
      <w:tr w:rsid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113" w:hanging="113"/>
              <w:rPr>
                <w:rFonts w:eastAsia="Calibri" w:cs="Calibri"/>
                <w:color w:val="000000"/>
                <w:sz w:val="18"/>
              </w:rPr>
            </w:pPr>
            <w:r>
              <w:rPr>
                <w:rFonts w:eastAsia="Calibri" w:cs="Calibri"/>
                <w:color w:val="000000"/>
                <w:sz w:val="18"/>
              </w:rPr>
              <w:t>Reduction - Better Infrastructure Fund</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-470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r>
      <w:tr w:rsidR="004E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113" w:hanging="113"/>
              <w:rPr>
                <w:rFonts w:eastAsia="Calibri" w:cs="Calibri"/>
                <w:color w:val="000000"/>
                <w:sz w:val="18"/>
              </w:rPr>
            </w:pPr>
            <w:r>
              <w:rPr>
                <w:rFonts w:eastAsia="Calibri" w:cs="Calibri"/>
                <w:color w:val="000000"/>
                <w:sz w:val="18"/>
              </w:rPr>
              <w:t>Revised Funding Profile – Better Infrastructure Fund</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235</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r>
      <w:tr w:rsidR="004E06E6" w:rsidTr="00840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113" w:hanging="113"/>
              <w:rPr>
                <w:rFonts w:eastAsia="Calibri" w:cs="Calibri"/>
                <w:color w:val="000000"/>
                <w:sz w:val="18"/>
              </w:rPr>
            </w:pPr>
            <w:r>
              <w:rPr>
                <w:rFonts w:eastAsia="Calibri" w:cs="Calibri"/>
                <w:color w:val="000000"/>
                <w:sz w:val="18"/>
              </w:rPr>
              <w:t>Revised Funding Profile – Better Public Housing – New public housing properties</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-69,024</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1,000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68,024</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r>
      <w:tr w:rsidR="004E06E6" w:rsidTr="00840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2"/>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113" w:hanging="113"/>
              <w:rPr>
                <w:rFonts w:eastAsia="Calibri" w:cs="Calibri"/>
                <w:color w:val="000000"/>
                <w:sz w:val="18"/>
              </w:rPr>
            </w:pPr>
            <w:r>
              <w:rPr>
                <w:rFonts w:eastAsia="Calibri" w:cs="Calibri"/>
                <w:color w:val="000000"/>
                <w:sz w:val="18"/>
              </w:rPr>
              <w:t>Revised Funding Profile – Better services in your community – Improving our capacity to fight bushfires</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r>
      <w:tr w:rsidR="004E06E6" w:rsidTr="00840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4800"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113" w:hanging="113"/>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right"/>
              <w:rPr>
                <w:rFonts w:eastAsia="Calibri" w:cs="Calibri"/>
                <w:color w:val="000000"/>
                <w:sz w:val="18"/>
              </w:rPr>
            </w:pPr>
          </w:p>
        </w:tc>
      </w:tr>
    </w:tbl>
    <w:p w:rsidR="008407BB" w:rsidRPr="00F61ABE" w:rsidRDefault="00DC58C5" w:rsidP="00F61ABE">
      <w:pPr>
        <w:pStyle w:val="Caption"/>
        <w:pageBreakBefore/>
        <w:pBdr>
          <w:top w:val="nil"/>
          <w:left w:val="nil"/>
          <w:bottom w:val="nil"/>
          <w:right w:val="nil"/>
          <w:between w:val="nil"/>
          <w:bar w:val="nil"/>
        </w:pBdr>
        <w:rPr>
          <w:bdr w:val="nil"/>
        </w:rPr>
      </w:pPr>
      <w:r>
        <w:rPr>
          <w:bdr w:val="nil"/>
        </w:rPr>
        <w:t>Table 29</w:t>
      </w:r>
      <w:r w:rsidR="008407BB" w:rsidRPr="003E6C40">
        <w:rPr>
          <w:bdr w:val="nil"/>
        </w:rPr>
        <w:t>: Changes to appropriation – Capital Injections, Controlled</w:t>
      </w:r>
      <w:r w:rsidR="008407BB">
        <w:rPr>
          <w:bdr w:val="nil"/>
        </w:rPr>
        <w:t xml:space="preserve"> (continued)</w:t>
      </w:r>
    </w:p>
    <w:tbl>
      <w:tblPr>
        <w:tblStyle w:val="CDMRange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00"/>
        <w:gridCol w:w="1035"/>
        <w:gridCol w:w="1035"/>
        <w:gridCol w:w="1035"/>
        <w:gridCol w:w="1035"/>
        <w:gridCol w:w="1035"/>
      </w:tblGrid>
      <w:tr w:rsidR="008407BB" w:rsidTr="008407BB">
        <w:trPr>
          <w:trHeight w:val="240"/>
        </w:trPr>
        <w:tc>
          <w:tcPr>
            <w:tcW w:w="4800" w:type="dxa"/>
            <w:tcBorders>
              <w:top w:val="single" w:sz="12" w:space="0" w:color="auto"/>
              <w:left w:val="nil"/>
              <w:bottom w:val="single" w:sz="12" w:space="0" w:color="auto"/>
              <w:right w:val="nil"/>
              <w:tl2br w:val="nil"/>
              <w:tr2bl w:val="nil"/>
            </w:tcBorders>
            <w:shd w:val="clear" w:color="auto" w:fill="auto"/>
            <w:tcMar>
              <w:left w:w="101" w:type="dxa"/>
              <w:right w:w="101" w:type="dxa"/>
            </w:tcMar>
            <w:vAlign w:val="bottom"/>
          </w:tcPr>
          <w:p w:rsidR="008407BB" w:rsidRDefault="008407BB" w:rsidP="008407BB">
            <w:pPr>
              <w:spacing w:before="0" w:after="0"/>
              <w:rPr>
                <w:rFonts w:eastAsia="Calibri" w:cs="Calibri"/>
                <w:color w:val="000000"/>
                <w:sz w:val="18"/>
              </w:rPr>
            </w:pP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b/>
                <w:color w:val="000000"/>
                <w:sz w:val="18"/>
              </w:rPr>
            </w:pPr>
            <w:r>
              <w:rPr>
                <w:rFonts w:eastAsia="Calibri" w:cs="Calibri"/>
                <w:b/>
                <w:color w:val="000000"/>
                <w:sz w:val="18"/>
              </w:rPr>
              <w:t>2017-18 Estimated Outcome</w:t>
            </w:r>
          </w:p>
          <w:p w:rsidR="008407BB" w:rsidRDefault="008407BB" w:rsidP="008407B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b/>
                <w:color w:val="000000"/>
                <w:sz w:val="18"/>
              </w:rPr>
            </w:pPr>
            <w:r>
              <w:rPr>
                <w:rFonts w:eastAsia="Calibri" w:cs="Calibri"/>
                <w:b/>
                <w:color w:val="000000"/>
                <w:sz w:val="18"/>
              </w:rPr>
              <w:t>2018-19 Budget</w:t>
            </w:r>
          </w:p>
          <w:p w:rsidR="008407BB" w:rsidRDefault="008407BB" w:rsidP="008407BB">
            <w:pPr>
              <w:spacing w:before="0" w:after="0"/>
              <w:jc w:val="right"/>
              <w:rPr>
                <w:rFonts w:eastAsia="Calibri" w:cs="Calibri"/>
                <w:b/>
                <w:color w:val="000000"/>
                <w:sz w:val="18"/>
              </w:rPr>
            </w:pPr>
          </w:p>
          <w:p w:rsidR="008407BB" w:rsidRDefault="008407BB" w:rsidP="008407B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b/>
                <w:color w:val="000000"/>
                <w:sz w:val="18"/>
              </w:rPr>
            </w:pPr>
            <w:r>
              <w:rPr>
                <w:rFonts w:eastAsia="Calibri" w:cs="Calibri"/>
                <w:b/>
                <w:color w:val="000000"/>
                <w:sz w:val="18"/>
              </w:rPr>
              <w:t>2019-20 Estimate</w:t>
            </w:r>
          </w:p>
          <w:p w:rsidR="008407BB" w:rsidRDefault="008407BB" w:rsidP="008407BB">
            <w:pPr>
              <w:spacing w:before="0" w:after="0"/>
              <w:jc w:val="right"/>
              <w:rPr>
                <w:rFonts w:eastAsia="Calibri" w:cs="Calibri"/>
                <w:b/>
                <w:color w:val="000000"/>
                <w:sz w:val="18"/>
              </w:rPr>
            </w:pPr>
          </w:p>
          <w:p w:rsidR="008407BB" w:rsidRDefault="008407BB" w:rsidP="008407B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b/>
                <w:color w:val="000000"/>
                <w:sz w:val="18"/>
              </w:rPr>
            </w:pPr>
            <w:r>
              <w:rPr>
                <w:rFonts w:eastAsia="Calibri" w:cs="Calibri"/>
                <w:b/>
                <w:color w:val="000000"/>
                <w:sz w:val="18"/>
              </w:rPr>
              <w:t>2020-21 Estimate</w:t>
            </w:r>
          </w:p>
          <w:p w:rsidR="008407BB" w:rsidRDefault="008407BB" w:rsidP="008407BB">
            <w:pPr>
              <w:spacing w:before="0" w:after="0"/>
              <w:jc w:val="right"/>
              <w:rPr>
                <w:rFonts w:eastAsia="Calibri" w:cs="Calibri"/>
                <w:b/>
                <w:color w:val="000000"/>
                <w:sz w:val="18"/>
              </w:rPr>
            </w:pPr>
          </w:p>
          <w:p w:rsidR="008407BB" w:rsidRDefault="008407BB" w:rsidP="008407BB">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b/>
                <w:color w:val="000000"/>
                <w:sz w:val="18"/>
              </w:rPr>
            </w:pPr>
            <w:r>
              <w:rPr>
                <w:rFonts w:eastAsia="Calibri" w:cs="Calibri"/>
                <w:b/>
                <w:color w:val="000000"/>
                <w:sz w:val="18"/>
              </w:rPr>
              <w:t>2021-22 Estimate</w:t>
            </w:r>
          </w:p>
          <w:p w:rsidR="008407BB" w:rsidRDefault="008407BB" w:rsidP="008407BB">
            <w:pPr>
              <w:spacing w:before="0" w:after="0"/>
              <w:jc w:val="right"/>
              <w:rPr>
                <w:rFonts w:eastAsia="Calibri" w:cs="Calibri"/>
                <w:b/>
                <w:color w:val="000000"/>
                <w:sz w:val="18"/>
              </w:rPr>
            </w:pPr>
          </w:p>
          <w:p w:rsidR="008407BB" w:rsidRDefault="008407BB" w:rsidP="008407BB">
            <w:pPr>
              <w:spacing w:before="0" w:after="0"/>
              <w:jc w:val="right"/>
              <w:rPr>
                <w:rFonts w:eastAsia="Calibri" w:cs="Calibri"/>
                <w:b/>
                <w:color w:val="000000"/>
                <w:sz w:val="18"/>
              </w:rPr>
            </w:pPr>
            <w:r>
              <w:rPr>
                <w:rFonts w:eastAsia="Calibri" w:cs="Calibri"/>
                <w:b/>
                <w:color w:val="000000"/>
                <w:sz w:val="18"/>
              </w:rPr>
              <w:t>$'000</w:t>
            </w:r>
          </w:p>
        </w:tc>
      </w:tr>
      <w:tr w:rsidR="008407BB" w:rsidTr="00F61ABE">
        <w:trPr>
          <w:trHeight w:val="240"/>
        </w:trPr>
        <w:tc>
          <w:tcPr>
            <w:tcW w:w="4800" w:type="dxa"/>
            <w:tcBorders>
              <w:top w:val="single" w:sz="12" w:space="0" w:color="auto"/>
              <w:left w:val="nil"/>
              <w:bottom w:val="nil"/>
              <w:right w:val="nil"/>
              <w:tl2br w:val="nil"/>
              <w:tr2bl w:val="nil"/>
            </w:tcBorders>
            <w:shd w:val="clear" w:color="auto" w:fill="auto"/>
            <w:tcMar>
              <w:left w:w="101" w:type="dxa"/>
              <w:right w:w="101" w:type="dxa"/>
            </w:tcMar>
          </w:tcPr>
          <w:p w:rsidR="008407BB" w:rsidRDefault="008407BB" w:rsidP="008407BB">
            <w:pPr>
              <w:spacing w:before="0" w:after="0"/>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8407BB" w:rsidRDefault="008407BB" w:rsidP="008407BB">
            <w:pPr>
              <w:spacing w:before="0" w:after="0"/>
              <w:jc w:val="right"/>
              <w:rPr>
                <w:rFonts w:eastAsia="Calibri" w:cs="Calibri"/>
                <w:color w:val="000000"/>
                <w:sz w:val="18"/>
              </w:rPr>
            </w:pPr>
          </w:p>
        </w:tc>
      </w:tr>
      <w:tr w:rsidR="00CB271B" w:rsidTr="00F61ABE">
        <w:trPr>
          <w:trHeight w:val="332"/>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–Better support when it matters – Public Housing Renewal –New and better properties</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-4,037</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4,008</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332"/>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Better support when it matters – Public Housing Renewal – Taskforce operations</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-395</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309</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85</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324"/>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Caring for our Environment – Establishing the Molonglo River Reserve Stage 3</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-150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150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586"/>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Caring for our Environment – Water Quality Improvement – Contributions to the ACT Healthy Waterways Project</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-1,300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1,300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354"/>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Digital Canberra – New digital radio communication system</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-270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270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346"/>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Enhancing the Protection of Endangered Species and Habitat</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-1,200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1,200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325"/>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Improving Our City – Woden bus interchange improvements</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-150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150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316"/>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Loose-fill Asbestos Eradication Scheme</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-28,021</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11,131</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14,235</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1,330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-21,651</w:t>
            </w:r>
          </w:p>
        </w:tc>
      </w:tr>
      <w:tr w:rsidR="00CB271B" w:rsidTr="00F61ABE">
        <w:trPr>
          <w:trHeight w:val="308"/>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Molonglo Valley – Implementation of Commitments in the NES Plan – Stage 2</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286"/>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More and better jobs — Ensuring continuity of the Spatial Data Management System</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-600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Red Hill Nature Reserve Remediation (Finalisation and Design)</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-90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90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F61ABE">
        <w:trPr>
          <w:trHeight w:val="357"/>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Support for Building Industry – eDevelopment Renovation Project</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-1,600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1,000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600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6E1A2D">
        <w:trPr>
          <w:trHeight w:val="326"/>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Urban Renewal Program – Better Public Housing – Karuah</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-5,000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2,000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3,000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rsidTr="006E1A2D">
        <w:trPr>
          <w:trHeight w:val="304"/>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Funding Profile – Urban Renewal Program – Better Public Housing – Red Hill housing precinct</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-1,189</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1,189</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CB271B">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B271B" w:rsidRDefault="00CB271B" w:rsidP="00CB271B">
            <w:pPr>
              <w:spacing w:before="0" w:after="0"/>
              <w:ind w:left="113" w:hanging="113"/>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CB271B" w:rsidP="00CB271B">
            <w:pPr>
              <w:spacing w:before="0" w:after="0"/>
              <w:jc w:val="right"/>
              <w:rPr>
                <w:rFonts w:eastAsia="Calibri" w:cs="Calibri"/>
                <w:color w:val="000000"/>
                <w:sz w:val="18"/>
              </w:rPr>
            </w:pPr>
            <w:r>
              <w:rPr>
                <w:rFonts w:eastAsia="Calibri" w:cs="Calibri"/>
                <w:color w:val="000000"/>
                <w:sz w:val="18"/>
              </w:rPr>
              <w:t>303</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B271B" w:rsidRDefault="00485BCC" w:rsidP="00CB271B">
            <w:pPr>
              <w:spacing w:before="0" w:after="0"/>
              <w:jc w:val="right"/>
              <w:rPr>
                <w:rFonts w:eastAsia="Calibri" w:cs="Calibri"/>
                <w:color w:val="000000"/>
                <w:sz w:val="18"/>
              </w:rPr>
            </w:pPr>
            <w:r>
              <w:rPr>
                <w:rFonts w:eastAsia="Calibri" w:cs="Calibri"/>
                <w:color w:val="000000"/>
                <w:sz w:val="18"/>
              </w:rPr>
              <w:t>0</w:t>
            </w:r>
          </w:p>
        </w:tc>
      </w:tr>
      <w:tr w:rsidR="005B2A73">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B2A73" w:rsidRDefault="005B2A73" w:rsidP="005B2A73">
            <w:pPr>
              <w:spacing w:before="0" w:after="0"/>
              <w:ind w:left="113" w:hanging="113"/>
              <w:rPr>
                <w:rFonts w:eastAsia="Calibri" w:cs="Calibri"/>
                <w:color w:val="000000"/>
                <w:sz w:val="18"/>
              </w:rPr>
            </w:pPr>
            <w:r>
              <w:rPr>
                <w:rFonts w:eastAsia="Calibri" w:cs="Calibri"/>
                <w:color w:val="000000"/>
                <w:sz w:val="18"/>
              </w:rPr>
              <w:t>Savings – Better Infrastructure Fund</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-97</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-97</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-97</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-97</w:t>
            </w:r>
          </w:p>
        </w:tc>
      </w:tr>
      <w:tr w:rsidR="005B2A73">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B2A73" w:rsidRDefault="005B2A73" w:rsidP="005B2A73">
            <w:pPr>
              <w:spacing w:before="0" w:after="0"/>
              <w:ind w:left="113" w:hanging="113"/>
              <w:rPr>
                <w:rFonts w:eastAsia="Calibri" w:cs="Calibri"/>
                <w:color w:val="000000"/>
                <w:sz w:val="18"/>
              </w:rPr>
            </w:pPr>
            <w:r>
              <w:rPr>
                <w:rFonts w:eastAsia="Calibri" w:cs="Calibri"/>
                <w:color w:val="000000"/>
                <w:sz w:val="18"/>
              </w:rPr>
              <w:t>Savings – Urban Renewal Program – Better Public Housing – Allawah Court</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-9,617</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r>
      <w:tr w:rsidR="005B2A73">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B2A73" w:rsidRDefault="005B2A73" w:rsidP="005B2A73">
            <w:pPr>
              <w:spacing w:before="0" w:after="0"/>
              <w:ind w:left="113" w:hanging="113"/>
              <w:rPr>
                <w:rFonts w:eastAsia="Calibri" w:cs="Calibri"/>
                <w:color w:val="000000"/>
                <w:sz w:val="18"/>
              </w:rPr>
            </w:pPr>
            <w:r>
              <w:rPr>
                <w:rFonts w:eastAsia="Calibri" w:cs="Calibri"/>
                <w:color w:val="000000"/>
                <w:sz w:val="18"/>
              </w:rPr>
              <w:t>Transfer – Building a better city – New Civic pool (formerly City to the Lake – New Civic Pool) to CRA</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-400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r>
      <w:tr w:rsidR="005B2A73">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B2A73" w:rsidRDefault="005B2A73" w:rsidP="005B2A73">
            <w:pPr>
              <w:spacing w:before="0" w:after="0"/>
              <w:ind w:left="113" w:hanging="113"/>
              <w:rPr>
                <w:rFonts w:eastAsia="Calibri" w:cs="Calibri"/>
                <w:color w:val="000000"/>
                <w:sz w:val="18"/>
              </w:rPr>
            </w:pPr>
            <w:r>
              <w:rPr>
                <w:rFonts w:eastAsia="Calibri" w:cs="Calibri"/>
                <w:color w:val="000000"/>
                <w:sz w:val="18"/>
              </w:rPr>
              <w:t>Transfer – Building a better city – West Basin infrastructure (formerly Urban Renewal Program – City to the Lake – West Basin infrastructure) to CRA</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-7,500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r>
      <w:tr w:rsidR="005B2A73">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B2A73" w:rsidRDefault="005B2A73" w:rsidP="005B2A73">
            <w:pPr>
              <w:spacing w:before="0" w:after="0"/>
              <w:ind w:left="113" w:hanging="113"/>
              <w:rPr>
                <w:rFonts w:eastAsia="Calibri" w:cs="Calibri"/>
                <w:color w:val="000000"/>
                <w:sz w:val="18"/>
              </w:rPr>
            </w:pPr>
            <w:r>
              <w:rPr>
                <w:rFonts w:eastAsia="Calibri" w:cs="Calibri"/>
                <w:color w:val="000000"/>
                <w:sz w:val="18"/>
              </w:rPr>
              <w:t>Transfer - Carbon Neutral Government - Capital Injection to Controlled Recurrent Payments</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-507</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r>
      <w:tr w:rsidR="005B2A73">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5B2A73" w:rsidRDefault="005B2A73" w:rsidP="005B2A73">
            <w:pPr>
              <w:spacing w:before="0" w:after="0"/>
              <w:ind w:left="113" w:hanging="113"/>
              <w:rPr>
                <w:rFonts w:eastAsia="Calibri" w:cs="Calibri"/>
                <w:color w:val="000000"/>
                <w:sz w:val="18"/>
              </w:rPr>
            </w:pPr>
            <w:r>
              <w:rPr>
                <w:rFonts w:eastAsia="Calibri" w:cs="Calibri"/>
                <w:color w:val="000000"/>
                <w:sz w:val="18"/>
              </w:rPr>
              <w:t>Transfer – Urban Renewal Program – Civic and Braddon public realm improvements to CRA</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-1,050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5B2A73" w:rsidRDefault="00485BCC" w:rsidP="005B2A73">
            <w:pPr>
              <w:spacing w:before="0" w:after="0"/>
              <w:jc w:val="right"/>
              <w:rPr>
                <w:rFonts w:eastAsia="Calibri" w:cs="Calibri"/>
                <w:color w:val="000000"/>
                <w:sz w:val="18"/>
              </w:rPr>
            </w:pPr>
            <w:r>
              <w:rPr>
                <w:rFonts w:eastAsia="Calibri" w:cs="Calibri"/>
                <w:color w:val="000000"/>
                <w:sz w:val="18"/>
              </w:rPr>
              <w:t>0</w:t>
            </w:r>
          </w:p>
        </w:tc>
      </w:tr>
      <w:tr w:rsidR="005B2A73">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B2A73" w:rsidRDefault="005B2A73" w:rsidP="005B2A73">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B2A73" w:rsidRDefault="005B2A73" w:rsidP="005B2A73">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B2A73" w:rsidRDefault="005B2A73" w:rsidP="005B2A73">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B2A73" w:rsidRDefault="005B2A73" w:rsidP="005B2A73">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B2A73" w:rsidRDefault="005B2A73" w:rsidP="005B2A73">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B2A73" w:rsidRDefault="005B2A73" w:rsidP="005B2A73">
            <w:pPr>
              <w:spacing w:before="0" w:after="0"/>
              <w:rPr>
                <w:rFonts w:eastAsia="Calibri" w:cs="Calibri"/>
                <w:color w:val="000000"/>
                <w:sz w:val="18"/>
              </w:rPr>
            </w:pPr>
          </w:p>
        </w:tc>
      </w:tr>
      <w:tr w:rsidR="005B2A73">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5B2A73" w:rsidRDefault="005B2A73" w:rsidP="005B2A73">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5B2A73" w:rsidRDefault="005B2A73" w:rsidP="005B2A73">
            <w:pPr>
              <w:spacing w:before="0" w:after="0"/>
              <w:jc w:val="right"/>
              <w:rPr>
                <w:rFonts w:eastAsia="Calibri" w:cs="Calibri"/>
                <w:b/>
                <w:color w:val="000000"/>
                <w:sz w:val="18"/>
              </w:rPr>
            </w:pPr>
            <w:r>
              <w:rPr>
                <w:rFonts w:eastAsia="Calibri" w:cs="Calibri"/>
                <w:b/>
                <w:color w:val="000000"/>
                <w:sz w:val="18"/>
              </w:rPr>
              <w:t>215,323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5B2A73" w:rsidRDefault="005B2A73" w:rsidP="005B2A73">
            <w:pPr>
              <w:spacing w:before="0" w:after="0"/>
              <w:jc w:val="right"/>
              <w:rPr>
                <w:rFonts w:eastAsia="Calibri" w:cs="Calibri"/>
                <w:b/>
                <w:color w:val="000000"/>
                <w:sz w:val="18"/>
              </w:rPr>
            </w:pPr>
            <w:r>
              <w:rPr>
                <w:rFonts w:eastAsia="Calibri" w:cs="Calibri"/>
                <w:b/>
                <w:color w:val="000000"/>
                <w:sz w:val="18"/>
              </w:rPr>
              <w:t>152,911</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5B2A73" w:rsidRDefault="005B2A73" w:rsidP="005B2A73">
            <w:pPr>
              <w:spacing w:before="0" w:after="0"/>
              <w:jc w:val="right"/>
              <w:rPr>
                <w:rFonts w:eastAsia="Calibri" w:cs="Calibri"/>
                <w:b/>
                <w:color w:val="000000"/>
                <w:sz w:val="18"/>
              </w:rPr>
            </w:pPr>
            <w:r>
              <w:rPr>
                <w:rFonts w:eastAsia="Calibri" w:cs="Calibri"/>
                <w:b/>
                <w:color w:val="000000"/>
                <w:sz w:val="18"/>
              </w:rPr>
              <w:t>105,989</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5B2A73" w:rsidRDefault="005B2A73" w:rsidP="005B2A73">
            <w:pPr>
              <w:spacing w:before="0" w:after="0"/>
              <w:jc w:val="right"/>
              <w:rPr>
                <w:rFonts w:eastAsia="Calibri" w:cs="Calibri"/>
                <w:b/>
                <w:color w:val="000000"/>
                <w:sz w:val="18"/>
              </w:rPr>
            </w:pPr>
            <w:r>
              <w:rPr>
                <w:rFonts w:eastAsia="Calibri" w:cs="Calibri"/>
                <w:b/>
                <w:color w:val="000000"/>
                <w:sz w:val="18"/>
              </w:rPr>
              <w:t>26,428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5B2A73" w:rsidRDefault="005B2A73" w:rsidP="005B2A73">
            <w:pPr>
              <w:spacing w:before="0" w:after="0"/>
              <w:jc w:val="right"/>
              <w:rPr>
                <w:rFonts w:eastAsia="Calibri" w:cs="Calibri"/>
                <w:b/>
                <w:color w:val="000000"/>
                <w:sz w:val="18"/>
              </w:rPr>
            </w:pPr>
            <w:r>
              <w:rPr>
                <w:rFonts w:eastAsia="Calibri" w:cs="Calibri"/>
                <w:b/>
                <w:color w:val="000000"/>
                <w:sz w:val="18"/>
              </w:rPr>
              <w:t>3,143</w:t>
            </w:r>
          </w:p>
        </w:tc>
      </w:tr>
    </w:tbl>
    <w:p w:rsidR="00444E98" w:rsidRDefault="00444E98" w:rsidP="00444E98">
      <w:pPr>
        <w:pStyle w:val="BSnote2"/>
      </w:pPr>
      <w:r>
        <w:t>Note</w:t>
      </w:r>
      <w:r w:rsidR="007D229C">
        <w:t>(s)</w:t>
      </w:r>
      <w:r>
        <w:t>:</w:t>
      </w:r>
    </w:p>
    <w:p w:rsidR="00444E98" w:rsidRDefault="00444E98" w:rsidP="00862CB5">
      <w:pPr>
        <w:pStyle w:val="BSnoteslist20"/>
        <w:numPr>
          <w:ilvl w:val="0"/>
          <w:numId w:val="56"/>
        </w:numPr>
      </w:pPr>
      <w:r>
        <w:t xml:space="preserve">The initiative ‘More jobs for our growing city – More electric vehicle charging’ will be funded from existing resources. </w:t>
      </w:r>
    </w:p>
    <w:p w:rsidR="005576C2" w:rsidRDefault="00DC58C5" w:rsidP="00250BBC">
      <w:pPr>
        <w:pStyle w:val="Caption"/>
        <w:pageBreakBefore/>
        <w:pBdr>
          <w:top w:val="nil"/>
          <w:left w:val="nil"/>
          <w:bottom w:val="nil"/>
          <w:right w:val="nil"/>
          <w:between w:val="nil"/>
          <w:bar w:val="nil"/>
        </w:pBdr>
        <w:outlineLvl w:val="0"/>
        <w:rPr>
          <w:bdr w:val="nil"/>
        </w:rPr>
      </w:pPr>
      <w:bookmarkStart w:id="72" w:name="_Toc514763795"/>
      <w:bookmarkStart w:id="73" w:name="_Toc514840950"/>
      <w:bookmarkStart w:id="74" w:name="_Toc514841024"/>
      <w:r>
        <w:rPr>
          <w:bdr w:val="nil"/>
        </w:rPr>
        <w:t>Table 30</w:t>
      </w:r>
      <w:r w:rsidR="002435BD" w:rsidRPr="00250BBC">
        <w:rPr>
          <w:bdr w:val="nil"/>
        </w:rPr>
        <w:t>: Changes to appropriation –</w:t>
      </w:r>
      <w:r w:rsidR="002435BD" w:rsidRPr="00250BBC">
        <w:rPr>
          <w:szCs w:val="20"/>
          <w:bdr w:val="nil"/>
        </w:rPr>
        <w:t xml:space="preserve"> </w:t>
      </w:r>
      <w:r w:rsidR="002435BD" w:rsidRPr="00250BBC">
        <w:rPr>
          <w:bdr w:val="nil"/>
        </w:rPr>
        <w:t>Capital Injections, Territorial</w:t>
      </w:r>
      <w:bookmarkEnd w:id="72"/>
      <w:bookmarkEnd w:id="73"/>
      <w:bookmarkEnd w:id="74"/>
    </w:p>
    <w:tbl>
      <w:tblPr>
        <w:tblStyle w:val="CDMRange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00"/>
        <w:gridCol w:w="1035"/>
        <w:gridCol w:w="1035"/>
        <w:gridCol w:w="1035"/>
        <w:gridCol w:w="1035"/>
        <w:gridCol w:w="1035"/>
      </w:tblGrid>
      <w:tr w:rsidR="00D24BB7" w:rsidTr="006D1C0E">
        <w:trPr>
          <w:trHeight w:val="240"/>
        </w:trPr>
        <w:tc>
          <w:tcPr>
            <w:tcW w:w="4800" w:type="dxa"/>
            <w:tcBorders>
              <w:top w:val="single" w:sz="12" w:space="0" w:color="auto"/>
              <w:left w:val="nil"/>
              <w:bottom w:val="single" w:sz="12" w:space="0" w:color="auto"/>
              <w:right w:val="nil"/>
              <w:tl2br w:val="nil"/>
              <w:tr2bl w:val="nil"/>
            </w:tcBorders>
            <w:shd w:val="clear" w:color="auto" w:fill="auto"/>
            <w:tcMar>
              <w:left w:w="101" w:type="dxa"/>
              <w:right w:w="101" w:type="dxa"/>
            </w:tcMar>
            <w:vAlign w:val="bottom"/>
          </w:tcPr>
          <w:p w:rsidR="00D24BB7" w:rsidRDefault="00D24BB7" w:rsidP="006D1C0E">
            <w:pPr>
              <w:spacing w:before="0" w:after="0"/>
              <w:rPr>
                <w:rFonts w:eastAsia="Calibri" w:cs="Calibri"/>
                <w:color w:val="000000"/>
                <w:sz w:val="18"/>
              </w:rPr>
            </w:pP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b/>
                <w:color w:val="000000"/>
                <w:sz w:val="18"/>
              </w:rPr>
            </w:pPr>
            <w:r>
              <w:rPr>
                <w:rFonts w:eastAsia="Calibri" w:cs="Calibri"/>
                <w:b/>
                <w:color w:val="000000"/>
                <w:sz w:val="18"/>
              </w:rPr>
              <w:t>2017-18 Estimated Outcome</w:t>
            </w:r>
          </w:p>
          <w:p w:rsidR="00D24BB7" w:rsidRDefault="00D24BB7" w:rsidP="006D1C0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b/>
                <w:color w:val="000000"/>
                <w:sz w:val="18"/>
              </w:rPr>
            </w:pPr>
            <w:r>
              <w:rPr>
                <w:rFonts w:eastAsia="Calibri" w:cs="Calibri"/>
                <w:b/>
                <w:color w:val="000000"/>
                <w:sz w:val="18"/>
              </w:rPr>
              <w:t>2018-19 Budget</w:t>
            </w:r>
          </w:p>
          <w:p w:rsidR="00D24BB7" w:rsidRDefault="00D24BB7" w:rsidP="006D1C0E">
            <w:pPr>
              <w:spacing w:before="0" w:after="0"/>
              <w:jc w:val="right"/>
              <w:rPr>
                <w:rFonts w:eastAsia="Calibri" w:cs="Calibri"/>
                <w:b/>
                <w:color w:val="000000"/>
                <w:sz w:val="18"/>
              </w:rPr>
            </w:pPr>
          </w:p>
          <w:p w:rsidR="00D24BB7" w:rsidRDefault="00D24BB7" w:rsidP="006D1C0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b/>
                <w:color w:val="000000"/>
                <w:sz w:val="18"/>
              </w:rPr>
            </w:pPr>
            <w:r>
              <w:rPr>
                <w:rFonts w:eastAsia="Calibri" w:cs="Calibri"/>
                <w:b/>
                <w:color w:val="000000"/>
                <w:sz w:val="18"/>
              </w:rPr>
              <w:t>2019-20 Estimate</w:t>
            </w:r>
          </w:p>
          <w:p w:rsidR="00D24BB7" w:rsidRDefault="00D24BB7" w:rsidP="006D1C0E">
            <w:pPr>
              <w:spacing w:before="0" w:after="0"/>
              <w:jc w:val="right"/>
              <w:rPr>
                <w:rFonts w:eastAsia="Calibri" w:cs="Calibri"/>
                <w:b/>
                <w:color w:val="000000"/>
                <w:sz w:val="18"/>
              </w:rPr>
            </w:pPr>
          </w:p>
          <w:p w:rsidR="00D24BB7" w:rsidRDefault="00D24BB7" w:rsidP="006D1C0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b/>
                <w:color w:val="000000"/>
                <w:sz w:val="18"/>
              </w:rPr>
            </w:pPr>
            <w:r>
              <w:rPr>
                <w:rFonts w:eastAsia="Calibri" w:cs="Calibri"/>
                <w:b/>
                <w:color w:val="000000"/>
                <w:sz w:val="18"/>
              </w:rPr>
              <w:t>2020-21 Estimate</w:t>
            </w:r>
          </w:p>
          <w:p w:rsidR="00D24BB7" w:rsidRDefault="00D24BB7" w:rsidP="006D1C0E">
            <w:pPr>
              <w:spacing w:before="0" w:after="0"/>
              <w:jc w:val="right"/>
              <w:rPr>
                <w:rFonts w:eastAsia="Calibri" w:cs="Calibri"/>
                <w:b/>
                <w:color w:val="000000"/>
                <w:sz w:val="18"/>
              </w:rPr>
            </w:pPr>
          </w:p>
          <w:p w:rsidR="00D24BB7" w:rsidRDefault="00D24BB7" w:rsidP="006D1C0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b/>
                <w:color w:val="000000"/>
                <w:sz w:val="18"/>
              </w:rPr>
            </w:pPr>
            <w:r>
              <w:rPr>
                <w:rFonts w:eastAsia="Calibri" w:cs="Calibri"/>
                <w:b/>
                <w:color w:val="000000"/>
                <w:sz w:val="18"/>
              </w:rPr>
              <w:t>2021-22 Estimate</w:t>
            </w:r>
          </w:p>
          <w:p w:rsidR="00D24BB7" w:rsidRDefault="00D24BB7" w:rsidP="006D1C0E">
            <w:pPr>
              <w:spacing w:before="0" w:after="0"/>
              <w:jc w:val="right"/>
              <w:rPr>
                <w:rFonts w:eastAsia="Calibri" w:cs="Calibri"/>
                <w:b/>
                <w:color w:val="000000"/>
                <w:sz w:val="18"/>
              </w:rPr>
            </w:pPr>
          </w:p>
          <w:p w:rsidR="00D24BB7" w:rsidRDefault="00D24BB7" w:rsidP="006D1C0E">
            <w:pPr>
              <w:spacing w:before="0" w:after="0"/>
              <w:jc w:val="right"/>
              <w:rPr>
                <w:rFonts w:eastAsia="Calibri" w:cs="Calibri"/>
                <w:b/>
                <w:color w:val="000000"/>
                <w:sz w:val="18"/>
              </w:rPr>
            </w:pPr>
            <w:r>
              <w:rPr>
                <w:rFonts w:eastAsia="Calibri" w:cs="Calibri"/>
                <w:b/>
                <w:color w:val="000000"/>
                <w:sz w:val="18"/>
              </w:rPr>
              <w:t>$'000</w:t>
            </w:r>
          </w:p>
        </w:tc>
      </w:tr>
      <w:tr w:rsidR="00D24BB7" w:rsidTr="006D1C0E">
        <w:trPr>
          <w:trHeight w:val="240"/>
        </w:trPr>
        <w:tc>
          <w:tcPr>
            <w:tcW w:w="4800" w:type="dxa"/>
            <w:tcBorders>
              <w:top w:val="single" w:sz="12" w:space="0" w:color="auto"/>
              <w:left w:val="nil"/>
              <w:bottom w:val="nil"/>
              <w:right w:val="nil"/>
              <w:tl2br w:val="nil"/>
              <w:tr2bl w:val="nil"/>
            </w:tcBorders>
            <w:shd w:val="clear" w:color="auto" w:fill="auto"/>
            <w:tcMar>
              <w:left w:w="101" w:type="dxa"/>
              <w:right w:w="101" w:type="dxa"/>
            </w:tcMar>
          </w:tcPr>
          <w:p w:rsidR="00D24BB7" w:rsidRDefault="00D24BB7" w:rsidP="006D1C0E">
            <w:pPr>
              <w:spacing w:before="0" w:after="0"/>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r>
      <w:tr w:rsidR="00D24BB7" w:rsidTr="006D1C0E">
        <w:trPr>
          <w:trHeight w:val="202"/>
        </w:trPr>
        <w:tc>
          <w:tcPr>
            <w:tcW w:w="4800" w:type="dxa"/>
            <w:tcBorders>
              <w:top w:val="nil"/>
              <w:left w:val="nil"/>
              <w:bottom w:val="nil"/>
              <w:right w:val="nil"/>
              <w:tl2br w:val="nil"/>
              <w:tr2bl w:val="nil"/>
            </w:tcBorders>
            <w:shd w:val="clear" w:color="auto" w:fill="auto"/>
            <w:tcMar>
              <w:left w:w="101" w:type="dxa"/>
              <w:right w:w="101" w:type="dxa"/>
            </w:tcMar>
            <w:vAlign w:val="bottom"/>
          </w:tcPr>
          <w:p w:rsidR="00D24BB7" w:rsidRDefault="00D24BB7" w:rsidP="00D24BB7">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r>
      <w:tr w:rsidR="00D24BB7" w:rsidTr="00D24BB7">
        <w:trPr>
          <w:trHeight w:val="263"/>
        </w:trPr>
        <w:tc>
          <w:tcPr>
            <w:tcW w:w="4800" w:type="dxa"/>
            <w:tcBorders>
              <w:top w:val="nil"/>
              <w:left w:val="nil"/>
              <w:bottom w:val="nil"/>
              <w:right w:val="nil"/>
              <w:tl2br w:val="nil"/>
              <w:tr2bl w:val="nil"/>
            </w:tcBorders>
            <w:shd w:val="clear" w:color="auto" w:fill="auto"/>
            <w:tcMar>
              <w:left w:w="101" w:type="dxa"/>
              <w:right w:w="101" w:type="dxa"/>
            </w:tcMar>
          </w:tcPr>
          <w:p w:rsidR="00D24BB7" w:rsidRDefault="00D24BB7" w:rsidP="006D1C0E">
            <w:pPr>
              <w:spacing w:before="0" w:after="0"/>
              <w:ind w:left="113" w:hanging="113"/>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r>
      <w:tr w:rsidR="00D24BB7" w:rsidTr="00D24BB7">
        <w:trPr>
          <w:trHeight w:val="138"/>
        </w:trPr>
        <w:tc>
          <w:tcPr>
            <w:tcW w:w="4800" w:type="dxa"/>
            <w:tcBorders>
              <w:top w:val="nil"/>
              <w:left w:val="nil"/>
              <w:bottom w:val="nil"/>
              <w:right w:val="nil"/>
              <w:tl2br w:val="nil"/>
              <w:tr2bl w:val="nil"/>
            </w:tcBorders>
            <w:shd w:val="clear" w:color="auto" w:fill="auto"/>
            <w:tcMar>
              <w:left w:w="101" w:type="dxa"/>
              <w:right w:w="101" w:type="dxa"/>
            </w:tcMar>
          </w:tcPr>
          <w:p w:rsidR="00D24BB7" w:rsidRDefault="00D24BB7" w:rsidP="006D1C0E">
            <w:pPr>
              <w:spacing w:before="0" w:after="0"/>
              <w:ind w:left="113" w:hanging="113"/>
              <w:rPr>
                <w:rFonts w:eastAsia="Calibri" w:cs="Calibri"/>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6D1C0E">
            <w:pPr>
              <w:spacing w:before="0" w:after="0"/>
              <w:jc w:val="right"/>
              <w:rPr>
                <w:rFonts w:eastAsia="Calibri" w:cs="Calibri"/>
                <w:color w:val="000000"/>
                <w:sz w:val="18"/>
              </w:rPr>
            </w:pPr>
          </w:p>
        </w:tc>
      </w:tr>
      <w:tr w:rsidR="00D24BB7" w:rsidTr="00D24BB7">
        <w:trPr>
          <w:trHeight w:val="199"/>
        </w:trPr>
        <w:tc>
          <w:tcPr>
            <w:tcW w:w="4800" w:type="dxa"/>
            <w:tcBorders>
              <w:top w:val="nil"/>
              <w:left w:val="nil"/>
              <w:bottom w:val="nil"/>
              <w:right w:val="nil"/>
              <w:tl2br w:val="nil"/>
              <w:tr2bl w:val="nil"/>
            </w:tcBorders>
            <w:shd w:val="clear" w:color="auto" w:fill="auto"/>
            <w:tcMar>
              <w:left w:w="101" w:type="dxa"/>
              <w:right w:w="101" w:type="dxa"/>
            </w:tcMar>
          </w:tcPr>
          <w:p w:rsidR="00D24BB7" w:rsidRDefault="00D24BB7" w:rsidP="00D24BB7">
            <w:pPr>
              <w:spacing w:before="0" w:after="0"/>
              <w:ind w:left="113" w:hanging="113"/>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D24BB7" w:rsidP="00D24BB7">
            <w:pPr>
              <w:spacing w:before="0" w:after="0"/>
              <w:jc w:val="right"/>
              <w:rPr>
                <w:rFonts w:eastAsia="Calibri" w:cs="Calibri"/>
                <w:color w:val="000000"/>
                <w:sz w:val="18"/>
              </w:rPr>
            </w:pPr>
            <w:r>
              <w:rPr>
                <w:rFonts w:eastAsia="Calibri" w:cs="Calibri"/>
                <w:color w:val="000000"/>
                <w:sz w:val="18"/>
              </w:rPr>
              <w:t>4</w:t>
            </w: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24BB7" w:rsidRDefault="005B2A73" w:rsidP="00D24BB7">
            <w:pPr>
              <w:spacing w:before="0" w:after="0"/>
              <w:jc w:val="right"/>
              <w:rPr>
                <w:rFonts w:eastAsia="Calibri" w:cs="Calibri"/>
                <w:color w:val="000000"/>
                <w:sz w:val="18"/>
              </w:rPr>
            </w:pPr>
            <w:r>
              <w:rPr>
                <w:rFonts w:eastAsia="Calibri" w:cs="Calibri"/>
                <w:color w:val="000000"/>
                <w:sz w:val="18"/>
              </w:rPr>
              <w:t>0</w:t>
            </w:r>
          </w:p>
        </w:tc>
      </w:tr>
      <w:tr w:rsidR="00D24BB7" w:rsidTr="006D1C0E">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24BB7" w:rsidRDefault="00D24BB7" w:rsidP="006D1C0E">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24BB7" w:rsidRDefault="00D24BB7" w:rsidP="006D1C0E">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24BB7" w:rsidRDefault="00D24BB7" w:rsidP="006D1C0E">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24BB7" w:rsidRDefault="00D24BB7" w:rsidP="006D1C0E">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24BB7" w:rsidRDefault="00D24BB7" w:rsidP="006D1C0E">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24BB7" w:rsidRDefault="00D24BB7" w:rsidP="006D1C0E">
            <w:pPr>
              <w:spacing w:before="0" w:after="0"/>
              <w:rPr>
                <w:rFonts w:eastAsia="Calibri" w:cs="Calibri"/>
                <w:color w:val="000000"/>
                <w:sz w:val="18"/>
              </w:rPr>
            </w:pPr>
          </w:p>
        </w:tc>
      </w:tr>
      <w:tr w:rsidR="00D24BB7" w:rsidTr="006D1C0E">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24BB7" w:rsidRDefault="00D24BB7" w:rsidP="006D1C0E">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24BB7" w:rsidRDefault="005B2A73" w:rsidP="006D1C0E">
            <w:pPr>
              <w:spacing w:before="0" w:after="0"/>
              <w:jc w:val="right"/>
              <w:rPr>
                <w:rFonts w:eastAsia="Calibri" w:cs="Calibri"/>
                <w:b/>
                <w:color w:val="000000"/>
                <w:sz w:val="18"/>
              </w:rPr>
            </w:pPr>
            <w:r>
              <w:rPr>
                <w:rFonts w:eastAsia="Calibri" w:cs="Calibri"/>
                <w:b/>
                <w:color w:val="000000"/>
                <w:sz w:val="18"/>
              </w:rPr>
              <w:t>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24BB7" w:rsidRDefault="00D24BB7" w:rsidP="006D1C0E">
            <w:pPr>
              <w:spacing w:before="0" w:after="0"/>
              <w:jc w:val="right"/>
              <w:rPr>
                <w:rFonts w:eastAsia="Calibri" w:cs="Calibri"/>
                <w:b/>
                <w:color w:val="000000"/>
                <w:sz w:val="18"/>
              </w:rPr>
            </w:pPr>
            <w:r>
              <w:rPr>
                <w:rFonts w:eastAsia="Calibri" w:cs="Calibri"/>
                <w:b/>
                <w:color w:val="000000"/>
                <w:sz w:val="18"/>
              </w:rPr>
              <w:t>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24BB7" w:rsidRDefault="005B2A73" w:rsidP="006D1C0E">
            <w:pPr>
              <w:spacing w:before="0" w:after="0"/>
              <w:jc w:val="right"/>
              <w:rPr>
                <w:rFonts w:eastAsia="Calibri" w:cs="Calibri"/>
                <w:b/>
                <w:color w:val="000000"/>
                <w:sz w:val="18"/>
              </w:rPr>
            </w:pPr>
            <w:r>
              <w:rPr>
                <w:rFonts w:eastAsia="Calibri" w:cs="Calibri"/>
                <w:b/>
                <w:color w:val="000000"/>
                <w:sz w:val="18"/>
              </w:rPr>
              <w:t>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24BB7" w:rsidRDefault="005B2A73" w:rsidP="006D1C0E">
            <w:pPr>
              <w:spacing w:before="0" w:after="0"/>
              <w:jc w:val="right"/>
              <w:rPr>
                <w:rFonts w:eastAsia="Calibri" w:cs="Calibri"/>
                <w:b/>
                <w:color w:val="000000"/>
                <w:sz w:val="18"/>
              </w:rPr>
            </w:pPr>
            <w:r>
              <w:rPr>
                <w:rFonts w:eastAsia="Calibri" w:cs="Calibri"/>
                <w:b/>
                <w:color w:val="000000"/>
                <w:sz w:val="18"/>
              </w:rPr>
              <w:t>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24BB7" w:rsidRDefault="005B2A73" w:rsidP="006D1C0E">
            <w:pPr>
              <w:spacing w:before="0" w:after="0"/>
              <w:jc w:val="right"/>
              <w:rPr>
                <w:rFonts w:eastAsia="Calibri" w:cs="Calibri"/>
                <w:b/>
                <w:color w:val="000000"/>
                <w:sz w:val="18"/>
              </w:rPr>
            </w:pPr>
            <w:r>
              <w:rPr>
                <w:rFonts w:eastAsia="Calibri" w:cs="Calibri"/>
                <w:b/>
                <w:color w:val="000000"/>
                <w:sz w:val="18"/>
              </w:rPr>
              <w:t>0</w:t>
            </w:r>
          </w:p>
        </w:tc>
      </w:tr>
    </w:tbl>
    <w:p w:rsidR="00D24BB7" w:rsidRPr="00D24BB7" w:rsidRDefault="00D24BB7" w:rsidP="00D24BB7">
      <w:pPr>
        <w:pStyle w:val="Normal1"/>
      </w:pPr>
    </w:p>
    <w:p w:rsidR="007114AE" w:rsidRPr="00E00C45" w:rsidRDefault="002435BD" w:rsidP="007114AE">
      <w:pPr>
        <w:pStyle w:val="Heading2"/>
        <w:pageBreakBefore/>
        <w:pBdr>
          <w:top w:val="nil"/>
          <w:left w:val="nil"/>
          <w:bottom w:val="nil"/>
          <w:right w:val="nil"/>
          <w:between w:val="nil"/>
          <w:bar w:val="nil"/>
        </w:pBdr>
        <w:rPr>
          <w:bdr w:val="nil"/>
        </w:rPr>
      </w:pPr>
      <w:bookmarkStart w:id="75" w:name="_Toc452127417"/>
      <w:bookmarkStart w:id="76" w:name="_Toc514840951"/>
      <w:bookmarkStart w:id="77" w:name="_Toc514841025"/>
      <w:r w:rsidRPr="00E00C45">
        <w:rPr>
          <w:bdr w:val="nil"/>
        </w:rPr>
        <w:t>Summary of 2018-19 Infrastructure Program</w:t>
      </w:r>
      <w:bookmarkEnd w:id="75"/>
      <w:bookmarkEnd w:id="76"/>
      <w:bookmarkEnd w:id="77"/>
    </w:p>
    <w:p w:rsidR="007114AE" w:rsidRPr="00EC7E1F" w:rsidRDefault="00DC58C5" w:rsidP="007114AE">
      <w:pPr>
        <w:pStyle w:val="Caption"/>
        <w:pBdr>
          <w:top w:val="nil"/>
          <w:left w:val="nil"/>
          <w:bottom w:val="nil"/>
          <w:right w:val="nil"/>
          <w:between w:val="nil"/>
          <w:bar w:val="nil"/>
        </w:pBdr>
        <w:rPr>
          <w:bdr w:val="nil"/>
        </w:rPr>
      </w:pPr>
      <w:r>
        <w:rPr>
          <w:bdr w:val="nil"/>
        </w:rPr>
        <w:t>Table 31</w:t>
      </w:r>
      <w:r w:rsidR="002435BD" w:rsidRPr="00E00C45">
        <w:rPr>
          <w:bdr w:val="nil"/>
        </w:rPr>
        <w:t>: 2018-19 Environment, Planning and Sustainable Development Directorate Infrastructure Program</w:t>
      </w:r>
    </w:p>
    <w:tbl>
      <w:tblPr>
        <w:tblStyle w:val="CDMRange1"/>
        <w:tblW w:w="9375" w:type="dxa"/>
        <w:tblLayout w:type="fixed"/>
        <w:tblLook w:val="0600" w:firstRow="0" w:lastRow="0" w:firstColumn="0" w:lastColumn="0" w:noHBand="1" w:noVBand="1"/>
      </w:tblPr>
      <w:tblGrid>
        <w:gridCol w:w="3225"/>
        <w:gridCol w:w="975"/>
        <w:gridCol w:w="975"/>
        <w:gridCol w:w="975"/>
        <w:gridCol w:w="975"/>
        <w:gridCol w:w="1125"/>
        <w:gridCol w:w="1125"/>
      </w:tblGrid>
      <w:tr w:rsidR="005576C2" w:rsidTr="006A09D9">
        <w:trPr>
          <w:trHeight w:val="750"/>
        </w:trPr>
        <w:tc>
          <w:tcPr>
            <w:tcW w:w="3225" w:type="dxa"/>
            <w:tcBorders>
              <w:top w:val="single" w:sz="12" w:space="0" w:color="auto"/>
              <w:left w:val="nil"/>
              <w:bottom w:val="single" w:sz="12" w:space="0" w:color="auto"/>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Project</w:t>
            </w:r>
          </w:p>
        </w:tc>
        <w:tc>
          <w:tcPr>
            <w:tcW w:w="975" w:type="dxa"/>
            <w:tcBorders>
              <w:top w:val="single" w:sz="12" w:space="0" w:color="auto"/>
              <w:left w:val="nil"/>
              <w:bottom w:val="single" w:sz="12" w:space="0" w:color="auto"/>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2018-19</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975" w:type="dxa"/>
            <w:tcBorders>
              <w:top w:val="single" w:sz="12" w:space="0" w:color="auto"/>
              <w:left w:val="nil"/>
              <w:bottom w:val="single" w:sz="12" w:space="0" w:color="auto"/>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2019-20</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975" w:type="dxa"/>
            <w:tcBorders>
              <w:top w:val="single" w:sz="12" w:space="0" w:color="auto"/>
              <w:left w:val="nil"/>
              <w:bottom w:val="single" w:sz="12" w:space="0" w:color="auto"/>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2020-21</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975" w:type="dxa"/>
            <w:tcBorders>
              <w:top w:val="single" w:sz="12" w:space="0" w:color="auto"/>
              <w:left w:val="nil"/>
              <w:bottom w:val="single" w:sz="12" w:space="0" w:color="auto"/>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2021-22</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125" w:type="dxa"/>
            <w:tcBorders>
              <w:top w:val="single" w:sz="12" w:space="0" w:color="auto"/>
              <w:left w:val="nil"/>
              <w:bottom w:val="single" w:sz="12" w:space="0" w:color="auto"/>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Four Year</w:t>
            </w:r>
          </w:p>
          <w:p w:rsidR="005576C2" w:rsidRDefault="002435BD">
            <w:pPr>
              <w:spacing w:before="0" w:after="0"/>
              <w:jc w:val="right"/>
              <w:rPr>
                <w:rFonts w:eastAsia="Calibri" w:cs="Calibri"/>
                <w:b/>
                <w:color w:val="000000"/>
                <w:sz w:val="18"/>
              </w:rPr>
            </w:pPr>
            <w:r>
              <w:rPr>
                <w:rFonts w:eastAsia="Calibri" w:cs="Calibri"/>
                <w:b/>
                <w:color w:val="000000"/>
                <w:sz w:val="18"/>
              </w:rPr>
              <w:t>Investment</w:t>
            </w:r>
          </w:p>
          <w:p w:rsidR="005576C2" w:rsidRDefault="002435BD">
            <w:pPr>
              <w:spacing w:before="0" w:after="0"/>
              <w:jc w:val="right"/>
              <w:rPr>
                <w:rFonts w:eastAsia="Calibri" w:cs="Calibri"/>
                <w:b/>
                <w:color w:val="000000"/>
                <w:sz w:val="18"/>
              </w:rPr>
            </w:pPr>
            <w:r>
              <w:rPr>
                <w:rFonts w:eastAsia="Calibri" w:cs="Calibri"/>
                <w:b/>
                <w:color w:val="000000"/>
                <w:sz w:val="18"/>
              </w:rPr>
              <w:t>$'000</w:t>
            </w:r>
          </w:p>
          <w:p w:rsidR="005576C2" w:rsidRDefault="005576C2">
            <w:pPr>
              <w:spacing w:before="0" w:after="0"/>
              <w:jc w:val="right"/>
              <w:rPr>
                <w:rFonts w:eastAsia="Calibri" w:cs="Calibri"/>
                <w:b/>
                <w:color w:val="000000"/>
                <w:sz w:val="18"/>
              </w:rPr>
            </w:pPr>
          </w:p>
        </w:tc>
        <w:tc>
          <w:tcPr>
            <w:tcW w:w="1125" w:type="dxa"/>
            <w:tcBorders>
              <w:top w:val="single" w:sz="12" w:space="0" w:color="auto"/>
              <w:left w:val="nil"/>
              <w:bottom w:val="single" w:sz="12" w:space="0" w:color="auto"/>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Physical</w:t>
            </w:r>
          </w:p>
          <w:p w:rsidR="005576C2" w:rsidRDefault="002435BD">
            <w:pPr>
              <w:spacing w:before="0" w:after="0"/>
              <w:jc w:val="right"/>
              <w:rPr>
                <w:rFonts w:eastAsia="Calibri" w:cs="Calibri"/>
                <w:b/>
                <w:color w:val="000000"/>
                <w:sz w:val="18"/>
              </w:rPr>
            </w:pPr>
            <w:r>
              <w:rPr>
                <w:rFonts w:eastAsia="Calibri" w:cs="Calibri"/>
                <w:b/>
                <w:color w:val="000000"/>
                <w:sz w:val="18"/>
              </w:rPr>
              <w:t>Completion</w:t>
            </w:r>
          </w:p>
          <w:p w:rsidR="005576C2" w:rsidRDefault="002435BD">
            <w:pPr>
              <w:spacing w:before="0" w:after="0"/>
              <w:jc w:val="right"/>
              <w:rPr>
                <w:rFonts w:eastAsia="Calibri" w:cs="Calibri"/>
                <w:b/>
                <w:color w:val="000000"/>
                <w:sz w:val="18"/>
              </w:rPr>
            </w:pPr>
            <w:r>
              <w:rPr>
                <w:rFonts w:eastAsia="Calibri" w:cs="Calibri"/>
                <w:b/>
                <w:color w:val="000000"/>
                <w:sz w:val="18"/>
              </w:rPr>
              <w:t>Date</w:t>
            </w:r>
          </w:p>
        </w:tc>
      </w:tr>
      <w:tr w:rsidR="005576C2" w:rsidTr="006A0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single" w:sz="12" w:space="0" w:color="auto"/>
              <w:left w:val="nil"/>
              <w:bottom w:val="nil"/>
              <w:right w:val="nil"/>
              <w:tl2br w:val="nil"/>
              <w:tr2bl w:val="nil"/>
            </w:tcBorders>
            <w:shd w:val="clear" w:color="auto" w:fill="auto"/>
            <w:tcMar>
              <w:left w:w="0" w:type="dxa"/>
              <w:right w:w="0" w:type="dxa"/>
            </w:tcMar>
          </w:tcPr>
          <w:p w:rsidR="005576C2" w:rsidRDefault="005576C2">
            <w:pPr>
              <w:spacing w:before="0" w:after="0"/>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single" w:sz="12" w:space="0" w:color="auto"/>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single" w:sz="12" w:space="0" w:color="auto"/>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CAPITAL WORKS PROGRAM</w:t>
            </w: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0" w:type="dxa"/>
              <w:right w:w="0" w:type="dxa"/>
            </w:tcMar>
          </w:tcPr>
          <w:p w:rsidR="005576C2" w:rsidRDefault="005576C2">
            <w:pPr>
              <w:spacing w:before="0" w:after="0"/>
              <w:rPr>
                <w:rFonts w:eastAsia="Calibri" w:cs="Calibri"/>
                <w:b/>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Work In Progress</w:t>
            </w: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110768"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225" w:type="dxa"/>
            <w:tcBorders>
              <w:top w:val="nil"/>
              <w:left w:val="nil"/>
              <w:bottom w:val="nil"/>
              <w:right w:val="nil"/>
              <w:tl2br w:val="nil"/>
              <w:tr2bl w:val="nil"/>
            </w:tcBorders>
            <w:shd w:val="clear" w:color="auto" w:fill="auto"/>
            <w:tcMar>
              <w:left w:w="101" w:type="dxa"/>
              <w:right w:w="101" w:type="dxa"/>
            </w:tcMar>
          </w:tcPr>
          <w:p w:rsidR="00110768" w:rsidRDefault="00110768" w:rsidP="00110768">
            <w:pPr>
              <w:spacing w:before="0" w:after="0"/>
              <w:ind w:left="113" w:hanging="113"/>
              <w:rPr>
                <w:rFonts w:eastAsia="Calibri" w:cs="Calibri"/>
                <w:color w:val="000000"/>
                <w:sz w:val="18"/>
              </w:rPr>
            </w:pPr>
            <w:r>
              <w:rPr>
                <w:rFonts w:eastAsia="Calibri" w:cs="Calibri"/>
                <w:color w:val="000000"/>
                <w:sz w:val="18"/>
              </w:rPr>
              <w:t>ACT Healthy Waterways Project (Commonwealth funded)</w:t>
            </w:r>
          </w:p>
        </w:tc>
        <w:tc>
          <w:tcPr>
            <w:tcW w:w="975" w:type="dxa"/>
            <w:tcBorders>
              <w:top w:val="nil"/>
              <w:left w:val="nil"/>
              <w:bottom w:val="nil"/>
              <w:right w:val="nil"/>
              <w:tl2br w:val="nil"/>
              <w:tr2bl w:val="nil"/>
            </w:tcBorders>
            <w:shd w:val="clear" w:color="auto" w:fill="auto"/>
            <w:noWrap/>
            <w:tcMar>
              <w:left w:w="101" w:type="dxa"/>
              <w:right w:w="161" w:type="dxa"/>
            </w:tcMar>
          </w:tcPr>
          <w:p w:rsidR="00110768" w:rsidRDefault="00110768">
            <w:pPr>
              <w:spacing w:before="0" w:after="0"/>
              <w:jc w:val="right"/>
              <w:rPr>
                <w:rFonts w:eastAsia="Calibri" w:cs="Calibri"/>
                <w:color w:val="000000"/>
                <w:sz w:val="18"/>
              </w:rPr>
            </w:pPr>
            <w:r>
              <w:rPr>
                <w:rFonts w:eastAsia="Calibri" w:cs="Calibri"/>
                <w:color w:val="000000"/>
                <w:sz w:val="18"/>
              </w:rPr>
              <w:t>17,171</w:t>
            </w:r>
          </w:p>
        </w:tc>
        <w:tc>
          <w:tcPr>
            <w:tcW w:w="975" w:type="dxa"/>
            <w:tcBorders>
              <w:top w:val="nil"/>
              <w:left w:val="nil"/>
              <w:bottom w:val="nil"/>
              <w:right w:val="nil"/>
              <w:tl2br w:val="nil"/>
              <w:tr2bl w:val="nil"/>
            </w:tcBorders>
            <w:shd w:val="clear" w:color="auto" w:fill="auto"/>
            <w:noWrap/>
            <w:tcMar>
              <w:left w:w="101" w:type="dxa"/>
              <w:right w:w="161" w:type="dxa"/>
            </w:tcMar>
          </w:tcPr>
          <w:p w:rsidR="00110768"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110768"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110768"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110768" w:rsidRDefault="00110768">
            <w:pPr>
              <w:spacing w:before="0" w:after="0"/>
              <w:jc w:val="right"/>
              <w:rPr>
                <w:rFonts w:eastAsia="Calibri" w:cs="Calibri"/>
                <w:color w:val="000000"/>
                <w:sz w:val="18"/>
              </w:rPr>
            </w:pPr>
            <w:r>
              <w:rPr>
                <w:rFonts w:eastAsia="Calibri" w:cs="Calibri"/>
                <w:color w:val="000000"/>
                <w:sz w:val="18"/>
              </w:rPr>
              <w:t>17,171</w:t>
            </w:r>
          </w:p>
        </w:tc>
        <w:tc>
          <w:tcPr>
            <w:tcW w:w="1125" w:type="dxa"/>
            <w:tcBorders>
              <w:top w:val="nil"/>
              <w:left w:val="nil"/>
              <w:bottom w:val="nil"/>
              <w:right w:val="nil"/>
              <w:tl2br w:val="nil"/>
              <w:tr2bl w:val="nil"/>
            </w:tcBorders>
            <w:shd w:val="clear" w:color="auto" w:fill="auto"/>
            <w:noWrap/>
            <w:tcMar>
              <w:left w:w="101" w:type="dxa"/>
              <w:right w:w="101" w:type="dxa"/>
            </w:tcMar>
          </w:tcPr>
          <w:p w:rsidR="00110768" w:rsidRDefault="00110768">
            <w:pPr>
              <w:spacing w:before="0" w:after="0"/>
              <w:jc w:val="center"/>
              <w:rPr>
                <w:rFonts w:eastAsia="Calibri" w:cs="Calibri"/>
                <w:color w:val="000000"/>
                <w:sz w:val="18"/>
              </w:rPr>
            </w:pPr>
            <w:r>
              <w:rPr>
                <w:rFonts w:eastAsia="Calibri" w:cs="Calibri"/>
                <w:color w:val="000000"/>
                <w:sz w:val="18"/>
              </w:rPr>
              <w:t>Jun-19</w:t>
            </w:r>
          </w:p>
        </w:tc>
      </w:tr>
      <w:tr w:rsidR="005576C2"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Better Public Housing – New public housing properties</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81,019</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68,024</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149,043</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center"/>
              <w:rPr>
                <w:rFonts w:eastAsia="Calibri" w:cs="Calibri"/>
                <w:color w:val="000000"/>
                <w:sz w:val="18"/>
              </w:rPr>
            </w:pPr>
            <w:r>
              <w:rPr>
                <w:rFonts w:eastAsia="Calibri" w:cs="Calibri"/>
                <w:color w:val="000000"/>
                <w:sz w:val="18"/>
              </w:rPr>
              <w:t>Jun-19</w:t>
            </w:r>
          </w:p>
        </w:tc>
      </w:tr>
      <w:tr w:rsidR="005576C2"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Better services in your community — Improving our capacity to fight bushfires</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2,289</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430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2,719</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center"/>
              <w:rPr>
                <w:rFonts w:eastAsia="Calibri" w:cs="Calibri"/>
                <w:color w:val="000000"/>
                <w:sz w:val="18"/>
              </w:rPr>
            </w:pPr>
            <w:r>
              <w:rPr>
                <w:rFonts w:eastAsia="Calibri" w:cs="Calibri"/>
                <w:color w:val="000000"/>
                <w:sz w:val="18"/>
              </w:rPr>
              <w:t>Jun-20</w:t>
            </w:r>
          </w:p>
        </w:tc>
      </w:tr>
      <w:tr w:rsidR="005576C2"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Better services in your community — Jarramlee Nature Reserve — Protecting our nature reserves</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200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200</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center"/>
              <w:rPr>
                <w:rFonts w:eastAsia="Calibri" w:cs="Calibri"/>
                <w:color w:val="000000"/>
                <w:sz w:val="18"/>
              </w:rPr>
            </w:pPr>
            <w:r>
              <w:rPr>
                <w:rFonts w:eastAsia="Calibri" w:cs="Calibri"/>
                <w:color w:val="000000"/>
                <w:sz w:val="18"/>
              </w:rPr>
              <w:t>Jun-19</w:t>
            </w:r>
          </w:p>
        </w:tc>
      </w:tr>
      <w:tr w:rsidR="005576C2"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Better support when it matters — Public Housing Renewal — New and better properties</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93F1C">
            <w:pPr>
              <w:spacing w:before="0" w:after="0"/>
              <w:jc w:val="right"/>
              <w:rPr>
                <w:rFonts w:eastAsia="Calibri" w:cs="Calibri"/>
                <w:color w:val="000000"/>
                <w:sz w:val="18"/>
              </w:rPr>
            </w:pPr>
            <w:r>
              <w:rPr>
                <w:rFonts w:eastAsia="Calibri" w:cs="Calibri"/>
                <w:color w:val="000000"/>
                <w:sz w:val="18"/>
              </w:rPr>
              <w:t>20,153</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4,008</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93F1C">
            <w:pPr>
              <w:spacing w:before="0" w:after="0"/>
              <w:jc w:val="right"/>
              <w:rPr>
                <w:rFonts w:eastAsia="Calibri" w:cs="Calibri"/>
                <w:color w:val="000000"/>
                <w:sz w:val="18"/>
              </w:rPr>
            </w:pPr>
            <w:r>
              <w:rPr>
                <w:rFonts w:eastAsia="Calibri" w:cs="Calibri"/>
                <w:color w:val="000000"/>
                <w:sz w:val="18"/>
              </w:rPr>
              <w:t>24,161</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center"/>
              <w:rPr>
                <w:rFonts w:eastAsia="Calibri" w:cs="Calibri"/>
                <w:color w:val="000000"/>
                <w:sz w:val="18"/>
              </w:rPr>
            </w:pPr>
            <w:r>
              <w:rPr>
                <w:rFonts w:eastAsia="Calibri" w:cs="Calibri"/>
                <w:color w:val="000000"/>
                <w:sz w:val="18"/>
              </w:rPr>
              <w:t>Jun-19</w:t>
            </w:r>
          </w:p>
        </w:tc>
      </w:tr>
      <w:tr w:rsidR="005576C2"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Better support when it matters — Public Housing Renewal — Taskforce operations</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1,623</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85</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1,708</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center"/>
              <w:rPr>
                <w:rFonts w:eastAsia="Calibri" w:cs="Calibri"/>
                <w:color w:val="000000"/>
                <w:sz w:val="18"/>
              </w:rPr>
            </w:pPr>
            <w:r>
              <w:rPr>
                <w:rFonts w:eastAsia="Calibri" w:cs="Calibri"/>
                <w:color w:val="000000"/>
                <w:sz w:val="18"/>
              </w:rPr>
              <w:t>Jun-19</w:t>
            </w:r>
          </w:p>
        </w:tc>
      </w:tr>
      <w:tr w:rsidR="00AD622F"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113" w:hanging="113"/>
              <w:rPr>
                <w:rFonts w:eastAsia="Calibri" w:cs="Calibri"/>
                <w:color w:val="000000"/>
                <w:sz w:val="18"/>
              </w:rPr>
            </w:pPr>
            <w:r>
              <w:rPr>
                <w:rFonts w:eastAsia="Calibri" w:cs="Calibri"/>
                <w:color w:val="000000"/>
                <w:sz w:val="18"/>
              </w:rPr>
              <w:t>Building a better city – Bindubi Street extension – Early planning</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195</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100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485BCC"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485BCC"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295</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Jun-20</w:t>
            </w:r>
          </w:p>
        </w:tc>
      </w:tr>
      <w:tr w:rsidR="00AD622F"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113" w:hanging="113"/>
              <w:rPr>
                <w:rFonts w:eastAsia="Calibri" w:cs="Calibri"/>
                <w:color w:val="000000"/>
                <w:sz w:val="18"/>
              </w:rPr>
            </w:pPr>
            <w:r>
              <w:rPr>
                <w:rFonts w:eastAsia="Calibri" w:cs="Calibri"/>
                <w:color w:val="000000"/>
                <w:sz w:val="18"/>
              </w:rPr>
              <w:t>Building a better city — Molonglo East-West arterial road — Early planning</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98</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200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485BCC"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485BCC"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298</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Jun-20</w:t>
            </w:r>
          </w:p>
        </w:tc>
      </w:tr>
      <w:tr w:rsidR="00AD622F"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113" w:hanging="113"/>
              <w:rPr>
                <w:rFonts w:eastAsia="Calibri" w:cs="Calibri"/>
                <w:color w:val="000000"/>
                <w:sz w:val="18"/>
              </w:rPr>
            </w:pPr>
            <w:r>
              <w:rPr>
                <w:rFonts w:eastAsia="Calibri" w:cs="Calibri"/>
                <w:color w:val="000000"/>
                <w:sz w:val="18"/>
              </w:rPr>
              <w:t>Building a better city – William Hovell Drive upgrade – Early planning</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200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485BCC"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485BCC"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485BCC"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200</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Feb-19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Caring for our Environment – Establishing the Molonglo River Reserve Stage 3</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408</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408</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center"/>
              <w:rPr>
                <w:rFonts w:eastAsia="Calibri" w:cs="Calibri"/>
                <w:color w:val="000000"/>
                <w:sz w:val="18"/>
              </w:rPr>
            </w:pPr>
            <w:r>
              <w:rPr>
                <w:rFonts w:eastAsia="Calibri" w:cs="Calibri"/>
                <w:color w:val="000000"/>
                <w:sz w:val="18"/>
              </w:rPr>
              <w:t>Jun-19</w:t>
            </w:r>
          </w:p>
        </w:tc>
      </w:tr>
      <w:tr w:rsidR="005576C2"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Caring for our Environment – Improving species and habitat protection</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857</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257</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72</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72</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1,258</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110768">
            <w:pPr>
              <w:spacing w:before="0" w:after="0"/>
              <w:jc w:val="center"/>
              <w:rPr>
                <w:rFonts w:eastAsia="Calibri" w:cs="Calibri"/>
                <w:color w:val="000000"/>
                <w:sz w:val="18"/>
              </w:rPr>
            </w:pPr>
            <w:r>
              <w:rPr>
                <w:rFonts w:eastAsia="Calibri" w:cs="Calibri"/>
                <w:color w:val="000000"/>
                <w:sz w:val="18"/>
              </w:rPr>
              <w:t>Jun-22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092731" w:rsidP="00110768">
            <w:pPr>
              <w:spacing w:before="0" w:after="0"/>
              <w:ind w:left="113" w:hanging="113"/>
              <w:rPr>
                <w:rFonts w:eastAsia="Calibri" w:cs="Calibri"/>
                <w:color w:val="000000"/>
                <w:sz w:val="18"/>
              </w:rPr>
            </w:pPr>
            <w:r>
              <w:rPr>
                <w:rFonts w:eastAsia="Calibri" w:cs="Calibri"/>
                <w:color w:val="000000"/>
                <w:sz w:val="18"/>
              </w:rPr>
              <w:t>Caring for our E</w:t>
            </w:r>
            <w:r w:rsidR="002435BD">
              <w:rPr>
                <w:rFonts w:eastAsia="Calibri" w:cs="Calibri"/>
                <w:color w:val="000000"/>
                <w:sz w:val="18"/>
              </w:rPr>
              <w:t>nvironment – Water Quality Improvement – Contributions to the ACT Healthy Waterways Project</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2,600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2,600</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jc w:val="center"/>
              <w:rPr>
                <w:rFonts w:eastAsia="Calibri" w:cs="Calibri"/>
                <w:color w:val="000000"/>
                <w:sz w:val="18"/>
              </w:rPr>
            </w:pPr>
            <w:r>
              <w:rPr>
                <w:rFonts w:eastAsia="Calibri" w:cs="Calibri"/>
                <w:color w:val="000000"/>
                <w:sz w:val="18"/>
              </w:rPr>
              <w:t>Jun-19</w:t>
            </w:r>
          </w:p>
        </w:tc>
      </w:tr>
      <w:tr w:rsidR="005576C2" w:rsidTr="00110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Digital Canberra - New digital radio communication system</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270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270</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110768">
            <w:pPr>
              <w:spacing w:before="0" w:after="0"/>
              <w:jc w:val="center"/>
              <w:rPr>
                <w:rFonts w:eastAsia="Calibri" w:cs="Calibri"/>
                <w:color w:val="000000"/>
                <w:sz w:val="18"/>
              </w:rPr>
            </w:pPr>
            <w:r>
              <w:rPr>
                <w:rFonts w:eastAsia="Calibri" w:cs="Calibri"/>
                <w:color w:val="000000"/>
                <w:sz w:val="18"/>
              </w:rPr>
              <w:t>Aug-18</w:t>
            </w:r>
          </w:p>
        </w:tc>
      </w:tr>
      <w:tr w:rsidR="005576C2" w:rsidTr="00293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Enhancing the Protection of Endangered Species and Habitat</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1,819</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1,819</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93F1C">
            <w:pPr>
              <w:spacing w:before="0" w:after="0"/>
              <w:jc w:val="center"/>
              <w:rPr>
                <w:rFonts w:eastAsia="Calibri" w:cs="Calibri"/>
                <w:color w:val="000000"/>
                <w:sz w:val="18"/>
              </w:rPr>
            </w:pPr>
            <w:r>
              <w:rPr>
                <w:rFonts w:eastAsia="Calibri" w:cs="Calibri"/>
                <w:color w:val="000000"/>
                <w:sz w:val="18"/>
              </w:rPr>
              <w:t>Jun-19</w:t>
            </w:r>
          </w:p>
        </w:tc>
      </w:tr>
      <w:tr w:rsidR="005576C2" w:rsidTr="00293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Environmental Offsets – Lawson South</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197</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197</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93F1C">
            <w:pPr>
              <w:spacing w:before="0" w:after="0"/>
              <w:jc w:val="center"/>
              <w:rPr>
                <w:rFonts w:eastAsia="Calibri" w:cs="Calibri"/>
                <w:color w:val="000000"/>
                <w:sz w:val="18"/>
              </w:rPr>
            </w:pPr>
            <w:r>
              <w:rPr>
                <w:rFonts w:eastAsia="Calibri" w:cs="Calibri"/>
                <w:color w:val="000000"/>
                <w:sz w:val="18"/>
              </w:rPr>
              <w:t>Jun-19</w:t>
            </w:r>
          </w:p>
        </w:tc>
      </w:tr>
      <w:tr w:rsidR="005576C2" w:rsidTr="00293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Improving Our City – Woden bus interchange improvements</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150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150</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293F1C">
            <w:pPr>
              <w:spacing w:before="0" w:after="0"/>
              <w:jc w:val="center"/>
              <w:rPr>
                <w:rFonts w:eastAsia="Calibri" w:cs="Calibri"/>
                <w:color w:val="000000"/>
                <w:sz w:val="18"/>
              </w:rPr>
            </w:pPr>
            <w:r>
              <w:rPr>
                <w:rFonts w:eastAsia="Calibri" w:cs="Calibri"/>
                <w:color w:val="000000"/>
                <w:sz w:val="18"/>
              </w:rPr>
              <w:t>Jul-18</w:t>
            </w:r>
          </w:p>
        </w:tc>
      </w:tr>
      <w:tr w:rsidR="00293F1C" w:rsidTr="006A0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225" w:type="dxa"/>
            <w:tcBorders>
              <w:top w:val="nil"/>
              <w:left w:val="nil"/>
              <w:bottom w:val="nil"/>
              <w:right w:val="nil"/>
              <w:tl2br w:val="nil"/>
              <w:tr2bl w:val="nil"/>
            </w:tcBorders>
            <w:shd w:val="clear" w:color="auto" w:fill="auto"/>
            <w:tcMar>
              <w:left w:w="101" w:type="dxa"/>
              <w:right w:w="101" w:type="dxa"/>
            </w:tcMar>
          </w:tcPr>
          <w:p w:rsidR="00293F1C" w:rsidRDefault="00293F1C" w:rsidP="00110768">
            <w:pPr>
              <w:spacing w:before="0" w:after="0"/>
              <w:ind w:left="113" w:hanging="113"/>
              <w:rPr>
                <w:rFonts w:eastAsia="Calibri" w:cs="Calibri"/>
                <w:color w:val="000000"/>
                <w:sz w:val="18"/>
              </w:rPr>
            </w:pPr>
            <w:r w:rsidRPr="006A09D9">
              <w:rPr>
                <w:rFonts w:eastAsia="Calibri" w:cs="Calibri"/>
                <w:color w:val="000000"/>
                <w:sz w:val="18"/>
              </w:rPr>
              <w:t>Molonglo Valley – Implementation of Commitments in the NES Plan</w:t>
            </w:r>
          </w:p>
        </w:tc>
        <w:tc>
          <w:tcPr>
            <w:tcW w:w="975" w:type="dxa"/>
            <w:tcBorders>
              <w:top w:val="nil"/>
              <w:left w:val="nil"/>
              <w:bottom w:val="nil"/>
              <w:right w:val="nil"/>
              <w:tl2br w:val="nil"/>
              <w:tr2bl w:val="nil"/>
            </w:tcBorders>
            <w:shd w:val="clear" w:color="auto" w:fill="auto"/>
            <w:noWrap/>
            <w:tcMar>
              <w:left w:w="101" w:type="dxa"/>
              <w:right w:w="161" w:type="dxa"/>
            </w:tcMar>
          </w:tcPr>
          <w:p w:rsidR="00293F1C" w:rsidRDefault="00293F1C">
            <w:pPr>
              <w:spacing w:before="0" w:after="0"/>
              <w:jc w:val="right"/>
              <w:rPr>
                <w:rFonts w:eastAsia="Calibri" w:cs="Calibri"/>
                <w:color w:val="000000"/>
                <w:sz w:val="18"/>
              </w:rPr>
            </w:pPr>
            <w:r>
              <w:rPr>
                <w:rFonts w:eastAsia="Calibri" w:cs="Calibri"/>
                <w:color w:val="000000"/>
                <w:sz w:val="18"/>
              </w:rPr>
              <w:t>89</w:t>
            </w:r>
          </w:p>
        </w:tc>
        <w:tc>
          <w:tcPr>
            <w:tcW w:w="975" w:type="dxa"/>
            <w:tcBorders>
              <w:top w:val="nil"/>
              <w:left w:val="nil"/>
              <w:bottom w:val="nil"/>
              <w:right w:val="nil"/>
              <w:tl2br w:val="nil"/>
              <w:tr2bl w:val="nil"/>
            </w:tcBorders>
            <w:shd w:val="clear" w:color="auto" w:fill="auto"/>
            <w:noWrap/>
            <w:tcMar>
              <w:left w:w="101" w:type="dxa"/>
              <w:right w:w="161" w:type="dxa"/>
            </w:tcMar>
          </w:tcPr>
          <w:p w:rsidR="00293F1C"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293F1C"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293F1C"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293F1C" w:rsidRDefault="00293F1C">
            <w:pPr>
              <w:spacing w:before="0" w:after="0"/>
              <w:jc w:val="right"/>
              <w:rPr>
                <w:rFonts w:eastAsia="Calibri" w:cs="Calibri"/>
                <w:color w:val="000000"/>
                <w:sz w:val="18"/>
              </w:rPr>
            </w:pPr>
            <w:r>
              <w:rPr>
                <w:rFonts w:eastAsia="Calibri" w:cs="Calibri"/>
                <w:color w:val="000000"/>
                <w:sz w:val="18"/>
              </w:rPr>
              <w:t>89</w:t>
            </w:r>
          </w:p>
        </w:tc>
        <w:tc>
          <w:tcPr>
            <w:tcW w:w="1125" w:type="dxa"/>
            <w:tcBorders>
              <w:top w:val="nil"/>
              <w:left w:val="nil"/>
              <w:bottom w:val="nil"/>
              <w:right w:val="nil"/>
              <w:tl2br w:val="nil"/>
              <w:tr2bl w:val="nil"/>
            </w:tcBorders>
            <w:shd w:val="clear" w:color="auto" w:fill="auto"/>
            <w:noWrap/>
            <w:tcMar>
              <w:left w:w="101" w:type="dxa"/>
              <w:right w:w="101" w:type="dxa"/>
            </w:tcMar>
          </w:tcPr>
          <w:p w:rsidR="00293F1C" w:rsidRDefault="00293F1C">
            <w:pPr>
              <w:spacing w:before="0" w:after="0"/>
              <w:jc w:val="center"/>
              <w:rPr>
                <w:rFonts w:eastAsia="Calibri" w:cs="Calibri"/>
                <w:color w:val="000000"/>
                <w:sz w:val="18"/>
              </w:rPr>
            </w:pPr>
            <w:r>
              <w:rPr>
                <w:rFonts w:eastAsia="Calibri" w:cs="Calibri"/>
                <w:color w:val="000000"/>
                <w:sz w:val="18"/>
              </w:rPr>
              <w:t>Jun-19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Molonglo Valley – Implementation of Commitments in the NES Plan – Stage 2</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200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200</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6A09D9">
            <w:pPr>
              <w:spacing w:before="0" w:after="0"/>
              <w:jc w:val="center"/>
              <w:rPr>
                <w:rFonts w:eastAsia="Calibri" w:cs="Calibri"/>
                <w:color w:val="000000"/>
                <w:sz w:val="18"/>
              </w:rPr>
            </w:pPr>
            <w:r>
              <w:rPr>
                <w:rFonts w:eastAsia="Calibri" w:cs="Calibri"/>
                <w:color w:val="000000"/>
                <w:sz w:val="18"/>
              </w:rPr>
              <w:t>Jun-19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rsidP="00110768">
            <w:pPr>
              <w:spacing w:before="0" w:after="0"/>
              <w:ind w:left="113" w:hanging="113"/>
              <w:rPr>
                <w:rFonts w:eastAsia="Calibri" w:cs="Calibri"/>
                <w:color w:val="000000"/>
                <w:sz w:val="18"/>
              </w:rPr>
            </w:pPr>
            <w:r>
              <w:rPr>
                <w:rFonts w:eastAsia="Calibri" w:cs="Calibri"/>
                <w:color w:val="000000"/>
                <w:sz w:val="18"/>
              </w:rPr>
              <w:t>More and better jobs — Ensuring continuity of the Spatial Data Management System</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532</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300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832</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6A09D9">
            <w:pPr>
              <w:spacing w:before="0" w:after="0"/>
              <w:jc w:val="center"/>
              <w:rPr>
                <w:rFonts w:eastAsia="Calibri" w:cs="Calibri"/>
                <w:color w:val="000000"/>
                <w:sz w:val="18"/>
              </w:rPr>
            </w:pPr>
            <w:r>
              <w:rPr>
                <w:rFonts w:eastAsia="Calibri" w:cs="Calibri"/>
                <w:color w:val="000000"/>
                <w:sz w:val="18"/>
              </w:rPr>
              <w:t>Jun-20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6A09D9" w:rsidP="00110768">
            <w:pPr>
              <w:spacing w:before="0" w:after="0"/>
              <w:ind w:left="113" w:hanging="113"/>
              <w:rPr>
                <w:rFonts w:eastAsia="Calibri" w:cs="Calibri"/>
                <w:color w:val="000000"/>
                <w:sz w:val="18"/>
              </w:rPr>
            </w:pPr>
            <w:r>
              <w:rPr>
                <w:rFonts w:eastAsia="Calibri" w:cs="Calibri"/>
                <w:color w:val="000000"/>
                <w:sz w:val="18"/>
              </w:rPr>
              <w:t xml:space="preserve">Red </w:t>
            </w:r>
            <w:r w:rsidR="002435BD">
              <w:rPr>
                <w:rFonts w:eastAsia="Calibri" w:cs="Calibri"/>
                <w:color w:val="000000"/>
                <w:sz w:val="18"/>
              </w:rPr>
              <w:t>Hill Nature Reserve Remediation (Finalisation and Design)</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90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485BCC">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90</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6A09D9">
            <w:pPr>
              <w:spacing w:before="0" w:after="0"/>
              <w:jc w:val="center"/>
              <w:rPr>
                <w:rFonts w:eastAsia="Calibri" w:cs="Calibri"/>
                <w:color w:val="000000"/>
                <w:sz w:val="18"/>
              </w:rPr>
            </w:pPr>
            <w:r>
              <w:rPr>
                <w:rFonts w:eastAsia="Calibri" w:cs="Calibri"/>
                <w:color w:val="000000"/>
                <w:sz w:val="18"/>
              </w:rPr>
              <w:t>Jun-19</w:t>
            </w:r>
          </w:p>
        </w:tc>
      </w:tr>
    </w:tbl>
    <w:p w:rsidR="006A09D9" w:rsidRPr="006A09D9" w:rsidRDefault="00DC58C5" w:rsidP="006A09D9">
      <w:pPr>
        <w:pStyle w:val="Caption"/>
        <w:pBdr>
          <w:top w:val="nil"/>
          <w:left w:val="nil"/>
          <w:bottom w:val="nil"/>
          <w:right w:val="nil"/>
          <w:between w:val="nil"/>
          <w:bar w:val="nil"/>
        </w:pBdr>
        <w:rPr>
          <w:bdr w:val="nil"/>
        </w:rPr>
      </w:pPr>
      <w:r>
        <w:rPr>
          <w:bdr w:val="nil"/>
        </w:rPr>
        <w:t>Table 31</w:t>
      </w:r>
      <w:r w:rsidR="006A09D9" w:rsidRPr="00E00C45">
        <w:rPr>
          <w:bdr w:val="nil"/>
        </w:rPr>
        <w:t>: 2018-19 Environment, Planning and Sustainable Development Directorate Infrastructure Program</w:t>
      </w:r>
      <w:r w:rsidR="006A09D9">
        <w:rPr>
          <w:bdr w:val="nil"/>
        </w:rPr>
        <w:t xml:space="preserve"> (continued)</w:t>
      </w:r>
    </w:p>
    <w:tbl>
      <w:tblPr>
        <w:tblStyle w:val="CDMRange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975"/>
        <w:gridCol w:w="975"/>
        <w:gridCol w:w="975"/>
        <w:gridCol w:w="975"/>
        <w:gridCol w:w="1125"/>
        <w:gridCol w:w="1125"/>
      </w:tblGrid>
      <w:tr w:rsidR="006A09D9" w:rsidTr="006A09D9">
        <w:trPr>
          <w:trHeight w:val="720"/>
        </w:trPr>
        <w:tc>
          <w:tcPr>
            <w:tcW w:w="3225" w:type="dxa"/>
            <w:tcBorders>
              <w:top w:val="single" w:sz="12" w:space="0" w:color="auto"/>
              <w:left w:val="nil"/>
              <w:bottom w:val="single" w:sz="12" w:space="0" w:color="auto"/>
              <w:right w:val="nil"/>
              <w:tl2br w:val="nil"/>
              <w:tr2bl w:val="nil"/>
            </w:tcBorders>
            <w:shd w:val="clear" w:color="auto" w:fill="auto"/>
            <w:tcMar>
              <w:left w:w="101" w:type="dxa"/>
              <w:right w:w="101" w:type="dxa"/>
            </w:tcMar>
          </w:tcPr>
          <w:p w:rsidR="006A09D9" w:rsidRDefault="006A09D9" w:rsidP="006A09D9">
            <w:pPr>
              <w:spacing w:before="0" w:after="0"/>
              <w:rPr>
                <w:rFonts w:eastAsia="Calibri" w:cs="Calibri"/>
                <w:b/>
                <w:color w:val="000000"/>
                <w:sz w:val="18"/>
              </w:rPr>
            </w:pPr>
            <w:r>
              <w:rPr>
                <w:rFonts w:eastAsia="Calibri" w:cs="Calibri"/>
                <w:b/>
                <w:color w:val="000000"/>
                <w:sz w:val="18"/>
              </w:rPr>
              <w:t>Project</w:t>
            </w:r>
          </w:p>
        </w:tc>
        <w:tc>
          <w:tcPr>
            <w:tcW w:w="97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2018-19</w:t>
            </w:r>
          </w:p>
          <w:p w:rsidR="006A09D9" w:rsidRDefault="006A09D9" w:rsidP="006A09D9">
            <w:pPr>
              <w:spacing w:before="0" w:after="0"/>
              <w:jc w:val="right"/>
              <w:rPr>
                <w:rFonts w:eastAsia="Calibri" w:cs="Calibri"/>
                <w:b/>
                <w:color w:val="000000"/>
                <w:sz w:val="18"/>
              </w:rPr>
            </w:pPr>
            <w:r>
              <w:rPr>
                <w:rFonts w:eastAsia="Calibri" w:cs="Calibri"/>
                <w:b/>
                <w:color w:val="000000"/>
                <w:sz w:val="18"/>
              </w:rPr>
              <w:t>$'000</w:t>
            </w:r>
          </w:p>
        </w:tc>
        <w:tc>
          <w:tcPr>
            <w:tcW w:w="97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2019-20</w:t>
            </w:r>
          </w:p>
          <w:p w:rsidR="006A09D9" w:rsidRDefault="006A09D9" w:rsidP="006A09D9">
            <w:pPr>
              <w:spacing w:before="0" w:after="0"/>
              <w:jc w:val="right"/>
              <w:rPr>
                <w:rFonts w:eastAsia="Calibri" w:cs="Calibri"/>
                <w:b/>
                <w:color w:val="000000"/>
                <w:sz w:val="18"/>
              </w:rPr>
            </w:pPr>
            <w:r>
              <w:rPr>
                <w:rFonts w:eastAsia="Calibri" w:cs="Calibri"/>
                <w:b/>
                <w:color w:val="000000"/>
                <w:sz w:val="18"/>
              </w:rPr>
              <w:t>$'000</w:t>
            </w:r>
          </w:p>
        </w:tc>
        <w:tc>
          <w:tcPr>
            <w:tcW w:w="97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2020-21</w:t>
            </w:r>
          </w:p>
          <w:p w:rsidR="006A09D9" w:rsidRDefault="006A09D9" w:rsidP="006A09D9">
            <w:pPr>
              <w:spacing w:before="0" w:after="0"/>
              <w:jc w:val="right"/>
              <w:rPr>
                <w:rFonts w:eastAsia="Calibri" w:cs="Calibri"/>
                <w:b/>
                <w:color w:val="000000"/>
                <w:sz w:val="18"/>
              </w:rPr>
            </w:pPr>
            <w:r>
              <w:rPr>
                <w:rFonts w:eastAsia="Calibri" w:cs="Calibri"/>
                <w:b/>
                <w:color w:val="000000"/>
                <w:sz w:val="18"/>
              </w:rPr>
              <w:t>$'000</w:t>
            </w:r>
          </w:p>
        </w:tc>
        <w:tc>
          <w:tcPr>
            <w:tcW w:w="97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2021-22</w:t>
            </w:r>
          </w:p>
          <w:p w:rsidR="006A09D9" w:rsidRDefault="006A09D9" w:rsidP="006A09D9">
            <w:pPr>
              <w:spacing w:before="0" w:after="0"/>
              <w:jc w:val="right"/>
              <w:rPr>
                <w:rFonts w:eastAsia="Calibri" w:cs="Calibri"/>
                <w:b/>
                <w:color w:val="000000"/>
                <w:sz w:val="18"/>
              </w:rPr>
            </w:pPr>
            <w:r>
              <w:rPr>
                <w:rFonts w:eastAsia="Calibri" w:cs="Calibri"/>
                <w:b/>
                <w:color w:val="000000"/>
                <w:sz w:val="18"/>
              </w:rPr>
              <w:t>$'000</w:t>
            </w:r>
          </w:p>
        </w:tc>
        <w:tc>
          <w:tcPr>
            <w:tcW w:w="112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Four Year</w:t>
            </w:r>
          </w:p>
          <w:p w:rsidR="006A09D9" w:rsidRDefault="006A09D9" w:rsidP="006A09D9">
            <w:pPr>
              <w:spacing w:before="0" w:after="0"/>
              <w:jc w:val="right"/>
              <w:rPr>
                <w:rFonts w:eastAsia="Calibri" w:cs="Calibri"/>
                <w:b/>
                <w:color w:val="000000"/>
                <w:sz w:val="18"/>
              </w:rPr>
            </w:pPr>
            <w:r>
              <w:rPr>
                <w:rFonts w:eastAsia="Calibri" w:cs="Calibri"/>
                <w:b/>
                <w:color w:val="000000"/>
                <w:sz w:val="18"/>
              </w:rPr>
              <w:t>Investment</w:t>
            </w:r>
          </w:p>
          <w:p w:rsidR="006A09D9" w:rsidRDefault="006A09D9" w:rsidP="006A09D9">
            <w:pPr>
              <w:spacing w:before="0" w:after="0"/>
              <w:jc w:val="right"/>
              <w:rPr>
                <w:rFonts w:eastAsia="Calibri" w:cs="Calibri"/>
                <w:b/>
                <w:color w:val="000000"/>
                <w:sz w:val="18"/>
              </w:rPr>
            </w:pPr>
            <w:r>
              <w:rPr>
                <w:rFonts w:eastAsia="Calibri" w:cs="Calibri"/>
                <w:b/>
                <w:color w:val="000000"/>
                <w:sz w:val="18"/>
              </w:rPr>
              <w:t>$'000</w:t>
            </w:r>
          </w:p>
          <w:p w:rsidR="006A09D9" w:rsidRDefault="006A09D9" w:rsidP="006A09D9">
            <w:pPr>
              <w:spacing w:before="0" w:after="0"/>
              <w:jc w:val="right"/>
              <w:rPr>
                <w:rFonts w:eastAsia="Calibri" w:cs="Calibri"/>
                <w:b/>
                <w:color w:val="000000"/>
                <w:sz w:val="18"/>
              </w:rPr>
            </w:pPr>
          </w:p>
        </w:tc>
        <w:tc>
          <w:tcPr>
            <w:tcW w:w="112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Physical</w:t>
            </w:r>
          </w:p>
          <w:p w:rsidR="006A09D9" w:rsidRDefault="006A09D9" w:rsidP="006A09D9">
            <w:pPr>
              <w:spacing w:before="0" w:after="0"/>
              <w:jc w:val="right"/>
              <w:rPr>
                <w:rFonts w:eastAsia="Calibri" w:cs="Calibri"/>
                <w:b/>
                <w:color w:val="000000"/>
                <w:sz w:val="18"/>
              </w:rPr>
            </w:pPr>
            <w:r>
              <w:rPr>
                <w:rFonts w:eastAsia="Calibri" w:cs="Calibri"/>
                <w:b/>
                <w:color w:val="000000"/>
                <w:sz w:val="18"/>
              </w:rPr>
              <w:t>Completion</w:t>
            </w:r>
          </w:p>
          <w:p w:rsidR="006A09D9" w:rsidRDefault="006A09D9" w:rsidP="006A09D9">
            <w:pPr>
              <w:spacing w:before="0" w:after="0"/>
              <w:jc w:val="right"/>
              <w:rPr>
                <w:rFonts w:eastAsia="Calibri" w:cs="Calibri"/>
                <w:b/>
                <w:color w:val="000000"/>
                <w:sz w:val="18"/>
              </w:rPr>
            </w:pPr>
            <w:r>
              <w:rPr>
                <w:rFonts w:eastAsia="Calibri" w:cs="Calibri"/>
                <w:b/>
                <w:color w:val="000000"/>
                <w:sz w:val="18"/>
              </w:rPr>
              <w:t>Date</w:t>
            </w:r>
          </w:p>
        </w:tc>
      </w:tr>
      <w:tr w:rsidR="006A09D9" w:rsidTr="006A09D9">
        <w:trPr>
          <w:trHeight w:val="236"/>
        </w:trPr>
        <w:tc>
          <w:tcPr>
            <w:tcW w:w="3225" w:type="dxa"/>
            <w:tcBorders>
              <w:top w:val="single" w:sz="12" w:space="0" w:color="auto"/>
              <w:left w:val="nil"/>
              <w:bottom w:val="nil"/>
              <w:right w:val="nil"/>
              <w:tl2br w:val="nil"/>
              <w:tr2bl w:val="nil"/>
            </w:tcBorders>
            <w:shd w:val="clear" w:color="auto" w:fill="auto"/>
            <w:tcMar>
              <w:left w:w="101" w:type="dxa"/>
              <w:right w:w="101" w:type="dxa"/>
            </w:tcMar>
          </w:tcPr>
          <w:p w:rsidR="006A09D9" w:rsidRDefault="006A09D9" w:rsidP="006A09D9">
            <w:pPr>
              <w:spacing w:before="0" w:after="0"/>
              <w:ind w:left="113" w:hanging="113"/>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p>
        </w:tc>
        <w:tc>
          <w:tcPr>
            <w:tcW w:w="975" w:type="dxa"/>
            <w:tcBorders>
              <w:top w:val="single" w:sz="12" w:space="0" w:color="auto"/>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p>
        </w:tc>
        <w:tc>
          <w:tcPr>
            <w:tcW w:w="1125" w:type="dxa"/>
            <w:tcBorders>
              <w:top w:val="single" w:sz="12" w:space="0" w:color="auto"/>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p>
        </w:tc>
        <w:tc>
          <w:tcPr>
            <w:tcW w:w="1125" w:type="dxa"/>
            <w:tcBorders>
              <w:top w:val="single" w:sz="12" w:space="0" w:color="auto"/>
              <w:left w:val="nil"/>
              <w:bottom w:val="nil"/>
              <w:right w:val="nil"/>
              <w:tl2br w:val="nil"/>
              <w:tr2bl w:val="nil"/>
            </w:tcBorders>
            <w:shd w:val="clear" w:color="auto" w:fill="auto"/>
            <w:noWrap/>
            <w:tcMar>
              <w:left w:w="101" w:type="dxa"/>
              <w:right w:w="101" w:type="dxa"/>
            </w:tcMar>
          </w:tcPr>
          <w:p w:rsidR="006A09D9" w:rsidRDefault="006A09D9" w:rsidP="006A09D9">
            <w:pPr>
              <w:spacing w:before="0" w:after="0"/>
              <w:jc w:val="center"/>
              <w:rPr>
                <w:rFonts w:eastAsia="Calibri" w:cs="Calibri"/>
                <w:color w:val="000000"/>
                <w:sz w:val="18"/>
              </w:rPr>
            </w:pPr>
          </w:p>
        </w:tc>
      </w:tr>
      <w:tr w:rsidR="006A09D9" w:rsidTr="006A09D9">
        <w:trPr>
          <w:trHeight w:val="348"/>
        </w:trPr>
        <w:tc>
          <w:tcPr>
            <w:tcW w:w="3225" w:type="dxa"/>
            <w:tcBorders>
              <w:top w:val="nil"/>
              <w:left w:val="nil"/>
              <w:bottom w:val="nil"/>
              <w:right w:val="nil"/>
              <w:tl2br w:val="nil"/>
              <w:tr2bl w:val="nil"/>
            </w:tcBorders>
            <w:shd w:val="clear" w:color="auto" w:fill="auto"/>
            <w:tcMar>
              <w:left w:w="101" w:type="dxa"/>
              <w:right w:w="101" w:type="dxa"/>
            </w:tcMar>
          </w:tcPr>
          <w:p w:rsidR="006A09D9" w:rsidRDefault="006A09D9" w:rsidP="006A09D9">
            <w:pPr>
              <w:spacing w:before="0" w:after="0"/>
              <w:ind w:left="113" w:hanging="113"/>
              <w:rPr>
                <w:rFonts w:eastAsia="Calibri" w:cs="Calibri"/>
                <w:color w:val="000000"/>
                <w:sz w:val="18"/>
              </w:rPr>
            </w:pPr>
            <w:r>
              <w:rPr>
                <w:rFonts w:eastAsia="Calibri" w:cs="Calibri"/>
                <w:color w:val="000000"/>
                <w:sz w:val="18"/>
              </w:rPr>
              <w:t>Securing Electricity Supply in the ACT – Second supply network</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275</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275</w:t>
            </w:r>
          </w:p>
        </w:tc>
        <w:tc>
          <w:tcPr>
            <w:tcW w:w="1125" w:type="dxa"/>
            <w:tcBorders>
              <w:top w:val="nil"/>
              <w:left w:val="nil"/>
              <w:bottom w:val="nil"/>
              <w:right w:val="nil"/>
              <w:tl2br w:val="nil"/>
              <w:tr2bl w:val="nil"/>
            </w:tcBorders>
            <w:shd w:val="clear" w:color="auto" w:fill="auto"/>
            <w:noWrap/>
            <w:tcMar>
              <w:left w:w="101" w:type="dxa"/>
              <w:right w:w="101" w:type="dxa"/>
            </w:tcMar>
          </w:tcPr>
          <w:p w:rsidR="006A09D9" w:rsidRDefault="006A09D9" w:rsidP="006A09D9">
            <w:pPr>
              <w:spacing w:before="0" w:after="0"/>
              <w:jc w:val="center"/>
              <w:rPr>
                <w:rFonts w:eastAsia="Calibri" w:cs="Calibri"/>
                <w:color w:val="000000"/>
                <w:sz w:val="18"/>
              </w:rPr>
            </w:pPr>
            <w:r>
              <w:rPr>
                <w:rFonts w:eastAsia="Calibri" w:cs="Calibri"/>
                <w:color w:val="000000"/>
                <w:sz w:val="18"/>
              </w:rPr>
              <w:t>Jun-19</w:t>
            </w:r>
          </w:p>
        </w:tc>
      </w:tr>
      <w:tr w:rsidR="006A09D9" w:rsidTr="006A09D9">
        <w:trPr>
          <w:trHeight w:val="341"/>
        </w:trPr>
        <w:tc>
          <w:tcPr>
            <w:tcW w:w="3225" w:type="dxa"/>
            <w:tcBorders>
              <w:top w:val="nil"/>
              <w:left w:val="nil"/>
              <w:bottom w:val="nil"/>
              <w:right w:val="nil"/>
              <w:tl2br w:val="nil"/>
              <w:tr2bl w:val="nil"/>
            </w:tcBorders>
            <w:shd w:val="clear" w:color="auto" w:fill="auto"/>
            <w:tcMar>
              <w:left w:w="101" w:type="dxa"/>
              <w:right w:w="101" w:type="dxa"/>
            </w:tcMar>
          </w:tcPr>
          <w:p w:rsidR="006A09D9" w:rsidRDefault="006A09D9" w:rsidP="006A09D9">
            <w:pPr>
              <w:spacing w:before="0" w:after="0"/>
              <w:ind w:left="113" w:hanging="113"/>
              <w:rPr>
                <w:rFonts w:eastAsia="Calibri" w:cs="Calibri"/>
                <w:color w:val="000000"/>
                <w:sz w:val="18"/>
              </w:rPr>
            </w:pPr>
            <w:r>
              <w:rPr>
                <w:rFonts w:eastAsia="Calibri" w:cs="Calibri"/>
                <w:color w:val="000000"/>
                <w:sz w:val="18"/>
              </w:rPr>
              <w:t xml:space="preserve">Support for Building Industry – </w:t>
            </w:r>
            <w:r w:rsidR="00092731">
              <w:rPr>
                <w:rFonts w:eastAsia="Calibri" w:cs="Calibri"/>
                <w:color w:val="000000"/>
                <w:sz w:val="18"/>
              </w:rPr>
              <w:t>eDevelopment Renovation Project</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1,000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600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1,600</w:t>
            </w:r>
          </w:p>
        </w:tc>
        <w:tc>
          <w:tcPr>
            <w:tcW w:w="1125" w:type="dxa"/>
            <w:tcBorders>
              <w:top w:val="nil"/>
              <w:left w:val="nil"/>
              <w:bottom w:val="nil"/>
              <w:right w:val="nil"/>
              <w:tl2br w:val="nil"/>
              <w:tr2bl w:val="nil"/>
            </w:tcBorders>
            <w:shd w:val="clear" w:color="auto" w:fill="auto"/>
            <w:noWrap/>
            <w:tcMar>
              <w:left w:w="101" w:type="dxa"/>
              <w:right w:w="101" w:type="dxa"/>
            </w:tcMar>
          </w:tcPr>
          <w:p w:rsidR="006A09D9" w:rsidRDefault="006A09D9" w:rsidP="006A09D9">
            <w:pPr>
              <w:spacing w:before="0" w:after="0"/>
              <w:jc w:val="center"/>
              <w:rPr>
                <w:rFonts w:eastAsia="Calibri" w:cs="Calibri"/>
                <w:color w:val="000000"/>
                <w:sz w:val="18"/>
              </w:rPr>
            </w:pPr>
            <w:r>
              <w:rPr>
                <w:rFonts w:eastAsia="Calibri" w:cs="Calibri"/>
                <w:color w:val="000000"/>
                <w:sz w:val="18"/>
              </w:rPr>
              <w:t>Sep-19</w:t>
            </w:r>
          </w:p>
        </w:tc>
      </w:tr>
      <w:tr w:rsidR="006A09D9">
        <w:trPr>
          <w:trHeight w:val="480"/>
        </w:trPr>
        <w:tc>
          <w:tcPr>
            <w:tcW w:w="3225" w:type="dxa"/>
            <w:tcBorders>
              <w:top w:val="nil"/>
              <w:left w:val="nil"/>
              <w:bottom w:val="nil"/>
              <w:right w:val="nil"/>
              <w:tl2br w:val="nil"/>
              <w:tr2bl w:val="nil"/>
            </w:tcBorders>
            <w:shd w:val="clear" w:color="auto" w:fill="auto"/>
            <w:tcMar>
              <w:left w:w="101" w:type="dxa"/>
              <w:right w:w="101" w:type="dxa"/>
            </w:tcMar>
          </w:tcPr>
          <w:p w:rsidR="006A09D9" w:rsidRDefault="006A09D9" w:rsidP="006A09D9">
            <w:pPr>
              <w:spacing w:before="0" w:after="0"/>
              <w:ind w:left="113" w:hanging="113"/>
              <w:rPr>
                <w:rFonts w:eastAsia="Calibri" w:cs="Calibri"/>
                <w:color w:val="000000"/>
                <w:sz w:val="18"/>
              </w:rPr>
            </w:pPr>
            <w:r>
              <w:rPr>
                <w:rFonts w:eastAsia="Calibri" w:cs="Calibri"/>
                <w:color w:val="000000"/>
                <w:sz w:val="18"/>
              </w:rPr>
              <w:t>Urban Renewal Program – Better Public Housing – Karuah</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2,000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3,000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5,000</w:t>
            </w:r>
          </w:p>
        </w:tc>
        <w:tc>
          <w:tcPr>
            <w:tcW w:w="1125" w:type="dxa"/>
            <w:tcBorders>
              <w:top w:val="nil"/>
              <w:left w:val="nil"/>
              <w:bottom w:val="nil"/>
              <w:right w:val="nil"/>
              <w:tl2br w:val="nil"/>
              <w:tr2bl w:val="nil"/>
            </w:tcBorders>
            <w:shd w:val="clear" w:color="auto" w:fill="auto"/>
            <w:noWrap/>
            <w:tcMar>
              <w:left w:w="101" w:type="dxa"/>
              <w:right w:w="101" w:type="dxa"/>
            </w:tcMar>
          </w:tcPr>
          <w:p w:rsidR="006A09D9" w:rsidRDefault="006A09D9" w:rsidP="006A09D9">
            <w:pPr>
              <w:spacing w:before="0" w:after="0"/>
              <w:jc w:val="center"/>
              <w:rPr>
                <w:rFonts w:eastAsia="Calibri" w:cs="Calibri"/>
                <w:color w:val="000000"/>
                <w:sz w:val="18"/>
              </w:rPr>
            </w:pPr>
            <w:r>
              <w:rPr>
                <w:rFonts w:eastAsia="Calibri" w:cs="Calibri"/>
                <w:color w:val="000000"/>
                <w:sz w:val="18"/>
              </w:rPr>
              <w:t>Mar-17</w:t>
            </w:r>
          </w:p>
        </w:tc>
      </w:tr>
      <w:tr w:rsidR="006A09D9">
        <w:trPr>
          <w:trHeight w:val="480"/>
        </w:trPr>
        <w:tc>
          <w:tcPr>
            <w:tcW w:w="3225" w:type="dxa"/>
            <w:tcBorders>
              <w:top w:val="nil"/>
              <w:left w:val="nil"/>
              <w:bottom w:val="nil"/>
              <w:right w:val="nil"/>
              <w:tl2br w:val="nil"/>
              <w:tr2bl w:val="nil"/>
            </w:tcBorders>
            <w:shd w:val="clear" w:color="auto" w:fill="auto"/>
            <w:tcMar>
              <w:left w:w="101" w:type="dxa"/>
              <w:right w:w="101" w:type="dxa"/>
            </w:tcMar>
          </w:tcPr>
          <w:p w:rsidR="006A09D9" w:rsidRDefault="006A09D9" w:rsidP="006A09D9">
            <w:pPr>
              <w:spacing w:before="0" w:after="0"/>
              <w:ind w:left="113" w:hanging="113"/>
              <w:rPr>
                <w:rFonts w:eastAsia="Calibri" w:cs="Calibri"/>
                <w:color w:val="000000"/>
                <w:sz w:val="18"/>
              </w:rPr>
            </w:pPr>
            <w:r>
              <w:rPr>
                <w:rFonts w:eastAsia="Calibri" w:cs="Calibri"/>
                <w:color w:val="000000"/>
                <w:sz w:val="18"/>
              </w:rPr>
              <w:t>Urban Renewal Program – Better Public Housing – Red Hill housing precinct</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1,189</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6A09D9" w:rsidRDefault="00485BCC" w:rsidP="006A09D9">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color w:val="000000"/>
                <w:sz w:val="18"/>
              </w:rPr>
            </w:pPr>
            <w:r>
              <w:rPr>
                <w:rFonts w:eastAsia="Calibri" w:cs="Calibri"/>
                <w:color w:val="000000"/>
                <w:sz w:val="18"/>
              </w:rPr>
              <w:t>1,189</w:t>
            </w:r>
          </w:p>
        </w:tc>
        <w:tc>
          <w:tcPr>
            <w:tcW w:w="1125" w:type="dxa"/>
            <w:tcBorders>
              <w:top w:val="nil"/>
              <w:left w:val="nil"/>
              <w:bottom w:val="nil"/>
              <w:right w:val="nil"/>
              <w:tl2br w:val="nil"/>
              <w:tr2bl w:val="nil"/>
            </w:tcBorders>
            <w:shd w:val="clear" w:color="auto" w:fill="auto"/>
            <w:noWrap/>
            <w:tcMar>
              <w:left w:w="101" w:type="dxa"/>
              <w:right w:w="101" w:type="dxa"/>
            </w:tcMar>
          </w:tcPr>
          <w:p w:rsidR="006A09D9" w:rsidRDefault="006A09D9" w:rsidP="006A09D9">
            <w:pPr>
              <w:spacing w:before="0" w:after="0"/>
              <w:jc w:val="center"/>
              <w:rPr>
                <w:rFonts w:eastAsia="Calibri" w:cs="Calibri"/>
                <w:color w:val="000000"/>
                <w:sz w:val="18"/>
              </w:rPr>
            </w:pPr>
            <w:r>
              <w:rPr>
                <w:rFonts w:eastAsia="Calibri" w:cs="Calibri"/>
                <w:color w:val="000000"/>
                <w:sz w:val="18"/>
              </w:rPr>
              <w:t>Mar-17</w:t>
            </w:r>
          </w:p>
        </w:tc>
      </w:tr>
      <w:tr w:rsidR="006A09D9">
        <w:trPr>
          <w:trHeight w:val="240"/>
        </w:trPr>
        <w:tc>
          <w:tcPr>
            <w:tcW w:w="3225" w:type="dxa"/>
            <w:tcBorders>
              <w:top w:val="nil"/>
              <w:left w:val="nil"/>
              <w:bottom w:val="nil"/>
              <w:right w:val="nil"/>
              <w:tl2br w:val="nil"/>
              <w:tr2bl w:val="nil"/>
            </w:tcBorders>
            <w:shd w:val="clear" w:color="auto" w:fill="auto"/>
            <w:tcMar>
              <w:left w:w="0" w:type="dxa"/>
              <w:right w:w="0" w:type="dxa"/>
            </w:tcMar>
          </w:tcPr>
          <w:p w:rsidR="006A09D9" w:rsidRDefault="006A09D9" w:rsidP="006A09D9">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6A09D9" w:rsidRDefault="006A09D9" w:rsidP="006A09D9">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6A09D9" w:rsidRDefault="006A09D9" w:rsidP="006A09D9">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6A09D9" w:rsidRDefault="006A09D9" w:rsidP="006A09D9">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6A09D9" w:rsidRDefault="006A09D9" w:rsidP="006A09D9">
            <w:pPr>
              <w:spacing w:before="0" w:after="0"/>
              <w:rPr>
                <w:rFonts w:eastAsia="Calibri" w:cs="Calibri"/>
                <w:color w:val="000000"/>
                <w:sz w:val="18"/>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tcPr>
          <w:p w:rsidR="006A09D9" w:rsidRDefault="006A09D9" w:rsidP="006A09D9">
            <w:pPr>
              <w:spacing w:before="0" w:after="0"/>
              <w:rPr>
                <w:rFonts w:eastAsia="Calibri" w:cs="Calibri"/>
                <w:color w:val="000000"/>
                <w:sz w:val="18"/>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tcPr>
          <w:p w:rsidR="006A09D9" w:rsidRDefault="006A09D9" w:rsidP="006A09D9">
            <w:pPr>
              <w:spacing w:before="0" w:after="0"/>
              <w:rPr>
                <w:rFonts w:eastAsia="Calibri" w:cs="Calibri"/>
                <w:color w:val="000000"/>
                <w:sz w:val="18"/>
              </w:rPr>
            </w:pPr>
          </w:p>
        </w:tc>
      </w:tr>
      <w:tr w:rsidR="006A09D9" w:rsidTr="004D0578">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6A09D9" w:rsidRDefault="006A09D9" w:rsidP="006A09D9">
            <w:pPr>
              <w:spacing w:before="0" w:after="0"/>
              <w:rPr>
                <w:rFonts w:eastAsia="Calibri" w:cs="Calibri"/>
                <w:b/>
                <w:color w:val="000000"/>
                <w:sz w:val="18"/>
              </w:rPr>
            </w:pPr>
            <w:r>
              <w:rPr>
                <w:rFonts w:eastAsia="Calibri" w:cs="Calibri"/>
                <w:b/>
                <w:color w:val="000000"/>
                <w:sz w:val="18"/>
              </w:rPr>
              <w:t>Total Work In Progress</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6A09D9" w:rsidRDefault="004D0578" w:rsidP="006A09D9">
            <w:pPr>
              <w:spacing w:before="0" w:after="0"/>
              <w:jc w:val="right"/>
              <w:rPr>
                <w:rFonts w:eastAsia="Calibri" w:cs="Calibri"/>
                <w:b/>
                <w:color w:val="000000"/>
                <w:sz w:val="18"/>
              </w:rPr>
            </w:pPr>
            <w:r>
              <w:rPr>
                <w:rFonts w:eastAsia="Calibri" w:cs="Calibri"/>
                <w:b/>
                <w:color w:val="000000"/>
                <w:sz w:val="18"/>
              </w:rPr>
              <w:t>134,624</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77,004</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72</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6A09D9" w:rsidRDefault="006A09D9" w:rsidP="006A09D9">
            <w:pPr>
              <w:spacing w:before="0" w:after="0"/>
              <w:jc w:val="right"/>
              <w:rPr>
                <w:rFonts w:eastAsia="Calibri" w:cs="Calibri"/>
                <w:b/>
                <w:color w:val="000000"/>
                <w:sz w:val="18"/>
              </w:rPr>
            </w:pPr>
            <w:r>
              <w:rPr>
                <w:rFonts w:eastAsia="Calibri" w:cs="Calibri"/>
                <w:b/>
                <w:color w:val="000000"/>
                <w:sz w:val="18"/>
              </w:rPr>
              <w:t>72</w:t>
            </w:r>
          </w:p>
        </w:tc>
        <w:tc>
          <w:tcPr>
            <w:tcW w:w="1125" w:type="dxa"/>
            <w:tcBorders>
              <w:top w:val="single" w:sz="4" w:space="0" w:color="000000"/>
              <w:left w:val="nil"/>
              <w:bottom w:val="nil"/>
              <w:right w:val="nil"/>
              <w:tl2br w:val="nil"/>
              <w:tr2bl w:val="nil"/>
            </w:tcBorders>
            <w:shd w:val="clear" w:color="auto" w:fill="auto"/>
            <w:noWrap/>
            <w:tcMar>
              <w:left w:w="101" w:type="dxa"/>
              <w:right w:w="161" w:type="dxa"/>
            </w:tcMar>
          </w:tcPr>
          <w:p w:rsidR="006A09D9" w:rsidRDefault="004D0578" w:rsidP="006A09D9">
            <w:pPr>
              <w:spacing w:before="0" w:after="0"/>
              <w:jc w:val="right"/>
              <w:rPr>
                <w:rFonts w:eastAsia="Calibri" w:cs="Calibri"/>
                <w:b/>
                <w:color w:val="000000"/>
                <w:sz w:val="18"/>
              </w:rPr>
            </w:pPr>
            <w:r>
              <w:rPr>
                <w:rFonts w:eastAsia="Calibri" w:cs="Calibri"/>
                <w:b/>
                <w:color w:val="000000"/>
                <w:sz w:val="18"/>
              </w:rPr>
              <w:t>211,772</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rsidR="006A09D9" w:rsidRDefault="006A09D9" w:rsidP="006A09D9">
            <w:pPr>
              <w:spacing w:before="0" w:after="0"/>
              <w:rPr>
                <w:rFonts w:eastAsia="Calibri" w:cs="Calibri"/>
                <w:color w:val="000000"/>
                <w:sz w:val="18"/>
              </w:rPr>
            </w:pPr>
          </w:p>
        </w:tc>
      </w:tr>
    </w:tbl>
    <w:tbl>
      <w:tblPr>
        <w:tblStyle w:val="CDMRange2"/>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975"/>
        <w:gridCol w:w="975"/>
        <w:gridCol w:w="975"/>
        <w:gridCol w:w="975"/>
        <w:gridCol w:w="1125"/>
        <w:gridCol w:w="1125"/>
      </w:tblGrid>
      <w:tr w:rsidR="005576C2" w:rsidTr="004D0578">
        <w:trPr>
          <w:trHeight w:val="240"/>
        </w:trPr>
        <w:tc>
          <w:tcPr>
            <w:tcW w:w="3225" w:type="dxa"/>
            <w:tcBorders>
              <w:top w:val="nil"/>
              <w:left w:val="nil"/>
              <w:bottom w:val="nil"/>
              <w:right w:val="nil"/>
              <w:tl2br w:val="nil"/>
              <w:tr2bl w:val="nil"/>
            </w:tcBorders>
            <w:shd w:val="clear" w:color="auto" w:fill="auto"/>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New Work</w:t>
            </w: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AD622F" w:rsidTr="004D0578">
        <w:trPr>
          <w:trHeight w:val="650"/>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113" w:hanging="113"/>
              <w:rPr>
                <w:rFonts w:eastAsia="Calibri" w:cs="Calibri"/>
                <w:color w:val="000000"/>
                <w:sz w:val="18"/>
              </w:rPr>
            </w:pPr>
            <w:r>
              <w:rPr>
                <w:rFonts w:eastAsia="Calibri" w:cs="Calibri"/>
                <w:color w:val="000000"/>
                <w:sz w:val="18"/>
              </w:rPr>
              <w:t>Better services in your community – Red Hill Nature Reserve – Landfill remediation</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305</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305</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Jun-19</w:t>
            </w:r>
          </w:p>
        </w:tc>
      </w:tr>
      <w:tr w:rsidR="00AD622F" w:rsidTr="004D0578">
        <w:trPr>
          <w:trHeight w:val="195"/>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113" w:hanging="113"/>
              <w:rPr>
                <w:rFonts w:eastAsia="Calibri" w:cs="Calibri"/>
                <w:color w:val="000000"/>
                <w:sz w:val="18"/>
              </w:rPr>
            </w:pPr>
            <w:r>
              <w:rPr>
                <w:rFonts w:eastAsia="Calibri" w:cs="Calibri"/>
                <w:color w:val="000000"/>
                <w:sz w:val="18"/>
              </w:rPr>
              <w:t>More jobs for our growing city:</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p>
        </w:tc>
      </w:tr>
      <w:tr w:rsidR="00AD622F" w:rsidTr="004D0578">
        <w:trPr>
          <w:trHeight w:val="397"/>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226" w:hanging="113"/>
              <w:rPr>
                <w:rFonts w:eastAsia="Calibri" w:cs="Calibri"/>
                <w:color w:val="000000"/>
                <w:sz w:val="18"/>
              </w:rPr>
            </w:pPr>
            <w:r>
              <w:rPr>
                <w:rFonts w:eastAsia="Calibri" w:cs="Calibri"/>
                <w:color w:val="000000"/>
                <w:sz w:val="18"/>
              </w:rPr>
              <w:t>Commemorating the 50th anniversary of the first moon landing</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391</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391</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Jun-19</w:t>
            </w:r>
          </w:p>
        </w:tc>
      </w:tr>
      <w:tr w:rsidR="00AD622F" w:rsidTr="004D0578">
        <w:trPr>
          <w:trHeight w:val="225"/>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226" w:hanging="113"/>
              <w:rPr>
                <w:rFonts w:eastAsia="Calibri" w:cs="Calibri"/>
                <w:color w:val="000000"/>
                <w:sz w:val="18"/>
              </w:rPr>
            </w:pPr>
            <w:r w:rsidRPr="0054018C">
              <w:rPr>
                <w:rFonts w:eastAsia="Calibri" w:cs="Calibri"/>
                <w:color w:val="000000"/>
                <w:sz w:val="18"/>
              </w:rPr>
              <w:t>More electric vehicle charging</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456</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456</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Jun-19</w:t>
            </w:r>
          </w:p>
        </w:tc>
      </w:tr>
      <w:tr w:rsidR="00AD622F" w:rsidTr="004D0578">
        <w:trPr>
          <w:trHeight w:val="426"/>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226" w:hanging="113"/>
              <w:rPr>
                <w:rFonts w:eastAsia="Calibri" w:cs="Calibri"/>
                <w:color w:val="000000"/>
                <w:sz w:val="18"/>
              </w:rPr>
            </w:pPr>
            <w:r>
              <w:rPr>
                <w:rFonts w:eastAsia="Calibri" w:cs="Calibri"/>
                <w:color w:val="000000"/>
                <w:sz w:val="18"/>
              </w:rPr>
              <w:t>Protecting the Murrumbidgee River Corridor</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100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100</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Jun-19</w:t>
            </w:r>
          </w:p>
        </w:tc>
      </w:tr>
      <w:tr w:rsidR="00AD622F">
        <w:trPr>
          <w:trHeight w:val="480"/>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226" w:hanging="113"/>
              <w:rPr>
                <w:rFonts w:eastAsia="Calibri" w:cs="Calibri"/>
                <w:color w:val="000000"/>
                <w:sz w:val="18"/>
              </w:rPr>
            </w:pPr>
            <w:r>
              <w:rPr>
                <w:rFonts w:eastAsia="Calibri" w:cs="Calibri"/>
                <w:color w:val="000000"/>
                <w:sz w:val="18"/>
              </w:rPr>
              <w:t>Urban renewal in Kenny – early planning</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300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250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7040D1" w:rsidP="00AD622F">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r>
              <w:rPr>
                <w:rFonts w:eastAsia="Calibri" w:cs="Calibri"/>
                <w:color w:val="000000"/>
                <w:sz w:val="18"/>
              </w:rPr>
              <w:t>550</w:t>
            </w: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r>
              <w:rPr>
                <w:rFonts w:eastAsia="Calibri" w:cs="Calibri"/>
                <w:color w:val="000000"/>
                <w:sz w:val="18"/>
              </w:rPr>
              <w:t>Jun-20</w:t>
            </w:r>
          </w:p>
        </w:tc>
      </w:tr>
      <w:tr w:rsidR="00AD622F" w:rsidTr="000537B4">
        <w:trPr>
          <w:trHeight w:val="227"/>
        </w:trPr>
        <w:tc>
          <w:tcPr>
            <w:tcW w:w="3225" w:type="dxa"/>
            <w:tcBorders>
              <w:top w:val="nil"/>
              <w:left w:val="nil"/>
              <w:bottom w:val="nil"/>
              <w:right w:val="nil"/>
              <w:tl2br w:val="nil"/>
              <w:tr2bl w:val="nil"/>
            </w:tcBorders>
            <w:shd w:val="clear" w:color="auto" w:fill="auto"/>
            <w:tcMar>
              <w:left w:w="101" w:type="dxa"/>
              <w:right w:w="101" w:type="dxa"/>
            </w:tcMar>
          </w:tcPr>
          <w:p w:rsidR="00AD622F" w:rsidRDefault="00AD622F" w:rsidP="00AD622F">
            <w:pPr>
              <w:spacing w:before="0" w:after="0"/>
              <w:ind w:left="113" w:hanging="113"/>
              <w:rPr>
                <w:rFonts w:eastAsia="Calibri" w:cs="Calibri"/>
                <w:color w:val="000000"/>
                <w:sz w:val="18"/>
              </w:rPr>
            </w:pPr>
            <w:r>
              <w:rPr>
                <w:rFonts w:eastAsia="Calibri" w:cs="Calibri"/>
                <w:color w:val="000000"/>
                <w:sz w:val="18"/>
              </w:rPr>
              <w:t>More services for our suburbs:</w:t>
            </w: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101" w:type="dxa"/>
              <w:right w:w="161" w:type="dxa"/>
            </w:tcMar>
          </w:tcPr>
          <w:p w:rsidR="00AD622F" w:rsidRDefault="00AD622F" w:rsidP="00AD622F">
            <w:pPr>
              <w:spacing w:before="0" w:after="0"/>
              <w:jc w:val="right"/>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101" w:type="dxa"/>
              <w:right w:w="101" w:type="dxa"/>
            </w:tcMar>
          </w:tcPr>
          <w:p w:rsidR="00AD622F" w:rsidRDefault="00AD622F" w:rsidP="00AD622F">
            <w:pPr>
              <w:spacing w:before="0" w:after="0"/>
              <w:jc w:val="center"/>
              <w:rPr>
                <w:rFonts w:eastAsia="Calibri" w:cs="Calibri"/>
                <w:color w:val="000000"/>
                <w:sz w:val="18"/>
              </w:rPr>
            </w:pPr>
          </w:p>
        </w:tc>
      </w:tr>
      <w:tr w:rsidR="004E06E6" w:rsidTr="000537B4">
        <w:trPr>
          <w:trHeight w:val="130"/>
        </w:trPr>
        <w:tc>
          <w:tcPr>
            <w:tcW w:w="3225"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226" w:hanging="113"/>
              <w:rPr>
                <w:rFonts w:eastAsia="Calibri" w:cs="Calibri"/>
                <w:color w:val="000000"/>
                <w:sz w:val="18"/>
              </w:rPr>
            </w:pPr>
            <w:r w:rsidRPr="004D0578">
              <w:rPr>
                <w:rFonts w:eastAsia="Calibri" w:cs="Calibri"/>
                <w:color w:val="000000"/>
                <w:sz w:val="18"/>
              </w:rPr>
              <w:t xml:space="preserve">Best of Canberra mountain bike experience </w:t>
            </w:r>
            <w:r>
              <w:rPr>
                <w:rFonts w:eastAsia="Calibri" w:cs="Calibri"/>
                <w:color w:val="000000"/>
                <w:sz w:val="18"/>
              </w:rPr>
              <w:t>–</w:t>
            </w:r>
            <w:r w:rsidRPr="004D0578">
              <w:rPr>
                <w:rFonts w:eastAsia="Calibri" w:cs="Calibri"/>
                <w:color w:val="000000"/>
                <w:sz w:val="18"/>
              </w:rPr>
              <w:t xml:space="preserve"> Design</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74</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300</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374</w:t>
            </w:r>
          </w:p>
        </w:tc>
        <w:tc>
          <w:tcPr>
            <w:tcW w:w="112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center"/>
              <w:rPr>
                <w:rFonts w:eastAsia="Calibri" w:cs="Calibri"/>
                <w:color w:val="000000"/>
                <w:sz w:val="18"/>
              </w:rPr>
            </w:pPr>
            <w:r>
              <w:rPr>
                <w:rFonts w:eastAsia="Calibri" w:cs="Calibri"/>
                <w:color w:val="000000"/>
                <w:sz w:val="18"/>
              </w:rPr>
              <w:t>Jun-20</w:t>
            </w:r>
          </w:p>
        </w:tc>
      </w:tr>
      <w:tr w:rsidR="004E06E6" w:rsidTr="000537B4">
        <w:trPr>
          <w:trHeight w:val="130"/>
        </w:trPr>
        <w:tc>
          <w:tcPr>
            <w:tcW w:w="3225"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226" w:hanging="113"/>
              <w:rPr>
                <w:rFonts w:eastAsia="Calibri" w:cs="Calibri"/>
                <w:color w:val="000000"/>
                <w:sz w:val="18"/>
              </w:rPr>
            </w:pPr>
            <w:r>
              <w:rPr>
                <w:rFonts w:eastAsia="Calibri" w:cs="Calibri"/>
                <w:color w:val="000000"/>
                <w:sz w:val="18"/>
              </w:rPr>
              <w:t>Establishing the Molonglo River Reserve</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1,044</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800</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834</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504</w:t>
            </w:r>
          </w:p>
        </w:tc>
        <w:tc>
          <w:tcPr>
            <w:tcW w:w="112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3,182</w:t>
            </w:r>
          </w:p>
        </w:tc>
        <w:tc>
          <w:tcPr>
            <w:tcW w:w="112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center"/>
              <w:rPr>
                <w:rFonts w:eastAsia="Calibri" w:cs="Calibri"/>
                <w:color w:val="000000"/>
                <w:sz w:val="18"/>
              </w:rPr>
            </w:pPr>
            <w:r>
              <w:rPr>
                <w:rFonts w:eastAsia="Calibri" w:cs="Calibri"/>
                <w:color w:val="000000"/>
                <w:sz w:val="18"/>
              </w:rPr>
              <w:t>Jun-22</w:t>
            </w:r>
          </w:p>
        </w:tc>
      </w:tr>
      <w:tr w:rsidR="004E06E6" w:rsidTr="000537B4">
        <w:trPr>
          <w:trHeight w:val="130"/>
        </w:trPr>
        <w:tc>
          <w:tcPr>
            <w:tcW w:w="3225"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226" w:hanging="113"/>
              <w:rPr>
                <w:rFonts w:eastAsia="Calibri" w:cs="Calibri"/>
                <w:color w:val="000000"/>
                <w:sz w:val="18"/>
              </w:rPr>
            </w:pPr>
            <w:r>
              <w:rPr>
                <w:rFonts w:eastAsia="Calibri" w:cs="Calibri"/>
                <w:color w:val="000000"/>
                <w:sz w:val="18"/>
              </w:rPr>
              <w:t>Improved conservation management</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232</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65</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297</w:t>
            </w:r>
          </w:p>
        </w:tc>
        <w:tc>
          <w:tcPr>
            <w:tcW w:w="112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center"/>
              <w:rPr>
                <w:rFonts w:eastAsia="Calibri" w:cs="Calibri"/>
                <w:color w:val="000000"/>
                <w:sz w:val="18"/>
              </w:rPr>
            </w:pPr>
            <w:r>
              <w:rPr>
                <w:rFonts w:eastAsia="Calibri" w:cs="Calibri"/>
                <w:color w:val="000000"/>
                <w:sz w:val="18"/>
              </w:rPr>
              <w:t>Jun-21</w:t>
            </w:r>
          </w:p>
        </w:tc>
      </w:tr>
      <w:tr w:rsidR="004E06E6" w:rsidTr="000537B4">
        <w:trPr>
          <w:trHeight w:val="332"/>
        </w:trPr>
        <w:tc>
          <w:tcPr>
            <w:tcW w:w="3225"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ind w:left="226" w:hanging="113"/>
              <w:rPr>
                <w:rFonts w:eastAsia="Calibri" w:cs="Calibri"/>
                <w:color w:val="000000"/>
                <w:sz w:val="18"/>
              </w:rPr>
            </w:pPr>
            <w:r>
              <w:rPr>
                <w:rFonts w:eastAsia="Calibri" w:cs="Calibri"/>
                <w:color w:val="000000"/>
                <w:sz w:val="18"/>
              </w:rPr>
              <w:t>Sullivans Creek Flood Management Plan</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150</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97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0</w:t>
            </w:r>
          </w:p>
        </w:tc>
        <w:tc>
          <w:tcPr>
            <w:tcW w:w="1125" w:type="dxa"/>
            <w:tcBorders>
              <w:top w:val="nil"/>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color w:val="000000"/>
                <w:sz w:val="18"/>
              </w:rPr>
            </w:pPr>
            <w:r>
              <w:rPr>
                <w:rFonts w:eastAsia="Calibri" w:cs="Calibri"/>
                <w:color w:val="000000"/>
                <w:sz w:val="18"/>
              </w:rPr>
              <w:t>150</w:t>
            </w:r>
          </w:p>
        </w:tc>
        <w:tc>
          <w:tcPr>
            <w:tcW w:w="1125" w:type="dxa"/>
            <w:tcBorders>
              <w:top w:val="nil"/>
              <w:left w:val="nil"/>
              <w:bottom w:val="nil"/>
              <w:right w:val="nil"/>
              <w:tl2br w:val="nil"/>
              <w:tr2bl w:val="nil"/>
            </w:tcBorders>
            <w:shd w:val="clear" w:color="auto" w:fill="auto"/>
            <w:noWrap/>
            <w:tcMar>
              <w:left w:w="101" w:type="dxa"/>
              <w:right w:w="101" w:type="dxa"/>
            </w:tcMar>
          </w:tcPr>
          <w:p w:rsidR="004E06E6" w:rsidRDefault="004E06E6" w:rsidP="004E06E6">
            <w:pPr>
              <w:spacing w:before="0" w:after="0"/>
              <w:jc w:val="center"/>
              <w:rPr>
                <w:rFonts w:eastAsia="Calibri" w:cs="Calibri"/>
                <w:color w:val="000000"/>
                <w:sz w:val="18"/>
              </w:rPr>
            </w:pPr>
            <w:r>
              <w:rPr>
                <w:rFonts w:eastAsia="Calibri" w:cs="Calibri"/>
                <w:color w:val="000000"/>
                <w:sz w:val="18"/>
              </w:rPr>
              <w:t>Jun-19</w:t>
            </w:r>
          </w:p>
        </w:tc>
      </w:tr>
      <w:tr w:rsidR="004E06E6">
        <w:trPr>
          <w:trHeight w:val="240"/>
        </w:trPr>
        <w:tc>
          <w:tcPr>
            <w:tcW w:w="3225" w:type="dxa"/>
            <w:tcBorders>
              <w:top w:val="nil"/>
              <w:left w:val="nil"/>
              <w:bottom w:val="nil"/>
              <w:right w:val="nil"/>
              <w:tl2br w:val="nil"/>
              <w:tr2bl w:val="nil"/>
            </w:tcBorders>
            <w:shd w:val="clear" w:color="auto" w:fill="auto"/>
            <w:tcMar>
              <w:left w:w="0" w:type="dxa"/>
              <w:right w:w="0" w:type="dxa"/>
            </w:tcMar>
          </w:tcPr>
          <w:p w:rsidR="004E06E6" w:rsidRDefault="004E06E6" w:rsidP="004E06E6">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4E06E6" w:rsidRDefault="004E06E6" w:rsidP="004E06E6">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4E06E6" w:rsidRDefault="004E06E6" w:rsidP="004E06E6">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4E06E6" w:rsidRDefault="004E06E6" w:rsidP="004E06E6">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4E06E6" w:rsidRDefault="004E06E6" w:rsidP="004E06E6">
            <w:pPr>
              <w:spacing w:before="0" w:after="0"/>
              <w:rPr>
                <w:rFonts w:eastAsia="Calibri" w:cs="Calibri"/>
                <w:color w:val="000000"/>
                <w:sz w:val="18"/>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tcPr>
          <w:p w:rsidR="004E06E6" w:rsidRDefault="004E06E6" w:rsidP="004E06E6">
            <w:pPr>
              <w:spacing w:before="0" w:after="0"/>
              <w:rPr>
                <w:rFonts w:eastAsia="Calibri" w:cs="Calibri"/>
                <w:color w:val="000000"/>
                <w:sz w:val="18"/>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tcPr>
          <w:p w:rsidR="004E06E6" w:rsidRDefault="004E06E6" w:rsidP="004E06E6">
            <w:pPr>
              <w:spacing w:before="0" w:after="0"/>
              <w:rPr>
                <w:rFonts w:eastAsia="Calibri" w:cs="Calibri"/>
                <w:color w:val="000000"/>
                <w:sz w:val="18"/>
              </w:rPr>
            </w:pPr>
          </w:p>
        </w:tc>
      </w:tr>
      <w:tr w:rsidR="004E06E6" w:rsidTr="000537B4">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4E06E6" w:rsidRDefault="004E06E6" w:rsidP="004E06E6">
            <w:pPr>
              <w:spacing w:before="0" w:after="0"/>
              <w:rPr>
                <w:rFonts w:eastAsia="Calibri" w:cs="Calibri"/>
                <w:b/>
                <w:color w:val="000000"/>
                <w:sz w:val="18"/>
              </w:rPr>
            </w:pPr>
            <w:r>
              <w:rPr>
                <w:rFonts w:eastAsia="Calibri" w:cs="Calibri"/>
                <w:b/>
                <w:color w:val="000000"/>
                <w:sz w:val="18"/>
              </w:rPr>
              <w:t>Total New Capital</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b/>
                <w:color w:val="000000"/>
                <w:sz w:val="18"/>
              </w:rPr>
            </w:pPr>
            <w:r>
              <w:rPr>
                <w:rFonts w:eastAsia="Calibri" w:cs="Calibri"/>
                <w:b/>
                <w:color w:val="000000"/>
                <w:sz w:val="18"/>
              </w:rPr>
              <w:t>3,052</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b/>
                <w:color w:val="000000"/>
                <w:sz w:val="18"/>
              </w:rPr>
            </w:pPr>
            <w:r>
              <w:rPr>
                <w:rFonts w:eastAsia="Calibri" w:cs="Calibri"/>
                <w:b/>
                <w:color w:val="000000"/>
                <w:sz w:val="18"/>
              </w:rPr>
              <w:t>1,415</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b/>
                <w:color w:val="000000"/>
                <w:sz w:val="18"/>
              </w:rPr>
            </w:pPr>
            <w:r>
              <w:rPr>
                <w:rFonts w:eastAsia="Calibri" w:cs="Calibri"/>
                <w:b/>
                <w:color w:val="000000"/>
                <w:sz w:val="18"/>
              </w:rPr>
              <w:t>834</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b/>
                <w:color w:val="000000"/>
                <w:sz w:val="18"/>
              </w:rPr>
            </w:pPr>
            <w:r>
              <w:rPr>
                <w:rFonts w:eastAsia="Calibri" w:cs="Calibri"/>
                <w:b/>
                <w:color w:val="000000"/>
                <w:sz w:val="18"/>
              </w:rPr>
              <w:t>504</w:t>
            </w:r>
          </w:p>
        </w:tc>
        <w:tc>
          <w:tcPr>
            <w:tcW w:w="1125" w:type="dxa"/>
            <w:tcBorders>
              <w:top w:val="single" w:sz="4" w:space="0" w:color="000000"/>
              <w:left w:val="nil"/>
              <w:bottom w:val="nil"/>
              <w:right w:val="nil"/>
              <w:tl2br w:val="nil"/>
              <w:tr2bl w:val="nil"/>
            </w:tcBorders>
            <w:shd w:val="clear" w:color="auto" w:fill="auto"/>
            <w:noWrap/>
            <w:tcMar>
              <w:left w:w="101" w:type="dxa"/>
              <w:right w:w="161" w:type="dxa"/>
            </w:tcMar>
          </w:tcPr>
          <w:p w:rsidR="004E06E6" w:rsidRDefault="004E06E6" w:rsidP="004E06E6">
            <w:pPr>
              <w:spacing w:before="0" w:after="0"/>
              <w:jc w:val="right"/>
              <w:rPr>
                <w:rFonts w:eastAsia="Calibri" w:cs="Calibri"/>
                <w:b/>
                <w:color w:val="000000"/>
                <w:sz w:val="18"/>
              </w:rPr>
            </w:pPr>
            <w:r>
              <w:rPr>
                <w:rFonts w:eastAsia="Calibri" w:cs="Calibri"/>
                <w:b/>
                <w:color w:val="000000"/>
                <w:sz w:val="18"/>
              </w:rPr>
              <w:t>5,805</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rsidR="004E06E6" w:rsidRDefault="004E06E6" w:rsidP="004E06E6">
            <w:pPr>
              <w:spacing w:before="0" w:after="0"/>
              <w:rPr>
                <w:rFonts w:eastAsia="Calibri" w:cs="Calibri"/>
                <w:color w:val="000000"/>
                <w:sz w:val="18"/>
              </w:rPr>
            </w:pPr>
          </w:p>
        </w:tc>
      </w:tr>
    </w:tbl>
    <w:tbl>
      <w:tblPr>
        <w:tblStyle w:val="CDMRange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975"/>
        <w:gridCol w:w="975"/>
        <w:gridCol w:w="975"/>
        <w:gridCol w:w="975"/>
        <w:gridCol w:w="1125"/>
        <w:gridCol w:w="1125"/>
      </w:tblGrid>
      <w:tr w:rsidR="005576C2" w:rsidTr="000537B4">
        <w:trPr>
          <w:trHeight w:val="240"/>
        </w:trPr>
        <w:tc>
          <w:tcPr>
            <w:tcW w:w="3225" w:type="dxa"/>
            <w:tcBorders>
              <w:top w:val="nil"/>
              <w:left w:val="nil"/>
              <w:bottom w:val="nil"/>
              <w:right w:val="nil"/>
              <w:tl2br w:val="nil"/>
              <w:tr2bl w:val="nil"/>
            </w:tcBorders>
            <w:shd w:val="clear" w:color="auto" w:fill="auto"/>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0537B4">
            <w:pPr>
              <w:spacing w:before="0" w:after="0"/>
              <w:rPr>
                <w:rFonts w:eastAsia="Calibri" w:cs="Calibri"/>
                <w:b/>
                <w:color w:val="000000"/>
                <w:sz w:val="18"/>
              </w:rPr>
            </w:pPr>
            <w:r>
              <w:rPr>
                <w:rFonts w:eastAsia="Calibri" w:cs="Calibri"/>
                <w:b/>
                <w:color w:val="000000"/>
                <w:sz w:val="18"/>
              </w:rPr>
              <w:t>Better Infrastructure Fund</w:t>
            </w: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0537B4">
            <w:pPr>
              <w:spacing w:before="0" w:after="0"/>
              <w:rPr>
                <w:rFonts w:eastAsia="Calibri" w:cs="Calibri"/>
                <w:color w:val="000000"/>
                <w:sz w:val="18"/>
              </w:rPr>
            </w:pPr>
            <w:r>
              <w:rPr>
                <w:rFonts w:eastAsia="Calibri" w:cs="Calibri"/>
                <w:color w:val="000000"/>
                <w:sz w:val="18"/>
              </w:rPr>
              <w:t>Heritage Conservation</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83</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158</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162</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166</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569</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E802CF">
            <w:pPr>
              <w:spacing w:before="0" w:after="0"/>
              <w:jc w:val="center"/>
              <w:rPr>
                <w:rFonts w:eastAsia="Calibri" w:cs="Calibri"/>
                <w:color w:val="000000"/>
                <w:sz w:val="18"/>
              </w:rPr>
            </w:pPr>
            <w:r>
              <w:rPr>
                <w:rFonts w:eastAsia="Calibri" w:cs="Calibri"/>
                <w:color w:val="000000"/>
                <w:sz w:val="18"/>
              </w:rPr>
              <w:t>Jun-19</w:t>
            </w:r>
          </w:p>
        </w:tc>
      </w:tr>
      <w:tr w:rsidR="005576C2">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E802CF">
            <w:pPr>
              <w:spacing w:before="0" w:after="0"/>
              <w:rPr>
                <w:rFonts w:eastAsia="Calibri" w:cs="Calibri"/>
                <w:color w:val="000000"/>
                <w:sz w:val="18"/>
              </w:rPr>
            </w:pPr>
            <w:r>
              <w:rPr>
                <w:rFonts w:eastAsia="Calibri" w:cs="Calibri"/>
                <w:color w:val="000000"/>
                <w:sz w:val="18"/>
              </w:rPr>
              <w:t>Land Release Infrastructure</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302</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310</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color w:val="000000"/>
                <w:sz w:val="18"/>
              </w:rPr>
            </w:pPr>
            <w:r>
              <w:rPr>
                <w:rFonts w:eastAsia="Calibri" w:cs="Calibri"/>
                <w:color w:val="000000"/>
                <w:sz w:val="18"/>
              </w:rPr>
              <w:t>318</w:t>
            </w:r>
          </w:p>
        </w:tc>
        <w:tc>
          <w:tcPr>
            <w:tcW w:w="97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326</w:t>
            </w:r>
          </w:p>
        </w:tc>
        <w:tc>
          <w:tcPr>
            <w:tcW w:w="1125" w:type="dxa"/>
            <w:tcBorders>
              <w:top w:val="nil"/>
              <w:left w:val="nil"/>
              <w:bottom w:val="nil"/>
              <w:right w:val="nil"/>
              <w:tl2br w:val="nil"/>
              <w:tr2bl w:val="nil"/>
            </w:tcBorders>
            <w:shd w:val="clear" w:color="auto" w:fill="auto"/>
            <w:noWrap/>
            <w:tcMar>
              <w:left w:w="101" w:type="dxa"/>
              <w:right w:w="161" w:type="dxa"/>
            </w:tcMar>
          </w:tcPr>
          <w:p w:rsidR="005576C2" w:rsidRDefault="00E802CF">
            <w:pPr>
              <w:spacing w:before="0" w:after="0"/>
              <w:jc w:val="right"/>
              <w:rPr>
                <w:rFonts w:eastAsia="Calibri" w:cs="Calibri"/>
                <w:color w:val="000000"/>
                <w:sz w:val="18"/>
              </w:rPr>
            </w:pPr>
            <w:r>
              <w:rPr>
                <w:rFonts w:eastAsia="Calibri" w:cs="Calibri"/>
                <w:color w:val="000000"/>
                <w:sz w:val="18"/>
              </w:rPr>
              <w:t>1,256</w:t>
            </w:r>
          </w:p>
        </w:tc>
        <w:tc>
          <w:tcPr>
            <w:tcW w:w="1125" w:type="dxa"/>
            <w:tcBorders>
              <w:top w:val="nil"/>
              <w:left w:val="nil"/>
              <w:bottom w:val="nil"/>
              <w:right w:val="nil"/>
              <w:tl2br w:val="nil"/>
              <w:tr2bl w:val="nil"/>
            </w:tcBorders>
            <w:shd w:val="clear" w:color="auto" w:fill="auto"/>
            <w:noWrap/>
            <w:tcMar>
              <w:left w:w="101" w:type="dxa"/>
              <w:right w:w="101" w:type="dxa"/>
            </w:tcMar>
          </w:tcPr>
          <w:p w:rsidR="005576C2" w:rsidRDefault="00E802CF">
            <w:pPr>
              <w:spacing w:before="0" w:after="0"/>
              <w:jc w:val="center"/>
              <w:rPr>
                <w:rFonts w:eastAsia="Calibri" w:cs="Calibri"/>
                <w:color w:val="000000"/>
                <w:sz w:val="18"/>
              </w:rPr>
            </w:pPr>
            <w:r>
              <w:rPr>
                <w:rFonts w:eastAsia="Calibri" w:cs="Calibri"/>
                <w:color w:val="000000"/>
                <w:sz w:val="18"/>
              </w:rPr>
              <w:t>Jun-19</w:t>
            </w:r>
          </w:p>
        </w:tc>
      </w:tr>
      <w:tr w:rsidR="000537B4">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0537B4" w:rsidRDefault="00E802CF">
            <w:pPr>
              <w:spacing w:before="0" w:after="0"/>
              <w:rPr>
                <w:rFonts w:eastAsia="Calibri" w:cs="Calibri"/>
                <w:color w:val="000000"/>
                <w:sz w:val="18"/>
              </w:rPr>
            </w:pPr>
            <w:r>
              <w:rPr>
                <w:rFonts w:eastAsia="Calibri" w:cs="Calibri"/>
                <w:color w:val="000000"/>
                <w:sz w:val="18"/>
              </w:rPr>
              <w:t>Parks and Conservation</w:t>
            </w:r>
          </w:p>
        </w:tc>
        <w:tc>
          <w:tcPr>
            <w:tcW w:w="975" w:type="dxa"/>
            <w:tcBorders>
              <w:top w:val="nil"/>
              <w:left w:val="nil"/>
              <w:bottom w:val="nil"/>
              <w:right w:val="nil"/>
              <w:tl2br w:val="nil"/>
              <w:tr2bl w:val="nil"/>
            </w:tcBorders>
            <w:shd w:val="clear" w:color="auto" w:fill="auto"/>
            <w:noWrap/>
            <w:tcMar>
              <w:left w:w="101" w:type="dxa"/>
              <w:right w:w="161" w:type="dxa"/>
            </w:tcMar>
          </w:tcPr>
          <w:p w:rsidR="000537B4" w:rsidRDefault="00E802CF">
            <w:pPr>
              <w:spacing w:before="0" w:after="0"/>
              <w:jc w:val="right"/>
              <w:rPr>
                <w:rFonts w:eastAsia="Calibri" w:cs="Calibri"/>
                <w:color w:val="000000"/>
                <w:sz w:val="18"/>
              </w:rPr>
            </w:pPr>
            <w:r>
              <w:rPr>
                <w:rFonts w:eastAsia="Calibri" w:cs="Calibri"/>
                <w:color w:val="000000"/>
                <w:sz w:val="18"/>
              </w:rPr>
              <w:t>380</w:t>
            </w:r>
          </w:p>
        </w:tc>
        <w:tc>
          <w:tcPr>
            <w:tcW w:w="975" w:type="dxa"/>
            <w:tcBorders>
              <w:top w:val="nil"/>
              <w:left w:val="nil"/>
              <w:bottom w:val="nil"/>
              <w:right w:val="nil"/>
              <w:tl2br w:val="nil"/>
              <w:tr2bl w:val="nil"/>
            </w:tcBorders>
            <w:shd w:val="clear" w:color="auto" w:fill="auto"/>
            <w:noWrap/>
            <w:tcMar>
              <w:left w:w="101" w:type="dxa"/>
              <w:right w:w="161" w:type="dxa"/>
            </w:tcMar>
          </w:tcPr>
          <w:p w:rsidR="000537B4" w:rsidRDefault="00E802CF">
            <w:pPr>
              <w:spacing w:before="0" w:after="0"/>
              <w:jc w:val="right"/>
              <w:rPr>
                <w:rFonts w:eastAsia="Calibri" w:cs="Calibri"/>
                <w:color w:val="000000"/>
                <w:sz w:val="18"/>
              </w:rPr>
            </w:pPr>
            <w:r>
              <w:rPr>
                <w:rFonts w:eastAsia="Calibri" w:cs="Calibri"/>
                <w:color w:val="000000"/>
                <w:sz w:val="18"/>
              </w:rPr>
              <w:t>557</w:t>
            </w:r>
          </w:p>
        </w:tc>
        <w:tc>
          <w:tcPr>
            <w:tcW w:w="975" w:type="dxa"/>
            <w:tcBorders>
              <w:top w:val="nil"/>
              <w:left w:val="nil"/>
              <w:bottom w:val="nil"/>
              <w:right w:val="nil"/>
              <w:tl2br w:val="nil"/>
              <w:tr2bl w:val="nil"/>
            </w:tcBorders>
            <w:shd w:val="clear" w:color="auto" w:fill="auto"/>
            <w:noWrap/>
            <w:tcMar>
              <w:left w:w="101" w:type="dxa"/>
              <w:right w:w="161" w:type="dxa"/>
            </w:tcMar>
          </w:tcPr>
          <w:p w:rsidR="000537B4" w:rsidRDefault="00E802CF">
            <w:pPr>
              <w:spacing w:before="0" w:after="0"/>
              <w:jc w:val="right"/>
              <w:rPr>
                <w:rFonts w:eastAsia="Calibri" w:cs="Calibri"/>
                <w:color w:val="000000"/>
                <w:sz w:val="18"/>
              </w:rPr>
            </w:pPr>
            <w:r>
              <w:rPr>
                <w:rFonts w:eastAsia="Calibri" w:cs="Calibri"/>
                <w:color w:val="000000"/>
                <w:sz w:val="18"/>
              </w:rPr>
              <w:t>571</w:t>
            </w:r>
          </w:p>
        </w:tc>
        <w:tc>
          <w:tcPr>
            <w:tcW w:w="975" w:type="dxa"/>
            <w:tcBorders>
              <w:top w:val="nil"/>
              <w:left w:val="nil"/>
              <w:bottom w:val="nil"/>
              <w:right w:val="nil"/>
              <w:tl2br w:val="nil"/>
              <w:tr2bl w:val="nil"/>
            </w:tcBorders>
            <w:shd w:val="clear" w:color="auto" w:fill="auto"/>
            <w:noWrap/>
            <w:tcMar>
              <w:left w:w="101" w:type="dxa"/>
              <w:right w:w="161" w:type="dxa"/>
            </w:tcMar>
          </w:tcPr>
          <w:p w:rsidR="000537B4" w:rsidRDefault="00E802CF">
            <w:pPr>
              <w:spacing w:before="0" w:after="0"/>
              <w:jc w:val="right"/>
              <w:rPr>
                <w:rFonts w:eastAsia="Calibri" w:cs="Calibri"/>
                <w:color w:val="000000"/>
                <w:sz w:val="18"/>
              </w:rPr>
            </w:pPr>
            <w:r>
              <w:rPr>
                <w:rFonts w:eastAsia="Calibri" w:cs="Calibri"/>
                <w:color w:val="000000"/>
                <w:sz w:val="18"/>
              </w:rPr>
              <w:t>585</w:t>
            </w:r>
          </w:p>
        </w:tc>
        <w:tc>
          <w:tcPr>
            <w:tcW w:w="1125" w:type="dxa"/>
            <w:tcBorders>
              <w:top w:val="nil"/>
              <w:left w:val="nil"/>
              <w:bottom w:val="nil"/>
              <w:right w:val="nil"/>
              <w:tl2br w:val="nil"/>
              <w:tr2bl w:val="nil"/>
            </w:tcBorders>
            <w:shd w:val="clear" w:color="auto" w:fill="auto"/>
            <w:noWrap/>
            <w:tcMar>
              <w:left w:w="101" w:type="dxa"/>
              <w:right w:w="161" w:type="dxa"/>
            </w:tcMar>
          </w:tcPr>
          <w:p w:rsidR="000537B4" w:rsidRDefault="00E802CF">
            <w:pPr>
              <w:spacing w:before="0" w:after="0"/>
              <w:jc w:val="right"/>
              <w:rPr>
                <w:rFonts w:eastAsia="Calibri" w:cs="Calibri"/>
                <w:color w:val="000000"/>
                <w:sz w:val="18"/>
              </w:rPr>
            </w:pPr>
            <w:r>
              <w:rPr>
                <w:rFonts w:eastAsia="Calibri" w:cs="Calibri"/>
                <w:color w:val="000000"/>
                <w:sz w:val="18"/>
              </w:rPr>
              <w:t>2,093</w:t>
            </w:r>
          </w:p>
        </w:tc>
        <w:tc>
          <w:tcPr>
            <w:tcW w:w="1125" w:type="dxa"/>
            <w:tcBorders>
              <w:top w:val="nil"/>
              <w:left w:val="nil"/>
              <w:bottom w:val="nil"/>
              <w:right w:val="nil"/>
              <w:tl2br w:val="nil"/>
              <w:tr2bl w:val="nil"/>
            </w:tcBorders>
            <w:shd w:val="clear" w:color="auto" w:fill="auto"/>
            <w:noWrap/>
            <w:tcMar>
              <w:left w:w="101" w:type="dxa"/>
              <w:right w:w="101" w:type="dxa"/>
            </w:tcMar>
          </w:tcPr>
          <w:p w:rsidR="000537B4" w:rsidRDefault="00E802CF">
            <w:pPr>
              <w:spacing w:before="0" w:after="0"/>
              <w:jc w:val="center"/>
              <w:rPr>
                <w:rFonts w:eastAsia="Calibri" w:cs="Calibri"/>
                <w:color w:val="000000"/>
                <w:sz w:val="18"/>
              </w:rPr>
            </w:pPr>
            <w:r>
              <w:rPr>
                <w:rFonts w:eastAsia="Calibri" w:cs="Calibri"/>
                <w:color w:val="000000"/>
                <w:sz w:val="18"/>
              </w:rPr>
              <w:t>Jun-19</w:t>
            </w:r>
          </w:p>
        </w:tc>
      </w:tr>
      <w:tr w:rsidR="005576C2">
        <w:trPr>
          <w:trHeight w:val="240"/>
        </w:trPr>
        <w:tc>
          <w:tcPr>
            <w:tcW w:w="3225" w:type="dxa"/>
            <w:tcBorders>
              <w:top w:val="nil"/>
              <w:left w:val="nil"/>
              <w:bottom w:val="nil"/>
              <w:right w:val="nil"/>
              <w:tl2br w:val="nil"/>
              <w:tr2bl w:val="nil"/>
            </w:tcBorders>
            <w:shd w:val="clear" w:color="auto" w:fill="auto"/>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975" w:type="dxa"/>
            <w:tcBorders>
              <w:top w:val="nil"/>
              <w:left w:val="nil"/>
              <w:bottom w:val="single" w:sz="4" w:space="0" w:color="000000"/>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r w:rsidR="005576C2">
        <w:trPr>
          <w:trHeight w:val="240"/>
        </w:trPr>
        <w:tc>
          <w:tcPr>
            <w:tcW w:w="3225"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Total </w:t>
            </w:r>
            <w:r w:rsidR="00E802CF">
              <w:rPr>
                <w:rFonts w:eastAsia="Calibri" w:cs="Calibri"/>
                <w:b/>
                <w:color w:val="000000"/>
                <w:sz w:val="18"/>
              </w:rPr>
              <w:t>Better Infrastructure Fund</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b/>
                <w:color w:val="000000"/>
                <w:sz w:val="18"/>
              </w:rPr>
            </w:pPr>
            <w:r>
              <w:rPr>
                <w:rFonts w:eastAsia="Calibri" w:cs="Calibri"/>
                <w:b/>
                <w:color w:val="000000"/>
                <w:sz w:val="18"/>
              </w:rPr>
              <w:t>765</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b/>
                <w:color w:val="000000"/>
                <w:sz w:val="18"/>
              </w:rPr>
            </w:pPr>
            <w:r>
              <w:rPr>
                <w:rFonts w:eastAsia="Calibri" w:cs="Calibri"/>
                <w:b/>
                <w:color w:val="000000"/>
                <w:sz w:val="18"/>
              </w:rPr>
              <w:t>1,025</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b/>
                <w:color w:val="000000"/>
                <w:sz w:val="18"/>
              </w:rPr>
            </w:pPr>
            <w:r>
              <w:rPr>
                <w:rFonts w:eastAsia="Calibri" w:cs="Calibri"/>
                <w:b/>
                <w:color w:val="000000"/>
                <w:sz w:val="18"/>
              </w:rPr>
              <w:t>1,051</w:t>
            </w:r>
          </w:p>
        </w:tc>
        <w:tc>
          <w:tcPr>
            <w:tcW w:w="975" w:type="dxa"/>
            <w:tcBorders>
              <w:top w:val="single" w:sz="4" w:space="0" w:color="000000"/>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b/>
                <w:color w:val="000000"/>
                <w:sz w:val="18"/>
              </w:rPr>
            </w:pPr>
            <w:r>
              <w:rPr>
                <w:rFonts w:eastAsia="Calibri" w:cs="Calibri"/>
                <w:b/>
                <w:color w:val="000000"/>
                <w:sz w:val="18"/>
              </w:rPr>
              <w:t>1,077</w:t>
            </w:r>
          </w:p>
        </w:tc>
        <w:tc>
          <w:tcPr>
            <w:tcW w:w="1125" w:type="dxa"/>
            <w:tcBorders>
              <w:top w:val="single" w:sz="4" w:space="0" w:color="000000"/>
              <w:left w:val="nil"/>
              <w:bottom w:val="nil"/>
              <w:right w:val="nil"/>
              <w:tl2br w:val="nil"/>
              <w:tr2bl w:val="nil"/>
            </w:tcBorders>
            <w:shd w:val="clear" w:color="auto" w:fill="auto"/>
            <w:noWrap/>
            <w:tcMar>
              <w:left w:w="101" w:type="dxa"/>
              <w:right w:w="161" w:type="dxa"/>
            </w:tcMar>
          </w:tcPr>
          <w:p w:rsidR="005576C2" w:rsidRDefault="002435BD">
            <w:pPr>
              <w:spacing w:before="0" w:after="0"/>
              <w:jc w:val="right"/>
              <w:rPr>
                <w:rFonts w:eastAsia="Calibri" w:cs="Calibri"/>
                <w:b/>
                <w:color w:val="000000"/>
                <w:sz w:val="18"/>
              </w:rPr>
            </w:pPr>
            <w:r>
              <w:rPr>
                <w:rFonts w:eastAsia="Calibri" w:cs="Calibri"/>
                <w:b/>
                <w:color w:val="000000"/>
                <w:sz w:val="18"/>
              </w:rPr>
              <w:t>3,918</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r>
    </w:tbl>
    <w:p w:rsidR="007114AE" w:rsidRDefault="002435BD" w:rsidP="007114AE">
      <w:pPr>
        <w:pStyle w:val="Heading2"/>
        <w:pageBreakBefore/>
        <w:pBdr>
          <w:top w:val="nil"/>
          <w:left w:val="nil"/>
          <w:bottom w:val="nil"/>
          <w:right w:val="nil"/>
          <w:between w:val="nil"/>
          <w:bar w:val="nil"/>
        </w:pBdr>
        <w:ind w:left="-426" w:firstLine="426"/>
        <w:rPr>
          <w:bdr w:val="nil"/>
        </w:rPr>
      </w:pPr>
      <w:bookmarkStart w:id="78" w:name="_Toc452467803"/>
      <w:bookmarkStart w:id="79" w:name="_Toc514840952"/>
      <w:bookmarkStart w:id="80" w:name="_Toc514841026"/>
      <w:r>
        <w:rPr>
          <w:bdr w:val="nil"/>
        </w:rPr>
        <w:t>Financial Statements</w:t>
      </w:r>
      <w:bookmarkEnd w:id="78"/>
      <w:r w:rsidR="006D1C0E">
        <w:rPr>
          <w:bdr w:val="nil"/>
        </w:rPr>
        <w:t xml:space="preserve"> – Controlled</w:t>
      </w:r>
      <w:bookmarkEnd w:id="79"/>
      <w:bookmarkEnd w:id="80"/>
    </w:p>
    <w:p w:rsidR="007114AE" w:rsidRPr="00625775" w:rsidRDefault="00DC58C5" w:rsidP="007114AE">
      <w:pPr>
        <w:pStyle w:val="Caption"/>
        <w:pBdr>
          <w:top w:val="nil"/>
          <w:left w:val="nil"/>
          <w:bottom w:val="nil"/>
          <w:right w:val="nil"/>
          <w:between w:val="nil"/>
          <w:bar w:val="nil"/>
        </w:pBdr>
        <w:rPr>
          <w:bdr w:val="nil"/>
        </w:rPr>
      </w:pPr>
      <w:r>
        <w:rPr>
          <w:bdr w:val="nil"/>
        </w:rPr>
        <w:t>Table 32</w:t>
      </w:r>
      <w:r w:rsidR="002435BD" w:rsidRPr="006D1C0E">
        <w:rPr>
          <w:bdr w:val="nil"/>
        </w:rPr>
        <w:t>: Environment, Planning and Sustainable Development Directorate: Operating Statement</w:t>
      </w:r>
      <w:r w:rsidR="002435BD">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100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2017-18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157,379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158,603</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133,079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-16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134,024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119,064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113,941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53,731</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Land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62,091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31,272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3,543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9,177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13,674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31,288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129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10,905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10,352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9,674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882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2,267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2,267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2,358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2,452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2,613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21,147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100,985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2,364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-98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1,753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2,230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571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244,058</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338,530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200,830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152,267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137,859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126,921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Gains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244,060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338,530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200,830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152,267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137,859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126,921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64,119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64,641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65,651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65,472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65,032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62,531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9,175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9,070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9,616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9,781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10,093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10,313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101,982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97,055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68,180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55,849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51,656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49,194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3,023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3,023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3,123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3,492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3,572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3,584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4,395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8,253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10,508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9,470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8,557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3,088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13,506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3,456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6,226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6,894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6,499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7,285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45,419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Transfer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55,246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32,300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2,541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3,113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231,655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243,720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209,778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153,311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149,515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131,437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12,405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94,810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-8,948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-1,044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-11,656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-4,516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12,405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94,810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-8,948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-109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-1,044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-11,656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-4,516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Default="00DC58C5" w:rsidP="007114AE">
      <w:pPr>
        <w:pStyle w:val="Caption"/>
        <w:pageBreakBefore/>
        <w:pBdr>
          <w:top w:val="nil"/>
          <w:left w:val="nil"/>
          <w:bottom w:val="nil"/>
          <w:right w:val="nil"/>
          <w:between w:val="nil"/>
          <w:bar w:val="nil"/>
        </w:pBdr>
        <w:outlineLvl w:val="0"/>
        <w:rPr>
          <w:bdr w:val="nil"/>
        </w:rPr>
      </w:pPr>
      <w:bookmarkStart w:id="81" w:name="_Toc514763798"/>
      <w:bookmarkStart w:id="82" w:name="_Toc514840953"/>
      <w:bookmarkStart w:id="83" w:name="_Toc514841027"/>
      <w:r>
        <w:rPr>
          <w:bdr w:val="nil"/>
        </w:rPr>
        <w:t>Table 33</w:t>
      </w:r>
      <w:r w:rsidR="002435BD" w:rsidRPr="006D1C0E">
        <w:rPr>
          <w:bdr w:val="nil"/>
        </w:rPr>
        <w:t>: Environment, Planning and Sustainable Development Directorate: Balance Sheet</w:t>
      </w:r>
      <w:bookmarkEnd w:id="81"/>
      <w:bookmarkEnd w:id="82"/>
      <w:bookmarkEnd w:id="83"/>
      <w:r w:rsidR="002435BD">
        <w:rPr>
          <w:bdr w:val="nil"/>
        </w:rPr>
        <w:t xml:space="preserve">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30/6/18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30/6/19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30/6/20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30/6/21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30/6/22 </w:t>
            </w:r>
          </w:p>
          <w:p w:rsidR="005576C2" w:rsidRDefault="002435BD">
            <w:pPr>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39,845</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90,018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103,834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104,474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106,640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100,204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5,219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5,139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4,922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5,168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5,269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Inventories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81,115</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Assets Held for Sale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95,273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7,901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-92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5,112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124,744</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190,875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117,094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-39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114,728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111,883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105,548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6,380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6,921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5,774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4,975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4,344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3,713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291,243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298,021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286,616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290,887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287,801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285,855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38,196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Intangible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103,984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106,637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105,919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105,201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104,483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147,769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94,721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48,065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102,438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103,347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104,034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26,514</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29,917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29,917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29,917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29,917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29,917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510,102</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533,564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477,009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534,136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530,610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528,002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634,846</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724,439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594,103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648,864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642,493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633,550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3,876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22,923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23,021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23,119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23,217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23,315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22,237</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20,953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21,803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23,011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24,271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25,563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29,698</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Provisions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21,988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31,550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10,778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15,428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6,427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847</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2,767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2,753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2,739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2,725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2,711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56,658</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68,631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79,127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15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59,647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65,641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58,016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1,161</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1,109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1,166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1,223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15,654</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Provisions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30,340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17,091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14,756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16,815</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31,347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18,144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-42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15,865</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1,166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1,223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73,473</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99,978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97,271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75,512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66,807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59,239</w:t>
            </w:r>
          </w:p>
        </w:tc>
      </w:tr>
      <w:tr w:rsidR="005576C2" w:rsidTr="006D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561,373</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624,461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496,832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573,352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575,686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574,311</w:t>
            </w:r>
          </w:p>
        </w:tc>
      </w:tr>
      <w:tr w:rsidR="005576C2" w:rsidTr="006D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REPRESENTED BY FUNDS EMPLOYED</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434,393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492,533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364,904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441,424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443,758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442,383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126,980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561,373</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624,461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496,832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573,352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575,686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574,311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Pr="00DB70E3" w:rsidRDefault="00DC58C5" w:rsidP="007114AE">
      <w:pPr>
        <w:pStyle w:val="Caption"/>
        <w:pageBreakBefore/>
        <w:pBdr>
          <w:top w:val="nil"/>
          <w:left w:val="nil"/>
          <w:bottom w:val="nil"/>
          <w:right w:val="nil"/>
          <w:between w:val="nil"/>
          <w:bar w:val="nil"/>
        </w:pBdr>
        <w:outlineLvl w:val="0"/>
        <w:rPr>
          <w:bdr w:val="nil"/>
        </w:rPr>
      </w:pPr>
      <w:bookmarkStart w:id="84" w:name="_Toc514763799"/>
      <w:bookmarkStart w:id="85" w:name="_Toc514840954"/>
      <w:bookmarkStart w:id="86" w:name="_Toc514841028"/>
      <w:r>
        <w:rPr>
          <w:bdr w:val="nil"/>
        </w:rPr>
        <w:t>Table 34</w:t>
      </w:r>
      <w:r w:rsidR="002435BD" w:rsidRPr="006D1C0E">
        <w:rPr>
          <w:bdr w:val="nil"/>
        </w:rPr>
        <w:t>: Environment, Planning and Sustainable Development Directorate: Statement of Changes in Equity</w:t>
      </w:r>
      <w:bookmarkEnd w:id="84"/>
      <w:bookmarkEnd w:id="85"/>
      <w:bookmarkEnd w:id="86"/>
      <w:r w:rsidR="002435BD">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3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30/6/18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30/6/19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30/6/20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30/6/21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30/6/22 </w:t>
            </w:r>
          </w:p>
          <w:p w:rsidR="005576C2" w:rsidRDefault="002435BD">
            <w:pPr>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404,742</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446,079</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492,533</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364,904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441,424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443,758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126,980</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r>
      <w:tr w:rsidR="005576C2" w:rsidTr="006D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531,722</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7D229C">
            <w:pPr>
              <w:spacing w:before="0" w:after="0"/>
              <w:ind w:left="113" w:hanging="113"/>
              <w:rPr>
                <w:rFonts w:eastAsia="Calibri" w:cs="Calibri"/>
                <w:b/>
                <w:color w:val="000000"/>
                <w:sz w:val="18"/>
              </w:rPr>
            </w:pPr>
            <w:r>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578,007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624,461</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8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496,832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573,352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575,686</w:t>
            </w:r>
          </w:p>
        </w:tc>
      </w:tr>
      <w:tr w:rsidR="005576C2" w:rsidTr="006D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12,405</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94,810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-8,948</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-109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-1,044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-11,656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-4,516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12,405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94,810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-8,948</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-109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-1,044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-11,656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-4,516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Transactions Involving Owners Affecting Accumulated Funds</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327,040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215,323</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152,911</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-29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105,989</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26,428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3,143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-194,659</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Capital Distributions to Government</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-194,659</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-105,388</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46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-12,594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-12,436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-115,135</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Inc/Dec in Net Assets due to Admin Restructure</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-69,020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-166,204</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-141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-15,831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17,246</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7D229C">
            <w:pPr>
              <w:spacing w:before="0" w:after="0"/>
              <w:ind w:left="113" w:hanging="113"/>
              <w:rPr>
                <w:rFonts w:eastAsia="Calibri" w:cs="Calibri"/>
                <w:b/>
                <w:color w:val="000000"/>
                <w:sz w:val="18"/>
              </w:rPr>
            </w:pPr>
            <w:r>
              <w:rPr>
                <w:rFonts w:eastAsia="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-48,356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-118,681</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-145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77,564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13,990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3,141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434,393</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492,533</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364,904</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-26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441,424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443,758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442,383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126,980</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131,928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561,373</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rsidP="007D229C">
            <w:pPr>
              <w:spacing w:before="0" w:after="0"/>
              <w:ind w:left="113" w:hanging="113"/>
              <w:rPr>
                <w:rFonts w:eastAsia="Calibri" w:cs="Calibri"/>
                <w:b/>
                <w:color w:val="000000"/>
                <w:sz w:val="18"/>
              </w:rPr>
            </w:pPr>
            <w:r>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624,461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496,832</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573,352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575,686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574,311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Default="00DC58C5" w:rsidP="007114AE">
      <w:pPr>
        <w:pStyle w:val="Caption"/>
        <w:pageBreakBefore/>
        <w:pBdr>
          <w:top w:val="nil"/>
          <w:left w:val="nil"/>
          <w:bottom w:val="nil"/>
          <w:right w:val="nil"/>
          <w:between w:val="nil"/>
          <w:bar w:val="nil"/>
        </w:pBdr>
        <w:outlineLvl w:val="0"/>
        <w:rPr>
          <w:bdr w:val="nil"/>
        </w:rPr>
      </w:pPr>
      <w:bookmarkStart w:id="87" w:name="_Toc514763800"/>
      <w:bookmarkStart w:id="88" w:name="_Toc514840955"/>
      <w:bookmarkStart w:id="89" w:name="_Toc514841029"/>
      <w:r>
        <w:rPr>
          <w:bdr w:val="nil"/>
        </w:rPr>
        <w:t>Table 35</w:t>
      </w:r>
      <w:r w:rsidR="002435BD" w:rsidRPr="006D1C0E">
        <w:rPr>
          <w:bdr w:val="nil"/>
        </w:rPr>
        <w:t>: Environment, Planning</w:t>
      </w:r>
      <w:r w:rsidR="002435BD">
        <w:rPr>
          <w:bdr w:val="nil"/>
        </w:rPr>
        <w:t xml:space="preserve"> and Sustainable Development Directorate: Cash Flow Statement</w:t>
      </w:r>
      <w:bookmarkEnd w:id="87"/>
      <w:bookmarkEnd w:id="88"/>
      <w:bookmarkEnd w:id="89"/>
      <w:r w:rsidR="002435BD">
        <w:rPr>
          <w:bdr w:val="nil"/>
        </w:rPr>
        <w:t xml:space="preserve">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2017-18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Var </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CASH FLOWS FROM OPERATING ACTIVITIES</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984220">
            <w:pPr>
              <w:spacing w:before="0" w:after="0"/>
              <w:jc w:val="right"/>
              <w:rPr>
                <w:rFonts w:eastAsia="Calibri" w:cs="Calibri"/>
                <w:color w:val="000000"/>
                <w:sz w:val="18"/>
              </w:rPr>
            </w:pPr>
            <w:r>
              <w:rPr>
                <w:rFonts w:eastAsia="Calibri" w:cs="Calibri"/>
                <w:color w:val="000000"/>
                <w:sz w:val="18"/>
              </w:rPr>
              <w:t>157,379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984220">
            <w:pPr>
              <w:spacing w:before="0" w:after="0"/>
              <w:jc w:val="right"/>
              <w:rPr>
                <w:rFonts w:eastAsia="Calibri" w:cs="Calibri"/>
                <w:color w:val="000000"/>
                <w:sz w:val="18"/>
              </w:rPr>
            </w:pPr>
            <w:r>
              <w:rPr>
                <w:rFonts w:eastAsia="Calibri" w:cs="Calibri"/>
                <w:color w:val="000000"/>
                <w:sz w:val="18"/>
              </w:rPr>
              <w:t>158,603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984220">
            <w:pPr>
              <w:spacing w:before="0" w:after="0"/>
              <w:jc w:val="right"/>
              <w:rPr>
                <w:rFonts w:eastAsia="Calibri" w:cs="Calibri"/>
                <w:color w:val="000000"/>
                <w:sz w:val="18"/>
              </w:rPr>
            </w:pPr>
            <w:r>
              <w:rPr>
                <w:rFonts w:eastAsia="Calibri" w:cs="Calibri"/>
                <w:color w:val="000000"/>
                <w:sz w:val="18"/>
              </w:rPr>
              <w:t>133,079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984220">
            <w:pPr>
              <w:spacing w:before="0" w:after="0"/>
              <w:jc w:val="right"/>
              <w:rPr>
                <w:rFonts w:eastAsia="Calibri" w:cs="Calibri"/>
                <w:color w:val="000000"/>
                <w:sz w:val="18"/>
              </w:rPr>
            </w:pPr>
            <w:r>
              <w:rPr>
                <w:rFonts w:eastAsia="Calibri" w:cs="Calibri"/>
                <w:color w:val="000000"/>
                <w:sz w:val="18"/>
              </w:rPr>
              <w:t>134,024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984220">
            <w:pPr>
              <w:spacing w:before="0" w:after="0"/>
              <w:jc w:val="right"/>
              <w:rPr>
                <w:rFonts w:eastAsia="Calibri" w:cs="Calibri"/>
                <w:color w:val="000000"/>
                <w:sz w:val="18"/>
              </w:rPr>
            </w:pPr>
            <w:r>
              <w:rPr>
                <w:rFonts w:eastAsia="Calibri" w:cs="Calibri"/>
                <w:color w:val="000000"/>
                <w:sz w:val="18"/>
              </w:rPr>
              <w:t>119,064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984220">
            <w:pPr>
              <w:spacing w:before="0" w:after="0"/>
              <w:jc w:val="right"/>
              <w:rPr>
                <w:rFonts w:eastAsia="Calibri" w:cs="Calibri"/>
                <w:color w:val="000000"/>
                <w:sz w:val="18"/>
              </w:rPr>
            </w:pPr>
            <w:r>
              <w:rPr>
                <w:rFonts w:eastAsia="Calibri" w:cs="Calibri"/>
                <w:color w:val="000000"/>
                <w:sz w:val="18"/>
              </w:rPr>
              <w:t>113,941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9,539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14,036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31,650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125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11,267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10,714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10,036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882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23,250</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24,788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4,467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3,856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2,674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190,525</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198,337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169,665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149,324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134,231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126,773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63,185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63,169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64,716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64,167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63,920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61,387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9,178</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9,032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9,620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9,785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10,150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10,370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100,991</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96,064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67,117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54,717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50,450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47,925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4,420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8,278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10,533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9,495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8,582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3,113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45,419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Transfer of Territory Receipts to the ACT Government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55,246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32,300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2,541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3,113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Related to 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4,561</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7,331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7,979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7,564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8,350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12,254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227,840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239,326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192,471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148,476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144,772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135,257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-37,315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b/>
                <w:color w:val="000000"/>
                <w:sz w:val="18"/>
              </w:rPr>
            </w:pPr>
            <w:r>
              <w:rPr>
                <w:rFonts w:eastAsia="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-40,989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-22,806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-10,541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-8,484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CASH FLOWS FROM INVESTING ACTIVITIES</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248,396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Proceeds from Sale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256,750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136,660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15,550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15,979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1,550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Repayment of Loan Principal</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1,664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1,827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1,478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1,478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249,946</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Investing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258,300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138,324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17,377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17,457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1,478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258,863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169,268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136,677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78,894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1,957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1,653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66,806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Purchase of Land and Intangibles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49,787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12,135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-76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31,166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15,865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Loans Provided (Loans Receivable)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3,550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413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326,589</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222,605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149,225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-33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110,980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18,742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2,573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-76,643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b/>
                <w:color w:val="000000"/>
                <w:sz w:val="18"/>
              </w:rPr>
            </w:pPr>
            <w:r>
              <w:rPr>
                <w:rFonts w:eastAsia="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35,695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-10,901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-131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-93,603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-1,285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-1,095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Default="00DC58C5" w:rsidP="007114AE">
      <w:pPr>
        <w:pStyle w:val="Caption"/>
        <w:pageBreakBefore/>
        <w:pBdr>
          <w:top w:val="nil"/>
          <w:left w:val="nil"/>
          <w:bottom w:val="nil"/>
          <w:right w:val="nil"/>
          <w:between w:val="nil"/>
          <w:bar w:val="nil"/>
        </w:pBdr>
        <w:outlineLvl w:val="0"/>
        <w:rPr>
          <w:bdr w:val="nil"/>
        </w:rPr>
      </w:pPr>
      <w:bookmarkStart w:id="90" w:name="_Toc514763801"/>
      <w:bookmarkStart w:id="91" w:name="_Toc514840956"/>
      <w:bookmarkStart w:id="92" w:name="_Toc514841030"/>
      <w:r>
        <w:rPr>
          <w:bdr w:val="nil"/>
        </w:rPr>
        <w:t>Table 35</w:t>
      </w:r>
      <w:r w:rsidR="002435BD" w:rsidRPr="006D1C0E">
        <w:rPr>
          <w:bdr w:val="nil"/>
        </w:rPr>
        <w:t>: Environment, Planning and Sustainable Development Directorate: Cash Flow Statement (continued)</w:t>
      </w:r>
      <w:bookmarkEnd w:id="90"/>
      <w:bookmarkEnd w:id="91"/>
      <w:bookmarkEnd w:id="92"/>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2017-18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Var </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single" w:sz="4" w:space="0" w:color="000000"/>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CASH FLOWS FROM FINANCING ACTIVITIES</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327,040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215,323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152,911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105,989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26,428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3,143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6D1C0E">
            <w:pPr>
              <w:spacing w:before="0" w:after="0"/>
              <w:ind w:left="113" w:hanging="113"/>
              <w:rPr>
                <w:rFonts w:eastAsia="Calibri" w:cs="Calibri"/>
                <w:color w:val="000000"/>
                <w:sz w:val="18"/>
              </w:rPr>
            </w:pPr>
            <w:r>
              <w:rPr>
                <w:rFonts w:eastAsia="Calibri" w:cs="Calibri"/>
                <w:color w:val="000000"/>
                <w:sz w:val="18"/>
              </w:rPr>
              <w:t>Receipts of Transferred Cash Balances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327,040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225,895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152,911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-32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105,989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26,428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3,143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194,659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Distributions to Government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194,659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105,388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12,594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12,436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194,659</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Financing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194,659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105,388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12,594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12,436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132,381</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31,236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47,523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52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93,395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13,992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3,143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Pr="00AE1D57" w:rsidRDefault="005576C2" w:rsidP="00AE1D57">
            <w:pPr>
              <w:spacing w:before="0" w:after="0"/>
              <w:ind w:left="113" w:hanging="113"/>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18,423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25,942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13,816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640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2,166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-6,436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Pr="00AE1D57" w:rsidRDefault="005576C2" w:rsidP="00AE1D57">
            <w:pPr>
              <w:spacing w:before="0" w:after="0"/>
              <w:ind w:left="113" w:hanging="113"/>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21,422</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64,076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90,018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103,834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104,474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106,640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5576C2" w:rsidRPr="00AE1D57" w:rsidRDefault="005576C2" w:rsidP="00AE1D57">
            <w:pPr>
              <w:spacing w:before="0" w:after="0"/>
              <w:ind w:left="113" w:hanging="113"/>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39,845</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90,018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103,834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104,474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106,640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100,204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Default="002435BD" w:rsidP="007114AE">
      <w:pPr>
        <w:pStyle w:val="Heading33"/>
        <w:pageBreakBefore/>
      </w:pPr>
      <w:bookmarkStart w:id="93" w:name="_Toc514763802"/>
      <w:bookmarkStart w:id="94" w:name="_Toc514841031"/>
      <w:r>
        <w:t>Notes to the Controlled Budget Statements</w:t>
      </w:r>
      <w:bookmarkEnd w:id="93"/>
      <w:bookmarkEnd w:id="94"/>
    </w:p>
    <w:p w:rsidR="007114AE" w:rsidRDefault="002435BD" w:rsidP="00C215C1">
      <w:pPr>
        <w:pStyle w:val="Normal6"/>
      </w:pPr>
      <w:r>
        <w:t>Significant variations are as follows:</w:t>
      </w:r>
    </w:p>
    <w:p w:rsidR="007114AE" w:rsidRDefault="002435BD" w:rsidP="00C215C1">
      <w:pPr>
        <w:pStyle w:val="Normal6"/>
        <w:rPr>
          <w:b/>
          <w:i/>
        </w:rPr>
      </w:pPr>
      <w:r>
        <w:rPr>
          <w:b/>
          <w:i/>
        </w:rPr>
        <w:t>Operating Statement</w:t>
      </w:r>
    </w:p>
    <w:p w:rsidR="007114AE" w:rsidRDefault="002435BD" w:rsidP="00C215C1">
      <w:pPr>
        <w:pStyle w:val="BSbullet1"/>
      </w:pPr>
      <w:r>
        <w:t xml:space="preserve">controlled recurrent payments:  </w:t>
      </w:r>
    </w:p>
    <w:p w:rsidR="007114AE" w:rsidRPr="00585799" w:rsidRDefault="004A1F5A" w:rsidP="00C215C1">
      <w:pPr>
        <w:pStyle w:val="BSbullet20"/>
        <w:jc w:val="left"/>
      </w:pPr>
      <w:proofErr w:type="gramStart"/>
      <w:r>
        <w:t>the</w:t>
      </w:r>
      <w:proofErr w:type="gramEnd"/>
      <w:r>
        <w:t xml:space="preserve"> decrease of $25.524 </w:t>
      </w:r>
      <w:r w:rsidR="002435BD" w:rsidRPr="00585799">
        <w:t>million (16</w:t>
      </w:r>
      <w:r w:rsidR="002435BD">
        <w:t xml:space="preserve"> per cent) </w:t>
      </w:r>
      <w:r>
        <w:t>in the 2018</w:t>
      </w:r>
      <w:r>
        <w:noBreakHyphen/>
        <w:t>19 Budget from the 2017</w:t>
      </w:r>
      <w:r>
        <w:noBreakHyphen/>
      </w:r>
      <w:r w:rsidR="002435BD" w:rsidRPr="00585799">
        <w:t xml:space="preserve">18 estimated outcome </w:t>
      </w:r>
      <w:r w:rsidR="00A07327">
        <w:t>is mainly due to the funding required</w:t>
      </w:r>
      <w:r w:rsidR="002435BD" w:rsidRPr="00585799">
        <w:t xml:space="preserve"> for the Public Housing </w:t>
      </w:r>
      <w:r w:rsidR="00C215C1">
        <w:t xml:space="preserve">Renewal </w:t>
      </w:r>
      <w:r w:rsidR="002435BD" w:rsidRPr="00585799">
        <w:t>Taskforce decreasing as the program moves away from demolition and into construction ($31.069 million), partially offset by new initiatives ($5.219 million).</w:t>
      </w:r>
    </w:p>
    <w:p w:rsidR="007114AE" w:rsidRPr="00585799" w:rsidRDefault="002435BD" w:rsidP="00C215C1">
      <w:pPr>
        <w:pStyle w:val="BSbullet1"/>
      </w:pPr>
      <w:r w:rsidRPr="00585799">
        <w:t xml:space="preserve">land revenue:  </w:t>
      </w:r>
    </w:p>
    <w:p w:rsidR="007114AE" w:rsidRPr="00585799" w:rsidRDefault="002435BD" w:rsidP="00C215C1">
      <w:pPr>
        <w:pStyle w:val="BSbullet20"/>
        <w:jc w:val="left"/>
      </w:pPr>
      <w:proofErr w:type="gramStart"/>
      <w:r w:rsidRPr="00585799">
        <w:t>the</w:t>
      </w:r>
      <w:proofErr w:type="gramEnd"/>
      <w:r w:rsidRPr="00585799">
        <w:t xml:space="preserve"> increase </w:t>
      </w:r>
      <w:r w:rsidR="004A1F5A">
        <w:t>of $8.360 million in the 2017</w:t>
      </w:r>
      <w:r w:rsidR="004A1F5A">
        <w:noBreakHyphen/>
      </w:r>
      <w:r w:rsidRPr="00585799">
        <w:t xml:space="preserve">18 estimated outcome from the original budget is due to an increase in the </w:t>
      </w:r>
      <w:r w:rsidR="00AC6FB9">
        <w:t xml:space="preserve">projected </w:t>
      </w:r>
      <w:r w:rsidRPr="00585799">
        <w:t xml:space="preserve">sale </w:t>
      </w:r>
      <w:r w:rsidR="00AC6FB9">
        <w:t xml:space="preserve">price </w:t>
      </w:r>
      <w:r w:rsidRPr="00585799">
        <w:t>of remediated land under the loose</w:t>
      </w:r>
      <w:r w:rsidRPr="00585799">
        <w:noBreakHyphen/>
        <w:t>fill asbestos insulation eradication scheme.</w:t>
      </w:r>
    </w:p>
    <w:p w:rsidR="007114AE" w:rsidRPr="00585799" w:rsidRDefault="004A1F5A" w:rsidP="00C215C1">
      <w:pPr>
        <w:pStyle w:val="BSbullet20"/>
        <w:jc w:val="left"/>
      </w:pPr>
      <w:proofErr w:type="gramStart"/>
      <w:r>
        <w:t>the</w:t>
      </w:r>
      <w:proofErr w:type="gramEnd"/>
      <w:r>
        <w:t xml:space="preserve"> decrease of $30.819 million in the 2018</w:t>
      </w:r>
      <w:r>
        <w:noBreakHyphen/>
      </w:r>
      <w:r w:rsidR="002435BD" w:rsidRPr="00585799">
        <w:t>19 Budget from the 201</w:t>
      </w:r>
      <w:r>
        <w:t>7</w:t>
      </w:r>
      <w:r>
        <w:noBreakHyphen/>
      </w:r>
      <w:r w:rsidR="002435BD" w:rsidRPr="00585799">
        <w:t xml:space="preserve">18 estimated outcome is due to the decrease in the </w:t>
      </w:r>
      <w:r w:rsidR="00AC6FB9">
        <w:t xml:space="preserve">number of </w:t>
      </w:r>
      <w:r w:rsidR="002435BD" w:rsidRPr="00585799">
        <w:t>sale</w:t>
      </w:r>
      <w:r w:rsidR="00AC6FB9">
        <w:t>s</w:t>
      </w:r>
      <w:r w:rsidR="002435BD" w:rsidRPr="00585799">
        <w:t xml:space="preserve"> of remediated land under the loose</w:t>
      </w:r>
      <w:r w:rsidR="002435BD" w:rsidRPr="00585799">
        <w:noBreakHyphen/>
        <w:t xml:space="preserve">fill asbestos insulation eradication </w:t>
      </w:r>
      <w:r w:rsidR="00460B5D">
        <w:t>scheme as the program nears completion</w:t>
      </w:r>
      <w:r w:rsidR="002435BD" w:rsidRPr="00585799">
        <w:t>.</w:t>
      </w:r>
    </w:p>
    <w:p w:rsidR="007114AE" w:rsidRPr="00585799" w:rsidRDefault="002435BD" w:rsidP="00C215C1">
      <w:pPr>
        <w:pStyle w:val="BSbullet1"/>
      </w:pPr>
      <w:r w:rsidRPr="00585799">
        <w:t xml:space="preserve">user charges:  </w:t>
      </w:r>
    </w:p>
    <w:p w:rsidR="007114AE" w:rsidRPr="00585799" w:rsidRDefault="004A1F5A" w:rsidP="00C215C1">
      <w:pPr>
        <w:pStyle w:val="BSbullet20"/>
        <w:jc w:val="left"/>
      </w:pPr>
      <w:proofErr w:type="gramStart"/>
      <w:r>
        <w:t>the</w:t>
      </w:r>
      <w:proofErr w:type="gramEnd"/>
      <w:r>
        <w:t xml:space="preserve"> increase of $4.497 million in the 2017</w:t>
      </w:r>
      <w:r>
        <w:noBreakHyphen/>
      </w:r>
      <w:r w:rsidR="002435BD" w:rsidRPr="00585799">
        <w:t>18 estimated outcome from the original budget is mainly due to a change in the way forestry harvesting sales are recorded. The sales proceeds are now shown as gross, not net of expenditure.</w:t>
      </w:r>
    </w:p>
    <w:p w:rsidR="007114AE" w:rsidRPr="00585799" w:rsidRDefault="004A1F5A" w:rsidP="00C215C1">
      <w:pPr>
        <w:pStyle w:val="BSbullet20"/>
        <w:jc w:val="left"/>
      </w:pPr>
      <w:proofErr w:type="gramStart"/>
      <w:r>
        <w:t>the</w:t>
      </w:r>
      <w:proofErr w:type="gramEnd"/>
      <w:r>
        <w:t xml:space="preserve"> increase of $17.614 million in the 2018</w:t>
      </w:r>
      <w:r>
        <w:noBreakHyphen/>
      </w:r>
      <w:r w:rsidR="002435BD" w:rsidRPr="00585799">
        <w:t>19 Budget</w:t>
      </w:r>
      <w:r w:rsidR="002435BD">
        <w:t xml:space="preserve"> from the </w:t>
      </w:r>
      <w:r>
        <w:t>2017</w:t>
      </w:r>
      <w:r>
        <w:noBreakHyphen/>
      </w:r>
      <w:r w:rsidR="002435BD" w:rsidRPr="00585799">
        <w:t xml:space="preserve">18 estimated outcome is </w:t>
      </w:r>
      <w:r w:rsidR="002435BD" w:rsidRPr="000968D1">
        <w:t>mainl</w:t>
      </w:r>
      <w:r w:rsidR="00A07327">
        <w:t>y due to the sale proceeds of</w:t>
      </w:r>
      <w:r w:rsidR="002435BD" w:rsidRPr="000968D1">
        <w:t xml:space="preserve"> dwellings to the market by the Public Housing Renewal Taskforce.</w:t>
      </w:r>
    </w:p>
    <w:p w:rsidR="007114AE" w:rsidRPr="00585799" w:rsidRDefault="002435BD" w:rsidP="00C215C1">
      <w:pPr>
        <w:pStyle w:val="BSbullet1"/>
      </w:pPr>
      <w:r w:rsidRPr="00585799">
        <w:t xml:space="preserve">other revenue: </w:t>
      </w:r>
    </w:p>
    <w:p w:rsidR="007114AE" w:rsidRPr="00585799" w:rsidRDefault="004A1F5A" w:rsidP="00C215C1">
      <w:pPr>
        <w:pStyle w:val="BSbullet20"/>
        <w:jc w:val="left"/>
      </w:pPr>
      <w:proofErr w:type="gramStart"/>
      <w:r>
        <w:t>the</w:t>
      </w:r>
      <w:proofErr w:type="gramEnd"/>
      <w:r>
        <w:t xml:space="preserve"> increase of $79.838 million in the 2017</w:t>
      </w:r>
      <w:r>
        <w:noBreakHyphen/>
      </w:r>
      <w:r w:rsidR="002435BD" w:rsidRPr="00585799">
        <w:t>18 estimated outcome from the original budget is mainly due to the collection of additional Large Scale Generation Certificates</w:t>
      </w:r>
      <w:r w:rsidR="00775EDF">
        <w:t xml:space="preserve"> surrendered by large scale generator</w:t>
      </w:r>
      <w:r w:rsidR="002435BD" w:rsidRPr="00585799">
        <w:t xml:space="preserve">s of electricity under the </w:t>
      </w:r>
      <w:r w:rsidR="002435BD" w:rsidRPr="000968D1">
        <w:rPr>
          <w:i/>
        </w:rPr>
        <w:t>Renewable Energy Target Scheme</w:t>
      </w:r>
      <w:r w:rsidR="002435BD" w:rsidRPr="00585799">
        <w:t>.</w:t>
      </w:r>
    </w:p>
    <w:p w:rsidR="007114AE" w:rsidRPr="00585799" w:rsidRDefault="004A1F5A" w:rsidP="00C215C1">
      <w:pPr>
        <w:pStyle w:val="BSbullet20"/>
        <w:jc w:val="left"/>
      </w:pPr>
      <w:proofErr w:type="gramStart"/>
      <w:r>
        <w:t>the</w:t>
      </w:r>
      <w:proofErr w:type="gramEnd"/>
      <w:r>
        <w:t xml:space="preserve"> decrease of $98.621 million in the 2018</w:t>
      </w:r>
      <w:r>
        <w:noBreakHyphen/>
      </w:r>
      <w:r w:rsidR="002435BD" w:rsidRPr="00585799">
        <w:t xml:space="preserve">19 Budget </w:t>
      </w:r>
      <w:r w:rsidR="002435BD">
        <w:t xml:space="preserve">from the </w:t>
      </w:r>
      <w:r>
        <w:t>2017</w:t>
      </w:r>
      <w:r>
        <w:noBreakHyphen/>
      </w:r>
      <w:r w:rsidR="002435BD" w:rsidRPr="00585799">
        <w:t>18 estimate</w:t>
      </w:r>
      <w:r w:rsidR="00775EDF">
        <w:t>d outcome is mainly due to the Large Scale Generation C</w:t>
      </w:r>
      <w:r w:rsidR="002435BD" w:rsidRPr="00585799">
        <w:t>ertificates not showing</w:t>
      </w:r>
      <w:r w:rsidR="00A07327">
        <w:t xml:space="preserve"> in the Directorate’s </w:t>
      </w:r>
      <w:r w:rsidR="002435BD" w:rsidRPr="00585799">
        <w:t>statements in 2018</w:t>
      </w:r>
      <w:r w:rsidR="002435BD" w:rsidRPr="00585799">
        <w:noBreakHyphen/>
        <w:t xml:space="preserve">19. </w:t>
      </w:r>
      <w:r w:rsidR="002435BD">
        <w:t xml:space="preserve">The </w:t>
      </w:r>
      <w:r>
        <w:t>2018</w:t>
      </w:r>
      <w:r>
        <w:noBreakHyphen/>
      </w:r>
      <w:r w:rsidR="002435BD" w:rsidRPr="00585799">
        <w:t>19 Budget</w:t>
      </w:r>
      <w:r w:rsidR="002435BD">
        <w:t xml:space="preserve"> has been included in th</w:t>
      </w:r>
      <w:r w:rsidR="00A07327">
        <w:t xml:space="preserve">e whole of government </w:t>
      </w:r>
      <w:r w:rsidR="002435BD">
        <w:t>statements.</w:t>
      </w:r>
    </w:p>
    <w:p w:rsidR="00460B5D" w:rsidRDefault="00460B5D">
      <w:pPr>
        <w:spacing w:before="0" w:after="0"/>
        <w:rPr>
          <w:szCs w:val="24"/>
        </w:rPr>
      </w:pPr>
      <w:r>
        <w:br w:type="page"/>
      </w:r>
    </w:p>
    <w:p w:rsidR="007114AE" w:rsidRPr="00585799" w:rsidRDefault="002435BD" w:rsidP="00C215C1">
      <w:pPr>
        <w:pStyle w:val="BSbullet1"/>
      </w:pPr>
      <w:r w:rsidRPr="00585799">
        <w:t>supplies and services:</w:t>
      </w:r>
    </w:p>
    <w:p w:rsidR="007114AE" w:rsidRPr="00585799" w:rsidRDefault="004A1F5A" w:rsidP="00C215C1">
      <w:pPr>
        <w:pStyle w:val="BSbullet20"/>
        <w:jc w:val="left"/>
      </w:pPr>
      <w:proofErr w:type="gramStart"/>
      <w:r>
        <w:t>the</w:t>
      </w:r>
      <w:proofErr w:type="gramEnd"/>
      <w:r>
        <w:t xml:space="preserve"> decrease of $28.875 million in the 2018</w:t>
      </w:r>
      <w:r>
        <w:noBreakHyphen/>
        <w:t>19 Budget from the 2017</w:t>
      </w:r>
      <w:r>
        <w:noBreakHyphen/>
      </w:r>
      <w:r w:rsidR="002435BD" w:rsidRPr="00585799">
        <w:t>18 estimated outcome</w:t>
      </w:r>
      <w:r w:rsidR="00A07327">
        <w:t xml:space="preserve"> is due to the funding required</w:t>
      </w:r>
      <w:r w:rsidR="002435BD" w:rsidRPr="00585799">
        <w:t xml:space="preserve"> for the Public Housing Taskforce decreasing as the program moves away from demolition and into construction ($31.069 million).</w:t>
      </w:r>
    </w:p>
    <w:p w:rsidR="007114AE" w:rsidRPr="00585799" w:rsidRDefault="002435BD" w:rsidP="00C51FE9">
      <w:pPr>
        <w:pStyle w:val="BSbullet1"/>
      </w:pPr>
      <w:r w:rsidRPr="00585799">
        <w:t xml:space="preserve">grants and purchased services:  </w:t>
      </w:r>
    </w:p>
    <w:p w:rsidR="007114AE" w:rsidRPr="00585799" w:rsidRDefault="004A1F5A" w:rsidP="00C215C1">
      <w:pPr>
        <w:pStyle w:val="BSbullet20"/>
        <w:jc w:val="left"/>
      </w:pPr>
      <w:proofErr w:type="gramStart"/>
      <w:r>
        <w:t>the</w:t>
      </w:r>
      <w:proofErr w:type="gramEnd"/>
      <w:r>
        <w:t xml:space="preserve"> increase of $3.858 million in the 2017</w:t>
      </w:r>
      <w:r>
        <w:noBreakHyphen/>
      </w:r>
      <w:r w:rsidR="002435BD" w:rsidRPr="00585799">
        <w:t>18 estimated outcome from the original budget is mainly due to an increase in grants provided under the Next Generation Battery Storage program.</w:t>
      </w:r>
    </w:p>
    <w:p w:rsidR="007114AE" w:rsidRPr="00585799" w:rsidRDefault="004A1F5A" w:rsidP="00C215C1">
      <w:pPr>
        <w:pStyle w:val="BSbullet20"/>
        <w:jc w:val="left"/>
      </w:pPr>
      <w:proofErr w:type="gramStart"/>
      <w:r>
        <w:t>the</w:t>
      </w:r>
      <w:proofErr w:type="gramEnd"/>
      <w:r>
        <w:t xml:space="preserve"> increase of $2.255 million in the 2018</w:t>
      </w:r>
      <w:r>
        <w:noBreakHyphen/>
        <w:t>19 Budget from the 2017</w:t>
      </w:r>
      <w:r>
        <w:noBreakHyphen/>
      </w:r>
      <w:r w:rsidR="002435BD" w:rsidRPr="00585799">
        <w:t>18 estimated outcome is mainly due to an increase in grants provided under the Next Generation Battery Storage program.</w:t>
      </w:r>
    </w:p>
    <w:p w:rsidR="007114AE" w:rsidRDefault="002435BD" w:rsidP="00C215C1">
      <w:pPr>
        <w:pStyle w:val="BSbullet1"/>
      </w:pPr>
      <w:r>
        <w:t xml:space="preserve">cost of goods sold:  </w:t>
      </w:r>
    </w:p>
    <w:p w:rsidR="007114AE" w:rsidRPr="000968D1" w:rsidRDefault="002435BD" w:rsidP="00C215C1">
      <w:pPr>
        <w:pStyle w:val="BSbullet20"/>
        <w:jc w:val="left"/>
      </w:pPr>
      <w:proofErr w:type="gramStart"/>
      <w:r w:rsidRPr="00585799">
        <w:t>the</w:t>
      </w:r>
      <w:proofErr w:type="gramEnd"/>
      <w:r w:rsidRPr="00585799">
        <w:t xml:space="preserve"> increase of $</w:t>
      </w:r>
      <w:r>
        <w:t>13.300</w:t>
      </w:r>
      <w:r w:rsidR="004A1F5A">
        <w:t> million in the 2018</w:t>
      </w:r>
      <w:r w:rsidR="004A1F5A">
        <w:noBreakHyphen/>
        <w:t>19 Budget from the 2017</w:t>
      </w:r>
      <w:r w:rsidR="004A1F5A">
        <w:noBreakHyphen/>
      </w:r>
      <w:r w:rsidRPr="00585799">
        <w:t xml:space="preserve">18 estimated outcome is </w:t>
      </w:r>
      <w:r>
        <w:t>m</w:t>
      </w:r>
      <w:r w:rsidR="000F2761">
        <w:t xml:space="preserve">ainly due to the cost of the </w:t>
      </w:r>
      <w:r>
        <w:t>dwellings to be sold by</w:t>
      </w:r>
      <w:r w:rsidRPr="000968D1">
        <w:t xml:space="preserve"> the Public Housing Renewal Taskforce.</w:t>
      </w:r>
    </w:p>
    <w:p w:rsidR="007114AE" w:rsidRDefault="002435BD" w:rsidP="00C215C1">
      <w:pPr>
        <w:pStyle w:val="BSbullet1"/>
      </w:pPr>
      <w:r>
        <w:t xml:space="preserve">other expenses:  </w:t>
      </w:r>
    </w:p>
    <w:p w:rsidR="007114AE" w:rsidRPr="00211449" w:rsidRDefault="004A1F5A" w:rsidP="00C215C1">
      <w:pPr>
        <w:pStyle w:val="BSbullet20"/>
        <w:jc w:val="left"/>
      </w:pPr>
      <w:r>
        <w:t>the increase of $2.770 million in the 2017</w:t>
      </w:r>
      <w:r>
        <w:noBreakHyphen/>
      </w:r>
      <w:r w:rsidR="002435BD" w:rsidRPr="00211449">
        <w:t xml:space="preserve">18 estimated outcome from the original budget is </w:t>
      </w:r>
      <w:r w:rsidR="00A07327">
        <w:t xml:space="preserve">mainly </w:t>
      </w:r>
      <w:r w:rsidR="002435BD" w:rsidRPr="00211449">
        <w:t>due to a change in classificatio</w:t>
      </w:r>
      <w:r w:rsidR="00A07327">
        <w:t>n from supplies and services to</w:t>
      </w:r>
      <w:r w:rsidR="002435BD" w:rsidRPr="00211449">
        <w:t xml:space="preserve"> other for expenses associated with agent fees and financial assistance payments under the loose</w:t>
      </w:r>
      <w:r w:rsidR="002435BD" w:rsidRPr="00211449">
        <w:noBreakHyphen/>
        <w:t>fill asbestos insulation eradication scheme.</w:t>
      </w:r>
    </w:p>
    <w:p w:rsidR="007114AE" w:rsidRPr="00211449" w:rsidRDefault="002435BD" w:rsidP="00C215C1">
      <w:pPr>
        <w:pStyle w:val="BSbullet1"/>
      </w:pPr>
      <w:r w:rsidRPr="00211449">
        <w:t xml:space="preserve">transfer expenses:  </w:t>
      </w:r>
    </w:p>
    <w:p w:rsidR="007114AE" w:rsidRPr="00211449" w:rsidRDefault="004A1F5A" w:rsidP="00C215C1">
      <w:pPr>
        <w:pStyle w:val="BSbullet20"/>
        <w:jc w:val="left"/>
      </w:pPr>
      <w:proofErr w:type="gramStart"/>
      <w:r>
        <w:t>the</w:t>
      </w:r>
      <w:proofErr w:type="gramEnd"/>
      <w:r>
        <w:t xml:space="preserve"> increase of $9.827 million in the 2017</w:t>
      </w:r>
      <w:r>
        <w:noBreakHyphen/>
      </w:r>
      <w:r w:rsidR="002435BD" w:rsidRPr="00211449">
        <w:t>18 estimated outcome from the original budget is due to an increase in sales under the loose</w:t>
      </w:r>
      <w:r w:rsidR="002435BD" w:rsidRPr="00211449">
        <w:noBreakHyphen/>
        <w:t>fill asbestos insulation eradication scheme being paid back to Government.</w:t>
      </w:r>
    </w:p>
    <w:p w:rsidR="007114AE" w:rsidRPr="00211449" w:rsidRDefault="004A1F5A" w:rsidP="00C215C1">
      <w:pPr>
        <w:pStyle w:val="BSbullet20"/>
        <w:jc w:val="left"/>
      </w:pPr>
      <w:proofErr w:type="gramStart"/>
      <w:r>
        <w:t>the</w:t>
      </w:r>
      <w:proofErr w:type="gramEnd"/>
      <w:r>
        <w:t xml:space="preserve"> decrease of $22.946 million in the 2018</w:t>
      </w:r>
      <w:r>
        <w:noBreakHyphen/>
        <w:t>19 Budget from the 2017</w:t>
      </w:r>
      <w:r>
        <w:noBreakHyphen/>
      </w:r>
      <w:r w:rsidR="002435BD" w:rsidRPr="00211449">
        <w:t>18 estimated outcome is due to a decrease in sales under the loose</w:t>
      </w:r>
      <w:r w:rsidR="002435BD" w:rsidRPr="00211449">
        <w:noBreakHyphen/>
        <w:t>fill asbestos insulation eradication scheme being paid back to Government.</w:t>
      </w:r>
    </w:p>
    <w:p w:rsidR="00460B5D" w:rsidRDefault="00460B5D">
      <w:pPr>
        <w:spacing w:before="0" w:after="0"/>
        <w:rPr>
          <w:b/>
          <w:i/>
        </w:rPr>
      </w:pPr>
      <w:r>
        <w:br w:type="page"/>
      </w:r>
    </w:p>
    <w:p w:rsidR="007114AE" w:rsidRDefault="002435BD" w:rsidP="00C215C1">
      <w:pPr>
        <w:pStyle w:val="Heading43"/>
      </w:pPr>
      <w:r>
        <w:t>Balance Sheet</w:t>
      </w:r>
    </w:p>
    <w:p w:rsidR="007114AE" w:rsidRDefault="002435BD" w:rsidP="00C215C1">
      <w:pPr>
        <w:pStyle w:val="BSbullet1"/>
      </w:pPr>
      <w:r>
        <w:t xml:space="preserve">cash and equivalents:  </w:t>
      </w:r>
    </w:p>
    <w:p w:rsidR="007114AE" w:rsidRPr="00211449" w:rsidRDefault="002435BD" w:rsidP="00C215C1">
      <w:pPr>
        <w:pStyle w:val="BSbullet20"/>
        <w:jc w:val="left"/>
      </w:pPr>
      <w:proofErr w:type="gramStart"/>
      <w:r w:rsidRPr="00211449">
        <w:t>the</w:t>
      </w:r>
      <w:proofErr w:type="gramEnd"/>
      <w:r w:rsidRPr="00211449">
        <w:t xml:space="preserve"> increase</w:t>
      </w:r>
      <w:r w:rsidR="004A1F5A">
        <w:t xml:space="preserve"> of $50.173 million in the 2017</w:t>
      </w:r>
      <w:r w:rsidR="004A1F5A">
        <w:noBreakHyphen/>
      </w:r>
      <w:r w:rsidRPr="00211449">
        <w:t>18 estimated outcome from the original budget is mainly due to the cash received from the Renewable Energy Innovation Fund, the Commonwealth’s ACT Healthy Waterways program and the additional money available under the Carbon Neutral Government loan.</w:t>
      </w:r>
    </w:p>
    <w:p w:rsidR="007114AE" w:rsidRPr="00211449" w:rsidRDefault="00C51FE9" w:rsidP="00C215C1">
      <w:pPr>
        <w:pStyle w:val="BSbullet20"/>
        <w:jc w:val="left"/>
      </w:pPr>
      <w:proofErr w:type="gramStart"/>
      <w:r>
        <w:t>the</w:t>
      </w:r>
      <w:proofErr w:type="gramEnd"/>
      <w:r>
        <w:t xml:space="preserve"> increase of $13.816 million in the 2018</w:t>
      </w:r>
      <w:r>
        <w:noBreakHyphen/>
        <w:t>19 Budget from the 2017</w:t>
      </w:r>
      <w:r>
        <w:noBreakHyphen/>
      </w:r>
      <w:r w:rsidR="002435BD" w:rsidRPr="00211449">
        <w:t xml:space="preserve">18 estimated outcome is mainly due to the cash received from the Renewable Energy Innovation Fund and the additional money available </w:t>
      </w:r>
      <w:r w:rsidR="00492A15">
        <w:t xml:space="preserve">from repayments to the Directorate </w:t>
      </w:r>
      <w:r w:rsidR="002435BD" w:rsidRPr="00211449">
        <w:t>under the Carbon Neutral Government loan.</w:t>
      </w:r>
    </w:p>
    <w:p w:rsidR="007114AE" w:rsidRDefault="002435BD" w:rsidP="00C51FE9">
      <w:pPr>
        <w:pStyle w:val="BSbullet1"/>
      </w:pPr>
      <w:r>
        <w:t xml:space="preserve">current and non-current receivables:  </w:t>
      </w:r>
    </w:p>
    <w:p w:rsidR="007114AE" w:rsidRPr="00211449" w:rsidRDefault="002435BD" w:rsidP="00C215C1">
      <w:pPr>
        <w:pStyle w:val="BSbullet20"/>
        <w:jc w:val="left"/>
      </w:pPr>
      <w:proofErr w:type="gramStart"/>
      <w:r w:rsidRPr="00211449">
        <w:t>the</w:t>
      </w:r>
      <w:proofErr w:type="gramEnd"/>
      <w:r w:rsidRPr="00211449">
        <w:t xml:space="preserve"> increas</w:t>
      </w:r>
      <w:r w:rsidR="00C51FE9">
        <w:t>e of $2.356 million in the 2017</w:t>
      </w:r>
      <w:r w:rsidR="00C51FE9">
        <w:noBreakHyphen/>
      </w:r>
      <w:r w:rsidRPr="00211449">
        <w:t>18 estimated outcome from the original budget is mainly due to new Carbon Neutral Government loans.</w:t>
      </w:r>
    </w:p>
    <w:p w:rsidR="007114AE" w:rsidRDefault="000E47F6" w:rsidP="00C215C1">
      <w:pPr>
        <w:pStyle w:val="BSbullet20"/>
        <w:jc w:val="left"/>
      </w:pPr>
      <w:proofErr w:type="gramStart"/>
      <w:r>
        <w:t>the</w:t>
      </w:r>
      <w:proofErr w:type="gramEnd"/>
      <w:r>
        <w:t xml:space="preserve"> decrease of $1.227 </w:t>
      </w:r>
      <w:r w:rsidR="00C51FE9">
        <w:t>million in the 2018</w:t>
      </w:r>
      <w:r w:rsidR="00C51FE9">
        <w:noBreakHyphen/>
        <w:t>19 Budget from the 2017</w:t>
      </w:r>
      <w:r w:rsidR="00C51FE9">
        <w:noBreakHyphen/>
      </w:r>
      <w:r w:rsidR="002435BD" w:rsidRPr="00211449">
        <w:t>18 estimated outcome is mainly due</w:t>
      </w:r>
      <w:r w:rsidR="002435BD">
        <w:t xml:space="preserve"> </w:t>
      </w:r>
      <w:r w:rsidR="00C51FE9">
        <w:t xml:space="preserve">to </w:t>
      </w:r>
      <w:r w:rsidR="002435BD">
        <w:t>the repayment</w:t>
      </w:r>
      <w:r w:rsidR="00775EDF">
        <w:t>s received against existing</w:t>
      </w:r>
      <w:r w:rsidR="002435BD">
        <w:t xml:space="preserve"> Carbon Neutral Government loans.</w:t>
      </w:r>
    </w:p>
    <w:p w:rsidR="007114AE" w:rsidRDefault="002435BD" w:rsidP="00C215C1">
      <w:pPr>
        <w:pStyle w:val="BSbullet1"/>
      </w:pPr>
      <w:r>
        <w:t xml:space="preserve">assets held for sale:  </w:t>
      </w:r>
    </w:p>
    <w:p w:rsidR="007114AE" w:rsidRPr="008E47D8" w:rsidRDefault="002435BD" w:rsidP="00C215C1">
      <w:pPr>
        <w:pStyle w:val="BSbullet20"/>
        <w:jc w:val="left"/>
      </w:pPr>
      <w:proofErr w:type="gramStart"/>
      <w:r w:rsidRPr="008E47D8">
        <w:t>the</w:t>
      </w:r>
      <w:proofErr w:type="gramEnd"/>
      <w:r w:rsidRPr="008E47D8">
        <w:t xml:space="preserve"> increase</w:t>
      </w:r>
      <w:r w:rsidR="00C51FE9">
        <w:t xml:space="preserve"> of $14.158 million in the 2017</w:t>
      </w:r>
      <w:r w:rsidR="00C51FE9">
        <w:noBreakHyphen/>
      </w:r>
      <w:r w:rsidRPr="008E47D8">
        <w:t>18 estimated outcome from the original budget is due to the higher number of blocks held for sale under the loose</w:t>
      </w:r>
      <w:r w:rsidRPr="008E47D8">
        <w:noBreakHyphen/>
        <w:t>fill asbestos insulation eradication scheme.</w:t>
      </w:r>
    </w:p>
    <w:p w:rsidR="007114AE" w:rsidRPr="008E47D8" w:rsidRDefault="00C51FE9" w:rsidP="00C215C1">
      <w:pPr>
        <w:pStyle w:val="BSbullet20"/>
        <w:jc w:val="left"/>
      </w:pPr>
      <w:proofErr w:type="gramStart"/>
      <w:r>
        <w:t>the</w:t>
      </w:r>
      <w:proofErr w:type="gramEnd"/>
      <w:r>
        <w:t xml:space="preserve"> decrease of $87.372 million in the 2018</w:t>
      </w:r>
      <w:r>
        <w:noBreakHyphen/>
      </w:r>
      <w:r w:rsidR="002435BD" w:rsidRPr="008E47D8">
        <w:t>19 Budget from the 20</w:t>
      </w:r>
      <w:r>
        <w:t>17</w:t>
      </w:r>
      <w:r>
        <w:noBreakHyphen/>
      </w:r>
      <w:r w:rsidR="002435BD" w:rsidRPr="008E47D8">
        <w:t>18 estimated outcome is due to a lower number of blocks held following sale of land under the loose</w:t>
      </w:r>
      <w:r w:rsidR="002435BD" w:rsidRPr="008E47D8">
        <w:noBreakHyphen/>
        <w:t xml:space="preserve">fill asbestos insulation eradication </w:t>
      </w:r>
      <w:r>
        <w:t>scheme as the program nears completion</w:t>
      </w:r>
      <w:r w:rsidR="002435BD" w:rsidRPr="008E47D8">
        <w:t>.</w:t>
      </w:r>
    </w:p>
    <w:p w:rsidR="007114AE" w:rsidRDefault="002435BD" w:rsidP="00C215C1">
      <w:pPr>
        <w:pStyle w:val="BSbullet1"/>
      </w:pPr>
      <w:r>
        <w:t xml:space="preserve">intangible assets:  </w:t>
      </w:r>
    </w:p>
    <w:p w:rsidR="007114AE" w:rsidRPr="008E47D8" w:rsidRDefault="002435BD" w:rsidP="00C215C1">
      <w:pPr>
        <w:pStyle w:val="BSbullet20"/>
        <w:jc w:val="left"/>
      </w:pPr>
      <w:proofErr w:type="gramStart"/>
      <w:r w:rsidRPr="008E47D8">
        <w:t>the</w:t>
      </w:r>
      <w:proofErr w:type="gramEnd"/>
      <w:r w:rsidRPr="008E47D8">
        <w:t xml:space="preserve"> increase</w:t>
      </w:r>
      <w:r w:rsidR="00C51FE9">
        <w:t xml:space="preserve"> of $65.788 million in the 2017</w:t>
      </w:r>
      <w:r w:rsidR="00C51FE9">
        <w:noBreakHyphen/>
      </w:r>
      <w:r w:rsidRPr="008E47D8">
        <w:t xml:space="preserve">18 estimated outcome from the original budget is due to the additional Large Scale Generation Certificates received as part of the </w:t>
      </w:r>
      <w:r w:rsidRPr="008E47D8">
        <w:rPr>
          <w:i/>
        </w:rPr>
        <w:t>Renewable Energy Target Scheme</w:t>
      </w:r>
      <w:r w:rsidRPr="008E47D8">
        <w:t>.</w:t>
      </w:r>
    </w:p>
    <w:p w:rsidR="007114AE" w:rsidRDefault="002435BD" w:rsidP="00C215C1">
      <w:pPr>
        <w:pStyle w:val="BSbullet1"/>
      </w:pPr>
      <w:r>
        <w:t xml:space="preserve">capital works in progress:  </w:t>
      </w:r>
    </w:p>
    <w:p w:rsidR="007114AE" w:rsidRPr="008E47D8" w:rsidRDefault="002435BD" w:rsidP="00C215C1">
      <w:pPr>
        <w:pStyle w:val="BSbullet20"/>
        <w:jc w:val="left"/>
      </w:pPr>
      <w:proofErr w:type="gramStart"/>
      <w:r w:rsidRPr="008E47D8">
        <w:t>the</w:t>
      </w:r>
      <w:proofErr w:type="gramEnd"/>
      <w:r w:rsidRPr="008E47D8">
        <w:t xml:space="preserve"> decrease</w:t>
      </w:r>
      <w:r w:rsidR="00C51FE9">
        <w:t xml:space="preserve"> of $53.048 million in the 2017</w:t>
      </w:r>
      <w:r w:rsidR="00C51FE9">
        <w:noBreakHyphen/>
      </w:r>
      <w:r w:rsidRPr="008E47D8">
        <w:t>18 estimated outcome from the original budget is mainly due to the delays in completion of capital works associated with the Public Housing Renewal Taskforce.</w:t>
      </w:r>
    </w:p>
    <w:p w:rsidR="007114AE" w:rsidRDefault="002435BD" w:rsidP="00C215C1">
      <w:pPr>
        <w:pStyle w:val="BSbullet20"/>
        <w:jc w:val="left"/>
      </w:pPr>
      <w:proofErr w:type="gramStart"/>
      <w:r>
        <w:t>the</w:t>
      </w:r>
      <w:proofErr w:type="gramEnd"/>
      <w:r>
        <w:t xml:space="preserve"> </w:t>
      </w:r>
      <w:r w:rsidRPr="008E47D8">
        <w:t>decrease</w:t>
      </w:r>
      <w:r>
        <w:t xml:space="preserve"> of $</w:t>
      </w:r>
      <w:r w:rsidRPr="008E47D8">
        <w:t>46.656</w:t>
      </w:r>
      <w:r w:rsidR="00C51FE9">
        <w:t> </w:t>
      </w:r>
      <w:r>
        <w:t xml:space="preserve">million in the </w:t>
      </w:r>
      <w:r w:rsidR="00C51FE9">
        <w:t>2018</w:t>
      </w:r>
      <w:r w:rsidR="00C51FE9">
        <w:noBreakHyphen/>
      </w:r>
      <w:r w:rsidRPr="008E47D8">
        <w:t xml:space="preserve">19 </w:t>
      </w:r>
      <w:r>
        <w:t>Budget from the</w:t>
      </w:r>
      <w:r w:rsidR="00C51FE9">
        <w:t xml:space="preserve"> 2017</w:t>
      </w:r>
      <w:r w:rsidR="00C51FE9">
        <w:noBreakHyphen/>
      </w:r>
      <w:r w:rsidRPr="008E47D8">
        <w:t>18</w:t>
      </w:r>
      <w:r>
        <w:t xml:space="preserve"> estimated outcome is mainly due </w:t>
      </w:r>
      <w:r w:rsidR="00C51FE9">
        <w:t xml:space="preserve">to </w:t>
      </w:r>
      <w:r w:rsidRPr="008E47D8">
        <w:t xml:space="preserve">delays in </w:t>
      </w:r>
      <w:r>
        <w:t xml:space="preserve">financial </w:t>
      </w:r>
      <w:r w:rsidRPr="008E47D8">
        <w:t>completion of capital works associated with the Public Housing Renewal Taskforce.</w:t>
      </w:r>
    </w:p>
    <w:p w:rsidR="00460B5D" w:rsidRDefault="00460B5D">
      <w:pPr>
        <w:spacing w:before="0" w:after="0"/>
        <w:rPr>
          <w:szCs w:val="24"/>
        </w:rPr>
      </w:pPr>
      <w:r>
        <w:br w:type="page"/>
      </w:r>
    </w:p>
    <w:p w:rsidR="007114AE" w:rsidRDefault="002435BD" w:rsidP="00C215C1">
      <w:pPr>
        <w:pStyle w:val="BSbullet1"/>
      </w:pPr>
      <w:r>
        <w:t xml:space="preserve">other assets:  </w:t>
      </w:r>
    </w:p>
    <w:p w:rsidR="007114AE" w:rsidRPr="008E47D8" w:rsidRDefault="002435BD" w:rsidP="00C215C1">
      <w:pPr>
        <w:pStyle w:val="BSbullet20"/>
        <w:jc w:val="left"/>
      </w:pPr>
      <w:proofErr w:type="gramStart"/>
      <w:r w:rsidRPr="008E47D8">
        <w:t>the</w:t>
      </w:r>
      <w:proofErr w:type="gramEnd"/>
      <w:r w:rsidRPr="008E47D8">
        <w:t xml:space="preserve"> increas</w:t>
      </w:r>
      <w:r w:rsidR="00E75788">
        <w:t>e of $3.403 million in the 2017</w:t>
      </w:r>
      <w:r w:rsidR="00E75788">
        <w:noBreakHyphen/>
      </w:r>
      <w:r w:rsidRPr="008E47D8">
        <w:t xml:space="preserve">18 estimated outcome from the original budget is due to the </w:t>
      </w:r>
      <w:r>
        <w:t>revaluation of biological assets completed</w:t>
      </w:r>
      <w:r w:rsidR="00247E1C">
        <w:t xml:space="preserve"> in July </w:t>
      </w:r>
      <w:r>
        <w:t>2018.</w:t>
      </w:r>
    </w:p>
    <w:p w:rsidR="007114AE" w:rsidRDefault="002435BD" w:rsidP="00C215C1">
      <w:pPr>
        <w:pStyle w:val="BSbullet1"/>
      </w:pPr>
      <w:r>
        <w:t xml:space="preserve">payables:  </w:t>
      </w:r>
    </w:p>
    <w:p w:rsidR="007114AE" w:rsidRPr="008E47D8" w:rsidRDefault="002435BD" w:rsidP="00C215C1">
      <w:pPr>
        <w:pStyle w:val="BSbullet20"/>
        <w:jc w:val="left"/>
      </w:pPr>
      <w:proofErr w:type="gramStart"/>
      <w:r w:rsidRPr="008E47D8">
        <w:t>the</w:t>
      </w:r>
      <w:proofErr w:type="gramEnd"/>
      <w:r w:rsidRPr="008E47D8">
        <w:t xml:space="preserve"> increase</w:t>
      </w:r>
      <w:r w:rsidR="00E75788">
        <w:t xml:space="preserve"> of $19.047 million in the 2017</w:t>
      </w:r>
      <w:r w:rsidR="00E75788">
        <w:noBreakHyphen/>
      </w:r>
      <w:r w:rsidRPr="008E47D8">
        <w:t xml:space="preserve">18 estimated outcome from the original budget is </w:t>
      </w:r>
      <w:r w:rsidR="007530E4" w:rsidRPr="000D2992">
        <w:t>mainly due to the flow</w:t>
      </w:r>
      <w:r w:rsidR="007530E4" w:rsidRPr="000D2992">
        <w:noBreakHyphen/>
        <w:t>on effects of the 2016</w:t>
      </w:r>
      <w:r w:rsidR="007530E4" w:rsidRPr="000D2992">
        <w:noBreakHyphen/>
        <w:t>17 financial results</w:t>
      </w:r>
      <w:r>
        <w:t>.</w:t>
      </w:r>
    </w:p>
    <w:p w:rsidR="007114AE" w:rsidRDefault="00247E1C" w:rsidP="00D53B83">
      <w:pPr>
        <w:pStyle w:val="BSbullet1"/>
      </w:pPr>
      <w:r>
        <w:t>current and non</w:t>
      </w:r>
      <w:r>
        <w:noBreakHyphen/>
        <w:t xml:space="preserve">current </w:t>
      </w:r>
      <w:r w:rsidR="002435BD">
        <w:t xml:space="preserve">other provisions:  </w:t>
      </w:r>
    </w:p>
    <w:p w:rsidR="007114AE" w:rsidRPr="00643587" w:rsidRDefault="002435BD" w:rsidP="00C215C1">
      <w:pPr>
        <w:pStyle w:val="BSbullet20"/>
        <w:jc w:val="left"/>
      </w:pPr>
      <w:proofErr w:type="gramStart"/>
      <w:r w:rsidRPr="00643587">
        <w:t>the</w:t>
      </w:r>
      <w:proofErr w:type="gramEnd"/>
      <w:r w:rsidRPr="00643587">
        <w:t xml:space="preserve"> increas</w:t>
      </w:r>
      <w:r w:rsidR="00E75788">
        <w:t>e of $6.976 million in the 2017</w:t>
      </w:r>
      <w:r w:rsidR="00E75788">
        <w:noBreakHyphen/>
      </w:r>
      <w:r w:rsidRPr="00643587">
        <w:t xml:space="preserve">18 estimated outcome from the original budget relates to the </w:t>
      </w:r>
      <w:r>
        <w:t>in</w:t>
      </w:r>
      <w:r w:rsidRPr="00643587">
        <w:t>crease in the value of the provisions associated with the loose</w:t>
      </w:r>
      <w:r w:rsidRPr="00643587">
        <w:noBreakHyphen/>
        <w:t>fill asbestos insulation eradication scheme.</w:t>
      </w:r>
    </w:p>
    <w:p w:rsidR="007114AE" w:rsidRPr="00643587" w:rsidRDefault="00E75788" w:rsidP="00C215C1">
      <w:pPr>
        <w:pStyle w:val="BSbullet20"/>
        <w:jc w:val="left"/>
      </w:pPr>
      <w:proofErr w:type="gramStart"/>
      <w:r>
        <w:t>the</w:t>
      </w:r>
      <w:proofErr w:type="gramEnd"/>
      <w:r>
        <w:t xml:space="preserve"> decrease of $3.687 million in the 2018</w:t>
      </w:r>
      <w:r>
        <w:noBreakHyphen/>
        <w:t>19 Budget from the 2017</w:t>
      </w:r>
      <w:r>
        <w:noBreakHyphen/>
      </w:r>
      <w:r w:rsidR="002435BD" w:rsidRPr="00643587">
        <w:t>18 estimated outcome is mainly due to a decrease in the value of the provisions associated with the loose</w:t>
      </w:r>
      <w:r w:rsidR="002435BD" w:rsidRPr="00643587">
        <w:noBreakHyphen/>
        <w:t>fill asbestos insulation eradication scheme as property remediation is completed.</w:t>
      </w:r>
    </w:p>
    <w:p w:rsidR="007114AE" w:rsidRDefault="002435BD" w:rsidP="00C215C1">
      <w:pPr>
        <w:pStyle w:val="BSbullet1"/>
      </w:pPr>
      <w:r>
        <w:t xml:space="preserve">other liabilities:  </w:t>
      </w:r>
    </w:p>
    <w:p w:rsidR="007114AE" w:rsidRPr="008E47D8" w:rsidRDefault="002435BD" w:rsidP="00C215C1">
      <w:pPr>
        <w:pStyle w:val="BSbullet20"/>
        <w:jc w:val="left"/>
      </w:pPr>
      <w:proofErr w:type="gramStart"/>
      <w:r w:rsidRPr="008E47D8">
        <w:t>the</w:t>
      </w:r>
      <w:proofErr w:type="gramEnd"/>
      <w:r w:rsidRPr="008E47D8">
        <w:t xml:space="preserve"> increas</w:t>
      </w:r>
      <w:r w:rsidR="00E75788">
        <w:t>e of $1.920 million in the 2017</w:t>
      </w:r>
      <w:r w:rsidR="00E75788">
        <w:noBreakHyphen/>
      </w:r>
      <w:r w:rsidRPr="008E47D8">
        <w:t xml:space="preserve">18 estimated outcome from the original budget is due to </w:t>
      </w:r>
      <w:r>
        <w:t>an increase in sales deposits held under the</w:t>
      </w:r>
      <w:r w:rsidRPr="00643587">
        <w:t xml:space="preserve"> loose</w:t>
      </w:r>
      <w:r w:rsidRPr="00643587">
        <w:noBreakHyphen/>
        <w:t>fill asbestos insulation eradication scheme</w:t>
      </w:r>
      <w:r>
        <w:t xml:space="preserve"> at the end of the financial year.</w:t>
      </w:r>
    </w:p>
    <w:p w:rsidR="007114AE" w:rsidRDefault="002435BD" w:rsidP="00C215C1">
      <w:pPr>
        <w:pStyle w:val="Heading43"/>
      </w:pPr>
      <w:r>
        <w:t xml:space="preserve">Statement of Changes in Equity </w:t>
      </w:r>
    </w:p>
    <w:p w:rsidR="007114AE" w:rsidRPr="00391127" w:rsidRDefault="002435BD" w:rsidP="00C215C1">
      <w:pPr>
        <w:pStyle w:val="BSbullet1"/>
      </w:pPr>
      <w:r w:rsidRPr="00391127">
        <w:t xml:space="preserve">capital injections:  </w:t>
      </w:r>
    </w:p>
    <w:p w:rsidR="007114AE" w:rsidRPr="00391127" w:rsidRDefault="00AE1D57" w:rsidP="00C215C1">
      <w:pPr>
        <w:pStyle w:val="BSbullet20"/>
        <w:jc w:val="left"/>
      </w:pPr>
      <w:proofErr w:type="gramStart"/>
      <w:r>
        <w:t>the</w:t>
      </w:r>
      <w:proofErr w:type="gramEnd"/>
      <w:r>
        <w:t xml:space="preserve"> decrease of $111.717 </w:t>
      </w:r>
      <w:r w:rsidR="002435BD" w:rsidRPr="00391127">
        <w:t>million in the 2</w:t>
      </w:r>
      <w:r w:rsidR="00E75788">
        <w:t>017</w:t>
      </w:r>
      <w:r w:rsidR="00E75788">
        <w:noBreakHyphen/>
      </w:r>
      <w:r w:rsidR="002435BD" w:rsidRPr="00391127">
        <w:t>18 estimated outcome from the original budget is mainly due to the delays in completion of capital works associated with the Public Housing Renewal Taskforce.</w:t>
      </w:r>
    </w:p>
    <w:p w:rsidR="007114AE" w:rsidRPr="00391127" w:rsidRDefault="00AE1D57" w:rsidP="00C215C1">
      <w:pPr>
        <w:pStyle w:val="BSbullet20"/>
        <w:jc w:val="left"/>
      </w:pPr>
      <w:proofErr w:type="gramStart"/>
      <w:r>
        <w:t>the</w:t>
      </w:r>
      <w:proofErr w:type="gramEnd"/>
      <w:r>
        <w:t xml:space="preserve"> decrease of $62.412 </w:t>
      </w:r>
      <w:r w:rsidR="00E75788">
        <w:t>million in the 2018</w:t>
      </w:r>
      <w:r w:rsidR="00E75788">
        <w:noBreakHyphen/>
        <w:t>19 Budget from the 2017</w:t>
      </w:r>
      <w:r w:rsidR="00E75788">
        <w:noBreakHyphen/>
      </w:r>
      <w:r w:rsidR="002435BD" w:rsidRPr="00391127">
        <w:t>18 estimated outcome is mainly due to delays in financial completion of capital works associated with the Public Housing Renewal Taskforce.</w:t>
      </w:r>
    </w:p>
    <w:p w:rsidR="007114AE" w:rsidRDefault="002435BD" w:rsidP="00C215C1">
      <w:pPr>
        <w:pStyle w:val="Heading43"/>
      </w:pPr>
      <w:r>
        <w:t>Cash Flow Statement</w:t>
      </w:r>
    </w:p>
    <w:p w:rsidR="007114AE" w:rsidRDefault="002435BD" w:rsidP="00C215C1">
      <w:pPr>
        <w:pStyle w:val="Normal6"/>
      </w:pPr>
      <w:r>
        <w:t>Variations in the Statement are explained in the notes above.</w:t>
      </w:r>
    </w:p>
    <w:p w:rsidR="007114AE" w:rsidRPr="0004555B" w:rsidRDefault="002435BD" w:rsidP="00C215C1">
      <w:pPr>
        <w:pStyle w:val="Normal6"/>
        <w:rPr>
          <w:rFonts w:eastAsia="TimesNewRomanPS-ItalicMT"/>
        </w:rPr>
      </w:pPr>
      <w:r>
        <w:t xml:space="preserve"> </w:t>
      </w:r>
    </w:p>
    <w:p w:rsidR="007114AE" w:rsidRDefault="002435BD" w:rsidP="007114AE">
      <w:pPr>
        <w:pStyle w:val="Heading2"/>
        <w:pageBreakBefore/>
        <w:pBdr>
          <w:top w:val="nil"/>
          <w:left w:val="nil"/>
          <w:bottom w:val="nil"/>
          <w:right w:val="nil"/>
          <w:between w:val="nil"/>
          <w:bar w:val="nil"/>
        </w:pBdr>
        <w:ind w:left="-426" w:firstLine="426"/>
        <w:rPr>
          <w:bdr w:val="nil"/>
        </w:rPr>
      </w:pPr>
      <w:bookmarkStart w:id="95" w:name="_Toc452467803_0"/>
      <w:bookmarkStart w:id="96" w:name="_Toc514763803"/>
      <w:bookmarkStart w:id="97" w:name="_Toc514840957"/>
      <w:bookmarkStart w:id="98" w:name="_Toc514841032"/>
      <w:r>
        <w:rPr>
          <w:bdr w:val="nil"/>
        </w:rPr>
        <w:t>Financial Statements</w:t>
      </w:r>
      <w:bookmarkEnd w:id="95"/>
      <w:r w:rsidR="00AE1D57">
        <w:rPr>
          <w:bdr w:val="nil"/>
        </w:rPr>
        <w:t xml:space="preserve"> – Territorial</w:t>
      </w:r>
      <w:bookmarkEnd w:id="96"/>
      <w:bookmarkEnd w:id="97"/>
      <w:bookmarkEnd w:id="98"/>
    </w:p>
    <w:p w:rsidR="007114AE" w:rsidRPr="00383761" w:rsidRDefault="00DC58C5" w:rsidP="007114AE">
      <w:pPr>
        <w:pStyle w:val="Caption"/>
        <w:pBdr>
          <w:top w:val="nil"/>
          <w:left w:val="nil"/>
          <w:bottom w:val="nil"/>
          <w:right w:val="nil"/>
          <w:between w:val="nil"/>
          <w:bar w:val="nil"/>
        </w:pBdr>
        <w:rPr>
          <w:bdr w:val="nil"/>
        </w:rPr>
      </w:pPr>
      <w:r>
        <w:rPr>
          <w:bdr w:val="nil"/>
        </w:rPr>
        <w:t>Table 36</w:t>
      </w:r>
      <w:r w:rsidR="002435BD" w:rsidRPr="00AE1D57">
        <w:rPr>
          <w:bdr w:val="nil"/>
        </w:rPr>
        <w:t>: Environment, Planning and Sustainable Development Directorate: Statement of Income and Expenses on behalf of the Territory</w:t>
      </w:r>
      <w:r w:rsidR="002435BD">
        <w:rPr>
          <w:bdr w:val="nil"/>
        </w:rPr>
        <w:t xml:space="preserve">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2017-18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2,367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2,396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2,209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2,279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2,113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1,975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31,091</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15,981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29,150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33,289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33,350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34,161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20,638</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Land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23,469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52,171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122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43,157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56,876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60,831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796</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1,176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2,847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142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3,194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3,821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3,140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54,892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46,162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86,377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87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80,654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95,533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100,788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829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854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876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908</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608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714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737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539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861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541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4,547</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4,633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3,950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1,400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47,978</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Transfer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39,133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80,218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76,975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92,520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98,638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54,892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46,169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86,379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87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80,656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95,536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100,790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Pr="004A3EED" w:rsidRDefault="002435BD" w:rsidP="007114AE">
      <w:pPr>
        <w:pStyle w:val="Caption"/>
        <w:pageBreakBefore/>
        <w:pBdr>
          <w:top w:val="nil"/>
          <w:left w:val="nil"/>
          <w:bottom w:val="nil"/>
          <w:right w:val="nil"/>
          <w:between w:val="nil"/>
          <w:bar w:val="nil"/>
        </w:pBdr>
        <w:outlineLvl w:val="0"/>
        <w:rPr>
          <w:rFonts w:eastAsia="TimesNewRomanPS-ItalicMT"/>
          <w:bdr w:val="nil"/>
        </w:rPr>
      </w:pPr>
      <w:bookmarkStart w:id="99" w:name="_Toc514763804"/>
      <w:bookmarkStart w:id="100" w:name="_Toc514840958"/>
      <w:bookmarkStart w:id="101" w:name="_Toc514841033"/>
      <w:r w:rsidRPr="004A3EED">
        <w:rPr>
          <w:bdr w:val="nil"/>
        </w:rPr>
        <w:t xml:space="preserve">Table </w:t>
      </w:r>
      <w:r w:rsidR="00DC58C5">
        <w:rPr>
          <w:bdr w:val="nil"/>
        </w:rPr>
        <w:t>37</w:t>
      </w:r>
      <w:r w:rsidRPr="00AE1D57">
        <w:rPr>
          <w:bdr w:val="nil"/>
        </w:rPr>
        <w:t>: Environment, Planning and Sustainable Development Directorate: Statement of Assets and Liabilities on behalf of the Territory</w:t>
      </w:r>
      <w:bookmarkEnd w:id="99"/>
      <w:bookmarkEnd w:id="100"/>
      <w:bookmarkEnd w:id="101"/>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48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30/6/18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30/6/19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30/6/20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30/6/21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30/6/22 </w:t>
            </w:r>
          </w:p>
          <w:p w:rsidR="005576C2" w:rsidRDefault="002435BD">
            <w:pPr>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3,587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1,888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1,855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1,822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1,789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1,756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93,599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73,808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79,347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85,116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90,885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96,654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Inventories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97,319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75,829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81,335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87,071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92,807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98,543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1,403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1,111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1,217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1,323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1,535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90,232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76,061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76,061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76,061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76,061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76,061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91,635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77,172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77,278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77,384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77,490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77,596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188,954</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153,001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158,613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164,455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170,297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176,139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95,507</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74,012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79,503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85,224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90,945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96,666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104</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1,177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1,182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1,187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1,192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96,650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75,344</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80,843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86,576</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92,310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98,043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1,189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1,425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1,119</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1,230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10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1,341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1,452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1,563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98,075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76,463</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82,073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87,917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93,762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99,606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90,879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76,540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76,535</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REPRESENTED BY FUNDS EMPLOYED</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34,210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34,038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34,036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56,669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90,879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76,540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76,535</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Pr="0004555B" w:rsidRDefault="00DC58C5" w:rsidP="007114AE">
      <w:pPr>
        <w:pStyle w:val="Caption"/>
        <w:pageBreakBefore/>
        <w:pBdr>
          <w:top w:val="nil"/>
          <w:left w:val="nil"/>
          <w:bottom w:val="nil"/>
          <w:right w:val="nil"/>
          <w:between w:val="nil"/>
          <w:bar w:val="nil"/>
        </w:pBdr>
        <w:outlineLvl w:val="0"/>
        <w:rPr>
          <w:rFonts w:eastAsia="TimesNewRomanPS-ItalicMT"/>
          <w:bdr w:val="nil"/>
        </w:rPr>
      </w:pPr>
      <w:bookmarkStart w:id="102" w:name="_Toc514763805"/>
      <w:bookmarkStart w:id="103" w:name="_Toc514840959"/>
      <w:bookmarkStart w:id="104" w:name="_Toc514841034"/>
      <w:r>
        <w:rPr>
          <w:bdr w:val="nil"/>
        </w:rPr>
        <w:t>Table 38</w:t>
      </w:r>
      <w:r w:rsidR="002435BD" w:rsidRPr="00AE1D57">
        <w:rPr>
          <w:bdr w:val="nil"/>
        </w:rPr>
        <w:t>: Environment, Planning and Sustainable Development Directorate: Statement of Changes in Equity on behalf of the Territory</w:t>
      </w:r>
      <w:bookmarkEnd w:id="102"/>
      <w:bookmarkEnd w:id="103"/>
      <w:bookmarkEnd w:id="104"/>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30/6/18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30/6/19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30/6/20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30/6/21 </w:t>
            </w:r>
          </w:p>
          <w:p w:rsidR="005576C2" w:rsidRDefault="002435BD">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2435BD">
            <w:pPr>
              <w:spacing w:before="0" w:after="0"/>
              <w:jc w:val="right"/>
              <w:rPr>
                <w:rFonts w:eastAsia="Calibri" w:cs="Calibri"/>
                <w:b/>
                <w:color w:val="000000"/>
                <w:sz w:val="18"/>
              </w:rPr>
            </w:pPr>
            <w:r>
              <w:rPr>
                <w:rFonts w:eastAsia="Calibri" w:cs="Calibri"/>
                <w:b/>
                <w:color w:val="000000"/>
                <w:sz w:val="18"/>
              </w:rPr>
              <w:t>at</w:t>
            </w:r>
          </w:p>
          <w:p w:rsidR="005576C2" w:rsidRDefault="002435BD">
            <w:pPr>
              <w:spacing w:before="0" w:after="0"/>
              <w:jc w:val="right"/>
              <w:rPr>
                <w:rFonts w:eastAsia="Calibri" w:cs="Calibri"/>
                <w:b/>
                <w:color w:val="000000"/>
                <w:sz w:val="18"/>
              </w:rPr>
            </w:pPr>
            <w:r>
              <w:rPr>
                <w:rFonts w:eastAsia="Calibri" w:cs="Calibri"/>
                <w:b/>
                <w:color w:val="000000"/>
                <w:sz w:val="18"/>
              </w:rPr>
              <w:t xml:space="preserve">30/6/22 </w:t>
            </w:r>
          </w:p>
          <w:p w:rsidR="005576C2" w:rsidRDefault="002435BD">
            <w:pPr>
              <w:spacing w:before="0" w:after="0"/>
              <w:jc w:val="right"/>
              <w:rPr>
                <w:rFonts w:eastAsia="Calibri" w:cs="Calibri"/>
                <w:b/>
                <w:color w:val="000000"/>
                <w:sz w:val="18"/>
              </w:rPr>
            </w:pPr>
            <w:r>
              <w:rPr>
                <w:rFonts w:eastAsia="Calibri" w:cs="Calibri"/>
                <w:b/>
                <w:color w:val="000000"/>
                <w:sz w:val="18"/>
              </w:rPr>
              <w:t>$'000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34,210</w:t>
            </w: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5576C2" w:rsidRDefault="002435BD" w:rsidP="00AE1D57">
            <w:pPr>
              <w:spacing w:before="0" w:after="0"/>
              <w:ind w:left="113" w:hanging="113"/>
              <w:rPr>
                <w:rFonts w:eastAsia="Calibri" w:cs="Calibri"/>
                <w:color w:val="000000"/>
                <w:sz w:val="18"/>
              </w:rPr>
            </w:pPr>
            <w:r>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34,041</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34,043</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34,038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56,669</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5576C2" w:rsidRDefault="002435BD" w:rsidP="00AE1D57">
            <w:pPr>
              <w:spacing w:before="0" w:after="0"/>
              <w:ind w:left="113" w:hanging="113"/>
              <w:rPr>
                <w:rFonts w:eastAsia="Calibri" w:cs="Calibri"/>
                <w:color w:val="000000"/>
                <w:sz w:val="18"/>
              </w:rPr>
            </w:pPr>
            <w:r>
              <w:rPr>
                <w:rFonts w:eastAsia="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vAlign w:val="bottom"/>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90,879</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76,545</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76,540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71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71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noWrap/>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Transactions Involving Owners Affecting Accumulated Funds</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34,210</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5576C2" w:rsidRDefault="002435BD" w:rsidP="00AE1D57">
            <w:pPr>
              <w:spacing w:before="0" w:after="0"/>
              <w:ind w:left="113" w:hanging="113"/>
              <w:rPr>
                <w:rFonts w:eastAsia="Calibri" w:cs="Calibri"/>
                <w:color w:val="000000"/>
                <w:sz w:val="18"/>
              </w:rPr>
            </w:pPr>
            <w:r>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34,043</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34,041</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34,036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56,669</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5576C2" w:rsidRDefault="002435BD" w:rsidP="00AE1D57">
            <w:pPr>
              <w:spacing w:before="0" w:after="0"/>
              <w:ind w:left="113" w:hanging="113"/>
              <w:rPr>
                <w:rFonts w:eastAsia="Calibri" w:cs="Calibri"/>
                <w:color w:val="000000"/>
                <w:sz w:val="18"/>
              </w:rPr>
            </w:pPr>
            <w:r>
              <w:rPr>
                <w:rFonts w:eastAsia="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42,497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90,879</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76,540</w:t>
            </w:r>
          </w:p>
        </w:tc>
        <w:tc>
          <w:tcPr>
            <w:tcW w:w="600"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76,538</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76,535</w:t>
            </w:r>
          </w:p>
        </w:tc>
        <w:tc>
          <w:tcPr>
            <w:tcW w:w="103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76,533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Pr="00147CFD" w:rsidRDefault="00DC58C5" w:rsidP="007114AE">
      <w:pPr>
        <w:pStyle w:val="Caption"/>
        <w:pageBreakBefore/>
        <w:pBdr>
          <w:top w:val="nil"/>
          <w:left w:val="nil"/>
          <w:bottom w:val="nil"/>
          <w:right w:val="nil"/>
          <w:between w:val="nil"/>
          <w:bar w:val="nil"/>
        </w:pBdr>
        <w:outlineLvl w:val="0"/>
        <w:rPr>
          <w:bdr w:val="nil"/>
        </w:rPr>
      </w:pPr>
      <w:bookmarkStart w:id="105" w:name="_Toc514763806"/>
      <w:bookmarkStart w:id="106" w:name="_Toc514840960"/>
      <w:bookmarkStart w:id="107" w:name="_Toc514841035"/>
      <w:r>
        <w:rPr>
          <w:bdr w:val="nil"/>
        </w:rPr>
        <w:t>Table 39</w:t>
      </w:r>
      <w:r w:rsidR="002435BD" w:rsidRPr="00AE1D57">
        <w:rPr>
          <w:bdr w:val="nil"/>
        </w:rPr>
        <w:t>: Environment, Planning and Sustainable Development Directorate: Cash Flow Statement on behalf of the Territory</w:t>
      </w:r>
      <w:bookmarkEnd w:id="105"/>
      <w:bookmarkEnd w:id="106"/>
      <w:bookmarkEnd w:id="107"/>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2017-18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Var </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Estimate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CASH FLOWS FROM OPERATING ACTIVITIES</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2,367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2,396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2,209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2,279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2,113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1,975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31,091</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15,981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29,150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33,289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33,350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34,161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796</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1,176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2,847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142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3,194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3,821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15,806</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Land Sales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22,587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47,204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109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37,724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51,627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55,105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5,004</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8,144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5,139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5,278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5,421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5,579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55,064</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50,284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86,549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80,499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95,705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100,641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829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856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874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897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1,108</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808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914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937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739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751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525</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861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541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47,978</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Transfer of Territory Receipts to the ACT Government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43,083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80,218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76,648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92,520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98,319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4,552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4,638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3,955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55,097</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50,317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86,586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80,532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95,738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100,674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5576C2" w:rsidRDefault="002435BD">
            <w:pPr>
              <w:spacing w:before="0" w:after="0"/>
              <w:rPr>
                <w:rFonts w:eastAsia="Calibri" w:cs="Calibri"/>
                <w:b/>
                <w:color w:val="000000"/>
                <w:sz w:val="18"/>
              </w:rPr>
            </w:pPr>
            <w:r>
              <w:rPr>
                <w:rFonts w:eastAsia="Calibri" w:cs="Calibri"/>
                <w:b/>
                <w:color w:val="000000"/>
                <w:sz w:val="18"/>
              </w:rPr>
              <w:t>CASH FLOWS FROM FINANCING ACTIVITIES</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3,620</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1,921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1,888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1,855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1,822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1,789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5576C2" w:rsidRPr="00AE1D57" w:rsidRDefault="005576C2" w:rsidP="00AE1D57">
            <w:pPr>
              <w:spacing w:before="0" w:after="0"/>
              <w:ind w:left="113" w:hanging="113"/>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3,587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AE1D57">
            <w:pPr>
              <w:spacing w:before="0" w:after="0"/>
              <w:ind w:left="113" w:hanging="113"/>
              <w:rPr>
                <w:rFonts w:eastAsia="Calibri" w:cs="Calibri"/>
                <w:b/>
                <w:color w:val="000000"/>
                <w:sz w:val="18"/>
              </w:rPr>
            </w:pPr>
            <w:r>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1,888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1,855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1,822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1,789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1,756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Default="002435BD" w:rsidP="007114AE">
      <w:pPr>
        <w:pStyle w:val="Heading34"/>
        <w:pageBreakBefore/>
      </w:pPr>
      <w:bookmarkStart w:id="108" w:name="_Toc514763807"/>
      <w:bookmarkStart w:id="109" w:name="_Toc514841036"/>
      <w:r>
        <w:t>Notes to the Territorial Budget Statements</w:t>
      </w:r>
      <w:bookmarkEnd w:id="108"/>
      <w:bookmarkEnd w:id="109"/>
    </w:p>
    <w:p w:rsidR="007114AE" w:rsidRDefault="002435BD" w:rsidP="007114AE">
      <w:pPr>
        <w:pStyle w:val="Normal7"/>
      </w:pPr>
      <w:r>
        <w:t>Significant variations are as follows:</w:t>
      </w:r>
    </w:p>
    <w:p w:rsidR="007114AE" w:rsidRDefault="002435BD" w:rsidP="007114AE">
      <w:pPr>
        <w:pStyle w:val="Normal7"/>
        <w:rPr>
          <w:b/>
          <w:i/>
        </w:rPr>
      </w:pPr>
      <w:r>
        <w:rPr>
          <w:b/>
          <w:i/>
        </w:rPr>
        <w:t>Statement of Income and Expenses on behalf of the Territory</w:t>
      </w:r>
    </w:p>
    <w:p w:rsidR="007114AE" w:rsidRPr="00C663F5" w:rsidRDefault="002435BD" w:rsidP="009207F6">
      <w:pPr>
        <w:pStyle w:val="BSbullet1"/>
      </w:pPr>
      <w:r w:rsidRPr="00C663F5">
        <w:t xml:space="preserve">taxes, fees and fines:  </w:t>
      </w:r>
    </w:p>
    <w:p w:rsidR="007114AE" w:rsidRPr="00C663F5" w:rsidRDefault="00455337" w:rsidP="009207F6">
      <w:pPr>
        <w:pStyle w:val="BSbullet21"/>
      </w:pPr>
      <w:proofErr w:type="gramStart"/>
      <w:r>
        <w:t>the</w:t>
      </w:r>
      <w:proofErr w:type="gramEnd"/>
      <w:r>
        <w:t xml:space="preserve"> decrease of $15.110 million in the 2017</w:t>
      </w:r>
      <w:r>
        <w:noBreakHyphen/>
      </w:r>
      <w:r w:rsidR="002435BD" w:rsidRPr="00C663F5">
        <w:t xml:space="preserve">18 estimated outcome from the original budget is mainly due to a decrease in the estimate for lease variation charge. </w:t>
      </w:r>
    </w:p>
    <w:p w:rsidR="007114AE" w:rsidRPr="00C663F5" w:rsidRDefault="00455337" w:rsidP="009207F6">
      <w:pPr>
        <w:pStyle w:val="BSbullet21"/>
      </w:pPr>
      <w:proofErr w:type="gramStart"/>
      <w:r>
        <w:t>the</w:t>
      </w:r>
      <w:proofErr w:type="gramEnd"/>
      <w:r>
        <w:t xml:space="preserve"> increase of $13.169 million in the 2018</w:t>
      </w:r>
      <w:r>
        <w:noBreakHyphen/>
        <w:t>19 Budget from the 2017</w:t>
      </w:r>
      <w:r>
        <w:noBreakHyphen/>
      </w:r>
      <w:r w:rsidR="002435BD" w:rsidRPr="00C663F5">
        <w:t>18 estimated outcome is mainly due to an increase in the estimate for lease variation charge.</w:t>
      </w:r>
    </w:p>
    <w:p w:rsidR="007114AE" w:rsidRPr="00C663F5" w:rsidRDefault="002435BD" w:rsidP="009207F6">
      <w:pPr>
        <w:pStyle w:val="BSbullet1"/>
      </w:pPr>
      <w:r w:rsidRPr="00C663F5">
        <w:t xml:space="preserve">land revenue:  </w:t>
      </w:r>
    </w:p>
    <w:p w:rsidR="007114AE" w:rsidRPr="00C663F5" w:rsidRDefault="00455337" w:rsidP="009207F6">
      <w:pPr>
        <w:pStyle w:val="BSbullet21"/>
      </w:pPr>
      <w:proofErr w:type="gramStart"/>
      <w:r>
        <w:t>the</w:t>
      </w:r>
      <w:proofErr w:type="gramEnd"/>
      <w:r>
        <w:t xml:space="preserve"> increase of $2.831 million in the 2017</w:t>
      </w:r>
      <w:r>
        <w:noBreakHyphen/>
      </w:r>
      <w:r w:rsidR="002435BD" w:rsidRPr="00C663F5">
        <w:t>18 estimated outcome from the original budget is mainly due to timings in the land release program.</w:t>
      </w:r>
    </w:p>
    <w:p w:rsidR="007114AE" w:rsidRPr="00C663F5" w:rsidRDefault="00455337" w:rsidP="009207F6">
      <w:pPr>
        <w:pStyle w:val="BSbullet21"/>
      </w:pPr>
      <w:proofErr w:type="gramStart"/>
      <w:r>
        <w:t>the</w:t>
      </w:r>
      <w:proofErr w:type="gramEnd"/>
      <w:r>
        <w:t xml:space="preserve"> increase of $28.702 million in the 2018</w:t>
      </w:r>
      <w:r>
        <w:noBreakHyphen/>
        <w:t>19 Budget from the 2017</w:t>
      </w:r>
      <w:r>
        <w:noBreakHyphen/>
      </w:r>
      <w:r w:rsidR="002435BD" w:rsidRPr="00C663F5">
        <w:t>18 estimated outcome is mainly due to timings in the land release program.</w:t>
      </w:r>
    </w:p>
    <w:p w:rsidR="007114AE" w:rsidRPr="00C663F5" w:rsidRDefault="002435BD" w:rsidP="009207F6">
      <w:pPr>
        <w:pStyle w:val="BSbullet1"/>
      </w:pPr>
      <w:r w:rsidRPr="00C663F5">
        <w:t xml:space="preserve">interest revenue:  </w:t>
      </w:r>
    </w:p>
    <w:p w:rsidR="007114AE" w:rsidRPr="00C663F5" w:rsidRDefault="00455337" w:rsidP="009207F6">
      <w:pPr>
        <w:pStyle w:val="BSbullet21"/>
      </w:pPr>
      <w:proofErr w:type="gramStart"/>
      <w:r>
        <w:t>the</w:t>
      </w:r>
      <w:proofErr w:type="gramEnd"/>
      <w:r>
        <w:t xml:space="preserve"> increase of $1.671 million in the 2018</w:t>
      </w:r>
      <w:r>
        <w:noBreakHyphen/>
        <w:t>19 Budget from the 2017</w:t>
      </w:r>
      <w:r>
        <w:noBreakHyphen/>
      </w:r>
      <w:r w:rsidR="002435BD" w:rsidRPr="00C663F5">
        <w:t>18 estimated outcome is mainly due to timings in the land release program.</w:t>
      </w:r>
    </w:p>
    <w:p w:rsidR="007114AE" w:rsidRPr="00C663F5" w:rsidRDefault="002435BD" w:rsidP="009207F6">
      <w:pPr>
        <w:pStyle w:val="BSbullet1"/>
      </w:pPr>
      <w:r w:rsidRPr="00C663F5">
        <w:t xml:space="preserve">other revenue:  </w:t>
      </w:r>
    </w:p>
    <w:p w:rsidR="007114AE" w:rsidRPr="00C663F5" w:rsidRDefault="00455337" w:rsidP="009207F6">
      <w:pPr>
        <w:pStyle w:val="BSbullet21"/>
      </w:pPr>
      <w:proofErr w:type="gramStart"/>
      <w:r>
        <w:t>the</w:t>
      </w:r>
      <w:proofErr w:type="gramEnd"/>
      <w:r>
        <w:t xml:space="preserve"> increase of $3.140 million in the 2017</w:t>
      </w:r>
      <w:r>
        <w:noBreakHyphen/>
      </w:r>
      <w:r w:rsidR="002435BD" w:rsidRPr="00C663F5">
        <w:t>18 estimated outcome from the original budget is due to the land rent payouts received that were not budgeted.</w:t>
      </w:r>
    </w:p>
    <w:p w:rsidR="007114AE" w:rsidRPr="00C663F5" w:rsidRDefault="00455337" w:rsidP="009207F6">
      <w:pPr>
        <w:pStyle w:val="BSbullet21"/>
      </w:pPr>
      <w:proofErr w:type="gramStart"/>
      <w:r>
        <w:t>the</w:t>
      </w:r>
      <w:proofErr w:type="gramEnd"/>
      <w:r>
        <w:t xml:space="preserve"> decrease of $3.140 million in the 2018</w:t>
      </w:r>
      <w:r>
        <w:noBreakHyphen/>
      </w:r>
      <w:r w:rsidR="002435BD" w:rsidRPr="00C663F5">
        <w:t>19 Budget</w:t>
      </w:r>
      <w:r>
        <w:t xml:space="preserve"> from the 2017</w:t>
      </w:r>
      <w:r>
        <w:noBreakHyphen/>
      </w:r>
      <w:r w:rsidRPr="00C663F5">
        <w:t>18 estimated outcome</w:t>
      </w:r>
      <w:r w:rsidR="002435BD" w:rsidRPr="00C663F5">
        <w:t xml:space="preserve"> is due to the once off impact of the land rent payouts</w:t>
      </w:r>
      <w:r w:rsidR="007B7F1B">
        <w:t xml:space="preserve"> in the 2017</w:t>
      </w:r>
      <w:r w:rsidR="007B7F1B">
        <w:noBreakHyphen/>
        <w:t>18 financial year</w:t>
      </w:r>
      <w:r w:rsidR="002435BD" w:rsidRPr="00C663F5">
        <w:t>.</w:t>
      </w:r>
    </w:p>
    <w:p w:rsidR="007114AE" w:rsidRPr="004C25B5" w:rsidRDefault="002435BD" w:rsidP="009207F6">
      <w:pPr>
        <w:pStyle w:val="BSbullet1"/>
      </w:pPr>
      <w:r>
        <w:t>transfer expenses: variations in these expenses reflect the variations in revenues described above.</w:t>
      </w:r>
    </w:p>
    <w:p w:rsidR="007114AE" w:rsidRDefault="002435BD" w:rsidP="00DE11BB">
      <w:pPr>
        <w:spacing w:before="0" w:after="0"/>
        <w:rPr>
          <w:b/>
          <w:i/>
        </w:rPr>
      </w:pPr>
      <w:r>
        <w:rPr>
          <w:b/>
          <w:i/>
        </w:rPr>
        <w:t>Statement of Assets and Liabilities on behalf of the Territory</w:t>
      </w:r>
    </w:p>
    <w:p w:rsidR="007114AE" w:rsidRDefault="002435BD" w:rsidP="009207F6">
      <w:pPr>
        <w:pStyle w:val="BSbullet1"/>
      </w:pPr>
      <w:r>
        <w:t xml:space="preserve">cash and equivalents:  </w:t>
      </w:r>
    </w:p>
    <w:p w:rsidR="007114AE" w:rsidRPr="000D2992" w:rsidRDefault="00CE69BD" w:rsidP="009207F6">
      <w:pPr>
        <w:pStyle w:val="BSbullet21"/>
      </w:pPr>
      <w:proofErr w:type="gramStart"/>
      <w:r>
        <w:t>the</w:t>
      </w:r>
      <w:proofErr w:type="gramEnd"/>
      <w:r>
        <w:t xml:space="preserve"> decrease of $1.699</w:t>
      </w:r>
      <w:r w:rsidR="00455337">
        <w:t> million in the 2017</w:t>
      </w:r>
      <w:r w:rsidR="00455337">
        <w:noBreakHyphen/>
      </w:r>
      <w:r w:rsidR="002435BD" w:rsidRPr="000D2992">
        <w:t>18 estimated outcome from the original budget is mainly due to the flow</w:t>
      </w:r>
      <w:r w:rsidR="002435BD" w:rsidRPr="000D2992">
        <w:noBreakHyphen/>
        <w:t>on effects of the 2016</w:t>
      </w:r>
      <w:r w:rsidR="002435BD" w:rsidRPr="000D2992">
        <w:noBreakHyphen/>
        <w:t>17 financial results.</w:t>
      </w:r>
    </w:p>
    <w:p w:rsidR="007114AE" w:rsidRDefault="002435BD" w:rsidP="009207F6">
      <w:pPr>
        <w:pStyle w:val="BSbullet1"/>
      </w:pPr>
      <w:r>
        <w:t xml:space="preserve">current and non-current receivables:  </w:t>
      </w:r>
    </w:p>
    <w:p w:rsidR="007D229C" w:rsidRPr="00CE69BD" w:rsidRDefault="00CE69BD" w:rsidP="009207F6">
      <w:pPr>
        <w:pStyle w:val="BSbullet21"/>
      </w:pPr>
      <w:proofErr w:type="gramStart"/>
      <w:r>
        <w:t>the</w:t>
      </w:r>
      <w:proofErr w:type="gramEnd"/>
      <w:r>
        <w:t xml:space="preserve"> decrease of $20.083</w:t>
      </w:r>
      <w:r w:rsidR="00455337">
        <w:t> million in the 2017</w:t>
      </w:r>
      <w:r w:rsidR="00455337">
        <w:noBreakHyphen/>
      </w:r>
      <w:r w:rsidR="002435BD" w:rsidRPr="000D2992">
        <w:t xml:space="preserve">18 estimated outcome from the original budget is mainly due to the timing of receipts for the sale of land under the land release program to the Suburban Land Agency </w:t>
      </w:r>
      <w:r w:rsidR="007B7F1B">
        <w:t>and the City Renewal Authority.</w:t>
      </w:r>
    </w:p>
    <w:p w:rsidR="00DE11BB" w:rsidRDefault="00DE11BB">
      <w:pPr>
        <w:spacing w:before="0" w:after="0"/>
        <w:rPr>
          <w:szCs w:val="24"/>
        </w:rPr>
      </w:pPr>
      <w:r>
        <w:br w:type="page"/>
      </w:r>
    </w:p>
    <w:p w:rsidR="007114AE" w:rsidRDefault="002435BD" w:rsidP="009207F6">
      <w:pPr>
        <w:pStyle w:val="BSbullet1"/>
      </w:pPr>
      <w:r>
        <w:t xml:space="preserve">property, plant and equipment:  </w:t>
      </w:r>
    </w:p>
    <w:p w:rsidR="007114AE" w:rsidRPr="0098380A" w:rsidRDefault="00CE69BD" w:rsidP="009207F6">
      <w:pPr>
        <w:pStyle w:val="BSbullet21"/>
      </w:pPr>
      <w:proofErr w:type="gramStart"/>
      <w:r>
        <w:t>the</w:t>
      </w:r>
      <w:proofErr w:type="gramEnd"/>
      <w:r>
        <w:t xml:space="preserve"> decrease of $14.171</w:t>
      </w:r>
      <w:r w:rsidR="00455337">
        <w:t> million in the 2017</w:t>
      </w:r>
      <w:r w:rsidR="00455337">
        <w:noBreakHyphen/>
      </w:r>
      <w:r w:rsidR="002435BD" w:rsidRPr="0098380A">
        <w:t>18 estimated outcome from the original budget is mainly due to the revaluation of land as a result of a change in the 10</w:t>
      </w:r>
      <w:r w:rsidR="002435BD" w:rsidRPr="0098380A">
        <w:noBreakHyphen/>
        <w:t>year Government bond rate.</w:t>
      </w:r>
    </w:p>
    <w:p w:rsidR="007114AE" w:rsidRPr="0098380A" w:rsidRDefault="002435BD" w:rsidP="009207F6">
      <w:pPr>
        <w:pStyle w:val="BSbullet1"/>
      </w:pPr>
      <w:r w:rsidRPr="0098380A">
        <w:t xml:space="preserve">current and non-current payables:  </w:t>
      </w:r>
    </w:p>
    <w:p w:rsidR="00CE69BD" w:rsidRDefault="00CE69BD" w:rsidP="009207F6">
      <w:pPr>
        <w:pStyle w:val="BSbullet21"/>
      </w:pPr>
      <w:proofErr w:type="gramStart"/>
      <w:r>
        <w:t>the</w:t>
      </w:r>
      <w:proofErr w:type="gramEnd"/>
      <w:r>
        <w:t xml:space="preserve"> de</w:t>
      </w:r>
      <w:r w:rsidR="002435BD" w:rsidRPr="0098380A">
        <w:t>cre</w:t>
      </w:r>
      <w:r>
        <w:t>ase of $21.606</w:t>
      </w:r>
      <w:r w:rsidR="00455337">
        <w:t> million in the 2017</w:t>
      </w:r>
      <w:r w:rsidR="00455337">
        <w:noBreakHyphen/>
      </w:r>
      <w:r w:rsidR="002435BD" w:rsidRPr="0098380A">
        <w:t xml:space="preserve">18 estimated outcome from the original budget is mainly due to the timing of payments back to Government for land revenue. </w:t>
      </w:r>
    </w:p>
    <w:p w:rsidR="007114AE" w:rsidRDefault="00C62311" w:rsidP="009207F6">
      <w:pPr>
        <w:pStyle w:val="BSbullet21"/>
      </w:pPr>
      <w:proofErr w:type="gramStart"/>
      <w:r>
        <w:t>the</w:t>
      </w:r>
      <w:proofErr w:type="gramEnd"/>
      <w:r>
        <w:t xml:space="preserve"> increase of $5.602 </w:t>
      </w:r>
      <w:r w:rsidR="00455337">
        <w:t>million in the 2018</w:t>
      </w:r>
      <w:r w:rsidR="00455337">
        <w:noBreakHyphen/>
        <w:t>19 Budget from the 2017</w:t>
      </w:r>
      <w:r w:rsidR="00455337">
        <w:noBreakHyphen/>
      </w:r>
      <w:r w:rsidR="002435BD" w:rsidRPr="0098380A">
        <w:t>18 estimated outcome is mainly due to the timing of payments back to Government for land revenue.</w:t>
      </w:r>
    </w:p>
    <w:p w:rsidR="007114AE" w:rsidRDefault="002435BD" w:rsidP="007114AE">
      <w:pPr>
        <w:pStyle w:val="Heading44"/>
      </w:pPr>
      <w:r>
        <w:t>Statement of Changes in Equity and Cash Flow Statement</w:t>
      </w:r>
    </w:p>
    <w:p w:rsidR="007114AE" w:rsidRPr="0004555B" w:rsidRDefault="002435BD" w:rsidP="007114AE">
      <w:pPr>
        <w:pStyle w:val="Normal7"/>
        <w:rPr>
          <w:rFonts w:eastAsia="TimesNewRomanPS-ItalicMT"/>
        </w:rPr>
      </w:pPr>
      <w:r>
        <w:t>Variations in the Statement are explained in the notes above.</w:t>
      </w:r>
    </w:p>
    <w:p w:rsidR="007114AE" w:rsidRPr="007D2AC0" w:rsidRDefault="00DC58C5" w:rsidP="007114AE">
      <w:pPr>
        <w:pStyle w:val="Caption"/>
        <w:pageBreakBefore/>
        <w:pBdr>
          <w:top w:val="nil"/>
          <w:left w:val="nil"/>
          <w:bottom w:val="nil"/>
          <w:right w:val="nil"/>
          <w:between w:val="nil"/>
          <w:bar w:val="nil"/>
        </w:pBdr>
        <w:rPr>
          <w:rFonts w:eastAsia="TimesNewRomanPS-ItalicMT"/>
          <w:bdr w:val="nil"/>
        </w:rPr>
      </w:pPr>
      <w:r>
        <w:rPr>
          <w:bdr w:val="nil"/>
        </w:rPr>
        <w:t>Table 40</w:t>
      </w:r>
      <w:r w:rsidR="002435BD" w:rsidRPr="007D229C">
        <w:rPr>
          <w:bdr w:val="nil"/>
        </w:rPr>
        <w:t>: Output Class 1: Planning Operating Statement</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2017-18 Budget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w:t>
            </w:r>
          </w:p>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27,831</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25,306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27,319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27,013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24,812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25,441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2,501</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2,703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2,704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2,797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2,916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3,028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1,270</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1,266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1,371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1,405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CD3025">
            <w:pPr>
              <w:spacing w:before="0" w:after="0"/>
              <w:jc w:val="right"/>
              <w:rPr>
                <w:rFonts w:eastAsia="Calibri" w:cs="Calibri"/>
                <w:color w:val="000000"/>
                <w:sz w:val="18"/>
              </w:rPr>
            </w:pPr>
            <w:r>
              <w:rPr>
                <w:rFonts w:eastAsia="Calibri" w:cs="Calibri"/>
                <w:color w:val="000000"/>
                <w:sz w:val="18"/>
              </w:rPr>
              <w:t>10</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-65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CD3025">
            <w:pPr>
              <w:spacing w:before="0" w:after="0"/>
              <w:jc w:val="right"/>
              <w:rPr>
                <w:rFonts w:eastAsia="Calibri" w:cs="Calibri"/>
                <w:b/>
                <w:color w:val="000000"/>
                <w:sz w:val="18"/>
              </w:rPr>
            </w:pPr>
            <w:r>
              <w:rPr>
                <w:rFonts w:eastAsia="Calibri" w:cs="Calibri"/>
                <w:b/>
                <w:color w:val="000000"/>
                <w:sz w:val="18"/>
              </w:rPr>
              <w:t>31,612</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29,427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31,359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31,197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29,169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29,884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17,681</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16,308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17,777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18,075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17,180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17,662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2,732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2,670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2,875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3,198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13,467</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9,931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11,137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10,360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9,416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9,227</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447</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538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544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663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368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330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353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34,377</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7D229C">
            <w:pPr>
              <w:spacing w:before="0" w:after="0"/>
              <w:rPr>
                <w:rFonts w:eastAsia="Calibri" w:cs="Calibri"/>
                <w:b/>
                <w:color w:val="000000"/>
                <w:sz w:val="18"/>
              </w:rPr>
            </w:pPr>
            <w:r>
              <w:rPr>
                <w:rFonts w:eastAsia="Calibri" w:cs="Calibri"/>
                <w:b/>
                <w:color w:val="000000"/>
                <w:sz w:val="18"/>
              </w:rPr>
              <w:t xml:space="preserve">Total </w:t>
            </w:r>
            <w:r w:rsidR="002435BD">
              <w:rPr>
                <w:rFonts w:eastAsia="Calibri" w:cs="Calibri"/>
                <w:b/>
                <w:color w:val="000000"/>
                <w:sz w:val="18"/>
              </w:rPr>
              <w:t>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29,682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32,308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32,231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30,417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30,992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CD3025">
            <w:pPr>
              <w:spacing w:before="0" w:after="0"/>
              <w:jc w:val="right"/>
              <w:rPr>
                <w:rFonts w:eastAsia="Calibri" w:cs="Calibri"/>
                <w:b/>
                <w:color w:val="000000"/>
                <w:sz w:val="18"/>
              </w:rPr>
            </w:pPr>
            <w:r>
              <w:rPr>
                <w:rFonts w:eastAsia="Calibri" w:cs="Calibri"/>
                <w:b/>
                <w:color w:val="000000"/>
                <w:sz w:val="18"/>
              </w:rPr>
              <w:t>-2,765</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-255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-949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-272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-1,034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-1,248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-1,108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114AE" w:rsidRPr="007D2AC0" w:rsidRDefault="00DC58C5" w:rsidP="007114AE">
      <w:pPr>
        <w:pStyle w:val="Caption"/>
        <w:pageBreakBefore/>
        <w:pBdr>
          <w:top w:val="nil"/>
          <w:left w:val="nil"/>
          <w:bottom w:val="nil"/>
          <w:right w:val="nil"/>
          <w:between w:val="nil"/>
          <w:bar w:val="nil"/>
        </w:pBdr>
        <w:rPr>
          <w:rFonts w:eastAsia="TimesNewRomanPS-ItalicMT"/>
          <w:bdr w:val="nil"/>
        </w:rPr>
      </w:pPr>
      <w:r>
        <w:rPr>
          <w:bdr w:val="nil"/>
        </w:rPr>
        <w:t>Table 41</w:t>
      </w:r>
      <w:r w:rsidR="002435BD" w:rsidRPr="007D229C">
        <w:rPr>
          <w:bdr w:val="nil"/>
        </w:rPr>
        <w:t>: Output Class 2: Environment Operating Statement</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Budget</w:t>
            </w:r>
            <w:r w:rsidR="009A1C99" w:rsidRPr="009A1C99">
              <w:rPr>
                <w:rFonts w:eastAsia="Calibri" w:cs="Calibri"/>
                <w:b/>
                <w:color w:val="000000"/>
                <w:sz w:val="18"/>
                <w:vertAlign w:val="superscript"/>
              </w:rPr>
              <w:t>1</w:t>
            </w:r>
            <w:r>
              <w:rPr>
                <w:rFonts w:eastAsia="Calibri" w:cs="Calibri"/>
                <w:b/>
                <w:color w:val="000000"/>
                <w:sz w:val="18"/>
              </w:rPr>
              <w:t xml:space="preserv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w:t>
            </w:r>
          </w:p>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58,232</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47,276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52,562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52,266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53,255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54,874</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6,676</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6,338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6,634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6,708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6,536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6,646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329</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882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997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449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467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485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503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21,137</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1,577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364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-77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513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87,399</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56,550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60,496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59,672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60,927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62,719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31,556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26,258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26,887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27,486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27,894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27,842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4,734</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4,023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4,182</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4,375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4,596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5,039</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34,350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24,938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28,227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27,349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28,005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28,570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2,540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2,788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2,844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2,826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2,905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2,962</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1,963</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1,039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393</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-62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208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1,692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691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590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571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76,921</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7D229C">
            <w:pPr>
              <w:spacing w:before="0" w:after="0"/>
              <w:rPr>
                <w:rFonts w:eastAsia="Calibri" w:cs="Calibri"/>
                <w:b/>
                <w:color w:val="000000"/>
                <w:sz w:val="18"/>
              </w:rPr>
            </w:pPr>
            <w:r>
              <w:rPr>
                <w:rFonts w:eastAsia="Calibri" w:cs="Calibri"/>
                <w:b/>
                <w:color w:val="000000"/>
                <w:sz w:val="18"/>
              </w:rPr>
              <w:t xml:space="preserve">Total </w:t>
            </w:r>
            <w:r w:rsidR="002435BD">
              <w:rPr>
                <w:rFonts w:eastAsia="Calibri" w:cs="Calibri"/>
                <w:b/>
                <w:color w:val="000000"/>
                <w:sz w:val="18"/>
              </w:rPr>
              <w:t>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59,808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63,430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63,044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64,378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65,415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10,478</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-3,258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-2,934</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-3,372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-3,451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-2,696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9A1C99" w:rsidRDefault="009A1C99" w:rsidP="009A1C99">
      <w:pPr>
        <w:pStyle w:val="BSnote2"/>
      </w:pPr>
      <w:r>
        <w:t>Note(s):</w:t>
      </w:r>
    </w:p>
    <w:p w:rsidR="009A1C99" w:rsidRDefault="009A1C99" w:rsidP="00862CB5">
      <w:pPr>
        <w:pStyle w:val="BSnoteslist20"/>
        <w:numPr>
          <w:ilvl w:val="0"/>
          <w:numId w:val="57"/>
        </w:numPr>
      </w:pPr>
      <w:r>
        <w:t>The 2017</w:t>
      </w:r>
      <w:r>
        <w:noBreakHyphen/>
        <w:t>18 Budget included Climate Change and Sustainability.  From the 2017</w:t>
      </w:r>
      <w:r>
        <w:noBreakHyphen/>
        <w:t xml:space="preserve">18 Estimated Outcome it is shown in Output Class 3: Climate Change and Sustainability. </w:t>
      </w:r>
    </w:p>
    <w:p w:rsidR="007D229C" w:rsidRPr="007D2AC0" w:rsidRDefault="00DC58C5" w:rsidP="007D229C">
      <w:pPr>
        <w:pStyle w:val="Caption"/>
        <w:pageBreakBefore/>
        <w:pBdr>
          <w:top w:val="nil"/>
          <w:left w:val="nil"/>
          <w:bottom w:val="nil"/>
          <w:right w:val="nil"/>
          <w:between w:val="nil"/>
          <w:bar w:val="nil"/>
        </w:pBdr>
        <w:rPr>
          <w:rFonts w:eastAsia="TimesNewRomanPS-ItalicMT"/>
          <w:bdr w:val="nil"/>
        </w:rPr>
      </w:pPr>
      <w:r>
        <w:rPr>
          <w:bdr w:val="nil"/>
        </w:rPr>
        <w:t>Table 42</w:t>
      </w:r>
      <w:r w:rsidR="007D229C" w:rsidRPr="007D229C">
        <w:rPr>
          <w:bdr w:val="nil"/>
        </w:rPr>
        <w:t>: Output Class 3: Climate Change and Sustainability Operating Statement</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7D229C" w:rsidTr="00F83E2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2017-18 Budget</w:t>
            </w:r>
            <w:r w:rsidRPr="007D229C">
              <w:rPr>
                <w:rFonts w:eastAsia="Calibri" w:cs="Calibri"/>
                <w:b/>
                <w:color w:val="000000"/>
                <w:sz w:val="18"/>
                <w:vertAlign w:val="superscript"/>
              </w:rPr>
              <w:t>1</w:t>
            </w:r>
            <w:r>
              <w:rPr>
                <w:rFonts w:eastAsia="Calibri" w:cs="Calibri"/>
                <w:b/>
                <w:color w:val="000000"/>
                <w:sz w:val="18"/>
              </w:rPr>
              <w:t xml:space="preserve">            </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2018-19 </w:t>
            </w:r>
          </w:p>
          <w:p w:rsidR="007D229C" w:rsidRDefault="007D229C" w:rsidP="00F83E2E">
            <w:pPr>
              <w:spacing w:before="0" w:after="0"/>
              <w:jc w:val="right"/>
              <w:rPr>
                <w:rFonts w:eastAsia="Calibri" w:cs="Calibri"/>
                <w:b/>
                <w:color w:val="000000"/>
                <w:sz w:val="18"/>
              </w:rPr>
            </w:pPr>
            <w:r>
              <w:rPr>
                <w:rFonts w:eastAsia="Calibri" w:cs="Calibri"/>
                <w:b/>
                <w:color w:val="000000"/>
                <w:sz w:val="18"/>
              </w:rPr>
              <w:t>Budget</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Var</w:t>
            </w:r>
          </w:p>
          <w:p w:rsidR="007D229C" w:rsidRDefault="007D229C" w:rsidP="00F83E2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2019-20 </w:t>
            </w:r>
          </w:p>
          <w:p w:rsidR="007D229C" w:rsidRDefault="007D229C" w:rsidP="00F83E2E">
            <w:pPr>
              <w:spacing w:before="0" w:after="0"/>
              <w:jc w:val="right"/>
              <w:rPr>
                <w:rFonts w:eastAsia="Calibri" w:cs="Calibri"/>
                <w:b/>
                <w:color w:val="000000"/>
                <w:sz w:val="18"/>
              </w:rPr>
            </w:pPr>
            <w:r>
              <w:rPr>
                <w:rFonts w:eastAsia="Calibri" w:cs="Calibri"/>
                <w:b/>
                <w:color w:val="000000"/>
                <w:sz w:val="18"/>
              </w:rPr>
              <w:t>Estimate</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2020-21 </w:t>
            </w:r>
          </w:p>
          <w:p w:rsidR="007D229C" w:rsidRDefault="007D229C" w:rsidP="00F83E2E">
            <w:pPr>
              <w:spacing w:before="0" w:after="0"/>
              <w:jc w:val="right"/>
              <w:rPr>
                <w:rFonts w:eastAsia="Calibri" w:cs="Calibri"/>
                <w:b/>
                <w:color w:val="000000"/>
                <w:sz w:val="18"/>
              </w:rPr>
            </w:pPr>
            <w:r>
              <w:rPr>
                <w:rFonts w:eastAsia="Calibri" w:cs="Calibri"/>
                <w:b/>
                <w:color w:val="000000"/>
                <w:sz w:val="18"/>
              </w:rPr>
              <w:t>Estimate</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2021-22 </w:t>
            </w:r>
          </w:p>
          <w:p w:rsidR="007D229C" w:rsidRDefault="007D229C" w:rsidP="00F83E2E">
            <w:pPr>
              <w:spacing w:before="0" w:after="0"/>
              <w:jc w:val="right"/>
              <w:rPr>
                <w:rFonts w:eastAsia="Calibri" w:cs="Calibri"/>
                <w:b/>
                <w:color w:val="000000"/>
                <w:sz w:val="18"/>
              </w:rPr>
            </w:pPr>
            <w:r>
              <w:rPr>
                <w:rFonts w:eastAsia="Calibri" w:cs="Calibri"/>
                <w:b/>
                <w:color w:val="000000"/>
                <w:sz w:val="18"/>
              </w:rPr>
              <w:t>Estimate</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11,354</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12,563</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13,804</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13,547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14,673</w:t>
            </w:r>
          </w:p>
        </w:tc>
      </w:tr>
      <w:tr w:rsidR="007D229C" w:rsidTr="007D2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4,633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3,950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1,400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900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598</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625</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650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676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692</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99,210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1,930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-98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1,647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1,647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115,795</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19,068</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-84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17,501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16,770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15,365</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7,361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8,182</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7,536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7,637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7,041</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905</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991</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923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954</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1,003</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11,641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10,855</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8,499</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7,143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5,421</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38</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38</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39</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42</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4,041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6,909</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71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6,019</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5,878</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400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7D229C">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1,427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1,479</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1,482</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1,528</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1,572</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25,412</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28,454</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24,497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23,179</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15,479</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90,383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-9,386</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-110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-6,996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-6,409</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-114</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bl>
    <w:p w:rsidR="007D229C" w:rsidRDefault="007D229C" w:rsidP="007D229C">
      <w:pPr>
        <w:pStyle w:val="BSnote2"/>
      </w:pPr>
      <w:r>
        <w:t>Note(s):</w:t>
      </w:r>
    </w:p>
    <w:p w:rsidR="007D229C" w:rsidRDefault="007D229C" w:rsidP="00862CB5">
      <w:pPr>
        <w:pStyle w:val="BSnoteslist20"/>
        <w:numPr>
          <w:ilvl w:val="0"/>
          <w:numId w:val="68"/>
        </w:numPr>
      </w:pPr>
      <w:r>
        <w:t>This is a new Output Class. The 2017</w:t>
      </w:r>
      <w:r w:rsidR="009A1C99">
        <w:noBreakHyphen/>
      </w:r>
      <w:r>
        <w:t xml:space="preserve">18 Budget for Climate Change and Sustainability was included in Output Class 2: Environment. </w:t>
      </w:r>
    </w:p>
    <w:p w:rsidR="007114AE" w:rsidRPr="007D2AC0" w:rsidRDefault="00DC58C5" w:rsidP="007114AE">
      <w:pPr>
        <w:pStyle w:val="Caption"/>
        <w:pageBreakBefore/>
        <w:pBdr>
          <w:top w:val="nil"/>
          <w:left w:val="nil"/>
          <w:bottom w:val="nil"/>
          <w:right w:val="nil"/>
          <w:between w:val="nil"/>
          <w:bar w:val="nil"/>
        </w:pBdr>
        <w:rPr>
          <w:rFonts w:eastAsia="TimesNewRomanPS-ItalicMT"/>
          <w:bdr w:val="nil"/>
        </w:rPr>
      </w:pPr>
      <w:r>
        <w:rPr>
          <w:bdr w:val="nil"/>
        </w:rPr>
        <w:t>Table 43</w:t>
      </w:r>
      <w:r w:rsidR="002435BD" w:rsidRPr="007D229C">
        <w:rPr>
          <w:bdr w:val="nil"/>
        </w:rPr>
        <w:t>: Output Class 4: Land Strategy and Urban Renewal Operating Statement</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Budget</w:t>
            </w:r>
            <w:r w:rsidR="0088134A" w:rsidRPr="0088134A">
              <w:rPr>
                <w:rFonts w:eastAsia="Calibri" w:cs="Calibri"/>
                <w:b/>
                <w:color w:val="000000"/>
                <w:sz w:val="18"/>
                <w:vertAlign w:val="superscript"/>
              </w:rPr>
              <w:t>1</w:t>
            </w:r>
            <w:r>
              <w:rPr>
                <w:rFonts w:eastAsia="Calibri" w:cs="Calibri"/>
                <w:b/>
                <w:color w:val="000000"/>
                <w:sz w:val="18"/>
              </w:rPr>
              <w:t xml:space="preserv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w:t>
            </w:r>
          </w:p>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56,945</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18,052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21,606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20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19,439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18,748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18,953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56,945</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18,052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21,606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19,439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18,748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18,953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8,509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9,059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9,297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9,554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9,791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9,986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1,076</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896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927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964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1,021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1,073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45,300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5,488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8,716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59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6,251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6,095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5,976</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2,432</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3,173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3,206</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3,240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2,462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2,465</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39</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7D229C">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21</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23</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57,356</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7D229C">
            <w:pPr>
              <w:spacing w:before="0" w:after="0"/>
              <w:rPr>
                <w:rFonts w:eastAsia="Calibri" w:cs="Calibri"/>
                <w:b/>
                <w:color w:val="000000"/>
                <w:sz w:val="18"/>
              </w:rPr>
            </w:pPr>
            <w:r>
              <w:rPr>
                <w:rFonts w:eastAsia="Calibri" w:cs="Calibri"/>
                <w:b/>
                <w:color w:val="000000"/>
                <w:sz w:val="18"/>
              </w:rPr>
              <w:t xml:space="preserve">Total </w:t>
            </w:r>
            <w:r w:rsidR="002435BD">
              <w:rPr>
                <w:rFonts w:eastAsia="Calibri" w:cs="Calibri"/>
                <w:b/>
                <w:color w:val="000000"/>
                <w:sz w:val="18"/>
              </w:rPr>
              <w:t>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18,664</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22,195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20,059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19,419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19,551</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-411</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-612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-589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-671</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-598</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7D229C" w:rsidRDefault="007D229C" w:rsidP="007D229C">
      <w:pPr>
        <w:pStyle w:val="BSnote2"/>
      </w:pPr>
      <w:r>
        <w:t>Note(s):</w:t>
      </w:r>
    </w:p>
    <w:p w:rsidR="007D229C" w:rsidRDefault="007D229C" w:rsidP="00862CB5">
      <w:pPr>
        <w:pStyle w:val="BSnoteslist20"/>
        <w:numPr>
          <w:ilvl w:val="0"/>
          <w:numId w:val="58"/>
        </w:numPr>
      </w:pPr>
      <w:r>
        <w:t>The 2017</w:t>
      </w:r>
      <w:r w:rsidR="0088134A">
        <w:noBreakHyphen/>
      </w:r>
      <w:r>
        <w:t>18 Budget include</w:t>
      </w:r>
      <w:r w:rsidR="0088134A">
        <w:t>d</w:t>
      </w:r>
      <w:r>
        <w:t xml:space="preserve"> the Public Housing Renewal </w:t>
      </w:r>
      <w:r w:rsidR="0088134A">
        <w:t xml:space="preserve">Taskforce. </w:t>
      </w:r>
      <w:r w:rsidR="009A1C99">
        <w:t xml:space="preserve"> </w:t>
      </w:r>
      <w:r w:rsidR="0088134A">
        <w:t>From the 2017</w:t>
      </w:r>
      <w:r w:rsidR="0088134A">
        <w:noBreakHyphen/>
        <w:t>18 Estimated Outcome it is shown in Output Class 6</w:t>
      </w:r>
      <w:r>
        <w:t xml:space="preserve">: </w:t>
      </w:r>
      <w:r w:rsidR="0088134A">
        <w:t>Public Housing Renewal Taskforce</w:t>
      </w:r>
      <w:r>
        <w:t xml:space="preserve">. </w:t>
      </w:r>
    </w:p>
    <w:p w:rsidR="007D229C" w:rsidRPr="007D2AC0" w:rsidRDefault="00DC58C5" w:rsidP="007D229C">
      <w:pPr>
        <w:pStyle w:val="Caption"/>
        <w:pageBreakBefore/>
        <w:pBdr>
          <w:top w:val="nil"/>
          <w:left w:val="nil"/>
          <w:bottom w:val="nil"/>
          <w:right w:val="nil"/>
          <w:between w:val="nil"/>
          <w:bar w:val="nil"/>
        </w:pBdr>
        <w:rPr>
          <w:rFonts w:eastAsia="TimesNewRomanPS-ItalicMT"/>
          <w:bdr w:val="nil"/>
        </w:rPr>
      </w:pPr>
      <w:r>
        <w:rPr>
          <w:bdr w:val="nil"/>
        </w:rPr>
        <w:t>Table 44</w:t>
      </w:r>
      <w:r w:rsidR="0088134A">
        <w:rPr>
          <w:bdr w:val="nil"/>
        </w:rPr>
        <w:t>: Output Class 5</w:t>
      </w:r>
      <w:r w:rsidR="007D229C" w:rsidRPr="007D229C">
        <w:rPr>
          <w:bdr w:val="nil"/>
        </w:rPr>
        <w:t xml:space="preserve">: </w:t>
      </w:r>
      <w:r w:rsidR="007D229C">
        <w:rPr>
          <w:bdr w:val="nil"/>
        </w:rPr>
        <w:t>Loose Fill Asbestos Insulation Eradication Operating Statement</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7D229C" w:rsidTr="00F83E2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2017-18 Budget            </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2018-19 </w:t>
            </w:r>
          </w:p>
          <w:p w:rsidR="007D229C" w:rsidRDefault="007D229C" w:rsidP="00F83E2E">
            <w:pPr>
              <w:spacing w:before="0" w:after="0"/>
              <w:jc w:val="right"/>
              <w:rPr>
                <w:rFonts w:eastAsia="Calibri" w:cs="Calibri"/>
                <w:b/>
                <w:color w:val="000000"/>
                <w:sz w:val="18"/>
              </w:rPr>
            </w:pPr>
            <w:r>
              <w:rPr>
                <w:rFonts w:eastAsia="Calibri" w:cs="Calibri"/>
                <w:b/>
                <w:color w:val="000000"/>
                <w:sz w:val="18"/>
              </w:rPr>
              <w:t>Budget</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Var</w:t>
            </w:r>
          </w:p>
          <w:p w:rsidR="007D229C" w:rsidRDefault="007D229C" w:rsidP="00F83E2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2019-20 </w:t>
            </w:r>
          </w:p>
          <w:p w:rsidR="007D229C" w:rsidRDefault="007D229C" w:rsidP="00F83E2E">
            <w:pPr>
              <w:spacing w:before="0" w:after="0"/>
              <w:jc w:val="right"/>
              <w:rPr>
                <w:rFonts w:eastAsia="Calibri" w:cs="Calibri"/>
                <w:b/>
                <w:color w:val="000000"/>
                <w:sz w:val="18"/>
              </w:rPr>
            </w:pPr>
            <w:r>
              <w:rPr>
                <w:rFonts w:eastAsia="Calibri" w:cs="Calibri"/>
                <w:b/>
                <w:color w:val="000000"/>
                <w:sz w:val="18"/>
              </w:rPr>
              <w:t>Estimate</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2020-21 </w:t>
            </w:r>
          </w:p>
          <w:p w:rsidR="007D229C" w:rsidRDefault="007D229C" w:rsidP="00F83E2E">
            <w:pPr>
              <w:spacing w:before="0" w:after="0"/>
              <w:jc w:val="right"/>
              <w:rPr>
                <w:rFonts w:eastAsia="Calibri" w:cs="Calibri"/>
                <w:b/>
                <w:color w:val="000000"/>
                <w:sz w:val="18"/>
              </w:rPr>
            </w:pPr>
            <w:r>
              <w:rPr>
                <w:rFonts w:eastAsia="Calibri" w:cs="Calibri"/>
                <w:b/>
                <w:color w:val="000000"/>
                <w:sz w:val="18"/>
              </w:rPr>
              <w:t>Estimate</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2021-22 </w:t>
            </w:r>
          </w:p>
          <w:p w:rsidR="007D229C" w:rsidRDefault="007D229C" w:rsidP="00F83E2E">
            <w:pPr>
              <w:spacing w:before="0" w:after="0"/>
              <w:jc w:val="right"/>
              <w:rPr>
                <w:rFonts w:eastAsia="Calibri" w:cs="Calibri"/>
                <w:b/>
                <w:color w:val="000000"/>
                <w:sz w:val="18"/>
              </w:rPr>
            </w:pPr>
            <w:r>
              <w:rPr>
                <w:rFonts w:eastAsia="Calibri" w:cs="Calibri"/>
                <w:b/>
                <w:color w:val="000000"/>
                <w:sz w:val="18"/>
              </w:rPr>
              <w:t>Estimate</w:t>
            </w:r>
          </w:p>
          <w:p w:rsidR="007D229C" w:rsidRDefault="007D229C" w:rsidP="00F83E2E">
            <w:pPr>
              <w:spacing w:before="0" w:after="0"/>
              <w:jc w:val="right"/>
              <w:rPr>
                <w:rFonts w:eastAsia="Calibri" w:cs="Calibri"/>
                <w:b/>
                <w:color w:val="000000"/>
                <w:sz w:val="18"/>
              </w:rPr>
            </w:pPr>
          </w:p>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$'000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7D229C" w:rsidRDefault="007D229C" w:rsidP="00F83E2E">
            <w:pPr>
              <w:spacing w:before="0" w:after="0"/>
              <w:jc w:val="right"/>
              <w:rPr>
                <w:rFonts w:eastAsia="Calibri" w:cs="Calibri"/>
                <w:b/>
                <w: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14,371</w:t>
            </w:r>
          </w:p>
        </w:tc>
        <w:tc>
          <w:tcPr>
            <w:tcW w:w="2385" w:type="dxa"/>
            <w:tcBorders>
              <w:top w:val="nil"/>
              <w:left w:val="nil"/>
              <w:bottom w:val="nil"/>
              <w:right w:val="nil"/>
              <w:tl2br w:val="nil"/>
              <w:tr2bl w:val="nil"/>
            </w:tcBorders>
            <w:shd w:val="clear" w:color="auto" w:fill="auto"/>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14,935</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10,200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-32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18,855</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8,702</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color w:val="000000"/>
                <w:sz w:val="18"/>
              </w:rPr>
            </w:pPr>
            <w:r>
              <w:rPr>
                <w:rFonts w:eastAsia="Calibri" w:cs="Calibri"/>
                <w:color w:val="000000"/>
                <w:sz w:val="18"/>
              </w:rPr>
              <w:t>53,731</w:t>
            </w:r>
          </w:p>
        </w:tc>
        <w:tc>
          <w:tcPr>
            <w:tcW w:w="2385" w:type="dxa"/>
            <w:tcBorders>
              <w:top w:val="nil"/>
              <w:left w:val="nil"/>
              <w:bottom w:val="nil"/>
              <w:right w:val="nil"/>
              <w:tl2br w:val="nil"/>
              <w:tr2bl w:val="nil"/>
            </w:tcBorders>
            <w:shd w:val="clear" w:color="auto" w:fill="auto"/>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Land Revenue</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color w:val="000000"/>
                <w:sz w:val="18"/>
              </w:rPr>
            </w:pPr>
            <w:r>
              <w:rPr>
                <w:rFonts w:eastAsia="Calibri" w:cs="Calibri"/>
                <w:color w:val="000000"/>
                <w:sz w:val="18"/>
              </w:rPr>
              <w:t>62,091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color w:val="000000"/>
                <w:sz w:val="18"/>
              </w:rPr>
            </w:pPr>
            <w:r>
              <w:rPr>
                <w:rFonts w:eastAsia="Calibri" w:cs="Calibri"/>
                <w:color w:val="000000"/>
                <w:sz w:val="18"/>
              </w:rPr>
              <w:t>31,272</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color w:val="000000"/>
                <w:sz w:val="18"/>
              </w:rPr>
            </w:pPr>
            <w:r>
              <w:rPr>
                <w:rFonts w:eastAsia="Calibri" w:cs="Calibri"/>
                <w:color w:val="000000"/>
                <w:sz w:val="18"/>
              </w:rPr>
              <w:t>-50</w:t>
            </w:r>
            <w:r w:rsidR="007D229C">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color w:val="000000"/>
                <w:sz w:val="18"/>
              </w:rPr>
            </w:pPr>
            <w:r>
              <w:rPr>
                <w:rFonts w:eastAsia="Calibri" w:cs="Calibri"/>
                <w:color w:val="000000"/>
                <w:sz w:val="18"/>
              </w:rPr>
              <w:t>2,956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color w:val="000000"/>
                <w:sz w:val="18"/>
              </w:rPr>
            </w:pPr>
            <w:r>
              <w:rPr>
                <w:rFonts w:eastAsia="Calibri" w:cs="Calibri"/>
                <w:color w:val="000000"/>
                <w:sz w:val="18"/>
              </w:rPr>
              <w:t>3,543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68,102</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77,026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41,472</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-46</w:t>
            </w:r>
            <w:r w:rsidR="007D229C">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21,811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12,245</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2</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color w:val="000000"/>
                <w:sz w:val="18"/>
              </w:rPr>
            </w:pPr>
            <w:r>
              <w:rPr>
                <w:rFonts w:eastAsia="Calibri" w:cs="Calibri"/>
                <w:color w:val="000000"/>
                <w:sz w:val="18"/>
              </w:rPr>
              <w:t>Other Gains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2</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68,104</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77,026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41,472</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-46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21,811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12,245</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6,373</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4,493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2,453</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-45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2,492</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2,530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633</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433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506</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491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586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8,865</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4,708</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1,550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-67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1,181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997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36</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54</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55</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55</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1,675</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3,504</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4,280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22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4,020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4,840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45,419</w:t>
            </w:r>
          </w:p>
        </w:tc>
        <w:tc>
          <w:tcPr>
            <w:tcW w:w="2385" w:type="dxa"/>
            <w:tcBorders>
              <w:top w:val="nil"/>
              <w:left w:val="nil"/>
              <w:bottom w:val="nil"/>
              <w:right w:val="nil"/>
              <w:tl2br w:val="nil"/>
              <w:tr2bl w:val="nil"/>
            </w:tcBorders>
            <w:shd w:val="clear" w:color="FFFFFF" w:fill="FFFFFF"/>
            <w:noWrap/>
            <w:tcMar>
              <w:left w:w="101" w:type="dxa"/>
              <w:right w:w="101" w:type="dxa"/>
            </w:tcMar>
          </w:tcPr>
          <w:p w:rsidR="007D229C" w:rsidRDefault="007D229C" w:rsidP="0088134A">
            <w:pPr>
              <w:spacing w:before="0" w:after="0"/>
              <w:ind w:left="113" w:hanging="113"/>
              <w:rPr>
                <w:rFonts w:eastAsia="Calibri" w:cs="Calibri"/>
                <w:color w:val="000000"/>
                <w:sz w:val="18"/>
              </w:rPr>
            </w:pPr>
            <w:r>
              <w:rPr>
                <w:rFonts w:eastAsia="Calibri" w:cs="Calibri"/>
                <w:color w:val="000000"/>
                <w:sz w:val="18"/>
              </w:rPr>
              <w:t>Transfer 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55,246</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27,600</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 xml:space="preserve">-50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2,541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3,113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color w:val="000000"/>
                <w:sz w:val="18"/>
              </w:rPr>
            </w:pPr>
            <w:r>
              <w:rPr>
                <w:rFonts w:eastAsia="Calibri" w:cs="Calibri"/>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63,001</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88134A" w:rsidP="00F83E2E">
            <w:pPr>
              <w:spacing w:before="0" w:after="0"/>
              <w:rPr>
                <w:rFonts w:eastAsia="Calibri" w:cs="Calibri"/>
                <w:b/>
                <w:color w:val="000000"/>
                <w:sz w:val="18"/>
              </w:rPr>
            </w:pPr>
            <w:r>
              <w:rPr>
                <w:rFonts w:eastAsia="Calibri" w:cs="Calibri"/>
                <w:b/>
                <w:color w:val="000000"/>
                <w:sz w:val="18"/>
              </w:rPr>
              <w:t xml:space="preserve">Total </w:t>
            </w:r>
            <w:r w:rsidR="007D229C">
              <w:rPr>
                <w:rFonts w:eastAsia="Calibri" w:cs="Calibri"/>
                <w:b/>
                <w:color w:val="000000"/>
                <w:sz w:val="18"/>
              </w:rPr>
              <w:t>Expenses</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68,438</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36,444</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-47</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10,780</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12,122</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D5137A" w:rsidP="00F83E2E">
            <w:pPr>
              <w:spacing w:before="0" w:after="0"/>
              <w:jc w:val="right"/>
              <w:rPr>
                <w:rFonts w:eastAsia="Calibri" w:cs="Calibri"/>
                <w:b/>
                <w:color w:val="000000"/>
                <w:sz w:val="18"/>
              </w:rPr>
            </w:pPr>
            <w:r>
              <w:rPr>
                <w:rFonts w:eastAsia="Calibri" w:cs="Calibri"/>
                <w:b/>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5,103</w:t>
            </w:r>
          </w:p>
        </w:tc>
        <w:tc>
          <w:tcPr>
            <w:tcW w:w="238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8,588</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5,028</w:t>
            </w:r>
          </w:p>
        </w:tc>
        <w:tc>
          <w:tcPr>
            <w:tcW w:w="600"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 xml:space="preserve">-41 </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11,031</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123</w:t>
            </w:r>
          </w:p>
        </w:tc>
        <w:tc>
          <w:tcPr>
            <w:tcW w:w="1035" w:type="dxa"/>
            <w:tcBorders>
              <w:top w:val="nil"/>
              <w:left w:val="nil"/>
              <w:bottom w:val="nil"/>
              <w:right w:val="nil"/>
              <w:tl2br w:val="nil"/>
              <w:tr2bl w:val="nil"/>
            </w:tcBorders>
            <w:shd w:val="clear" w:color="FFFFFF" w:fill="FFFFFF"/>
            <w:tcMar>
              <w:left w:w="101" w:type="dxa"/>
              <w:right w:w="101" w:type="dxa"/>
            </w:tcMar>
          </w:tcPr>
          <w:p w:rsidR="007D229C" w:rsidRDefault="007D229C" w:rsidP="00F83E2E">
            <w:pPr>
              <w:spacing w:before="0" w:after="0"/>
              <w:jc w:val="right"/>
              <w:rPr>
                <w:rFonts w:eastAsia="Calibri" w:cs="Calibri"/>
                <w:b/>
                <w:color w:val="000000"/>
                <w:sz w:val="18"/>
              </w:rPr>
            </w:pPr>
            <w:r>
              <w:rPr>
                <w:rFonts w:eastAsia="Calibri" w:cs="Calibri"/>
                <w:b/>
                <w:color w:val="000000"/>
                <w:sz w:val="18"/>
              </w:rPr>
              <w:t>0</w:t>
            </w:r>
          </w:p>
        </w:tc>
      </w:tr>
      <w:tr w:rsidR="007D229C"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29C" w:rsidRDefault="007D229C" w:rsidP="00F83E2E">
            <w:pPr>
              <w:spacing w:before="0" w:after="0"/>
              <w:rPr>
                <w:rFonts w:eastAsia="Calibri" w:cs="Calibri"/>
                <w:color w:val="000000"/>
                <w:sz w:val="18"/>
              </w:rPr>
            </w:pPr>
          </w:p>
        </w:tc>
      </w:tr>
    </w:tbl>
    <w:p w:rsidR="007114AE" w:rsidRPr="007D2AC0" w:rsidRDefault="00DC58C5" w:rsidP="007114AE">
      <w:pPr>
        <w:pStyle w:val="Caption"/>
        <w:pageBreakBefore/>
        <w:pBdr>
          <w:top w:val="nil"/>
          <w:left w:val="nil"/>
          <w:bottom w:val="nil"/>
          <w:right w:val="nil"/>
          <w:between w:val="nil"/>
          <w:bar w:val="nil"/>
        </w:pBdr>
        <w:rPr>
          <w:rFonts w:eastAsia="TimesNewRomanPS-ItalicMT"/>
          <w:bdr w:val="nil"/>
        </w:rPr>
      </w:pPr>
      <w:r>
        <w:rPr>
          <w:bdr w:val="nil"/>
        </w:rPr>
        <w:t>Table 45</w:t>
      </w:r>
      <w:r w:rsidR="002435BD" w:rsidRPr="0088134A">
        <w:rPr>
          <w:bdr w:val="nil"/>
        </w:rPr>
        <w:t>: Output Class 6: Public Housing Renewal Taskforce Operating Statement</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5576C2">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Budget</w:t>
            </w:r>
            <w:r w:rsidR="0088134A" w:rsidRPr="0088134A">
              <w:rPr>
                <w:rFonts w:eastAsia="Calibri" w:cs="Calibri"/>
                <w:b/>
                <w:color w:val="000000"/>
                <w:sz w:val="18"/>
                <w:vertAlign w:val="superscript"/>
              </w:rPr>
              <w:t>1</w:t>
            </w:r>
            <w:r>
              <w:rPr>
                <w:rFonts w:eastAsia="Calibri" w:cs="Calibri"/>
                <w:b/>
                <w:color w:val="000000"/>
                <w:sz w:val="18"/>
              </w:rPr>
              <w:t xml:space="preserve">            </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2018-19 </w:t>
            </w:r>
          </w:p>
          <w:p w:rsidR="005576C2" w:rsidRDefault="002435BD">
            <w:pPr>
              <w:spacing w:before="0" w:after="0"/>
              <w:jc w:val="right"/>
              <w:rPr>
                <w:rFonts w:eastAsia="Calibri" w:cs="Calibri"/>
                <w:b/>
                <w:color w:val="000000"/>
                <w:sz w:val="18"/>
              </w:rPr>
            </w:pPr>
            <w:r>
              <w:rPr>
                <w:rFonts w:eastAsia="Calibri" w:cs="Calibri"/>
                <w:b/>
                <w:color w:val="000000"/>
                <w:sz w:val="18"/>
              </w:rPr>
              <w:t>Budget</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Var</w:t>
            </w:r>
          </w:p>
          <w:p w:rsidR="005576C2" w:rsidRDefault="002435BD">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2019-20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2020-21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2021-22 </w:t>
            </w:r>
          </w:p>
          <w:p w:rsidR="005576C2" w:rsidRDefault="002435BD">
            <w:pPr>
              <w:spacing w:before="0" w:after="0"/>
              <w:jc w:val="right"/>
              <w:rPr>
                <w:rFonts w:eastAsia="Calibri" w:cs="Calibri"/>
                <w:b/>
                <w:color w:val="000000"/>
                <w:sz w:val="18"/>
              </w:rPr>
            </w:pPr>
            <w:r>
              <w:rPr>
                <w:rFonts w:eastAsia="Calibri" w:cs="Calibri"/>
                <w:b/>
                <w:color w:val="000000"/>
                <w:sz w:val="18"/>
              </w:rPr>
              <w:t>Estimate</w:t>
            </w:r>
          </w:p>
          <w:p w:rsidR="005576C2" w:rsidRDefault="005576C2">
            <w:pPr>
              <w:spacing w:before="0" w:after="0"/>
              <w:jc w:val="right"/>
              <w:rPr>
                <w:rFonts w:eastAsia="Calibri" w:cs="Calibri"/>
                <w:b/>
                <w:color w:val="000000"/>
                <w:sz w:val="18"/>
              </w:rPr>
            </w:pPr>
          </w:p>
          <w:p w:rsidR="005576C2" w:rsidRDefault="002435BD">
            <w:pPr>
              <w:spacing w:before="0" w:after="0"/>
              <w:jc w:val="right"/>
              <w:rPr>
                <w:rFonts w:eastAsia="Calibri" w:cs="Calibri"/>
                <w:b/>
                <w:color w:val="000000"/>
                <w:sz w:val="18"/>
              </w:rPr>
            </w:pPr>
            <w:r>
              <w:rPr>
                <w:rFonts w:eastAsia="Calibri" w:cs="Calibri"/>
                <w:b/>
                <w:color w:val="000000"/>
                <w:sz w:val="18"/>
              </w:rPr>
              <w:t xml:space="preserve"> $'000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5576C2" w:rsidRDefault="005576C2">
            <w:pPr>
              <w:spacing w:before="0" w:after="0"/>
              <w:jc w:val="right"/>
              <w:rPr>
                <w:rFonts w:eastAsia="Calibri" w:cs="Calibri"/>
                <w:b/>
                <w: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41,680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8,829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-79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2,647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18,000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41,680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26,829</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-36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2,647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1,162</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1,055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329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143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100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40,349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7,695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-81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2,209</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7</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13,300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55</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5576C2" w:rsidRDefault="002435BD" w:rsidP="0088134A">
            <w:pPr>
              <w:spacing w:before="0" w:after="0"/>
              <w:ind w:left="113" w:hanging="113"/>
              <w:rPr>
                <w:rFonts w:eastAsia="Calibri" w:cs="Calibri"/>
                <w:color w:val="000000"/>
                <w:sz w:val="18"/>
              </w:rPr>
            </w:pPr>
            <w:r>
              <w:rPr>
                <w:rFonts w:eastAsia="Calibri" w:cs="Calibri"/>
                <w:color w:val="000000"/>
                <w:sz w:val="18"/>
              </w:rPr>
              <w:t>Transfer 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4,700</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color w:val="000000"/>
                <w:sz w:val="18"/>
              </w:rPr>
            </w:pPr>
            <w:r>
              <w:rPr>
                <w:rFonts w:eastAsia="Calibri" w:cs="Calibri"/>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88134A">
            <w:pPr>
              <w:spacing w:before="0" w:after="0"/>
              <w:rPr>
                <w:rFonts w:eastAsia="Calibri" w:cs="Calibri"/>
                <w:b/>
                <w:color w:val="000000"/>
                <w:sz w:val="18"/>
              </w:rPr>
            </w:pPr>
            <w:r>
              <w:rPr>
                <w:rFonts w:eastAsia="Calibri" w:cs="Calibri"/>
                <w:b/>
                <w:color w:val="000000"/>
                <w:sz w:val="18"/>
              </w:rPr>
              <w:t xml:space="preserve">Total </w:t>
            </w:r>
            <w:r w:rsidR="002435BD">
              <w:rPr>
                <w:rFonts w:eastAsia="Calibri" w:cs="Calibri"/>
                <w:b/>
                <w:color w:val="000000"/>
                <w:sz w:val="18"/>
              </w:rPr>
              <w:t>Expenses</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41,716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26,947</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-35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2,700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-36</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-118</w:t>
            </w:r>
          </w:p>
        </w:tc>
        <w:tc>
          <w:tcPr>
            <w:tcW w:w="600"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 xml:space="preserve">-228 </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-53</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5576C2" w:rsidRDefault="002435BD">
            <w:pPr>
              <w:spacing w:before="0" w:after="0"/>
              <w:jc w:val="right"/>
              <w:rPr>
                <w:rFonts w:eastAsia="Calibri" w:cs="Calibri"/>
                <w:b/>
                <w:color w:val="000000"/>
                <w:sz w:val="18"/>
              </w:rPr>
            </w:pPr>
            <w:r>
              <w:rPr>
                <w:rFonts w:eastAsia="Calibri" w:cs="Calibri"/>
                <w:b/>
                <w:color w:val="000000"/>
                <w:sz w:val="18"/>
              </w:rPr>
              <w:t>0</w:t>
            </w:r>
          </w:p>
        </w:tc>
      </w:tr>
      <w:tr w:rsidR="00557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5576C2" w:rsidRDefault="005576C2">
            <w:pPr>
              <w:spacing w:before="0" w:after="0"/>
              <w:rPr>
                <w:rFonts w:eastAsia="Calibri" w:cs="Calibri"/>
                <w:color w:val="000000"/>
                <w:sz w:val="18"/>
              </w:rPr>
            </w:pPr>
          </w:p>
        </w:tc>
      </w:tr>
    </w:tbl>
    <w:p w:rsidR="0088134A" w:rsidRDefault="0088134A" w:rsidP="0088134A">
      <w:pPr>
        <w:pStyle w:val="BSnote2"/>
      </w:pPr>
      <w:r>
        <w:t>Note(s):</w:t>
      </w:r>
    </w:p>
    <w:p w:rsidR="0088134A" w:rsidRDefault="0088134A" w:rsidP="00862CB5">
      <w:pPr>
        <w:pStyle w:val="BSnoteslist20"/>
        <w:numPr>
          <w:ilvl w:val="0"/>
          <w:numId w:val="59"/>
        </w:numPr>
      </w:pPr>
      <w:r>
        <w:t>This is a new Output Class. The 2017</w:t>
      </w:r>
      <w:r>
        <w:noBreakHyphen/>
        <w:t xml:space="preserve">18 Budget for the Public Housing Renewal Taskforce was included in Output Class 4: Land Strategy and Urban Renewal. </w:t>
      </w:r>
    </w:p>
    <w:p w:rsidR="00F13AD5" w:rsidRDefault="00F13AD5"/>
    <w:p w:rsidR="00F13AD5" w:rsidRDefault="00F13AD5">
      <w:pPr>
        <w:spacing w:before="0" w:after="0"/>
      </w:pPr>
      <w:r>
        <w:br w:type="page"/>
      </w:r>
    </w:p>
    <w:p w:rsidR="00F13AD5" w:rsidRDefault="00F13AD5">
      <w:pPr>
        <w:sectPr w:rsidR="00F13AD5" w:rsidSect="006A31A4">
          <w:footerReference w:type="default" r:id="rId22"/>
          <w:type w:val="continuous"/>
          <w:pgSz w:w="11906" w:h="16838"/>
          <w:pgMar w:top="1151" w:right="1440" w:bottom="1729" w:left="1440" w:header="720" w:footer="720" w:gutter="0"/>
          <w:pgBorders>
            <w:top w:val="nil"/>
            <w:left w:val="nil"/>
            <w:bottom w:val="nil"/>
            <w:right w:val="nil"/>
          </w:pgBorders>
          <w:pgNumType w:start="1"/>
          <w:cols w:space="720"/>
        </w:sectPr>
      </w:pPr>
    </w:p>
    <w:p w:rsidR="00F13AD5" w:rsidRDefault="00F13AD5" w:rsidP="00F13AD5">
      <w:pPr>
        <w:pStyle w:val="Heading1"/>
        <w:pageBreakBefore/>
        <w:rPr>
          <w:szCs w:val="48"/>
        </w:rPr>
      </w:pPr>
      <w:bookmarkStart w:id="110" w:name="_Toc514840961"/>
      <w:bookmarkStart w:id="111" w:name="_Toc514841037"/>
      <w:r>
        <w:rPr>
          <w:szCs w:val="48"/>
        </w:rPr>
        <w:t>CITY RENEWAL AUTHORITY</w:t>
      </w:r>
      <w:r w:rsidRPr="00E85369">
        <w:rPr>
          <w:szCs w:val="48"/>
        </w:rPr>
        <w:t xml:space="preserve"> – STATEMENT OF INTENT</w:t>
      </w:r>
      <w:bookmarkEnd w:id="110"/>
      <w:bookmarkEnd w:id="111"/>
    </w:p>
    <w:p w:rsidR="00F13AD5" w:rsidRDefault="00F13AD5" w:rsidP="00F13AD5">
      <w:pPr>
        <w:pStyle w:val="Normal0"/>
        <w:rPr>
          <w:bCs/>
        </w:rPr>
      </w:pPr>
      <w:r w:rsidRPr="00236A02">
        <w:t xml:space="preserve">The </w:t>
      </w:r>
      <w:r>
        <w:t>City Renewal Authority</w:t>
      </w:r>
      <w:r w:rsidRPr="00236A02">
        <w:t xml:space="preserve"> is a Territory Authority established under the </w:t>
      </w:r>
      <w:r w:rsidRPr="00236A02">
        <w:rPr>
          <w:i/>
        </w:rPr>
        <w:t>City Renewal Authority and Suburban Land Agency Act 2017</w:t>
      </w:r>
      <w:r w:rsidRPr="00236A02">
        <w:t>.</w:t>
      </w:r>
      <w:r>
        <w:t xml:space="preserve"> </w:t>
      </w:r>
    </w:p>
    <w:p w:rsidR="00F13AD5" w:rsidRDefault="00F13AD5" w:rsidP="00F13AD5">
      <w:pPr>
        <w:pStyle w:val="Normal0"/>
      </w:pPr>
      <w:r>
        <w:t>The City Renewal Authority was established to play the crucial role of co-ordinating and implementing world-class urban renewal within the City Renewal Precinct. The establishment of the City Renewal Authority ensures that as Canberra grows, its city centre and immediate surrounds will further evolve into a thriving precinct with well-designed buildings and public spaces that improve activity, connectivity and sustainability.</w:t>
      </w:r>
    </w:p>
    <w:p w:rsidR="00F13AD5" w:rsidRDefault="00F13AD5" w:rsidP="00F13AD5">
      <w:pPr>
        <w:pStyle w:val="Normal0"/>
        <w:rPr>
          <w:caps/>
          <w:lang w:val="en-US"/>
        </w:rPr>
      </w:pPr>
      <w:r>
        <w:t xml:space="preserve">This Statement of Intent for 2018-19 has been prepared in accordance with Section 61 of the </w:t>
      </w:r>
      <w:r>
        <w:rPr>
          <w:i/>
          <w:iCs/>
        </w:rPr>
        <w:t xml:space="preserve">Financial Management Act 1996. </w:t>
      </w:r>
    </w:p>
    <w:p w:rsidR="00F13AD5" w:rsidRDefault="00F13AD5" w:rsidP="00F13AD5">
      <w:pPr>
        <w:pStyle w:val="Normal0"/>
        <w:rPr>
          <w:rFonts w:cs="Calibri"/>
        </w:rPr>
      </w:pPr>
      <w:r>
        <w:rPr>
          <w:rFonts w:cs="Calibri"/>
          <w:bCs/>
        </w:rPr>
        <w:t>The responsible Minister</w:t>
      </w:r>
      <w:r w:rsidRPr="00236A02">
        <w:rPr>
          <w:rFonts w:cs="Calibri"/>
          <w:bCs/>
        </w:rPr>
        <w:t>, Andrew Barr MLA</w:t>
      </w:r>
      <w:r w:rsidRPr="00236A02">
        <w:rPr>
          <w:rFonts w:cs="Calibri"/>
        </w:rPr>
        <w:t>, was consulted during the preparation of the Statement of Intent.</w:t>
      </w:r>
      <w:r>
        <w:rPr>
          <w:rFonts w:cs="Calibri"/>
        </w:rPr>
        <w:t xml:space="preserve"> The Statement of Intent, which focuses on the </w:t>
      </w:r>
      <w:r>
        <w:t xml:space="preserve">2018-19 </w:t>
      </w:r>
      <w:r>
        <w:rPr>
          <w:rFonts w:cs="Calibri"/>
        </w:rPr>
        <w:t xml:space="preserve">Budget year, has been developed in the context of a four year forward planning horizon to be incorporated, as far as practicable, into the </w:t>
      </w:r>
      <w:r>
        <w:t xml:space="preserve">City Renewal Authority </w:t>
      </w:r>
      <w:r>
        <w:rPr>
          <w:rFonts w:cs="Calibri"/>
        </w:rPr>
        <w:t>strategic and business planning processes.</w:t>
      </w:r>
    </w:p>
    <w:p w:rsidR="00F13AD5" w:rsidRDefault="00F13AD5" w:rsidP="00F13AD5">
      <w:pPr>
        <w:pStyle w:val="Normal0"/>
        <w:rPr>
          <w:rFonts w:cs="Calibri"/>
          <w:lang w:val="en-US"/>
        </w:rPr>
      </w:pPr>
      <w:r>
        <w:rPr>
          <w:rFonts w:cs="Calibri"/>
          <w:lang w:val="en-US"/>
        </w:rPr>
        <w:t>The City Renewal Authority</w:t>
      </w:r>
      <w:r>
        <w:t xml:space="preserve"> 2018-19 </w:t>
      </w:r>
      <w:r>
        <w:rPr>
          <w:rFonts w:cs="Calibri"/>
          <w:lang w:val="en-US"/>
        </w:rPr>
        <w:t>Statement of Intent has been agreed between:</w:t>
      </w:r>
    </w:p>
    <w:p w:rsidR="00141D5E" w:rsidRDefault="00141D5E" w:rsidP="00F13AD5">
      <w:pPr>
        <w:pStyle w:val="Normal0"/>
        <w:rPr>
          <w:vanish/>
        </w:rPr>
      </w:pPr>
    </w:p>
    <w:p w:rsidR="00141D5E" w:rsidRDefault="00FB585B" w:rsidP="00141D5E">
      <w:r>
        <w:rPr>
          <w:noProof/>
          <w:lang w:eastAsia="en-AU"/>
        </w:rPr>
        <w:drawing>
          <wp:inline distT="0" distB="0" distL="0" distR="0" wp14:anchorId="1F54B6F6" wp14:editId="00AC8570">
            <wp:extent cx="5731510" cy="26022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2602230"/>
                    </a:xfrm>
                    <a:prstGeom prst="rect">
                      <a:avLst/>
                    </a:prstGeom>
                  </pic:spPr>
                </pic:pic>
              </a:graphicData>
            </a:graphic>
          </wp:inline>
        </w:drawing>
      </w:r>
    </w:p>
    <w:p w:rsidR="00F13AD5" w:rsidRPr="00141D5E" w:rsidRDefault="00F13AD5" w:rsidP="00141D5E">
      <w:pPr>
        <w:jc w:val="center"/>
      </w:pPr>
    </w:p>
    <w:p w:rsidR="00F13AD5" w:rsidRPr="00AB5AA0" w:rsidRDefault="00F13AD5" w:rsidP="00B632C2">
      <w:pPr>
        <w:pStyle w:val="Heading1"/>
      </w:pPr>
      <w:bookmarkStart w:id="112" w:name="_Toc514840962"/>
      <w:bookmarkStart w:id="113" w:name="_Toc514841038"/>
      <w:r>
        <w:t>CITY RENEWAL AUTHORITY</w:t>
      </w:r>
      <w:bookmarkEnd w:id="112"/>
      <w:bookmarkEnd w:id="113"/>
    </w:p>
    <w:p w:rsidR="00F13AD5" w:rsidRDefault="00F13AD5" w:rsidP="00F13AD5">
      <w:pPr>
        <w:pStyle w:val="Heading2"/>
      </w:pPr>
      <w:bookmarkStart w:id="114" w:name="_Toc514840963"/>
      <w:bookmarkStart w:id="115" w:name="_Toc514841039"/>
      <w:r>
        <w:t>Purpose</w:t>
      </w:r>
      <w:bookmarkEnd w:id="114"/>
      <w:bookmarkEnd w:id="115"/>
    </w:p>
    <w:p w:rsidR="00F13AD5" w:rsidRPr="00403494" w:rsidRDefault="00F13AD5" w:rsidP="00F50AA3">
      <w:pPr>
        <w:pStyle w:val="BodyText"/>
        <w:keepNext w:val="0"/>
        <w:keepLines w:val="0"/>
        <w:spacing w:before="240" w:after="0"/>
        <w:jc w:val="left"/>
        <w:rPr>
          <w:rFonts w:asciiTheme="minorHAnsi" w:hAnsiTheme="minorHAnsi" w:cs="Arial"/>
          <w:szCs w:val="24"/>
        </w:rPr>
      </w:pPr>
      <w:r w:rsidRPr="00403494">
        <w:rPr>
          <w:rFonts w:asciiTheme="minorHAnsi" w:hAnsiTheme="minorHAnsi" w:cs="Arial"/>
          <w:szCs w:val="24"/>
        </w:rPr>
        <w:t xml:space="preserve">The </w:t>
      </w:r>
      <w:r>
        <w:rPr>
          <w:rFonts w:asciiTheme="minorHAnsi" w:hAnsiTheme="minorHAnsi" w:cs="Arial"/>
          <w:szCs w:val="24"/>
        </w:rPr>
        <w:t xml:space="preserve">City Renewal </w:t>
      </w:r>
      <w:r w:rsidRPr="00403494">
        <w:rPr>
          <w:rFonts w:asciiTheme="minorHAnsi" w:hAnsiTheme="minorHAnsi" w:cs="Arial"/>
          <w:szCs w:val="24"/>
        </w:rPr>
        <w:t>Authority</w:t>
      </w:r>
      <w:r>
        <w:rPr>
          <w:rFonts w:asciiTheme="minorHAnsi" w:hAnsiTheme="minorHAnsi" w:cs="Arial"/>
          <w:szCs w:val="24"/>
        </w:rPr>
        <w:t xml:space="preserve"> (the Authority)</w:t>
      </w:r>
      <w:r w:rsidRPr="00403494">
        <w:rPr>
          <w:rFonts w:asciiTheme="minorHAnsi" w:hAnsiTheme="minorHAnsi" w:cs="Arial"/>
          <w:szCs w:val="24"/>
        </w:rPr>
        <w:t xml:space="preserve"> is established under </w:t>
      </w:r>
      <w:r>
        <w:rPr>
          <w:rFonts w:asciiTheme="minorHAnsi" w:hAnsiTheme="minorHAnsi" w:cs="Arial"/>
          <w:szCs w:val="24"/>
        </w:rPr>
        <w:t xml:space="preserve">Section </w:t>
      </w:r>
      <w:r w:rsidRPr="00403494">
        <w:rPr>
          <w:rFonts w:asciiTheme="minorHAnsi" w:hAnsiTheme="minorHAnsi" w:cs="Arial"/>
          <w:szCs w:val="24"/>
        </w:rPr>
        <w:t xml:space="preserve">7 of the </w:t>
      </w:r>
      <w:r w:rsidRPr="00403494">
        <w:rPr>
          <w:rFonts w:asciiTheme="minorHAnsi" w:hAnsiTheme="minorHAnsi" w:cs="Arial"/>
          <w:i/>
          <w:szCs w:val="24"/>
        </w:rPr>
        <w:t xml:space="preserve">City Renewal Authority and Suburban Land Agency Act </w:t>
      </w:r>
      <w:r w:rsidRPr="00403494">
        <w:rPr>
          <w:rFonts w:asciiTheme="minorHAnsi" w:hAnsiTheme="minorHAnsi" w:cs="Arial"/>
          <w:szCs w:val="24"/>
        </w:rPr>
        <w:t>2017 (the Act), and regulated by Parts 8 and 9 of the</w:t>
      </w:r>
      <w:r w:rsidRPr="00403494">
        <w:rPr>
          <w:rFonts w:asciiTheme="minorHAnsi" w:hAnsiTheme="minorHAnsi" w:cs="Arial"/>
          <w:i/>
          <w:szCs w:val="24"/>
        </w:rPr>
        <w:t xml:space="preserve"> Financial Management Act 1996</w:t>
      </w:r>
      <w:r w:rsidRPr="00403494">
        <w:rPr>
          <w:rFonts w:asciiTheme="minorHAnsi" w:hAnsiTheme="minorHAnsi" w:cs="Arial"/>
          <w:szCs w:val="24"/>
        </w:rPr>
        <w:t xml:space="preserve">, </w:t>
      </w:r>
      <w:r>
        <w:rPr>
          <w:rFonts w:asciiTheme="minorHAnsi" w:hAnsiTheme="minorHAnsi" w:cs="Arial"/>
          <w:szCs w:val="24"/>
        </w:rPr>
        <w:t xml:space="preserve">Section </w:t>
      </w:r>
      <w:r w:rsidRPr="00403494">
        <w:rPr>
          <w:rFonts w:asciiTheme="minorHAnsi" w:hAnsiTheme="minorHAnsi" w:cs="Arial"/>
          <w:szCs w:val="24"/>
        </w:rPr>
        <w:t xml:space="preserve">50 of the </w:t>
      </w:r>
      <w:r w:rsidRPr="00403494">
        <w:rPr>
          <w:rFonts w:asciiTheme="minorHAnsi" w:hAnsiTheme="minorHAnsi" w:cs="Arial"/>
          <w:i/>
          <w:szCs w:val="24"/>
        </w:rPr>
        <w:t>Planning and Development Act 2007</w:t>
      </w:r>
      <w:r w:rsidRPr="00403494">
        <w:rPr>
          <w:rFonts w:asciiTheme="minorHAnsi" w:hAnsiTheme="minorHAnsi" w:cs="Arial"/>
          <w:szCs w:val="24"/>
        </w:rPr>
        <w:t xml:space="preserve"> and the </w:t>
      </w:r>
      <w:r w:rsidRPr="00403494">
        <w:rPr>
          <w:rFonts w:asciiTheme="minorHAnsi" w:hAnsiTheme="minorHAnsi" w:cs="Arial"/>
          <w:i/>
          <w:szCs w:val="24"/>
        </w:rPr>
        <w:t>Public Sector Management Act 1994</w:t>
      </w:r>
      <w:r w:rsidRPr="00403494">
        <w:rPr>
          <w:rFonts w:asciiTheme="minorHAnsi" w:hAnsiTheme="minorHAnsi" w:cs="Arial"/>
          <w:szCs w:val="24"/>
        </w:rPr>
        <w:t>, to lead, manage, facilitate and undertake urban renewal projects in declared urban renewal precincts.</w:t>
      </w:r>
    </w:p>
    <w:p w:rsidR="00F13AD5" w:rsidRPr="00403494" w:rsidRDefault="00F13AD5" w:rsidP="00F50AA3">
      <w:pPr>
        <w:pStyle w:val="BodyText"/>
        <w:keepNext w:val="0"/>
        <w:keepLines w:val="0"/>
        <w:spacing w:before="240" w:after="0"/>
        <w:jc w:val="left"/>
        <w:rPr>
          <w:rFonts w:asciiTheme="minorHAnsi" w:hAnsiTheme="minorHAnsi" w:cs="Arial"/>
          <w:szCs w:val="24"/>
        </w:rPr>
      </w:pPr>
      <w:r w:rsidRPr="00403494">
        <w:rPr>
          <w:rFonts w:asciiTheme="minorHAnsi" w:hAnsiTheme="minorHAnsi" w:cs="Arial"/>
          <w:szCs w:val="24"/>
        </w:rPr>
        <w:t>Working with the community, the Authority recognises that the places that define our city are for its citizens to live in, enjoy and to support a quality of life Canberrans expect and deserve. The objects of</w:t>
      </w:r>
      <w:r>
        <w:rPr>
          <w:rFonts w:asciiTheme="minorHAnsi" w:hAnsiTheme="minorHAnsi" w:cs="Arial"/>
          <w:szCs w:val="24"/>
        </w:rPr>
        <w:t xml:space="preserve"> the Authority are set out in Section </w:t>
      </w:r>
      <w:r w:rsidRPr="00403494">
        <w:rPr>
          <w:rFonts w:asciiTheme="minorHAnsi" w:hAnsiTheme="minorHAnsi" w:cs="Arial"/>
          <w:szCs w:val="24"/>
        </w:rPr>
        <w:t>8 of the Act and include:</w:t>
      </w:r>
    </w:p>
    <w:p w:rsidR="00F13AD5" w:rsidRPr="00F83E2E" w:rsidRDefault="00F13AD5" w:rsidP="000C5F1E">
      <w:pPr>
        <w:pStyle w:val="BSbullet1"/>
        <w:numPr>
          <w:ilvl w:val="0"/>
          <w:numId w:val="3"/>
        </w:numPr>
      </w:pPr>
      <w:r w:rsidRPr="00F83E2E">
        <w:t>the encouragement and promotion of a vibrant city through the delivery of design-led, people-focussed urban renewal;</w:t>
      </w:r>
    </w:p>
    <w:p w:rsidR="00F13AD5" w:rsidRPr="00F83E2E" w:rsidRDefault="00F13AD5" w:rsidP="00F83E2E">
      <w:pPr>
        <w:pStyle w:val="BSbullet1"/>
        <w:numPr>
          <w:ilvl w:val="0"/>
          <w:numId w:val="3"/>
        </w:numPr>
      </w:pPr>
      <w:r w:rsidRPr="00F83E2E">
        <w:t>the encouragement and promotion of social and environmental sustainability; and</w:t>
      </w:r>
    </w:p>
    <w:p w:rsidR="00F13AD5" w:rsidRPr="00F83E2E" w:rsidRDefault="00F13AD5" w:rsidP="00F83E2E">
      <w:pPr>
        <w:pStyle w:val="BSbullet1"/>
        <w:numPr>
          <w:ilvl w:val="0"/>
          <w:numId w:val="3"/>
        </w:numPr>
      </w:pPr>
      <w:r w:rsidRPr="00F83E2E">
        <w:t>operational effectiveness, delivering value for money using sound risk practices.</w:t>
      </w:r>
    </w:p>
    <w:p w:rsidR="00F13AD5" w:rsidRPr="00403494" w:rsidRDefault="00F13AD5" w:rsidP="000C5F1E">
      <w:pPr>
        <w:pStyle w:val="Normal1"/>
        <w:tabs>
          <w:tab w:val="left" w:pos="851"/>
        </w:tabs>
        <w:spacing w:before="240" w:after="120" w:line="276" w:lineRule="auto"/>
        <w:jc w:val="both"/>
        <w:rPr>
          <w:rFonts w:asciiTheme="minorHAnsi" w:hAnsiTheme="minorHAnsi" w:cs="Arial"/>
          <w:szCs w:val="24"/>
        </w:rPr>
      </w:pPr>
      <w:r w:rsidRPr="00403494">
        <w:rPr>
          <w:rFonts w:asciiTheme="minorHAnsi" w:hAnsiTheme="minorHAnsi" w:cs="Arial"/>
          <w:szCs w:val="24"/>
        </w:rPr>
        <w:t xml:space="preserve">The functions of the Authority are set out in </w:t>
      </w:r>
      <w:r>
        <w:rPr>
          <w:rFonts w:asciiTheme="minorHAnsi" w:hAnsiTheme="minorHAnsi" w:cs="Arial"/>
          <w:szCs w:val="24"/>
        </w:rPr>
        <w:t xml:space="preserve">Section </w:t>
      </w:r>
      <w:r w:rsidRPr="00403494">
        <w:rPr>
          <w:rFonts w:asciiTheme="minorHAnsi" w:hAnsiTheme="minorHAnsi" w:cs="Arial"/>
          <w:szCs w:val="24"/>
        </w:rPr>
        <w:t>9 of the Act and include:</w:t>
      </w:r>
    </w:p>
    <w:p w:rsidR="00F13AD5" w:rsidRPr="00F83E2E" w:rsidRDefault="00F13AD5" w:rsidP="000C5F1E">
      <w:pPr>
        <w:pStyle w:val="BSbullet1"/>
        <w:numPr>
          <w:ilvl w:val="0"/>
          <w:numId w:val="3"/>
        </w:numPr>
      </w:pPr>
      <w:r w:rsidRPr="00F83E2E">
        <w:t>carrying out urban renewal;</w:t>
      </w:r>
    </w:p>
    <w:p w:rsidR="00F13AD5" w:rsidRPr="00F83E2E" w:rsidRDefault="00F13AD5" w:rsidP="00F83E2E">
      <w:pPr>
        <w:pStyle w:val="BSbullet1"/>
        <w:numPr>
          <w:ilvl w:val="0"/>
          <w:numId w:val="3"/>
        </w:numPr>
      </w:pPr>
      <w:r w:rsidRPr="00F83E2E">
        <w:t>buying and selling leases of land on behalf of the Territory;</w:t>
      </w:r>
    </w:p>
    <w:p w:rsidR="00F13AD5" w:rsidRPr="00F83E2E" w:rsidRDefault="00F13AD5" w:rsidP="00F83E2E">
      <w:pPr>
        <w:pStyle w:val="BSbullet1"/>
        <w:numPr>
          <w:ilvl w:val="0"/>
          <w:numId w:val="3"/>
        </w:numPr>
      </w:pPr>
      <w:r w:rsidRPr="00F83E2E">
        <w:t>making arrangements for the public service or another entity to carry out development or works;</w:t>
      </w:r>
    </w:p>
    <w:p w:rsidR="00F13AD5" w:rsidRPr="00F83E2E" w:rsidRDefault="00F13AD5" w:rsidP="00F83E2E">
      <w:pPr>
        <w:pStyle w:val="BSbullet1"/>
        <w:numPr>
          <w:ilvl w:val="0"/>
          <w:numId w:val="3"/>
        </w:numPr>
      </w:pPr>
      <w:r w:rsidRPr="00F83E2E">
        <w:t>supporting public and private sector investment and participation in urban renewal;</w:t>
      </w:r>
    </w:p>
    <w:p w:rsidR="00F13AD5" w:rsidRPr="00F83E2E" w:rsidRDefault="00F13AD5" w:rsidP="00F83E2E">
      <w:pPr>
        <w:pStyle w:val="BSbullet1"/>
        <w:numPr>
          <w:ilvl w:val="0"/>
          <w:numId w:val="3"/>
        </w:numPr>
      </w:pPr>
      <w:r w:rsidRPr="00F83E2E">
        <w:t>managing orderly urban renewal, including holding, managing and selling land and other property;</w:t>
      </w:r>
    </w:p>
    <w:p w:rsidR="00F13AD5" w:rsidRPr="00F83E2E" w:rsidRDefault="00F13AD5" w:rsidP="00F83E2E">
      <w:pPr>
        <w:pStyle w:val="BSbullet1"/>
        <w:numPr>
          <w:ilvl w:val="0"/>
          <w:numId w:val="3"/>
        </w:numPr>
      </w:pPr>
      <w:r w:rsidRPr="00F83E2E">
        <w:t>supporting cooperation between the Authority, the community, and relevant entities;</w:t>
      </w:r>
    </w:p>
    <w:p w:rsidR="00F13AD5" w:rsidRPr="00F83E2E" w:rsidRDefault="00F13AD5" w:rsidP="00F83E2E">
      <w:pPr>
        <w:pStyle w:val="BSbullet1"/>
        <w:numPr>
          <w:ilvl w:val="0"/>
          <w:numId w:val="3"/>
        </w:numPr>
      </w:pPr>
      <w:r w:rsidRPr="00F83E2E">
        <w:t>supporting high quality design, planning and delivery of sustainable urban renewal;</w:t>
      </w:r>
    </w:p>
    <w:p w:rsidR="00F13AD5" w:rsidRPr="00F83E2E" w:rsidRDefault="00F13AD5" w:rsidP="00F83E2E">
      <w:pPr>
        <w:pStyle w:val="BSbullet1"/>
        <w:numPr>
          <w:ilvl w:val="0"/>
          <w:numId w:val="3"/>
        </w:numPr>
      </w:pPr>
      <w:r w:rsidRPr="00F83E2E">
        <w:t>meeting housing targets determined under Section 65 of the Act that relate to affordable, community and public housing;</w:t>
      </w:r>
    </w:p>
    <w:p w:rsidR="00F13AD5" w:rsidRPr="00F83E2E" w:rsidRDefault="00F13AD5" w:rsidP="00F83E2E">
      <w:pPr>
        <w:pStyle w:val="BSbullet1"/>
        <w:numPr>
          <w:ilvl w:val="0"/>
          <w:numId w:val="3"/>
        </w:numPr>
      </w:pPr>
      <w:r w:rsidRPr="00F83E2E">
        <w:t>supporting statutory greenhouse gas emissions targets and delivering environmentally sustainable development;</w:t>
      </w:r>
    </w:p>
    <w:p w:rsidR="00F13AD5" w:rsidRPr="00F83E2E" w:rsidRDefault="00F13AD5" w:rsidP="00F83E2E">
      <w:pPr>
        <w:pStyle w:val="BSbullet1"/>
        <w:numPr>
          <w:ilvl w:val="0"/>
          <w:numId w:val="3"/>
        </w:numPr>
      </w:pPr>
      <w:r w:rsidRPr="00F83E2E">
        <w:t>following and supporting whole</w:t>
      </w:r>
      <w:r w:rsidR="00882417">
        <w:t xml:space="preserve"> </w:t>
      </w:r>
      <w:r w:rsidRPr="00F83E2E">
        <w:t>o</w:t>
      </w:r>
      <w:r w:rsidR="00882417">
        <w:t xml:space="preserve">f </w:t>
      </w:r>
      <w:r w:rsidRPr="00F83E2E">
        <w:t>government strategies; and</w:t>
      </w:r>
    </w:p>
    <w:p w:rsidR="00F13AD5" w:rsidRPr="00F83E2E" w:rsidRDefault="00F13AD5" w:rsidP="00F83E2E">
      <w:pPr>
        <w:pStyle w:val="BSbullet1"/>
        <w:numPr>
          <w:ilvl w:val="0"/>
          <w:numId w:val="3"/>
        </w:numPr>
      </w:pPr>
      <w:r w:rsidRPr="00F83E2E">
        <w:t>any other function given to the Authority under the Act or another Territory law.</w:t>
      </w:r>
    </w:p>
    <w:p w:rsidR="00F13AD5" w:rsidRDefault="00F13AD5" w:rsidP="00F13AD5">
      <w:pPr>
        <w:pStyle w:val="Normal1"/>
        <w:spacing w:before="0" w:after="0"/>
        <w:rPr>
          <w:rFonts w:asciiTheme="minorHAnsi" w:hAnsiTheme="minorHAnsi" w:cs="Arial"/>
          <w:szCs w:val="24"/>
        </w:rPr>
      </w:pPr>
      <w:r>
        <w:rPr>
          <w:rFonts w:asciiTheme="minorHAnsi" w:hAnsiTheme="minorHAnsi" w:cs="Arial"/>
        </w:rPr>
        <w:br w:type="page"/>
      </w:r>
    </w:p>
    <w:p w:rsidR="00F13AD5" w:rsidRPr="00403494" w:rsidRDefault="00F13AD5" w:rsidP="00F50AA3">
      <w:pPr>
        <w:pStyle w:val="BodyText"/>
        <w:keepNext w:val="0"/>
        <w:keepLines w:val="0"/>
        <w:spacing w:before="240" w:after="0"/>
        <w:jc w:val="left"/>
        <w:rPr>
          <w:rFonts w:asciiTheme="minorHAnsi" w:hAnsiTheme="minorHAnsi" w:cs="Arial"/>
          <w:szCs w:val="24"/>
        </w:rPr>
      </w:pPr>
      <w:r>
        <w:rPr>
          <w:rFonts w:asciiTheme="minorHAnsi" w:hAnsiTheme="minorHAnsi" w:cs="Arial"/>
          <w:szCs w:val="24"/>
        </w:rPr>
        <w:t xml:space="preserve">The </w:t>
      </w:r>
      <w:r w:rsidRPr="00403494">
        <w:rPr>
          <w:rFonts w:asciiTheme="minorHAnsi" w:hAnsiTheme="minorHAnsi" w:cs="Arial"/>
          <w:szCs w:val="24"/>
        </w:rPr>
        <w:t xml:space="preserve">Authority must exercise its functions in a way that is consistent with its Statement of Operational Intent (as required by </w:t>
      </w:r>
      <w:r>
        <w:rPr>
          <w:rFonts w:asciiTheme="minorHAnsi" w:hAnsiTheme="minorHAnsi" w:cs="Arial"/>
          <w:szCs w:val="24"/>
        </w:rPr>
        <w:t xml:space="preserve">Section </w:t>
      </w:r>
      <w:r w:rsidRPr="00403494">
        <w:rPr>
          <w:rFonts w:asciiTheme="minorHAnsi" w:hAnsiTheme="minorHAnsi" w:cs="Arial"/>
          <w:szCs w:val="24"/>
        </w:rPr>
        <w:t>9 of the Act).</w:t>
      </w:r>
    </w:p>
    <w:p w:rsidR="00F13AD5" w:rsidRDefault="00F13AD5" w:rsidP="00F50AA3">
      <w:pPr>
        <w:pStyle w:val="Normal1"/>
        <w:tabs>
          <w:tab w:val="left" w:pos="851"/>
        </w:tabs>
        <w:spacing w:before="120" w:after="120" w:line="276" w:lineRule="auto"/>
        <w:rPr>
          <w:rFonts w:asciiTheme="minorHAnsi" w:hAnsiTheme="minorHAnsi" w:cs="Arial"/>
          <w:szCs w:val="24"/>
        </w:rPr>
      </w:pPr>
      <w:r w:rsidRPr="00403494">
        <w:rPr>
          <w:rFonts w:asciiTheme="minorHAnsi" w:hAnsiTheme="minorHAnsi" w:cs="Arial"/>
          <w:szCs w:val="24"/>
        </w:rPr>
        <w:t>With the approval of the Minister and the Treasurer, the Authority may exercise its functions through subsidiaries, joint ventures or trusts, or by holding shares in, or other securities of, corporations.</w:t>
      </w:r>
    </w:p>
    <w:p w:rsidR="005B0B29" w:rsidRPr="005B0B29" w:rsidRDefault="005B0B29" w:rsidP="00F83E2E">
      <w:pPr>
        <w:pStyle w:val="Heading2"/>
        <w:keepNext w:val="0"/>
      </w:pPr>
      <w:bookmarkStart w:id="116" w:name="_Toc514840964"/>
      <w:bookmarkStart w:id="117" w:name="_Toc514841040"/>
      <w:r>
        <w:t>Nature and scope of activities</w:t>
      </w:r>
      <w:bookmarkEnd w:id="116"/>
      <w:bookmarkEnd w:id="117"/>
    </w:p>
    <w:p w:rsidR="005B0B29" w:rsidRPr="00951F93" w:rsidRDefault="005B0B29" w:rsidP="00F50AA3">
      <w:pPr>
        <w:pStyle w:val="BodyText0"/>
        <w:keepNext w:val="0"/>
        <w:keepLines w:val="0"/>
        <w:spacing w:before="240" w:after="0"/>
        <w:jc w:val="left"/>
        <w:rPr>
          <w:rFonts w:cs="Arial"/>
          <w:szCs w:val="24"/>
        </w:rPr>
      </w:pPr>
      <w:r w:rsidRPr="00951F93">
        <w:rPr>
          <w:rFonts w:cs="Arial"/>
          <w:szCs w:val="24"/>
        </w:rPr>
        <w:t xml:space="preserve">The Authority is charged with shaping the growth of the central parts of Canberra to make it a great place to live, explore and enjoy. </w:t>
      </w:r>
    </w:p>
    <w:p w:rsidR="005B0B29" w:rsidRPr="00951F93" w:rsidRDefault="005B0B29" w:rsidP="00F50AA3">
      <w:pPr>
        <w:pStyle w:val="BodyText0"/>
        <w:keepNext w:val="0"/>
        <w:keepLines w:val="0"/>
        <w:spacing w:before="240" w:after="0"/>
        <w:jc w:val="left"/>
        <w:rPr>
          <w:rFonts w:cs="Arial"/>
          <w:szCs w:val="24"/>
        </w:rPr>
      </w:pPr>
      <w:r w:rsidRPr="00951F93">
        <w:rPr>
          <w:rFonts w:cs="Arial"/>
          <w:szCs w:val="24"/>
        </w:rPr>
        <w:t xml:space="preserve">We are doing this by leading the transformation of the </w:t>
      </w:r>
      <w:r>
        <w:rPr>
          <w:rFonts w:cs="Arial"/>
          <w:szCs w:val="24"/>
        </w:rPr>
        <w:t>C</w:t>
      </w:r>
      <w:r w:rsidRPr="00951F93">
        <w:rPr>
          <w:rFonts w:cs="Arial"/>
          <w:szCs w:val="24"/>
        </w:rPr>
        <w:t xml:space="preserve">ity </w:t>
      </w:r>
      <w:r>
        <w:rPr>
          <w:rFonts w:cs="Arial"/>
          <w:szCs w:val="24"/>
        </w:rPr>
        <w:t>R</w:t>
      </w:r>
      <w:r w:rsidRPr="00951F93">
        <w:rPr>
          <w:rFonts w:cs="Arial"/>
          <w:szCs w:val="24"/>
        </w:rPr>
        <w:t xml:space="preserve">enewal </w:t>
      </w:r>
      <w:r>
        <w:rPr>
          <w:rFonts w:cs="Arial"/>
          <w:szCs w:val="24"/>
        </w:rPr>
        <w:t>P</w:t>
      </w:r>
      <w:r w:rsidRPr="00951F93">
        <w:rPr>
          <w:rFonts w:cs="Arial"/>
          <w:szCs w:val="24"/>
        </w:rPr>
        <w:t>recinct, which spans Dickson, Northbourne Avenue, Haig Park, the city centre and West Basin.</w:t>
      </w:r>
    </w:p>
    <w:p w:rsidR="005B0B29" w:rsidRPr="00951F93" w:rsidRDefault="005B0B29" w:rsidP="00F50AA3">
      <w:pPr>
        <w:pStyle w:val="BodyText0"/>
        <w:keepNext w:val="0"/>
        <w:keepLines w:val="0"/>
        <w:spacing w:before="240" w:after="0"/>
        <w:jc w:val="left"/>
        <w:rPr>
          <w:rFonts w:cs="Arial"/>
          <w:szCs w:val="24"/>
        </w:rPr>
      </w:pPr>
      <w:r w:rsidRPr="00951F93">
        <w:rPr>
          <w:rFonts w:cs="Arial"/>
          <w:szCs w:val="24"/>
        </w:rPr>
        <w:t xml:space="preserve">In partnership with the community, private-sector and other government agencies, we will create a vibrant and vital city heart through the delivery of design-led, people focused urban renewal with a commitment to social and environmental sustainability. </w:t>
      </w:r>
    </w:p>
    <w:p w:rsidR="005B0B29" w:rsidRPr="00951F93" w:rsidRDefault="005B0B29" w:rsidP="00F50AA3">
      <w:pPr>
        <w:pStyle w:val="BodyText0"/>
        <w:keepNext w:val="0"/>
        <w:keepLines w:val="0"/>
        <w:spacing w:before="240" w:after="0"/>
        <w:jc w:val="left"/>
        <w:rPr>
          <w:rFonts w:cs="Arial"/>
          <w:szCs w:val="24"/>
        </w:rPr>
      </w:pPr>
      <w:r w:rsidRPr="00951F93">
        <w:rPr>
          <w:rFonts w:cs="Arial"/>
          <w:szCs w:val="24"/>
        </w:rPr>
        <w:t xml:space="preserve">We will work with the community, business and government to create new buildings and places within the precinct that are of exemplary design quality, excite interest and participation and stimulate new investment. </w:t>
      </w:r>
    </w:p>
    <w:p w:rsidR="005B0B29" w:rsidRPr="00951F93" w:rsidRDefault="005B0B29" w:rsidP="00F50AA3">
      <w:pPr>
        <w:pStyle w:val="BodyText0"/>
        <w:keepNext w:val="0"/>
        <w:keepLines w:val="0"/>
        <w:spacing w:before="240" w:after="0"/>
        <w:jc w:val="left"/>
        <w:rPr>
          <w:rFonts w:cs="Arial"/>
          <w:szCs w:val="24"/>
        </w:rPr>
      </w:pPr>
      <w:r w:rsidRPr="00951F93">
        <w:rPr>
          <w:rFonts w:cs="Arial"/>
          <w:szCs w:val="24"/>
        </w:rPr>
        <w:t>We will activate the precinct with events, interventions and attractions that bring people into the city and enliven the experience for residents, workers and visitors.</w:t>
      </w:r>
    </w:p>
    <w:p w:rsidR="00F13AD5" w:rsidRPr="00951F93" w:rsidRDefault="00F13AD5" w:rsidP="00F50AA3">
      <w:pPr>
        <w:pStyle w:val="BodyText0"/>
        <w:keepNext w:val="0"/>
        <w:keepLines w:val="0"/>
        <w:spacing w:before="240" w:after="0"/>
        <w:jc w:val="left"/>
        <w:rPr>
          <w:rFonts w:cs="Arial"/>
          <w:szCs w:val="24"/>
        </w:rPr>
      </w:pPr>
      <w:r w:rsidRPr="00951F93">
        <w:rPr>
          <w:rFonts w:cs="Arial"/>
          <w:szCs w:val="24"/>
        </w:rPr>
        <w:t>Our success will be measured by:</w:t>
      </w:r>
    </w:p>
    <w:p w:rsidR="00F13AD5" w:rsidRPr="00F83E2E" w:rsidRDefault="00F13AD5" w:rsidP="00F83E2E">
      <w:pPr>
        <w:pStyle w:val="BSbullet1"/>
        <w:numPr>
          <w:ilvl w:val="0"/>
          <w:numId w:val="3"/>
        </w:numPr>
      </w:pPr>
      <w:r w:rsidRPr="00F83E2E">
        <w:t>a revitalised city precinct that is economically prosperous, sustainable and liveable;</w:t>
      </w:r>
    </w:p>
    <w:p w:rsidR="00F13AD5" w:rsidRPr="00F83E2E" w:rsidRDefault="00F13AD5" w:rsidP="00F83E2E">
      <w:pPr>
        <w:pStyle w:val="BSbullet1"/>
        <w:numPr>
          <w:ilvl w:val="0"/>
          <w:numId w:val="3"/>
        </w:numPr>
      </w:pPr>
      <w:r w:rsidRPr="00F83E2E">
        <w:t>a diverse, active and engaged residential population that has a strong sense of community; and</w:t>
      </w:r>
    </w:p>
    <w:p w:rsidR="00F13AD5" w:rsidRPr="00F83E2E" w:rsidRDefault="00F13AD5" w:rsidP="00F83E2E">
      <w:pPr>
        <w:pStyle w:val="BSbullet1"/>
        <w:numPr>
          <w:ilvl w:val="0"/>
          <w:numId w:val="3"/>
        </w:numPr>
      </w:pPr>
      <w:r w:rsidRPr="00F83E2E">
        <w:t>the take-up of economic and business opportunities for new enterprises, start-ups and the creative sector.</w:t>
      </w:r>
    </w:p>
    <w:p w:rsidR="00F13AD5" w:rsidRPr="00951F93" w:rsidRDefault="00F13AD5" w:rsidP="00F13AD5">
      <w:pPr>
        <w:pStyle w:val="Heading30"/>
        <w:spacing w:before="240"/>
        <w:rPr>
          <w:rFonts w:cs="Arial"/>
        </w:rPr>
      </w:pPr>
      <w:bookmarkStart w:id="118" w:name="_Toc514763812"/>
      <w:bookmarkStart w:id="119" w:name="_Toc514841041"/>
      <w:r w:rsidRPr="00951F93">
        <w:rPr>
          <w:rFonts w:cs="Arial"/>
        </w:rPr>
        <w:t>Government’s Expectations</w:t>
      </w:r>
      <w:bookmarkEnd w:id="118"/>
      <w:bookmarkEnd w:id="119"/>
    </w:p>
    <w:p w:rsidR="00F13AD5" w:rsidRPr="00951F93" w:rsidRDefault="00F13AD5" w:rsidP="00F50AA3">
      <w:pPr>
        <w:pStyle w:val="BodyText0"/>
        <w:spacing w:before="240" w:after="0"/>
        <w:jc w:val="left"/>
        <w:rPr>
          <w:rFonts w:cs="Arial"/>
          <w:szCs w:val="24"/>
        </w:rPr>
      </w:pPr>
      <w:r w:rsidRPr="00951F93">
        <w:rPr>
          <w:rFonts w:cs="Arial"/>
          <w:szCs w:val="24"/>
        </w:rPr>
        <w:t xml:space="preserve">The Chief Minister wrote to the Chair of the Authority on 3 August 2017 outlining the Government’s vision for Canberra, and set out the Government’s requirements and priorities for the financial year 2017-18 via a Statement of Expectations. Subject to a further Statement of Expectations from the Government for </w:t>
      </w:r>
      <w:r>
        <w:rPr>
          <w:rFonts w:cs="Arial"/>
          <w:szCs w:val="24"/>
        </w:rPr>
        <w:t xml:space="preserve">the financial year 2018-19, the </w:t>
      </w:r>
      <w:r w:rsidRPr="00951F93">
        <w:rPr>
          <w:rFonts w:cs="Arial"/>
          <w:szCs w:val="24"/>
        </w:rPr>
        <w:t>Authority will continue its work on the following initiatives:</w:t>
      </w:r>
    </w:p>
    <w:p w:rsidR="00F13AD5" w:rsidRPr="00F83E2E" w:rsidRDefault="00F13AD5" w:rsidP="00F83E2E">
      <w:pPr>
        <w:pStyle w:val="BSbullet1"/>
        <w:numPr>
          <w:ilvl w:val="0"/>
          <w:numId w:val="3"/>
        </w:numPr>
      </w:pPr>
      <w:r w:rsidRPr="00F83E2E">
        <w:t xml:space="preserve">the achievement of the Government’s ongoing commitment to good public-sector governance, and the effective management of significant land resources under the stewardship of the Authority; </w:t>
      </w:r>
    </w:p>
    <w:p w:rsidR="00EC6DFD" w:rsidRDefault="00EC6DFD">
      <w:pPr>
        <w:spacing w:before="0" w:after="0"/>
        <w:rPr>
          <w:szCs w:val="24"/>
        </w:rPr>
      </w:pPr>
      <w:r>
        <w:br w:type="page"/>
      </w:r>
    </w:p>
    <w:p w:rsidR="00F13AD5" w:rsidRPr="00F83E2E" w:rsidRDefault="00F13AD5" w:rsidP="00F83E2E">
      <w:pPr>
        <w:pStyle w:val="BSbullet1"/>
        <w:numPr>
          <w:ilvl w:val="0"/>
          <w:numId w:val="3"/>
        </w:numPr>
      </w:pPr>
      <w:r w:rsidRPr="00F83E2E">
        <w:t>the implementation of urban renewal projects in the City Renewal Precinct, specifically:</w:t>
      </w:r>
    </w:p>
    <w:p w:rsidR="00F13AD5" w:rsidRPr="000C5F1E" w:rsidRDefault="00F13AD5" w:rsidP="00390DB5">
      <w:pPr>
        <w:pStyle w:val="BSbullet2"/>
        <w:keepNext/>
        <w:numPr>
          <w:ilvl w:val="0"/>
          <w:numId w:val="52"/>
        </w:numPr>
        <w:ind w:left="714" w:hanging="357"/>
      </w:pPr>
      <w:r w:rsidRPr="000C5F1E">
        <w:t>Haig Park - Working in consultation with Transport Canberra and City Services to finalise and impl</w:t>
      </w:r>
      <w:r w:rsidR="00BA4809">
        <w:t>ement the Haig Park Action Plan;</w:t>
      </w:r>
    </w:p>
    <w:p w:rsidR="00F13AD5" w:rsidRPr="000C5F1E" w:rsidRDefault="00F13AD5" w:rsidP="00390DB5">
      <w:pPr>
        <w:pStyle w:val="BSbullet2"/>
        <w:keepNext/>
        <w:numPr>
          <w:ilvl w:val="0"/>
          <w:numId w:val="52"/>
        </w:numPr>
        <w:ind w:left="714" w:hanging="357"/>
      </w:pPr>
      <w:r w:rsidRPr="000C5F1E">
        <w:t>West Basin - Planning and development to enable the commencement of stage two</w:t>
      </w:r>
      <w:r w:rsidR="00BA4809">
        <w:t>;</w:t>
      </w:r>
    </w:p>
    <w:p w:rsidR="00F13AD5" w:rsidRPr="000C5F1E" w:rsidRDefault="00F13AD5" w:rsidP="00390DB5">
      <w:pPr>
        <w:pStyle w:val="BSbullet2"/>
        <w:keepNext/>
        <w:numPr>
          <w:ilvl w:val="0"/>
          <w:numId w:val="52"/>
        </w:numPr>
        <w:ind w:left="714" w:hanging="357"/>
      </w:pPr>
      <w:r w:rsidRPr="000C5F1E">
        <w:t>implementing short-term renewal works to enliven the City Bus Interchange acknowledging longer term opportunities to integrate a revitalised transport interchange as part of catalytic ren</w:t>
      </w:r>
      <w:r w:rsidR="00BA4809">
        <w:t>ewal efforts in the city centre;</w:t>
      </w:r>
    </w:p>
    <w:p w:rsidR="00F13AD5" w:rsidRPr="000C5F1E" w:rsidRDefault="00F13AD5" w:rsidP="00390DB5">
      <w:pPr>
        <w:pStyle w:val="BSbullet2"/>
        <w:numPr>
          <w:ilvl w:val="0"/>
          <w:numId w:val="52"/>
        </w:numPr>
        <w:ind w:left="714" w:hanging="357"/>
      </w:pPr>
      <w:r w:rsidRPr="000C5F1E">
        <w:t>proactive engagement with building owners in the City Renewal Precinct to ensure delivery of cohesive renewal and maintenance works - act as key liaison between</w:t>
      </w:r>
      <w:r w:rsidR="00BA4809">
        <w:t xml:space="preserve"> </w:t>
      </w:r>
      <w:r w:rsidRPr="000C5F1E">
        <w:t xml:space="preserve">ACT Government and owners of the iconic Sydney and Melbourne Buildings to encourage and support revitalisation of these significant heritage </w:t>
      </w:r>
      <w:r w:rsidR="00BA4809">
        <w:t>sites;</w:t>
      </w:r>
    </w:p>
    <w:p w:rsidR="00F13AD5" w:rsidRPr="000C5F1E" w:rsidRDefault="00F13AD5" w:rsidP="00390DB5">
      <w:pPr>
        <w:pStyle w:val="BSbullet2"/>
        <w:numPr>
          <w:ilvl w:val="0"/>
          <w:numId w:val="52"/>
        </w:numPr>
        <w:ind w:left="714" w:hanging="357"/>
      </w:pPr>
      <w:r w:rsidRPr="000C5F1E">
        <w:t>engagement with Transport Canberra and City Services to ensure the continued delivery and upgrade of Northbourne Avenue verges to enable safe pedestrian movement and connection to services and facilitie</w:t>
      </w:r>
      <w:r w:rsidR="00BA4809">
        <w:t>s along the gateway to Canberra;</w:t>
      </w:r>
    </w:p>
    <w:p w:rsidR="00F13AD5" w:rsidRPr="000C5F1E" w:rsidRDefault="00F13AD5" w:rsidP="00390DB5">
      <w:pPr>
        <w:pStyle w:val="BSbullet2"/>
        <w:numPr>
          <w:ilvl w:val="0"/>
          <w:numId w:val="52"/>
        </w:numPr>
        <w:ind w:left="714" w:hanging="357"/>
      </w:pPr>
      <w:r w:rsidRPr="000C5F1E">
        <w:t xml:space="preserve">continuation of planning and renewal works to establish Dickson as a key community and transport hub connecting the city </w:t>
      </w:r>
      <w:r w:rsidR="00BA4809">
        <w:t>to surrounding northern suburbs;</w:t>
      </w:r>
    </w:p>
    <w:p w:rsidR="00F13AD5" w:rsidRPr="000C5F1E" w:rsidRDefault="00F13AD5" w:rsidP="00390DB5">
      <w:pPr>
        <w:pStyle w:val="BSbullet2"/>
        <w:numPr>
          <w:ilvl w:val="0"/>
          <w:numId w:val="52"/>
        </w:numPr>
        <w:ind w:left="714" w:hanging="357"/>
      </w:pPr>
      <w:r w:rsidRPr="000C5F1E">
        <w:t>developing and implementing clear place propositions and action plans for the city, Braddon and Dickson to guide place making interventions aimed at enl</w:t>
      </w:r>
      <w:r w:rsidR="00BA4809">
        <w:t>ivening these important centres;</w:t>
      </w:r>
    </w:p>
    <w:p w:rsidR="00F13AD5" w:rsidRPr="000C5F1E" w:rsidRDefault="00F13AD5" w:rsidP="00390DB5">
      <w:pPr>
        <w:pStyle w:val="BSbullet2"/>
        <w:numPr>
          <w:ilvl w:val="0"/>
          <w:numId w:val="52"/>
        </w:numPr>
        <w:ind w:left="714" w:hanging="357"/>
      </w:pPr>
      <w:r w:rsidRPr="000C5F1E">
        <w:t xml:space="preserve">complete the business case and place plan for the redevelopment of </w:t>
      </w:r>
      <w:r w:rsidR="00BA4809">
        <w:t>the Civic and Cultural precinct;</w:t>
      </w:r>
    </w:p>
    <w:p w:rsidR="00F13AD5" w:rsidRPr="000C5F1E" w:rsidRDefault="00F13AD5" w:rsidP="00390DB5">
      <w:pPr>
        <w:pStyle w:val="BSbullet2"/>
        <w:numPr>
          <w:ilvl w:val="0"/>
          <w:numId w:val="52"/>
        </w:numPr>
        <w:ind w:left="714" w:hanging="357"/>
      </w:pPr>
      <w:r w:rsidRPr="000C5F1E">
        <w:t>continue to support the renewal effort and principles established by the City and Gatew</w:t>
      </w:r>
      <w:r w:rsidR="00BA4809">
        <w:t>ay Urban Design Framework;</w:t>
      </w:r>
    </w:p>
    <w:p w:rsidR="00F13AD5" w:rsidRPr="000C5F1E" w:rsidRDefault="00F13AD5" w:rsidP="00390DB5">
      <w:pPr>
        <w:pStyle w:val="BSbullet2"/>
        <w:numPr>
          <w:ilvl w:val="0"/>
          <w:numId w:val="52"/>
        </w:numPr>
        <w:ind w:left="714" w:hanging="357"/>
      </w:pPr>
      <w:r w:rsidRPr="000C5F1E">
        <w:t>actively participate in negotiations with University of New South Wales regarding the establishment of a ne</w:t>
      </w:r>
      <w:r w:rsidR="00BA4809">
        <w:t>w university campus in the city; and</w:t>
      </w:r>
    </w:p>
    <w:p w:rsidR="00F13AD5" w:rsidRPr="000C5F1E" w:rsidRDefault="00F13AD5" w:rsidP="00390DB5">
      <w:pPr>
        <w:pStyle w:val="BSbullet2"/>
        <w:numPr>
          <w:ilvl w:val="0"/>
          <w:numId w:val="52"/>
        </w:numPr>
        <w:ind w:left="714" w:hanging="357"/>
      </w:pPr>
      <w:r w:rsidRPr="000C5F1E">
        <w:t>completing the sale of Asset Recycling Initiative sites within the City Renewal Precinct.</w:t>
      </w:r>
    </w:p>
    <w:p w:rsidR="00F13AD5" w:rsidRPr="00F83E2E" w:rsidRDefault="00F13AD5" w:rsidP="00F83E2E">
      <w:pPr>
        <w:pStyle w:val="BSbullet1"/>
        <w:numPr>
          <w:ilvl w:val="0"/>
          <w:numId w:val="3"/>
        </w:numPr>
      </w:pPr>
      <w:r w:rsidRPr="00F83E2E">
        <w:t>actively contributing to the liveability and vitality of the city centre, through:</w:t>
      </w:r>
    </w:p>
    <w:p w:rsidR="005A7EB8" w:rsidRDefault="00F13AD5" w:rsidP="00BA4809">
      <w:pPr>
        <w:pStyle w:val="BSbullet2"/>
        <w:numPr>
          <w:ilvl w:val="0"/>
          <w:numId w:val="52"/>
        </w:numPr>
        <w:ind w:left="714" w:hanging="357"/>
      </w:pPr>
      <w:r w:rsidRPr="000C5F1E">
        <w:t>planning and delivery of a diverse range of events, capital works upgrades, public realm and amenity improvements and stakeholder partnerships, including:</w:t>
      </w:r>
    </w:p>
    <w:p w:rsidR="00F13AD5" w:rsidRPr="000C5F1E" w:rsidRDefault="00F13AD5" w:rsidP="005A7EB8">
      <w:pPr>
        <w:pStyle w:val="BSbullet20"/>
      </w:pPr>
      <w:r w:rsidRPr="000C5F1E">
        <w:t>testing and trialling public space through events and interventions;</w:t>
      </w:r>
    </w:p>
    <w:p w:rsidR="00F13AD5" w:rsidRPr="000C5F1E" w:rsidRDefault="00F13AD5" w:rsidP="005A7EB8">
      <w:pPr>
        <w:pStyle w:val="BSbullet20"/>
      </w:pPr>
      <w:r w:rsidRPr="000C5F1E">
        <w:t>partnering with local event providers and businesses;</w:t>
      </w:r>
    </w:p>
    <w:p w:rsidR="00F13AD5" w:rsidRPr="000C5F1E" w:rsidRDefault="00F13AD5" w:rsidP="005A7EB8">
      <w:pPr>
        <w:pStyle w:val="BSbullet20"/>
      </w:pPr>
      <w:r w:rsidRPr="000C5F1E">
        <w:t>testing regulatory barriers to events and innovation;</w:t>
      </w:r>
    </w:p>
    <w:p w:rsidR="00F13AD5" w:rsidRPr="000C5F1E" w:rsidRDefault="00F13AD5" w:rsidP="005A7EB8">
      <w:pPr>
        <w:pStyle w:val="BSbullet20"/>
      </w:pPr>
      <w:r w:rsidRPr="000C5F1E">
        <w:t>leading the market by demonstrating event styles and locations; and</w:t>
      </w:r>
    </w:p>
    <w:p w:rsidR="00F13AD5" w:rsidRPr="000C5F1E" w:rsidRDefault="00F13AD5" w:rsidP="005A7EB8">
      <w:pPr>
        <w:pStyle w:val="BSbullet20"/>
      </w:pPr>
      <w:r w:rsidRPr="000C5F1E">
        <w:t>facilitating events and activities in public spaces, including laneways.</w:t>
      </w:r>
    </w:p>
    <w:p w:rsidR="00F13AD5" w:rsidRPr="00BA4809" w:rsidRDefault="00F13AD5" w:rsidP="00390DB5">
      <w:pPr>
        <w:pStyle w:val="BSbullet2"/>
        <w:numPr>
          <w:ilvl w:val="0"/>
          <w:numId w:val="52"/>
        </w:numPr>
        <w:ind w:left="714" w:hanging="357"/>
      </w:pPr>
      <w:r w:rsidRPr="00BA4809">
        <w:t>effectively manage the City Centre Marketing and Improvements Levy (CCMIL) to activ</w:t>
      </w:r>
      <w:r w:rsidR="00BA4809">
        <w:t>ate and improve the city centre; and</w:t>
      </w:r>
      <w:r w:rsidRPr="00BA4809">
        <w:t xml:space="preserve"> </w:t>
      </w:r>
    </w:p>
    <w:p w:rsidR="00F13AD5" w:rsidRPr="00BA4809" w:rsidRDefault="00F13AD5" w:rsidP="00390DB5">
      <w:pPr>
        <w:pStyle w:val="BSbullet2"/>
        <w:numPr>
          <w:ilvl w:val="0"/>
          <w:numId w:val="52"/>
        </w:numPr>
        <w:ind w:left="714" w:hanging="357"/>
      </w:pPr>
      <w:r w:rsidRPr="00BA4809">
        <w:t>identifying opportunities for large scale festivals or seasonal events to enliven the City Centre and support the development of the Territory’s event sector.</w:t>
      </w:r>
    </w:p>
    <w:p w:rsidR="00F13AD5" w:rsidRPr="00951F93" w:rsidRDefault="00F13AD5" w:rsidP="004F7BA2">
      <w:pPr>
        <w:pStyle w:val="BSbullet1"/>
      </w:pPr>
      <w:r>
        <w:t>e</w:t>
      </w:r>
      <w:r w:rsidRPr="00951F93">
        <w:t>stablishing and maintaining positive working relationships, through:</w:t>
      </w:r>
    </w:p>
    <w:p w:rsidR="00F13AD5" w:rsidRPr="000C5F1E" w:rsidRDefault="00F13AD5" w:rsidP="00390DB5">
      <w:pPr>
        <w:pStyle w:val="BSbullet2"/>
        <w:keepNext/>
        <w:numPr>
          <w:ilvl w:val="0"/>
          <w:numId w:val="52"/>
        </w:numPr>
        <w:ind w:left="714" w:hanging="357"/>
      </w:pPr>
      <w:r w:rsidRPr="000C5F1E">
        <w:t>consulting and establishing productive working relationships with key stakeholders, including all levels of Government and other relevant bodies and organisations;</w:t>
      </w:r>
    </w:p>
    <w:p w:rsidR="00F13AD5" w:rsidRPr="000C5F1E" w:rsidRDefault="00F13AD5" w:rsidP="00390DB5">
      <w:pPr>
        <w:pStyle w:val="BSbullet2"/>
        <w:keepNext/>
        <w:numPr>
          <w:ilvl w:val="0"/>
          <w:numId w:val="52"/>
        </w:numPr>
        <w:ind w:left="714" w:hanging="357"/>
      </w:pPr>
      <w:r w:rsidRPr="000C5F1E">
        <w:t>engaging openly and meaningfully with the local community to inform both the design and delivery of works within declared precincts; and</w:t>
      </w:r>
    </w:p>
    <w:p w:rsidR="00F13AD5" w:rsidRPr="000C5F1E" w:rsidRDefault="00F13AD5" w:rsidP="00390DB5">
      <w:pPr>
        <w:pStyle w:val="BSbullet2"/>
        <w:keepNext/>
        <w:numPr>
          <w:ilvl w:val="0"/>
          <w:numId w:val="52"/>
        </w:numPr>
        <w:ind w:left="714" w:hanging="357"/>
      </w:pPr>
      <w:r w:rsidRPr="000C5F1E">
        <w:t>promoting cooperation, collaboration and coherent urban renewal with other key entities including the National Capital Authority (NCA) and the Suburban Land Agency (SLA).</w:t>
      </w:r>
    </w:p>
    <w:p w:rsidR="00F13AD5" w:rsidRPr="00F83E2E" w:rsidRDefault="00F13AD5" w:rsidP="00F83E2E">
      <w:pPr>
        <w:pStyle w:val="BSbullet1"/>
        <w:numPr>
          <w:ilvl w:val="0"/>
          <w:numId w:val="3"/>
        </w:numPr>
      </w:pPr>
      <w:r w:rsidRPr="00F83E2E">
        <w:t>establishing and maintaining positive relationships with other ACT Government Directorates and agencies.</w:t>
      </w:r>
    </w:p>
    <w:p w:rsidR="00F13AD5" w:rsidRDefault="00991D1B" w:rsidP="00EC6DFD">
      <w:pPr>
        <w:pStyle w:val="Heading2"/>
        <w:keepNext w:val="0"/>
      </w:pPr>
      <w:bookmarkStart w:id="120" w:name="_Toc452467796_0"/>
      <w:bookmarkStart w:id="121" w:name="_Toc451895558_0"/>
      <w:bookmarkStart w:id="122" w:name="_Toc514840965"/>
      <w:bookmarkStart w:id="123" w:name="_Toc514841042"/>
      <w:r>
        <w:t>2018-19 P</w:t>
      </w:r>
      <w:r w:rsidR="00F13AD5">
        <w:t>riorities</w:t>
      </w:r>
      <w:bookmarkEnd w:id="120"/>
      <w:bookmarkEnd w:id="121"/>
      <w:bookmarkEnd w:id="122"/>
      <w:bookmarkEnd w:id="123"/>
    </w:p>
    <w:p w:rsidR="00F13AD5" w:rsidRDefault="00F13AD5" w:rsidP="00F50AA3">
      <w:pPr>
        <w:pStyle w:val="BodyText1"/>
        <w:keepNext w:val="0"/>
        <w:keepLines w:val="0"/>
        <w:spacing w:before="240" w:after="0"/>
        <w:jc w:val="left"/>
        <w:rPr>
          <w:rFonts w:cs="Arial"/>
          <w:szCs w:val="24"/>
        </w:rPr>
      </w:pPr>
      <w:r>
        <w:rPr>
          <w:rFonts w:cs="Arial"/>
          <w:szCs w:val="24"/>
        </w:rPr>
        <w:t>In response to the Government’s Statement of Expectations, the Board of the City Renewal Authority presented to the Chief Minister the Authority’s Statement of Operational Intent for 2017-18. The Statement of Operational Intent represented the Authority’s aspirations in its first year of operation, and specifically responded to each element of the Government’s Statement of Expectations.</w:t>
      </w:r>
    </w:p>
    <w:p w:rsidR="00F13AD5" w:rsidRDefault="00F13AD5" w:rsidP="00F50AA3">
      <w:pPr>
        <w:pStyle w:val="BodyText1"/>
        <w:keepNext w:val="0"/>
        <w:keepLines w:val="0"/>
        <w:spacing w:before="240" w:after="0"/>
        <w:jc w:val="left"/>
        <w:rPr>
          <w:rFonts w:cs="Arial"/>
          <w:szCs w:val="24"/>
        </w:rPr>
      </w:pPr>
      <w:r>
        <w:rPr>
          <w:rFonts w:cs="Arial"/>
          <w:szCs w:val="24"/>
        </w:rPr>
        <w:t>Continuing on from the Statement of Operational Intent for 2017-18, the Authority will in 2018-19 deliver the following project-related outcomes:</w:t>
      </w:r>
    </w:p>
    <w:p w:rsidR="00F13AD5" w:rsidRDefault="00F13AD5" w:rsidP="00F83E2E">
      <w:pPr>
        <w:pStyle w:val="BSbullet1"/>
        <w:numPr>
          <w:ilvl w:val="0"/>
          <w:numId w:val="3"/>
        </w:numPr>
        <w:rPr>
          <w:rFonts w:cs="Arial"/>
        </w:rPr>
      </w:pPr>
      <w:r>
        <w:rPr>
          <w:rFonts w:cs="Arial"/>
          <w:b/>
        </w:rPr>
        <w:t>City Renewal Precinct Place Plan</w:t>
      </w:r>
      <w:r>
        <w:rPr>
          <w:rFonts w:cs="Arial"/>
        </w:rPr>
        <w:t xml:space="preserve"> - deliver a Place Plan for the revitalisation of the City</w:t>
      </w:r>
      <w:r w:rsidR="0036401F">
        <w:rPr>
          <w:rFonts w:cs="Arial"/>
        </w:rPr>
        <w:t xml:space="preserve"> Renewal</w:t>
      </w:r>
      <w:r>
        <w:rPr>
          <w:rFonts w:cs="Arial"/>
        </w:rPr>
        <w:t xml:space="preserve"> Precinct, which will be people-focussed with quality urban environment at its heart;</w:t>
      </w:r>
    </w:p>
    <w:p w:rsidR="00F13AD5" w:rsidRDefault="00F13AD5" w:rsidP="00F83E2E">
      <w:pPr>
        <w:pStyle w:val="BSbullet1"/>
        <w:numPr>
          <w:ilvl w:val="0"/>
          <w:numId w:val="3"/>
        </w:numPr>
        <w:rPr>
          <w:rFonts w:cs="Arial"/>
        </w:rPr>
      </w:pPr>
      <w:r>
        <w:rPr>
          <w:rFonts w:cs="Arial"/>
          <w:b/>
        </w:rPr>
        <w:t>Haig Park</w:t>
      </w:r>
      <w:r>
        <w:rPr>
          <w:rFonts w:cs="Arial"/>
        </w:rPr>
        <w:t xml:space="preserve"> – finalise the Haig Park Action Plan and implementation strategy;</w:t>
      </w:r>
    </w:p>
    <w:p w:rsidR="00F13AD5" w:rsidRDefault="00F13AD5" w:rsidP="00F83E2E">
      <w:pPr>
        <w:pStyle w:val="BSbullet1"/>
        <w:numPr>
          <w:ilvl w:val="0"/>
          <w:numId w:val="3"/>
        </w:numPr>
        <w:rPr>
          <w:rFonts w:cs="Arial"/>
        </w:rPr>
      </w:pPr>
      <w:r>
        <w:rPr>
          <w:rFonts w:cs="Arial"/>
          <w:b/>
        </w:rPr>
        <w:t>West Basin Precinct</w:t>
      </w:r>
      <w:r>
        <w:rPr>
          <w:rFonts w:cs="Arial"/>
        </w:rPr>
        <w:t xml:space="preserve"> – undertake a review of the West Basin project to reaffirm the planning principles and economic analysis that underpin the development of the precinct.  Completion of stage two design, obtain NCA works approval and commence construction of stage two;</w:t>
      </w:r>
    </w:p>
    <w:p w:rsidR="00F13AD5" w:rsidRDefault="00F13AD5" w:rsidP="00F83E2E">
      <w:pPr>
        <w:pStyle w:val="BSbullet1"/>
        <w:numPr>
          <w:ilvl w:val="0"/>
          <w:numId w:val="3"/>
        </w:numPr>
        <w:rPr>
          <w:rFonts w:cs="Arial"/>
        </w:rPr>
      </w:pPr>
      <w:r>
        <w:rPr>
          <w:rFonts w:cs="Arial"/>
          <w:b/>
        </w:rPr>
        <w:t>City Bus Interchange</w:t>
      </w:r>
      <w:r>
        <w:rPr>
          <w:rFonts w:cs="Arial"/>
        </w:rPr>
        <w:t xml:space="preserve"> – begin intermediate improvements to the City Bus Interchange and its important functional interrelationship with the Light Rail Network, and plan for longer term opportunities to integrate a revitalised transport interchange as part of catalytic renewal efforts in the city centre;</w:t>
      </w:r>
    </w:p>
    <w:p w:rsidR="00F13AD5" w:rsidRDefault="00F13AD5" w:rsidP="00F83E2E">
      <w:pPr>
        <w:pStyle w:val="BSbullet1"/>
        <w:numPr>
          <w:ilvl w:val="0"/>
          <w:numId w:val="3"/>
        </w:numPr>
        <w:rPr>
          <w:rFonts w:cs="Arial"/>
        </w:rPr>
      </w:pPr>
      <w:r>
        <w:rPr>
          <w:rFonts w:cs="Arial"/>
          <w:b/>
        </w:rPr>
        <w:t>Sydney and Melbourne Buildings</w:t>
      </w:r>
      <w:r>
        <w:rPr>
          <w:rFonts w:cs="Arial"/>
        </w:rPr>
        <w:t xml:space="preserve"> – develop a strategy and associated implementation plan for the revitalisation of the Sydney and Melbourne buildings and surrounding public realm;</w:t>
      </w:r>
    </w:p>
    <w:p w:rsidR="00F13AD5" w:rsidRDefault="00F13AD5" w:rsidP="00F83E2E">
      <w:pPr>
        <w:pStyle w:val="BSbullet1"/>
        <w:numPr>
          <w:ilvl w:val="0"/>
          <w:numId w:val="3"/>
        </w:numPr>
        <w:rPr>
          <w:rFonts w:cs="Arial"/>
        </w:rPr>
      </w:pPr>
      <w:r>
        <w:rPr>
          <w:rFonts w:cs="Arial"/>
          <w:b/>
        </w:rPr>
        <w:t>Northbourne Avenue</w:t>
      </w:r>
      <w:r>
        <w:rPr>
          <w:rFonts w:cs="Arial"/>
        </w:rPr>
        <w:t xml:space="preserve"> – set guidelines and standards that will ensure the landscape environment along Northbourne Avenue is befitting the primary gateway to the National Capital. Undertake stage one verge improvement works of Northbourne Avenue in the city and Dickson;</w:t>
      </w:r>
    </w:p>
    <w:p w:rsidR="00F13AD5" w:rsidRDefault="00F13AD5" w:rsidP="00F83E2E">
      <w:pPr>
        <w:pStyle w:val="BSbullet1"/>
        <w:numPr>
          <w:ilvl w:val="0"/>
          <w:numId w:val="3"/>
        </w:numPr>
        <w:rPr>
          <w:rFonts w:cs="Arial"/>
        </w:rPr>
      </w:pPr>
      <w:r>
        <w:rPr>
          <w:rFonts w:cs="Arial"/>
          <w:b/>
        </w:rPr>
        <w:t>Dickson Group Centre</w:t>
      </w:r>
      <w:r>
        <w:rPr>
          <w:rFonts w:cs="Arial"/>
        </w:rPr>
        <w:t xml:space="preserve"> – identify opportunities for future development and renewal in the Dickson Group Centre;</w:t>
      </w:r>
    </w:p>
    <w:p w:rsidR="00F13AD5" w:rsidRDefault="00F13AD5" w:rsidP="00F83E2E">
      <w:pPr>
        <w:pStyle w:val="BSbullet1"/>
        <w:numPr>
          <w:ilvl w:val="0"/>
          <w:numId w:val="3"/>
        </w:numPr>
        <w:rPr>
          <w:rFonts w:cs="Arial"/>
        </w:rPr>
      </w:pPr>
      <w:r>
        <w:rPr>
          <w:rFonts w:cs="Arial"/>
          <w:b/>
        </w:rPr>
        <w:t>Braddon</w:t>
      </w:r>
      <w:r>
        <w:rPr>
          <w:rFonts w:cs="Arial"/>
        </w:rPr>
        <w:t xml:space="preserve"> </w:t>
      </w:r>
      <w:r>
        <w:rPr>
          <w:rFonts w:cs="Arial"/>
          <w:b/>
          <w:bCs/>
        </w:rPr>
        <w:t>Village</w:t>
      </w:r>
      <w:r>
        <w:rPr>
          <w:rFonts w:cs="Arial"/>
        </w:rPr>
        <w:t xml:space="preserve"> – identify and implement opportunities for place making and renewal in Braddon;</w:t>
      </w:r>
    </w:p>
    <w:p w:rsidR="00F13AD5" w:rsidRDefault="00F13AD5" w:rsidP="00F83E2E">
      <w:pPr>
        <w:pStyle w:val="BSbullet1"/>
        <w:numPr>
          <w:ilvl w:val="0"/>
          <w:numId w:val="3"/>
        </w:numPr>
        <w:rPr>
          <w:rFonts w:cs="Arial"/>
        </w:rPr>
      </w:pPr>
      <w:r>
        <w:rPr>
          <w:rFonts w:cs="Arial"/>
          <w:b/>
        </w:rPr>
        <w:t>Civic and Cultural Centre</w:t>
      </w:r>
      <w:r>
        <w:rPr>
          <w:rFonts w:cs="Arial"/>
        </w:rPr>
        <w:t xml:space="preserve"> – complete the business case and place plan for the redevelopment of the Civic and Cultural precinct;</w:t>
      </w:r>
    </w:p>
    <w:p w:rsidR="00F13AD5" w:rsidRDefault="00F13AD5" w:rsidP="00F83E2E">
      <w:pPr>
        <w:pStyle w:val="BSbullet1"/>
        <w:numPr>
          <w:ilvl w:val="0"/>
          <w:numId w:val="3"/>
        </w:numPr>
        <w:rPr>
          <w:rFonts w:cs="Arial"/>
        </w:rPr>
      </w:pPr>
      <w:r>
        <w:rPr>
          <w:rFonts w:cs="Arial"/>
          <w:b/>
        </w:rPr>
        <w:t>City and Gateway Urban Design Framework</w:t>
      </w:r>
      <w:r>
        <w:rPr>
          <w:rFonts w:cs="Arial"/>
        </w:rPr>
        <w:t xml:space="preserve"> – continue to support the renewal effort and principles established by the City and Gateway Urban Design Framework;</w:t>
      </w:r>
    </w:p>
    <w:p w:rsidR="00F13AD5" w:rsidRDefault="00F13AD5" w:rsidP="00F83E2E">
      <w:pPr>
        <w:pStyle w:val="BSbullet1"/>
        <w:numPr>
          <w:ilvl w:val="0"/>
          <w:numId w:val="3"/>
        </w:numPr>
        <w:rPr>
          <w:rFonts w:cs="Arial"/>
        </w:rPr>
      </w:pPr>
      <w:r>
        <w:rPr>
          <w:rFonts w:cs="Arial"/>
          <w:b/>
        </w:rPr>
        <w:t>Asset Recycling Initiative</w:t>
      </w:r>
      <w:r>
        <w:rPr>
          <w:rFonts w:cs="Arial"/>
        </w:rPr>
        <w:t xml:space="preserve"> – progress land sales within the City Renewal Precinct associated with the Asset Recycling Initiative;</w:t>
      </w:r>
    </w:p>
    <w:p w:rsidR="00F13AD5" w:rsidRDefault="00F13AD5" w:rsidP="00F83E2E">
      <w:pPr>
        <w:pStyle w:val="BSbullet1"/>
        <w:numPr>
          <w:ilvl w:val="0"/>
          <w:numId w:val="3"/>
        </w:numPr>
        <w:rPr>
          <w:rFonts w:cs="Arial"/>
        </w:rPr>
      </w:pPr>
      <w:r>
        <w:rPr>
          <w:rFonts w:cs="Arial"/>
          <w:b/>
        </w:rPr>
        <w:t>City Activation</w:t>
      </w:r>
      <w:r>
        <w:rPr>
          <w:rFonts w:cs="Arial"/>
        </w:rPr>
        <w:t xml:space="preserve"> – develop a comprehensive program of place making and activation for the public spaces of the City </w:t>
      </w:r>
      <w:r w:rsidR="0036401F">
        <w:rPr>
          <w:rFonts w:cs="Arial"/>
        </w:rPr>
        <w:t xml:space="preserve">Renewal </w:t>
      </w:r>
      <w:r>
        <w:rPr>
          <w:rFonts w:cs="Arial"/>
        </w:rPr>
        <w:t>Precinct, and partner with local businesses and the creative sector to support the cultural capital of the city centre; and</w:t>
      </w:r>
    </w:p>
    <w:p w:rsidR="00F13AD5" w:rsidRDefault="00F13AD5" w:rsidP="00F83E2E">
      <w:pPr>
        <w:pStyle w:val="BSbullet1"/>
        <w:numPr>
          <w:ilvl w:val="0"/>
          <w:numId w:val="3"/>
        </w:numPr>
        <w:rPr>
          <w:rFonts w:cs="Arial"/>
        </w:rPr>
      </w:pPr>
      <w:r>
        <w:rPr>
          <w:rFonts w:cs="Arial"/>
          <w:b/>
        </w:rPr>
        <w:t>Future Land Sales</w:t>
      </w:r>
      <w:r>
        <w:rPr>
          <w:rFonts w:cs="Arial"/>
        </w:rPr>
        <w:t xml:space="preserve"> – prepare for future sales of land within the City Renewal Precinct in accordance with the ACT Government’s Indicative Land Release Program.</w:t>
      </w:r>
    </w:p>
    <w:p w:rsidR="00F13AD5" w:rsidRDefault="00F13AD5" w:rsidP="00F50AA3">
      <w:pPr>
        <w:pStyle w:val="BodyText1"/>
        <w:spacing w:before="240" w:after="0"/>
        <w:jc w:val="left"/>
        <w:rPr>
          <w:rFonts w:cs="Arial"/>
          <w:szCs w:val="24"/>
        </w:rPr>
      </w:pPr>
      <w:r>
        <w:rPr>
          <w:rFonts w:cs="Arial"/>
          <w:szCs w:val="24"/>
        </w:rPr>
        <w:t>During 2018-19, the Authority will also commence implementation of a long-term strategic renewal program that sets the Authority’s future direction.</w:t>
      </w:r>
    </w:p>
    <w:p w:rsidR="00F13AD5" w:rsidRDefault="00F13AD5" w:rsidP="00F13AD5">
      <w:pPr>
        <w:pStyle w:val="Normal3"/>
        <w:spacing w:before="0" w:after="0"/>
        <w:rPr>
          <w:b/>
          <w:snapToGrid w:val="0"/>
          <w:sz w:val="32"/>
        </w:rPr>
      </w:pPr>
      <w:r>
        <w:rPr>
          <w:b/>
          <w:snapToGrid w:val="0"/>
          <w:sz w:val="32"/>
        </w:rPr>
        <w:br w:type="page"/>
      </w:r>
    </w:p>
    <w:p w:rsidR="00F13AD5" w:rsidRDefault="00F13AD5" w:rsidP="00B632C2">
      <w:pPr>
        <w:pStyle w:val="Heading2"/>
      </w:pPr>
      <w:bookmarkStart w:id="124" w:name="_Toc452127431"/>
      <w:bookmarkStart w:id="125" w:name="_Toc434844183"/>
      <w:bookmarkStart w:id="126" w:name="_Toc514840966"/>
      <w:bookmarkStart w:id="127" w:name="_Toc514841043"/>
      <w:bookmarkStart w:id="128" w:name="_Toc434844184"/>
      <w:r>
        <w:t>Estimated Employment Level and Employment Profile</w:t>
      </w:r>
      <w:bookmarkEnd w:id="124"/>
      <w:bookmarkEnd w:id="125"/>
      <w:bookmarkEnd w:id="126"/>
      <w:bookmarkEnd w:id="127"/>
    </w:p>
    <w:p w:rsidR="00F13AD5" w:rsidRPr="00F569B6" w:rsidRDefault="00F13AD5" w:rsidP="00F13AD5">
      <w:pPr>
        <w:pStyle w:val="Caption"/>
        <w:rPr>
          <w:sz w:val="24"/>
          <w:szCs w:val="24"/>
        </w:rPr>
      </w:pPr>
      <w:r w:rsidRPr="00F569B6">
        <w:rPr>
          <w:sz w:val="24"/>
          <w:szCs w:val="24"/>
        </w:rPr>
        <w:t xml:space="preserve">Table </w:t>
      </w:r>
      <w:r w:rsidR="004908CF">
        <w:rPr>
          <w:sz w:val="24"/>
          <w:szCs w:val="24"/>
        </w:rPr>
        <w:t>1</w:t>
      </w:r>
      <w:r w:rsidRPr="00F569B6">
        <w:rPr>
          <w:sz w:val="24"/>
          <w:szCs w:val="24"/>
        </w:rP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F13AD5" w:rsidTr="00F83E2E">
        <w:trPr>
          <w:trHeight w:val="392"/>
          <w:tblHeader/>
        </w:trPr>
        <w:tc>
          <w:tcPr>
            <w:tcW w:w="2699" w:type="dxa"/>
            <w:tcBorders>
              <w:top w:val="single" w:sz="12" w:space="0" w:color="000000"/>
              <w:left w:val="nil"/>
              <w:bottom w:val="nil"/>
              <w:right w:val="nil"/>
            </w:tcBorders>
            <w:vAlign w:val="bottom"/>
          </w:tcPr>
          <w:p w:rsidR="00F13AD5" w:rsidRPr="00F569B6" w:rsidRDefault="00F13AD5" w:rsidP="00F83E2E">
            <w:pPr>
              <w:pStyle w:val="BStabletext"/>
              <w:rPr>
                <w:rFonts w:asciiTheme="minorHAnsi" w:hAnsiTheme="minorHAnsi"/>
                <w:sz w:val="24"/>
                <w:szCs w:val="24"/>
              </w:rPr>
            </w:pPr>
          </w:p>
        </w:tc>
        <w:tc>
          <w:tcPr>
            <w:tcW w:w="1600" w:type="dxa"/>
            <w:tcBorders>
              <w:top w:val="single" w:sz="12" w:space="0" w:color="000000"/>
              <w:left w:val="nil"/>
              <w:bottom w:val="nil"/>
              <w:right w:val="nil"/>
            </w:tcBorders>
            <w:hideMark/>
          </w:tcPr>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2016-17</w:t>
            </w:r>
          </w:p>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Actual</w:t>
            </w:r>
          </w:p>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Outcome</w:t>
            </w:r>
          </w:p>
        </w:tc>
        <w:tc>
          <w:tcPr>
            <w:tcW w:w="1600" w:type="dxa"/>
            <w:tcBorders>
              <w:top w:val="single" w:sz="12" w:space="0" w:color="000000"/>
              <w:left w:val="nil"/>
              <w:bottom w:val="nil"/>
              <w:right w:val="nil"/>
            </w:tcBorders>
            <w:hideMark/>
          </w:tcPr>
          <w:p w:rsidR="00F13AD5" w:rsidRPr="00F569B6" w:rsidRDefault="00F13AD5" w:rsidP="00F83E2E">
            <w:pPr>
              <w:pStyle w:val="BStableheading1"/>
              <w:framePr w:wrap="auto" w:vAnchor="margin" w:yAlign="inline"/>
              <w:rPr>
                <w:rFonts w:asciiTheme="minorHAnsi" w:hAnsiTheme="minorHAnsi"/>
                <w:sz w:val="24"/>
                <w:szCs w:val="24"/>
              </w:rPr>
            </w:pPr>
            <w:r w:rsidRPr="00F569B6">
              <w:rPr>
                <w:rFonts w:asciiTheme="minorHAnsi" w:hAnsiTheme="minorHAnsi"/>
                <w:sz w:val="24"/>
                <w:szCs w:val="24"/>
              </w:rPr>
              <w:t>2017-18</w:t>
            </w:r>
          </w:p>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Budget</w:t>
            </w:r>
          </w:p>
        </w:tc>
        <w:tc>
          <w:tcPr>
            <w:tcW w:w="1600" w:type="dxa"/>
            <w:tcBorders>
              <w:top w:val="single" w:sz="12" w:space="0" w:color="000000"/>
              <w:left w:val="nil"/>
              <w:bottom w:val="nil"/>
              <w:right w:val="nil"/>
            </w:tcBorders>
            <w:hideMark/>
          </w:tcPr>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2017-18</w:t>
            </w:r>
          </w:p>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Estimated Outcome</w:t>
            </w:r>
          </w:p>
        </w:tc>
        <w:tc>
          <w:tcPr>
            <w:tcW w:w="1601" w:type="dxa"/>
            <w:tcBorders>
              <w:top w:val="single" w:sz="12" w:space="0" w:color="000000"/>
              <w:left w:val="nil"/>
              <w:bottom w:val="nil"/>
              <w:right w:val="nil"/>
            </w:tcBorders>
            <w:noWrap/>
            <w:hideMark/>
          </w:tcPr>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2018-19</w:t>
            </w:r>
          </w:p>
          <w:p w:rsidR="00F13AD5" w:rsidRPr="00F569B6" w:rsidRDefault="00F13AD5" w:rsidP="00F83E2E">
            <w:pPr>
              <w:pStyle w:val="BStableheading1"/>
              <w:framePr w:wrap="around"/>
              <w:rPr>
                <w:rFonts w:asciiTheme="minorHAnsi" w:hAnsiTheme="minorHAnsi"/>
                <w:sz w:val="24"/>
                <w:szCs w:val="24"/>
              </w:rPr>
            </w:pPr>
            <w:r w:rsidRPr="00F569B6">
              <w:rPr>
                <w:rFonts w:asciiTheme="minorHAnsi" w:hAnsiTheme="minorHAnsi"/>
                <w:sz w:val="24"/>
                <w:szCs w:val="24"/>
              </w:rPr>
              <w:t>Budget</w:t>
            </w:r>
          </w:p>
        </w:tc>
      </w:tr>
      <w:tr w:rsidR="00F13AD5" w:rsidTr="00F83E2E">
        <w:trPr>
          <w:trHeight w:val="319"/>
          <w:tblHeader/>
        </w:trPr>
        <w:tc>
          <w:tcPr>
            <w:tcW w:w="2699" w:type="dxa"/>
            <w:tcBorders>
              <w:top w:val="single" w:sz="6" w:space="0" w:color="000000"/>
              <w:left w:val="nil"/>
              <w:bottom w:val="single" w:sz="12" w:space="0" w:color="000000"/>
              <w:right w:val="nil"/>
            </w:tcBorders>
            <w:vAlign w:val="bottom"/>
            <w:hideMark/>
          </w:tcPr>
          <w:p w:rsidR="00F13AD5" w:rsidRPr="00F569B6" w:rsidRDefault="00F13AD5" w:rsidP="00F83E2E">
            <w:pPr>
              <w:pStyle w:val="BStabletext"/>
              <w:rPr>
                <w:rStyle w:val="Strong0"/>
                <w:rFonts w:asciiTheme="minorHAnsi" w:hAnsiTheme="minorHAnsi"/>
                <w:bCs/>
                <w:sz w:val="24"/>
                <w:szCs w:val="24"/>
              </w:rPr>
            </w:pPr>
            <w:r w:rsidRPr="00F569B6">
              <w:rPr>
                <w:rStyle w:val="Strong0"/>
                <w:rFonts w:asciiTheme="minorHAnsi" w:hAnsiTheme="minorHAnsi"/>
                <w:sz w:val="24"/>
                <w:szCs w:val="24"/>
              </w:rPr>
              <w:t>Staffing (FTE)</w:t>
            </w:r>
          </w:p>
        </w:tc>
        <w:tc>
          <w:tcPr>
            <w:tcW w:w="1600" w:type="dxa"/>
            <w:tcBorders>
              <w:top w:val="single" w:sz="6" w:space="0" w:color="000000"/>
              <w:left w:val="nil"/>
              <w:bottom w:val="single" w:sz="12" w:space="0" w:color="000000"/>
              <w:right w:val="nil"/>
            </w:tcBorders>
            <w:vAlign w:val="bottom"/>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0</w:t>
            </w:r>
            <w:r w:rsidRPr="00F569B6">
              <w:rPr>
                <w:rFonts w:asciiTheme="minorHAnsi" w:hAnsiTheme="minorHAnsi"/>
                <w:sz w:val="24"/>
                <w:szCs w:val="24"/>
                <w:vertAlign w:val="superscript"/>
              </w:rPr>
              <w:t>1</w:t>
            </w:r>
          </w:p>
        </w:tc>
        <w:tc>
          <w:tcPr>
            <w:tcW w:w="1600" w:type="dxa"/>
            <w:tcBorders>
              <w:top w:val="single" w:sz="6" w:space="0" w:color="000000"/>
              <w:left w:val="nil"/>
              <w:bottom w:val="single" w:sz="12" w:space="0" w:color="000000"/>
              <w:right w:val="nil"/>
            </w:tcBorders>
            <w:vAlign w:val="bottom"/>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20</w:t>
            </w:r>
          </w:p>
        </w:tc>
        <w:tc>
          <w:tcPr>
            <w:tcW w:w="1600" w:type="dxa"/>
            <w:tcBorders>
              <w:top w:val="single" w:sz="6" w:space="0" w:color="000000"/>
              <w:left w:val="nil"/>
              <w:bottom w:val="single" w:sz="12" w:space="0" w:color="000000"/>
              <w:right w:val="nil"/>
            </w:tcBorders>
            <w:vAlign w:val="bottom"/>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26</w:t>
            </w:r>
            <w:r w:rsidRPr="00F569B6">
              <w:rPr>
                <w:rFonts w:asciiTheme="minorHAnsi" w:hAnsiTheme="minorHAnsi"/>
                <w:sz w:val="24"/>
                <w:szCs w:val="24"/>
                <w:vertAlign w:val="superscript"/>
              </w:rPr>
              <w:t>2</w:t>
            </w:r>
          </w:p>
        </w:tc>
        <w:tc>
          <w:tcPr>
            <w:tcW w:w="1601" w:type="dxa"/>
            <w:tcBorders>
              <w:top w:val="single" w:sz="6" w:space="0" w:color="000000"/>
              <w:left w:val="nil"/>
              <w:bottom w:val="single" w:sz="12" w:space="0" w:color="000000"/>
              <w:right w:val="nil"/>
            </w:tcBorders>
            <w:noWrap/>
            <w:vAlign w:val="bottom"/>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25</w:t>
            </w:r>
            <w:r w:rsidRPr="00F569B6">
              <w:rPr>
                <w:rFonts w:asciiTheme="minorHAnsi" w:hAnsiTheme="minorHAnsi"/>
                <w:sz w:val="24"/>
                <w:szCs w:val="24"/>
                <w:vertAlign w:val="superscript"/>
              </w:rPr>
              <w:t>3</w:t>
            </w:r>
          </w:p>
        </w:tc>
      </w:tr>
    </w:tbl>
    <w:p w:rsidR="00F13AD5" w:rsidRPr="0000297C" w:rsidRDefault="00F13AD5" w:rsidP="0000297C">
      <w:pPr>
        <w:pStyle w:val="BSnote"/>
      </w:pPr>
      <w:r w:rsidRPr="0000297C">
        <w:t>Note(s):</w:t>
      </w:r>
    </w:p>
    <w:p w:rsidR="00F13AD5" w:rsidRPr="00992F88" w:rsidRDefault="00F13AD5" w:rsidP="00862CB5">
      <w:pPr>
        <w:pStyle w:val="BSnoteslist"/>
        <w:numPr>
          <w:ilvl w:val="0"/>
          <w:numId w:val="75"/>
        </w:numPr>
      </w:pPr>
      <w:r w:rsidRPr="00992F88">
        <w:t xml:space="preserve">There were no employees prior to the City Renewal Authority being established on 1 July 2017 as a result of the </w:t>
      </w:r>
      <w:r w:rsidRPr="00992F88">
        <w:rPr>
          <w:i/>
        </w:rPr>
        <w:t>City Renewal Authority and Suburban Land Agency Act 2017</w:t>
      </w:r>
      <w:r w:rsidRPr="00992F88">
        <w:t xml:space="preserve">. </w:t>
      </w:r>
    </w:p>
    <w:p w:rsidR="00992F88" w:rsidRDefault="00F13AD5" w:rsidP="00992F88">
      <w:pPr>
        <w:pStyle w:val="BSnoteslist"/>
      </w:pPr>
      <w:r w:rsidRPr="00992F88">
        <w:t>The increase of six FTE fro</w:t>
      </w:r>
      <w:r w:rsidR="00992F88">
        <w:t>m the 2017-18 Budget is due to:</w:t>
      </w:r>
      <w:r w:rsidR="00992F88">
        <w:tab/>
      </w:r>
    </w:p>
    <w:p w:rsidR="00992F88" w:rsidRDefault="00F13AD5" w:rsidP="00992F88">
      <w:pPr>
        <w:pStyle w:val="BSnoteslist"/>
        <w:numPr>
          <w:ilvl w:val="1"/>
          <w:numId w:val="5"/>
        </w:numPr>
      </w:pPr>
      <w:r w:rsidRPr="00992F88">
        <w:t>the employment of additional personnel (five) associated with the implementation of initiative Building a better city – City Renewal Authority – Operational funding (funded in the 2017-18 Budget Review); and</w:t>
      </w:r>
    </w:p>
    <w:p w:rsidR="00F13AD5" w:rsidRPr="00992F88" w:rsidRDefault="00F13AD5" w:rsidP="00992F88">
      <w:pPr>
        <w:pStyle w:val="BSnoteslist"/>
        <w:numPr>
          <w:ilvl w:val="1"/>
          <w:numId w:val="5"/>
        </w:numPr>
      </w:pPr>
      <w:r w:rsidRPr="00992F88">
        <w:t>the employment of additional personnel on a temporary basis (one) funded by initiative Building a better city – City Renewal Authority – Initial works package.</w:t>
      </w:r>
    </w:p>
    <w:p w:rsidR="00F13AD5" w:rsidRPr="00992F88" w:rsidRDefault="00F13AD5" w:rsidP="00992F88">
      <w:pPr>
        <w:pStyle w:val="BSnoteslist"/>
      </w:pPr>
      <w:r w:rsidRPr="00992F88">
        <w:t>The FTE decrease of one from the 2017-18 estimated outcome is due to the exclusion from the Budget of the additional temporary personnel funded from initiative Building a better city – City Renewal Authority – Initial works package.</w:t>
      </w:r>
    </w:p>
    <w:p w:rsidR="00F13AD5" w:rsidRPr="00F569B6" w:rsidRDefault="00F13AD5" w:rsidP="00F13AD5">
      <w:pPr>
        <w:pStyle w:val="Caption"/>
        <w:rPr>
          <w:rFonts w:asciiTheme="minorHAnsi" w:hAnsiTheme="minorHAnsi"/>
          <w:sz w:val="24"/>
          <w:szCs w:val="24"/>
        </w:rPr>
      </w:pPr>
      <w:r w:rsidRPr="00F569B6">
        <w:rPr>
          <w:rFonts w:asciiTheme="minorHAnsi" w:hAnsiTheme="minorHAnsi"/>
          <w:sz w:val="24"/>
          <w:szCs w:val="24"/>
        </w:rPr>
        <w:t xml:space="preserve">Table </w:t>
      </w:r>
      <w:r w:rsidR="004908CF">
        <w:rPr>
          <w:rFonts w:asciiTheme="minorHAnsi" w:hAnsiTheme="minorHAnsi"/>
          <w:sz w:val="24"/>
          <w:szCs w:val="24"/>
        </w:rPr>
        <w:t>2</w:t>
      </w:r>
      <w:r w:rsidRPr="00F569B6">
        <w:rPr>
          <w:rFonts w:asciiTheme="minorHAnsi" w:hAnsiTheme="minorHAnsi"/>
          <w:sz w:val="24"/>
          <w:szCs w:val="24"/>
        </w:rPr>
        <w:t>: 2018-19 Employment Profile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79"/>
        <w:gridCol w:w="2246"/>
        <w:gridCol w:w="2255"/>
        <w:gridCol w:w="2246"/>
      </w:tblGrid>
      <w:tr w:rsidR="00F13AD5" w:rsidTr="00F83E2E">
        <w:trPr>
          <w:cantSplit/>
          <w:tblHeader/>
        </w:trPr>
        <w:tc>
          <w:tcPr>
            <w:tcW w:w="2310" w:type="dxa"/>
            <w:tcBorders>
              <w:top w:val="single" w:sz="4" w:space="0" w:color="auto"/>
              <w:left w:val="nil"/>
              <w:bottom w:val="single" w:sz="4" w:space="0" w:color="auto"/>
              <w:right w:val="nil"/>
            </w:tcBorders>
            <w:hideMark/>
          </w:tcPr>
          <w:p w:rsidR="00F13AD5" w:rsidRPr="00F569B6" w:rsidRDefault="00F13AD5" w:rsidP="00F83E2E">
            <w:pPr>
              <w:pStyle w:val="Normal4"/>
              <w:spacing w:before="0" w:after="0"/>
              <w:rPr>
                <w:rFonts w:asciiTheme="minorHAnsi" w:hAnsiTheme="minorHAnsi"/>
                <w:b/>
                <w:szCs w:val="24"/>
              </w:rPr>
            </w:pPr>
            <w:r w:rsidRPr="00F569B6">
              <w:rPr>
                <w:rFonts w:asciiTheme="minorHAnsi" w:hAnsiTheme="minorHAnsi"/>
                <w:b/>
                <w:szCs w:val="24"/>
              </w:rPr>
              <w:t>Classification</w:t>
            </w:r>
          </w:p>
        </w:tc>
        <w:tc>
          <w:tcPr>
            <w:tcW w:w="2311" w:type="dxa"/>
            <w:tcBorders>
              <w:top w:val="single" w:sz="4" w:space="0" w:color="auto"/>
              <w:left w:val="nil"/>
              <w:bottom w:val="single" w:sz="4" w:space="0" w:color="auto"/>
              <w:right w:val="nil"/>
            </w:tcBorders>
            <w:hideMark/>
          </w:tcPr>
          <w:p w:rsidR="00F13AD5" w:rsidRPr="00F569B6" w:rsidRDefault="00F13AD5" w:rsidP="00F83E2E">
            <w:pPr>
              <w:pStyle w:val="Normal4"/>
              <w:spacing w:before="0" w:after="0"/>
              <w:jc w:val="right"/>
              <w:rPr>
                <w:rFonts w:asciiTheme="minorHAnsi" w:hAnsiTheme="minorHAnsi"/>
                <w:b/>
                <w:szCs w:val="24"/>
              </w:rPr>
            </w:pPr>
            <w:r w:rsidRPr="00F569B6">
              <w:rPr>
                <w:rFonts w:asciiTheme="minorHAnsi" w:hAnsiTheme="minorHAnsi"/>
                <w:b/>
                <w:szCs w:val="24"/>
              </w:rPr>
              <w:t>Male</w:t>
            </w:r>
          </w:p>
        </w:tc>
        <w:tc>
          <w:tcPr>
            <w:tcW w:w="2311" w:type="dxa"/>
            <w:tcBorders>
              <w:top w:val="single" w:sz="4" w:space="0" w:color="auto"/>
              <w:left w:val="nil"/>
              <w:bottom w:val="single" w:sz="4" w:space="0" w:color="auto"/>
              <w:right w:val="nil"/>
            </w:tcBorders>
            <w:hideMark/>
          </w:tcPr>
          <w:p w:rsidR="00F13AD5" w:rsidRPr="00F569B6" w:rsidRDefault="00F13AD5" w:rsidP="00F83E2E">
            <w:pPr>
              <w:pStyle w:val="Normal4"/>
              <w:spacing w:before="0" w:after="0"/>
              <w:jc w:val="right"/>
              <w:rPr>
                <w:rFonts w:asciiTheme="minorHAnsi" w:hAnsiTheme="minorHAnsi"/>
                <w:b/>
                <w:szCs w:val="24"/>
              </w:rPr>
            </w:pPr>
            <w:r w:rsidRPr="00F569B6">
              <w:rPr>
                <w:rFonts w:asciiTheme="minorHAnsi" w:hAnsiTheme="minorHAnsi"/>
                <w:b/>
                <w:szCs w:val="24"/>
              </w:rPr>
              <w:t>Female</w:t>
            </w:r>
          </w:p>
        </w:tc>
        <w:tc>
          <w:tcPr>
            <w:tcW w:w="2311" w:type="dxa"/>
            <w:tcBorders>
              <w:top w:val="single" w:sz="4" w:space="0" w:color="auto"/>
              <w:left w:val="nil"/>
              <w:bottom w:val="single" w:sz="4" w:space="0" w:color="auto"/>
              <w:right w:val="nil"/>
            </w:tcBorders>
            <w:hideMark/>
          </w:tcPr>
          <w:p w:rsidR="00F13AD5" w:rsidRPr="00F569B6" w:rsidRDefault="00F13AD5" w:rsidP="00F83E2E">
            <w:pPr>
              <w:pStyle w:val="Normal4"/>
              <w:spacing w:before="0" w:after="0"/>
              <w:jc w:val="right"/>
              <w:rPr>
                <w:rFonts w:asciiTheme="minorHAnsi" w:hAnsiTheme="minorHAnsi"/>
                <w:b/>
                <w:szCs w:val="24"/>
              </w:rPr>
            </w:pPr>
            <w:r w:rsidRPr="00F569B6">
              <w:rPr>
                <w:rFonts w:asciiTheme="minorHAnsi" w:hAnsiTheme="minorHAnsi"/>
                <w:b/>
                <w:szCs w:val="24"/>
              </w:rPr>
              <w:t>Total</w:t>
            </w:r>
          </w:p>
        </w:tc>
      </w:tr>
      <w:tr w:rsidR="00F13AD5" w:rsidTr="00F83E2E">
        <w:trPr>
          <w:cantSplit/>
        </w:trPr>
        <w:tc>
          <w:tcPr>
            <w:tcW w:w="2310" w:type="dxa"/>
            <w:tcBorders>
              <w:top w:val="single" w:sz="4" w:space="0" w:color="auto"/>
              <w:left w:val="nil"/>
              <w:bottom w:val="nil"/>
              <w:right w:val="nil"/>
            </w:tcBorders>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Executive</w:t>
            </w:r>
          </w:p>
        </w:tc>
        <w:tc>
          <w:tcPr>
            <w:tcW w:w="2311" w:type="dxa"/>
            <w:tcBorders>
              <w:top w:val="single" w:sz="4" w:space="0" w:color="auto"/>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3</w:t>
            </w:r>
          </w:p>
        </w:tc>
        <w:tc>
          <w:tcPr>
            <w:tcW w:w="2311" w:type="dxa"/>
            <w:tcBorders>
              <w:top w:val="single" w:sz="4" w:space="0" w:color="auto"/>
              <w:left w:val="nil"/>
              <w:bottom w:val="nil"/>
              <w:right w:val="nil"/>
            </w:tcBorders>
          </w:tcPr>
          <w:p w:rsidR="00F13AD5" w:rsidRPr="00F569B6" w:rsidRDefault="00167950" w:rsidP="00F83E2E">
            <w:pPr>
              <w:pStyle w:val="BStablefigures"/>
              <w:rPr>
                <w:rFonts w:asciiTheme="minorHAnsi" w:hAnsiTheme="minorHAnsi"/>
                <w:sz w:val="24"/>
                <w:szCs w:val="24"/>
              </w:rPr>
            </w:pPr>
            <w:r>
              <w:rPr>
                <w:rFonts w:asciiTheme="minorHAnsi" w:hAnsiTheme="minorHAnsi"/>
                <w:sz w:val="24"/>
                <w:szCs w:val="24"/>
              </w:rPr>
              <w:t>0</w:t>
            </w:r>
          </w:p>
        </w:tc>
        <w:tc>
          <w:tcPr>
            <w:tcW w:w="2311" w:type="dxa"/>
            <w:tcBorders>
              <w:top w:val="single" w:sz="4" w:space="0" w:color="auto"/>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3</w:t>
            </w:r>
          </w:p>
        </w:tc>
      </w:tr>
      <w:tr w:rsidR="00F13AD5" w:rsidTr="00F83E2E">
        <w:trPr>
          <w:cantSplit/>
        </w:trPr>
        <w:tc>
          <w:tcPr>
            <w:tcW w:w="2310" w:type="dxa"/>
            <w:tcBorders>
              <w:top w:val="nil"/>
              <w:left w:val="nil"/>
              <w:bottom w:val="nil"/>
              <w:right w:val="nil"/>
            </w:tcBorders>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INFRMS3</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w:t>
            </w:r>
          </w:p>
        </w:tc>
      </w:tr>
      <w:tr w:rsidR="00F13AD5" w:rsidTr="00F83E2E">
        <w:trPr>
          <w:cantSplit/>
        </w:trPr>
        <w:tc>
          <w:tcPr>
            <w:tcW w:w="2310" w:type="dxa"/>
            <w:tcBorders>
              <w:top w:val="nil"/>
              <w:left w:val="nil"/>
              <w:bottom w:val="nil"/>
              <w:right w:val="nil"/>
            </w:tcBorders>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INFR4/5</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3</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4</w:t>
            </w:r>
          </w:p>
        </w:tc>
      </w:tr>
      <w:tr w:rsidR="00F13AD5" w:rsidTr="00F83E2E">
        <w:trPr>
          <w:cantSplit/>
        </w:trPr>
        <w:tc>
          <w:tcPr>
            <w:tcW w:w="2310" w:type="dxa"/>
            <w:tcBorders>
              <w:top w:val="nil"/>
              <w:left w:val="nil"/>
              <w:bottom w:val="nil"/>
              <w:right w:val="nil"/>
            </w:tcBorders>
            <w:hideMark/>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SOGA/B</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3</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5</w:t>
            </w:r>
          </w:p>
        </w:tc>
      </w:tr>
      <w:tr w:rsidR="00F13AD5" w:rsidTr="00F83E2E">
        <w:trPr>
          <w:cantSplit/>
        </w:trPr>
        <w:tc>
          <w:tcPr>
            <w:tcW w:w="2310" w:type="dxa"/>
            <w:tcBorders>
              <w:top w:val="nil"/>
              <w:left w:val="nil"/>
              <w:bottom w:val="nil"/>
              <w:right w:val="nil"/>
            </w:tcBorders>
            <w:hideMark/>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SOGC</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4</w:t>
            </w:r>
          </w:p>
        </w:tc>
      </w:tr>
      <w:tr w:rsidR="00F13AD5" w:rsidTr="00F83E2E">
        <w:trPr>
          <w:cantSplit/>
        </w:trPr>
        <w:tc>
          <w:tcPr>
            <w:tcW w:w="2310" w:type="dxa"/>
            <w:tcBorders>
              <w:top w:val="nil"/>
              <w:left w:val="nil"/>
              <w:bottom w:val="nil"/>
              <w:right w:val="nil"/>
            </w:tcBorders>
            <w:hideMark/>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ASO6</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2</w:t>
            </w:r>
          </w:p>
        </w:tc>
      </w:tr>
      <w:tr w:rsidR="00F13AD5" w:rsidTr="00F83E2E">
        <w:trPr>
          <w:cantSplit/>
        </w:trPr>
        <w:tc>
          <w:tcPr>
            <w:tcW w:w="2310" w:type="dxa"/>
            <w:tcBorders>
              <w:top w:val="nil"/>
              <w:left w:val="nil"/>
              <w:bottom w:val="nil"/>
              <w:right w:val="nil"/>
            </w:tcBorders>
            <w:hideMark/>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ASO5</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3</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4</w:t>
            </w:r>
          </w:p>
        </w:tc>
      </w:tr>
      <w:tr w:rsidR="00F13AD5" w:rsidTr="00F83E2E">
        <w:trPr>
          <w:cantSplit/>
        </w:trPr>
        <w:tc>
          <w:tcPr>
            <w:tcW w:w="2310" w:type="dxa"/>
            <w:tcBorders>
              <w:top w:val="nil"/>
              <w:left w:val="nil"/>
              <w:bottom w:val="nil"/>
              <w:right w:val="nil"/>
            </w:tcBorders>
            <w:hideMark/>
          </w:tcPr>
          <w:p w:rsidR="00F13AD5" w:rsidRPr="00F569B6" w:rsidRDefault="00F13AD5" w:rsidP="00F83E2E">
            <w:pPr>
              <w:pStyle w:val="BStabletext"/>
              <w:rPr>
                <w:rFonts w:asciiTheme="minorHAnsi" w:hAnsiTheme="minorHAnsi"/>
                <w:sz w:val="24"/>
                <w:szCs w:val="24"/>
              </w:rPr>
            </w:pPr>
            <w:r w:rsidRPr="00F569B6">
              <w:rPr>
                <w:rFonts w:asciiTheme="minorHAnsi" w:hAnsiTheme="minorHAnsi"/>
                <w:sz w:val="24"/>
                <w:szCs w:val="24"/>
              </w:rPr>
              <w:t>ASO4</w:t>
            </w:r>
          </w:p>
        </w:tc>
        <w:tc>
          <w:tcPr>
            <w:tcW w:w="2311" w:type="dxa"/>
            <w:tcBorders>
              <w:top w:val="nil"/>
              <w:left w:val="nil"/>
              <w:bottom w:val="nil"/>
              <w:right w:val="nil"/>
            </w:tcBorders>
            <w:hideMark/>
          </w:tcPr>
          <w:p w:rsidR="00F13AD5" w:rsidRPr="00F569B6" w:rsidRDefault="00167950" w:rsidP="00F83E2E">
            <w:pPr>
              <w:pStyle w:val="BStablefigures"/>
              <w:rPr>
                <w:rFonts w:asciiTheme="minorHAnsi" w:hAnsiTheme="minorHAnsi"/>
                <w:sz w:val="24"/>
                <w:szCs w:val="24"/>
              </w:rPr>
            </w:pPr>
            <w:r>
              <w:rPr>
                <w:rFonts w:asciiTheme="minorHAnsi" w:hAnsiTheme="minorHAnsi"/>
                <w:sz w:val="24"/>
                <w:szCs w:val="24"/>
              </w:rPr>
              <w:t>0</w:t>
            </w:r>
          </w:p>
        </w:tc>
        <w:tc>
          <w:tcPr>
            <w:tcW w:w="2311" w:type="dxa"/>
            <w:tcBorders>
              <w:top w:val="nil"/>
              <w:left w:val="nil"/>
              <w:bottom w:val="nil"/>
              <w:right w:val="nil"/>
            </w:tcBorders>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c>
          <w:tcPr>
            <w:tcW w:w="2311" w:type="dxa"/>
            <w:tcBorders>
              <w:top w:val="nil"/>
              <w:left w:val="nil"/>
              <w:bottom w:val="nil"/>
              <w:right w:val="nil"/>
            </w:tcBorders>
            <w:hideMark/>
          </w:tcPr>
          <w:p w:rsidR="00F13AD5" w:rsidRPr="00F569B6" w:rsidRDefault="00F13AD5" w:rsidP="00F83E2E">
            <w:pPr>
              <w:pStyle w:val="BStablefigures"/>
              <w:rPr>
                <w:rFonts w:asciiTheme="minorHAnsi" w:hAnsiTheme="minorHAnsi"/>
                <w:sz w:val="24"/>
                <w:szCs w:val="24"/>
              </w:rPr>
            </w:pPr>
            <w:r w:rsidRPr="00F569B6">
              <w:rPr>
                <w:rFonts w:asciiTheme="minorHAnsi" w:hAnsiTheme="minorHAnsi"/>
                <w:sz w:val="24"/>
                <w:szCs w:val="24"/>
              </w:rPr>
              <w:t>1</w:t>
            </w:r>
          </w:p>
        </w:tc>
      </w:tr>
      <w:tr w:rsidR="00F13AD5" w:rsidTr="00F83E2E">
        <w:trPr>
          <w:cantSplit/>
        </w:trPr>
        <w:tc>
          <w:tcPr>
            <w:tcW w:w="2310" w:type="dxa"/>
            <w:tcBorders>
              <w:top w:val="single" w:sz="4" w:space="0" w:color="auto"/>
              <w:left w:val="nil"/>
              <w:bottom w:val="single" w:sz="4" w:space="0" w:color="auto"/>
              <w:right w:val="nil"/>
            </w:tcBorders>
            <w:hideMark/>
          </w:tcPr>
          <w:p w:rsidR="00F13AD5" w:rsidRPr="00F569B6" w:rsidRDefault="00F13AD5" w:rsidP="00F83E2E">
            <w:pPr>
              <w:pStyle w:val="Normal4"/>
              <w:spacing w:before="0" w:after="0"/>
              <w:rPr>
                <w:rFonts w:asciiTheme="minorHAnsi" w:hAnsiTheme="minorHAnsi"/>
                <w:b/>
                <w:szCs w:val="24"/>
              </w:rPr>
            </w:pPr>
            <w:r w:rsidRPr="00F569B6">
              <w:rPr>
                <w:rFonts w:asciiTheme="minorHAnsi" w:hAnsiTheme="minorHAnsi"/>
                <w:b/>
                <w:szCs w:val="24"/>
              </w:rPr>
              <w:t>Total</w:t>
            </w:r>
          </w:p>
        </w:tc>
        <w:tc>
          <w:tcPr>
            <w:tcW w:w="2311" w:type="dxa"/>
            <w:tcBorders>
              <w:top w:val="single" w:sz="4" w:space="0" w:color="auto"/>
              <w:left w:val="nil"/>
              <w:bottom w:val="single" w:sz="4" w:space="0" w:color="auto"/>
              <w:right w:val="nil"/>
            </w:tcBorders>
            <w:hideMark/>
          </w:tcPr>
          <w:p w:rsidR="00F13AD5" w:rsidRPr="00F569B6" w:rsidRDefault="00F13AD5" w:rsidP="00F83E2E">
            <w:pPr>
              <w:pStyle w:val="BStablefiguresbold"/>
              <w:rPr>
                <w:rFonts w:asciiTheme="minorHAnsi" w:hAnsiTheme="minorHAnsi"/>
                <w:sz w:val="24"/>
                <w:szCs w:val="24"/>
              </w:rPr>
            </w:pPr>
            <w:r w:rsidRPr="00F569B6">
              <w:rPr>
                <w:rFonts w:asciiTheme="minorHAnsi" w:hAnsiTheme="minorHAnsi"/>
                <w:sz w:val="24"/>
                <w:szCs w:val="24"/>
              </w:rPr>
              <w:t>12</w:t>
            </w:r>
          </w:p>
        </w:tc>
        <w:tc>
          <w:tcPr>
            <w:tcW w:w="2311" w:type="dxa"/>
            <w:tcBorders>
              <w:top w:val="single" w:sz="4" w:space="0" w:color="auto"/>
              <w:left w:val="nil"/>
              <w:bottom w:val="single" w:sz="4" w:space="0" w:color="auto"/>
              <w:right w:val="nil"/>
            </w:tcBorders>
            <w:hideMark/>
          </w:tcPr>
          <w:p w:rsidR="00F13AD5" w:rsidRPr="00F569B6" w:rsidRDefault="00F13AD5" w:rsidP="00F83E2E">
            <w:pPr>
              <w:pStyle w:val="BStablefiguresbold"/>
              <w:rPr>
                <w:rFonts w:asciiTheme="minorHAnsi" w:hAnsiTheme="minorHAnsi"/>
                <w:sz w:val="24"/>
                <w:szCs w:val="24"/>
              </w:rPr>
            </w:pPr>
            <w:r w:rsidRPr="00F569B6">
              <w:rPr>
                <w:rFonts w:asciiTheme="minorHAnsi" w:hAnsiTheme="minorHAnsi"/>
                <w:sz w:val="24"/>
                <w:szCs w:val="24"/>
              </w:rPr>
              <w:t>13</w:t>
            </w:r>
          </w:p>
        </w:tc>
        <w:tc>
          <w:tcPr>
            <w:tcW w:w="2311" w:type="dxa"/>
            <w:tcBorders>
              <w:top w:val="single" w:sz="4" w:space="0" w:color="auto"/>
              <w:left w:val="nil"/>
              <w:bottom w:val="single" w:sz="4" w:space="0" w:color="auto"/>
              <w:right w:val="nil"/>
            </w:tcBorders>
            <w:hideMark/>
          </w:tcPr>
          <w:p w:rsidR="00F13AD5" w:rsidRPr="00F569B6" w:rsidRDefault="00F13AD5" w:rsidP="00F83E2E">
            <w:pPr>
              <w:pStyle w:val="BStablefiguresbold"/>
              <w:rPr>
                <w:rFonts w:asciiTheme="minorHAnsi" w:hAnsiTheme="minorHAnsi"/>
                <w:sz w:val="24"/>
                <w:szCs w:val="24"/>
              </w:rPr>
            </w:pPr>
            <w:r w:rsidRPr="00F569B6">
              <w:rPr>
                <w:rFonts w:asciiTheme="minorHAnsi" w:hAnsiTheme="minorHAnsi"/>
                <w:sz w:val="24"/>
                <w:szCs w:val="24"/>
              </w:rPr>
              <w:t>25</w:t>
            </w:r>
          </w:p>
        </w:tc>
      </w:tr>
      <w:bookmarkEnd w:id="128"/>
    </w:tbl>
    <w:p w:rsidR="00F13AD5" w:rsidRPr="00F569B6" w:rsidRDefault="00F13AD5" w:rsidP="00F13AD5">
      <w:pPr>
        <w:pStyle w:val="Normal4"/>
        <w:rPr>
          <w:rFonts w:asciiTheme="minorHAnsi" w:hAnsiTheme="minorHAnsi"/>
          <w:szCs w:val="24"/>
        </w:rPr>
      </w:pPr>
    </w:p>
    <w:p w:rsidR="00F13AD5" w:rsidRPr="00F569B6" w:rsidRDefault="00F13AD5" w:rsidP="00F13AD5">
      <w:pPr>
        <w:pStyle w:val="Normal4"/>
        <w:rPr>
          <w:rFonts w:asciiTheme="minorHAnsi" w:hAnsiTheme="minorHAnsi"/>
          <w:szCs w:val="24"/>
        </w:rPr>
      </w:pPr>
      <w:r w:rsidRPr="00F569B6">
        <w:rPr>
          <w:rFonts w:asciiTheme="minorHAnsi" w:hAnsiTheme="minorHAnsi"/>
          <w:szCs w:val="24"/>
        </w:rPr>
        <w:br w:type="page"/>
      </w:r>
    </w:p>
    <w:p w:rsidR="00F13AD5" w:rsidRDefault="00F13AD5" w:rsidP="00B632C2">
      <w:pPr>
        <w:pStyle w:val="Heading2"/>
      </w:pPr>
      <w:bookmarkStart w:id="129" w:name="_Toc514840967"/>
      <w:bookmarkStart w:id="130" w:name="_Toc514841044"/>
      <w:r>
        <w:t>Key performance indicators for 2018-19 to 2021-2022</w:t>
      </w:r>
      <w:bookmarkEnd w:id="129"/>
      <w:bookmarkEnd w:id="130"/>
      <w:r>
        <w:t xml:space="preserve"> </w:t>
      </w:r>
    </w:p>
    <w:p w:rsidR="00F13AD5" w:rsidRDefault="00F13AD5" w:rsidP="00F13AD5">
      <w:pPr>
        <w:pStyle w:val="Caption0"/>
      </w:pPr>
      <w:r>
        <w:t>Financial Measures</w:t>
      </w:r>
    </w:p>
    <w:p w:rsidR="00F13AD5" w:rsidRPr="008F7D94" w:rsidRDefault="00F13AD5" w:rsidP="00F13AD5">
      <w:pPr>
        <w:pStyle w:val="Caption0"/>
      </w:pPr>
      <w:r w:rsidRPr="008F7D94">
        <w:t xml:space="preserve">Table </w:t>
      </w:r>
      <w:r w:rsidR="004908CF">
        <w:t>3</w:t>
      </w:r>
      <w:r w:rsidRPr="008F7D94">
        <w:rPr>
          <w:noProof/>
        </w:rPr>
        <w:t>:</w:t>
      </w:r>
      <w:r w:rsidRPr="008F7D94">
        <w:t xml:space="preserve"> Key performance indicators</w:t>
      </w:r>
    </w:p>
    <w:tbl>
      <w:tblPr>
        <w:tblW w:w="5000" w:type="pct"/>
        <w:tblBorders>
          <w:top w:val="single" w:sz="12" w:space="0" w:color="000000"/>
          <w:bottom w:val="single" w:sz="12" w:space="0" w:color="000000"/>
        </w:tblBorders>
        <w:tblLook w:val="04A0" w:firstRow="1" w:lastRow="0" w:firstColumn="1" w:lastColumn="0" w:noHBand="0" w:noVBand="1"/>
      </w:tblPr>
      <w:tblGrid>
        <w:gridCol w:w="4103"/>
        <w:gridCol w:w="1200"/>
        <w:gridCol w:w="1241"/>
        <w:gridCol w:w="1241"/>
        <w:gridCol w:w="1241"/>
      </w:tblGrid>
      <w:tr w:rsidR="00F13AD5" w:rsidTr="00F83E2E">
        <w:trPr>
          <w:tblHeader/>
        </w:trPr>
        <w:tc>
          <w:tcPr>
            <w:tcW w:w="2512" w:type="pct"/>
            <w:tcBorders>
              <w:top w:val="single" w:sz="12" w:space="0" w:color="000000"/>
              <w:left w:val="nil"/>
              <w:bottom w:val="single" w:sz="12" w:space="0" w:color="000000"/>
              <w:right w:val="nil"/>
            </w:tcBorders>
          </w:tcPr>
          <w:p w:rsidR="00F13AD5" w:rsidRPr="008F7D94" w:rsidRDefault="00F13AD5" w:rsidP="00F83E2E">
            <w:pPr>
              <w:pStyle w:val="BStabletext0"/>
            </w:pPr>
          </w:p>
        </w:tc>
        <w:tc>
          <w:tcPr>
            <w:tcW w:w="503" w:type="pct"/>
            <w:tcBorders>
              <w:top w:val="single" w:sz="12" w:space="0" w:color="000000"/>
              <w:left w:val="nil"/>
              <w:bottom w:val="single" w:sz="12" w:space="0" w:color="000000"/>
              <w:right w:val="nil"/>
            </w:tcBorders>
            <w:hideMark/>
          </w:tcPr>
          <w:p w:rsidR="00F13AD5" w:rsidRPr="008F7D94" w:rsidRDefault="00F13AD5" w:rsidP="00F83E2E">
            <w:pPr>
              <w:pStyle w:val="BStableheading10"/>
              <w:framePr w:wrap="around"/>
            </w:pPr>
            <w:r w:rsidRPr="008F7D94">
              <w:t>2018-19</w:t>
            </w:r>
          </w:p>
        </w:tc>
        <w:tc>
          <w:tcPr>
            <w:tcW w:w="663" w:type="pct"/>
            <w:tcBorders>
              <w:top w:val="single" w:sz="12" w:space="0" w:color="000000"/>
              <w:left w:val="nil"/>
              <w:bottom w:val="single" w:sz="12" w:space="0" w:color="000000"/>
              <w:right w:val="nil"/>
            </w:tcBorders>
            <w:hideMark/>
          </w:tcPr>
          <w:p w:rsidR="00F13AD5" w:rsidRPr="008F7D94" w:rsidRDefault="00F13AD5" w:rsidP="00F83E2E">
            <w:pPr>
              <w:pStyle w:val="BStableheading10"/>
              <w:framePr w:wrap="around"/>
            </w:pPr>
            <w:r w:rsidRPr="008F7D94">
              <w:t>2019-20</w:t>
            </w:r>
          </w:p>
        </w:tc>
        <w:tc>
          <w:tcPr>
            <w:tcW w:w="661" w:type="pct"/>
            <w:tcBorders>
              <w:top w:val="single" w:sz="12" w:space="0" w:color="000000"/>
              <w:left w:val="nil"/>
              <w:bottom w:val="single" w:sz="12" w:space="0" w:color="000000"/>
              <w:right w:val="nil"/>
            </w:tcBorders>
            <w:hideMark/>
          </w:tcPr>
          <w:p w:rsidR="00F13AD5" w:rsidRPr="008F7D94" w:rsidRDefault="00F13AD5" w:rsidP="00F83E2E">
            <w:pPr>
              <w:pStyle w:val="BStableheading10"/>
              <w:framePr w:wrap="around"/>
            </w:pPr>
            <w:r w:rsidRPr="008F7D94">
              <w:t>2020-21</w:t>
            </w:r>
          </w:p>
        </w:tc>
        <w:tc>
          <w:tcPr>
            <w:tcW w:w="661" w:type="pct"/>
            <w:tcBorders>
              <w:top w:val="single" w:sz="12" w:space="0" w:color="000000"/>
              <w:left w:val="nil"/>
              <w:bottom w:val="single" w:sz="12" w:space="0" w:color="000000"/>
              <w:right w:val="nil"/>
            </w:tcBorders>
          </w:tcPr>
          <w:p w:rsidR="00F13AD5" w:rsidRPr="008F7D94" w:rsidRDefault="00F13AD5" w:rsidP="00F83E2E">
            <w:pPr>
              <w:pStyle w:val="BStableheading10"/>
              <w:framePr w:wrap="around"/>
            </w:pPr>
            <w:r w:rsidRPr="008F7D94">
              <w:t>2021-22</w:t>
            </w:r>
          </w:p>
        </w:tc>
      </w:tr>
      <w:tr w:rsidR="00F13AD5" w:rsidTr="00F83E2E">
        <w:tc>
          <w:tcPr>
            <w:tcW w:w="4339" w:type="pct"/>
            <w:gridSpan w:val="4"/>
            <w:tcBorders>
              <w:top w:val="single" w:sz="12" w:space="0" w:color="000000"/>
              <w:left w:val="nil"/>
              <w:bottom w:val="nil"/>
              <w:right w:val="nil"/>
            </w:tcBorders>
          </w:tcPr>
          <w:p w:rsidR="00F13AD5" w:rsidRPr="008F7D94" w:rsidRDefault="00F13AD5" w:rsidP="00F83E2E">
            <w:pPr>
              <w:pStyle w:val="BStabletext0"/>
            </w:pPr>
          </w:p>
        </w:tc>
        <w:tc>
          <w:tcPr>
            <w:tcW w:w="661" w:type="pct"/>
            <w:tcBorders>
              <w:top w:val="single" w:sz="12" w:space="0" w:color="000000"/>
              <w:left w:val="nil"/>
              <w:bottom w:val="nil"/>
              <w:right w:val="nil"/>
            </w:tcBorders>
          </w:tcPr>
          <w:p w:rsidR="00F13AD5" w:rsidRPr="008F7D94" w:rsidRDefault="00F13AD5" w:rsidP="00F83E2E">
            <w:pPr>
              <w:pStyle w:val="BStabletext0"/>
            </w:pPr>
          </w:p>
        </w:tc>
      </w:tr>
      <w:tr w:rsidR="00F13AD5" w:rsidTr="00F83E2E">
        <w:trPr>
          <w:trHeight w:val="283"/>
        </w:trPr>
        <w:tc>
          <w:tcPr>
            <w:tcW w:w="2512" w:type="pct"/>
            <w:tcBorders>
              <w:top w:val="nil"/>
              <w:left w:val="nil"/>
              <w:bottom w:val="nil"/>
              <w:right w:val="nil"/>
            </w:tcBorders>
            <w:hideMark/>
          </w:tcPr>
          <w:p w:rsidR="00F13AD5" w:rsidRPr="008F7D94" w:rsidRDefault="00F13AD5" w:rsidP="002E015E">
            <w:pPr>
              <w:pStyle w:val="BStablelist"/>
              <w:keepNext/>
              <w:numPr>
                <w:ilvl w:val="0"/>
                <w:numId w:val="0"/>
              </w:numPr>
              <w:ind w:left="284"/>
            </w:pPr>
            <w:r w:rsidRPr="008F7D94">
              <w:t>Land Sales Revenue (</w:t>
            </w:r>
            <w:r w:rsidR="002E015E">
              <w:t xml:space="preserve">$ </w:t>
            </w:r>
            <w:r w:rsidRPr="008F7D94">
              <w:t>million)</w:t>
            </w:r>
          </w:p>
        </w:tc>
        <w:tc>
          <w:tcPr>
            <w:tcW w:w="503" w:type="pct"/>
            <w:tcBorders>
              <w:top w:val="nil"/>
              <w:left w:val="nil"/>
              <w:bottom w:val="nil"/>
              <w:right w:val="nil"/>
            </w:tcBorders>
            <w:hideMark/>
          </w:tcPr>
          <w:p w:rsidR="00F13AD5" w:rsidRPr="002E015E" w:rsidRDefault="00F13AD5" w:rsidP="00F83E2E">
            <w:pPr>
              <w:pStyle w:val="BStablefigures0"/>
              <w:rPr>
                <w:b w:val="0"/>
              </w:rPr>
            </w:pPr>
            <w:r w:rsidRPr="002E015E">
              <w:rPr>
                <w:b w:val="0"/>
              </w:rPr>
              <w:t>0.000</w:t>
            </w:r>
          </w:p>
        </w:tc>
        <w:tc>
          <w:tcPr>
            <w:tcW w:w="663" w:type="pct"/>
            <w:tcBorders>
              <w:top w:val="nil"/>
              <w:left w:val="nil"/>
              <w:bottom w:val="nil"/>
              <w:right w:val="nil"/>
            </w:tcBorders>
            <w:hideMark/>
          </w:tcPr>
          <w:p w:rsidR="00F13AD5" w:rsidRPr="002E015E" w:rsidRDefault="00F13AD5" w:rsidP="00F83E2E">
            <w:pPr>
              <w:pStyle w:val="BStablefigures0"/>
              <w:rPr>
                <w:b w:val="0"/>
              </w:rPr>
            </w:pPr>
            <w:r w:rsidRPr="002E015E">
              <w:rPr>
                <w:b w:val="0"/>
              </w:rPr>
              <w:t>14.130</w:t>
            </w:r>
          </w:p>
        </w:tc>
        <w:tc>
          <w:tcPr>
            <w:tcW w:w="661" w:type="pct"/>
            <w:tcBorders>
              <w:top w:val="nil"/>
              <w:left w:val="nil"/>
              <w:bottom w:val="nil"/>
              <w:right w:val="nil"/>
            </w:tcBorders>
            <w:hideMark/>
          </w:tcPr>
          <w:p w:rsidR="00F13AD5" w:rsidRPr="002E015E" w:rsidRDefault="00F13AD5" w:rsidP="00F83E2E">
            <w:pPr>
              <w:pStyle w:val="BStablefigures0"/>
              <w:rPr>
                <w:b w:val="0"/>
              </w:rPr>
            </w:pPr>
            <w:r w:rsidRPr="002E015E">
              <w:rPr>
                <w:b w:val="0"/>
              </w:rPr>
              <w:t>32.710</w:t>
            </w:r>
          </w:p>
        </w:tc>
        <w:tc>
          <w:tcPr>
            <w:tcW w:w="661" w:type="pct"/>
            <w:tcBorders>
              <w:top w:val="nil"/>
              <w:left w:val="nil"/>
              <w:bottom w:val="nil"/>
              <w:right w:val="nil"/>
            </w:tcBorders>
          </w:tcPr>
          <w:p w:rsidR="00F13AD5" w:rsidRPr="002E015E" w:rsidRDefault="00F13AD5" w:rsidP="00F83E2E">
            <w:pPr>
              <w:pStyle w:val="BStablefigures0"/>
              <w:rPr>
                <w:b w:val="0"/>
              </w:rPr>
            </w:pPr>
            <w:r w:rsidRPr="002E015E">
              <w:rPr>
                <w:b w:val="0"/>
              </w:rPr>
              <w:t>32.710</w:t>
            </w:r>
          </w:p>
        </w:tc>
      </w:tr>
      <w:tr w:rsidR="00F13AD5" w:rsidTr="00F83E2E">
        <w:trPr>
          <w:trHeight w:val="283"/>
        </w:trPr>
        <w:tc>
          <w:tcPr>
            <w:tcW w:w="2512" w:type="pct"/>
            <w:tcBorders>
              <w:top w:val="nil"/>
              <w:left w:val="nil"/>
              <w:bottom w:val="nil"/>
              <w:right w:val="nil"/>
            </w:tcBorders>
            <w:hideMark/>
          </w:tcPr>
          <w:p w:rsidR="00F13AD5" w:rsidRPr="008F7D94" w:rsidRDefault="00F13AD5" w:rsidP="00F83E2E">
            <w:pPr>
              <w:pStyle w:val="BStablelist"/>
              <w:keepNext/>
              <w:numPr>
                <w:ilvl w:val="0"/>
                <w:numId w:val="0"/>
              </w:numPr>
              <w:ind w:left="284"/>
            </w:pPr>
            <w:r w:rsidRPr="008F7D94">
              <w:t>Gross Profit Margin on Land Sales (%)</w:t>
            </w:r>
            <w:r w:rsidRPr="008F7D94">
              <w:rPr>
                <w:vertAlign w:val="superscript"/>
              </w:rPr>
              <w:t>1</w:t>
            </w:r>
            <w:r w:rsidRPr="008F7D94">
              <w:t xml:space="preserve"> </w:t>
            </w:r>
          </w:p>
        </w:tc>
        <w:tc>
          <w:tcPr>
            <w:tcW w:w="503" w:type="pct"/>
            <w:tcBorders>
              <w:top w:val="nil"/>
              <w:left w:val="nil"/>
              <w:bottom w:val="nil"/>
              <w:right w:val="nil"/>
            </w:tcBorders>
            <w:hideMark/>
          </w:tcPr>
          <w:p w:rsidR="00F13AD5" w:rsidRPr="002E015E" w:rsidRDefault="00F13AD5" w:rsidP="00F83E2E">
            <w:pPr>
              <w:pStyle w:val="BStablefigures0"/>
              <w:rPr>
                <w:b w:val="0"/>
              </w:rPr>
            </w:pPr>
            <w:r w:rsidRPr="002E015E">
              <w:rPr>
                <w:b w:val="0"/>
              </w:rPr>
              <w:t>0.00%</w:t>
            </w:r>
          </w:p>
        </w:tc>
        <w:tc>
          <w:tcPr>
            <w:tcW w:w="663" w:type="pct"/>
            <w:tcBorders>
              <w:top w:val="nil"/>
              <w:left w:val="nil"/>
              <w:bottom w:val="nil"/>
              <w:right w:val="nil"/>
            </w:tcBorders>
            <w:hideMark/>
          </w:tcPr>
          <w:p w:rsidR="00F13AD5" w:rsidRPr="002E015E" w:rsidRDefault="00F13AD5" w:rsidP="00F83E2E">
            <w:pPr>
              <w:pStyle w:val="BStablefigures0"/>
              <w:rPr>
                <w:b w:val="0"/>
              </w:rPr>
            </w:pPr>
            <w:r w:rsidRPr="002E015E">
              <w:rPr>
                <w:b w:val="0"/>
              </w:rPr>
              <w:t>40.39%</w:t>
            </w:r>
          </w:p>
        </w:tc>
        <w:tc>
          <w:tcPr>
            <w:tcW w:w="661" w:type="pct"/>
            <w:tcBorders>
              <w:top w:val="nil"/>
              <w:left w:val="nil"/>
              <w:bottom w:val="nil"/>
              <w:right w:val="nil"/>
            </w:tcBorders>
            <w:hideMark/>
          </w:tcPr>
          <w:p w:rsidR="00F13AD5" w:rsidRPr="002E015E" w:rsidRDefault="00F13AD5" w:rsidP="00F83E2E">
            <w:pPr>
              <w:pStyle w:val="BStablefigures0"/>
              <w:rPr>
                <w:b w:val="0"/>
              </w:rPr>
            </w:pPr>
            <w:r w:rsidRPr="002E015E">
              <w:rPr>
                <w:b w:val="0"/>
              </w:rPr>
              <w:t>39.75%</w:t>
            </w:r>
          </w:p>
        </w:tc>
        <w:tc>
          <w:tcPr>
            <w:tcW w:w="661" w:type="pct"/>
            <w:tcBorders>
              <w:top w:val="nil"/>
              <w:left w:val="nil"/>
              <w:bottom w:val="nil"/>
              <w:right w:val="nil"/>
            </w:tcBorders>
          </w:tcPr>
          <w:p w:rsidR="00F13AD5" w:rsidRPr="002E015E" w:rsidRDefault="00F13AD5" w:rsidP="00F83E2E">
            <w:pPr>
              <w:pStyle w:val="BStablefigures0"/>
              <w:rPr>
                <w:b w:val="0"/>
              </w:rPr>
            </w:pPr>
            <w:r w:rsidRPr="002E015E">
              <w:rPr>
                <w:b w:val="0"/>
              </w:rPr>
              <w:t>39.75%</w:t>
            </w:r>
          </w:p>
        </w:tc>
      </w:tr>
      <w:tr w:rsidR="00F13AD5" w:rsidTr="00F83E2E">
        <w:trPr>
          <w:trHeight w:val="283"/>
        </w:trPr>
        <w:tc>
          <w:tcPr>
            <w:tcW w:w="2512" w:type="pct"/>
            <w:tcBorders>
              <w:top w:val="nil"/>
              <w:left w:val="nil"/>
              <w:bottom w:val="single" w:sz="12" w:space="0" w:color="000000"/>
              <w:right w:val="nil"/>
            </w:tcBorders>
            <w:hideMark/>
          </w:tcPr>
          <w:p w:rsidR="00F13AD5" w:rsidRDefault="00F13AD5" w:rsidP="00F83E2E">
            <w:pPr>
              <w:pStyle w:val="BStablelist"/>
              <w:keepNext/>
              <w:numPr>
                <w:ilvl w:val="0"/>
                <w:numId w:val="0"/>
              </w:numPr>
              <w:ind w:left="284"/>
            </w:pPr>
            <w:r>
              <w:t>Appropriated Capital Works Expenditure (million)</w:t>
            </w:r>
          </w:p>
        </w:tc>
        <w:tc>
          <w:tcPr>
            <w:tcW w:w="503" w:type="pct"/>
            <w:tcBorders>
              <w:top w:val="nil"/>
              <w:left w:val="nil"/>
              <w:bottom w:val="single" w:sz="12" w:space="0" w:color="000000"/>
              <w:right w:val="nil"/>
            </w:tcBorders>
            <w:hideMark/>
          </w:tcPr>
          <w:p w:rsidR="00F13AD5" w:rsidRPr="002E015E" w:rsidRDefault="00F13AD5" w:rsidP="00F83E2E">
            <w:pPr>
              <w:pStyle w:val="BStablefigures0"/>
              <w:rPr>
                <w:b w:val="0"/>
              </w:rPr>
            </w:pPr>
            <w:r w:rsidRPr="002E015E">
              <w:rPr>
                <w:b w:val="0"/>
              </w:rPr>
              <w:t>18.118</w:t>
            </w:r>
          </w:p>
        </w:tc>
        <w:tc>
          <w:tcPr>
            <w:tcW w:w="663" w:type="pct"/>
            <w:tcBorders>
              <w:top w:val="nil"/>
              <w:left w:val="nil"/>
              <w:bottom w:val="single" w:sz="12" w:space="0" w:color="000000"/>
              <w:right w:val="nil"/>
            </w:tcBorders>
            <w:hideMark/>
          </w:tcPr>
          <w:p w:rsidR="00F13AD5" w:rsidRPr="002E015E" w:rsidRDefault="00F13AD5" w:rsidP="00F83E2E">
            <w:pPr>
              <w:pStyle w:val="BStablefigures0"/>
              <w:rPr>
                <w:b w:val="0"/>
              </w:rPr>
            </w:pPr>
            <w:r w:rsidRPr="002E015E">
              <w:rPr>
                <w:b w:val="0"/>
              </w:rPr>
              <w:t>22.508</w:t>
            </w:r>
          </w:p>
        </w:tc>
        <w:tc>
          <w:tcPr>
            <w:tcW w:w="661" w:type="pct"/>
            <w:tcBorders>
              <w:top w:val="nil"/>
              <w:left w:val="nil"/>
              <w:bottom w:val="single" w:sz="12" w:space="0" w:color="000000"/>
              <w:right w:val="nil"/>
            </w:tcBorders>
            <w:hideMark/>
          </w:tcPr>
          <w:p w:rsidR="00F13AD5" w:rsidRPr="002E015E" w:rsidRDefault="00F13AD5" w:rsidP="00F83E2E">
            <w:pPr>
              <w:pStyle w:val="BStablefigures0"/>
              <w:rPr>
                <w:b w:val="0"/>
              </w:rPr>
            </w:pPr>
            <w:r w:rsidRPr="002E015E">
              <w:rPr>
                <w:b w:val="0"/>
              </w:rPr>
              <w:t>5.888</w:t>
            </w:r>
          </w:p>
        </w:tc>
        <w:tc>
          <w:tcPr>
            <w:tcW w:w="661" w:type="pct"/>
            <w:tcBorders>
              <w:top w:val="nil"/>
              <w:left w:val="nil"/>
              <w:bottom w:val="single" w:sz="12" w:space="0" w:color="000000"/>
              <w:right w:val="nil"/>
            </w:tcBorders>
          </w:tcPr>
          <w:p w:rsidR="00F13AD5" w:rsidRPr="002E015E" w:rsidRDefault="00F13AD5" w:rsidP="00F83E2E">
            <w:pPr>
              <w:pStyle w:val="BStablefigures0"/>
              <w:rPr>
                <w:b w:val="0"/>
              </w:rPr>
            </w:pPr>
            <w:r w:rsidRPr="002E015E">
              <w:rPr>
                <w:b w:val="0"/>
              </w:rPr>
              <w:t>0.000</w:t>
            </w:r>
          </w:p>
        </w:tc>
      </w:tr>
    </w:tbl>
    <w:p w:rsidR="00F13AD5" w:rsidRPr="00615C25" w:rsidRDefault="00F13AD5" w:rsidP="00F13AD5">
      <w:pPr>
        <w:pStyle w:val="Normal5"/>
        <w:spacing w:after="0"/>
        <w:rPr>
          <w:rFonts w:asciiTheme="minorHAnsi" w:hAnsiTheme="minorHAnsi"/>
          <w:i/>
          <w:iCs/>
          <w:color w:val="000000"/>
          <w:sz w:val="22"/>
          <w:szCs w:val="22"/>
          <w:lang w:eastAsia="en-AU"/>
        </w:rPr>
      </w:pPr>
      <w:r w:rsidRPr="00615C25">
        <w:rPr>
          <w:rFonts w:asciiTheme="minorHAnsi" w:hAnsiTheme="minorHAnsi"/>
          <w:i/>
          <w:iCs/>
          <w:color w:val="000000"/>
          <w:sz w:val="22"/>
          <w:szCs w:val="22"/>
          <w:lang w:eastAsia="en-AU"/>
        </w:rPr>
        <w:t>Gross Profit Margin = (lease sales - cost of goods sold including duty) / lease sales</w:t>
      </w:r>
    </w:p>
    <w:p w:rsidR="004908CF" w:rsidRPr="0000297C" w:rsidRDefault="004908CF" w:rsidP="0000297C">
      <w:pPr>
        <w:pStyle w:val="BSnote"/>
      </w:pPr>
      <w:r w:rsidRPr="0000297C">
        <w:t>Note(s):</w:t>
      </w:r>
    </w:p>
    <w:p w:rsidR="00262E60" w:rsidRDefault="00F13AD5" w:rsidP="00862CB5">
      <w:pPr>
        <w:pStyle w:val="BSnoteslist"/>
        <w:numPr>
          <w:ilvl w:val="0"/>
          <w:numId w:val="76"/>
        </w:numPr>
      </w:pPr>
      <w:bookmarkStart w:id="131" w:name="_Toc452127433"/>
      <w:r w:rsidRPr="004908CF">
        <w:t>The profit margins of the City Renewal Authority are used for internal purposes to provide comparatives across projects and time periods. These margins are not comparable with private industry and should be considered in context with the following:</w:t>
      </w:r>
    </w:p>
    <w:p w:rsidR="00262E60" w:rsidRDefault="00F13AD5" w:rsidP="00862CB5">
      <w:pPr>
        <w:pStyle w:val="BSnoteslist"/>
        <w:numPr>
          <w:ilvl w:val="1"/>
          <w:numId w:val="76"/>
        </w:numPr>
      </w:pPr>
      <w:r w:rsidRPr="004908CF">
        <w:t>In general, the Government enters the land development process at an earlier stage than private developers as it has responsibility for planning activities which can impact on zoning and lease conditions on the land. The uplift in the value of land attributable to these activities is recognised by the City Renewal Authority and forms part of the Authority’s return to Government.</w:t>
      </w:r>
    </w:p>
    <w:p w:rsidR="00262E60" w:rsidRDefault="00F13AD5" w:rsidP="00862CB5">
      <w:pPr>
        <w:pStyle w:val="BSnoteslist"/>
        <w:numPr>
          <w:ilvl w:val="1"/>
          <w:numId w:val="76"/>
        </w:numPr>
      </w:pPr>
      <w:r w:rsidRPr="004908CF">
        <w:t>The Government invests in significant infrastructure within and around City Renewal Authority development projects however these costs are often incurred by other Government agencies and therefore do not impact on the Authority’s profit margins.</w:t>
      </w:r>
    </w:p>
    <w:p w:rsidR="00F13AD5" w:rsidRPr="004908CF" w:rsidRDefault="00F13AD5" w:rsidP="00862CB5">
      <w:pPr>
        <w:pStyle w:val="BSnoteslist"/>
        <w:numPr>
          <w:ilvl w:val="1"/>
          <w:numId w:val="76"/>
        </w:numPr>
      </w:pPr>
      <w:r w:rsidRPr="004908CF">
        <w:t>The City Renewal Authority relies on independent market valuations to inform land sales prices.</w:t>
      </w:r>
    </w:p>
    <w:bookmarkEnd w:id="131"/>
    <w:p w:rsidR="00F13AD5" w:rsidRPr="002A1E1E" w:rsidRDefault="00F13AD5" w:rsidP="00262E60">
      <w:pPr>
        <w:pStyle w:val="BSnoteslist"/>
        <w:numPr>
          <w:ilvl w:val="0"/>
          <w:numId w:val="0"/>
        </w:numPr>
        <w:ind w:left="360" w:hanging="360"/>
        <w:rPr>
          <w:rFonts w:cs="Arial"/>
        </w:rPr>
      </w:pPr>
    </w:p>
    <w:p w:rsidR="00F13AD5" w:rsidRDefault="00F13AD5" w:rsidP="00F13AD5">
      <w:pPr>
        <w:pStyle w:val="Normal5"/>
        <w:spacing w:before="0" w:after="0"/>
        <w:rPr>
          <w:rFonts w:cs="Arial"/>
          <w:sz w:val="22"/>
          <w:szCs w:val="22"/>
        </w:rPr>
      </w:pPr>
      <w:r>
        <w:rPr>
          <w:rFonts w:cs="Arial"/>
          <w:sz w:val="22"/>
          <w:szCs w:val="22"/>
        </w:rPr>
        <w:br w:type="page"/>
      </w:r>
    </w:p>
    <w:p w:rsidR="00F13AD5" w:rsidRPr="002A1E1E" w:rsidRDefault="00F13AD5" w:rsidP="00F13AD5">
      <w:pPr>
        <w:pStyle w:val="Caption0"/>
      </w:pPr>
      <w:r w:rsidRPr="002A1E1E">
        <w:t>Non-Financial Measures</w:t>
      </w:r>
    </w:p>
    <w:p w:rsidR="00F13AD5" w:rsidRPr="002A1E1E" w:rsidRDefault="00F13AD5" w:rsidP="00F13AD5">
      <w:pPr>
        <w:pStyle w:val="BodyText2"/>
        <w:keepNext w:val="0"/>
        <w:keepLines w:val="0"/>
        <w:spacing w:before="240" w:after="0"/>
        <w:rPr>
          <w:rFonts w:cs="Arial"/>
          <w:sz w:val="22"/>
          <w:szCs w:val="22"/>
        </w:rPr>
      </w:pPr>
      <w:r w:rsidRPr="002A1E1E">
        <w:rPr>
          <w:rFonts w:cs="Arial"/>
          <w:sz w:val="22"/>
          <w:szCs w:val="22"/>
        </w:rPr>
        <w:t>The Authority’s non-financial performance will be assessed against the Governments’ Statement of Expectations, including:</w:t>
      </w:r>
    </w:p>
    <w:p w:rsidR="00F13AD5" w:rsidRPr="002A1E1E" w:rsidRDefault="00F13AD5" w:rsidP="00390DB5">
      <w:pPr>
        <w:pStyle w:val="BodyText2"/>
        <w:numPr>
          <w:ilvl w:val="0"/>
          <w:numId w:val="15"/>
        </w:numPr>
        <w:tabs>
          <w:tab w:val="clear" w:pos="360"/>
        </w:tabs>
        <w:spacing w:before="240" w:after="0"/>
        <w:ind w:left="567" w:hanging="567"/>
        <w:rPr>
          <w:rFonts w:cs="Arial"/>
          <w:sz w:val="22"/>
          <w:szCs w:val="22"/>
        </w:rPr>
      </w:pPr>
      <w:r>
        <w:rPr>
          <w:rFonts w:cs="Arial"/>
          <w:sz w:val="22"/>
          <w:szCs w:val="22"/>
        </w:rPr>
        <w:t>p</w:t>
      </w:r>
      <w:r w:rsidRPr="002A1E1E">
        <w:rPr>
          <w:rFonts w:cs="Arial"/>
          <w:sz w:val="22"/>
          <w:szCs w:val="22"/>
        </w:rPr>
        <w:t>rojects implemented</w:t>
      </w:r>
    </w:p>
    <w:p w:rsidR="00F13AD5" w:rsidRPr="002A1E1E" w:rsidRDefault="00F13AD5" w:rsidP="00390DB5">
      <w:pPr>
        <w:pStyle w:val="BodyText2"/>
        <w:numPr>
          <w:ilvl w:val="0"/>
          <w:numId w:val="15"/>
        </w:numPr>
        <w:tabs>
          <w:tab w:val="clear" w:pos="360"/>
        </w:tabs>
        <w:spacing w:before="0" w:after="0"/>
        <w:ind w:left="567" w:hanging="567"/>
        <w:rPr>
          <w:rFonts w:cs="Arial"/>
          <w:sz w:val="22"/>
          <w:szCs w:val="22"/>
        </w:rPr>
      </w:pPr>
      <w:r>
        <w:rPr>
          <w:rFonts w:cs="Arial"/>
          <w:sz w:val="22"/>
          <w:szCs w:val="22"/>
        </w:rPr>
        <w:t>c</w:t>
      </w:r>
      <w:r w:rsidRPr="002A1E1E">
        <w:rPr>
          <w:rFonts w:cs="Arial"/>
          <w:sz w:val="22"/>
          <w:szCs w:val="22"/>
        </w:rPr>
        <w:t xml:space="preserve">ity </w:t>
      </w:r>
      <w:r>
        <w:rPr>
          <w:rFonts w:cs="Arial"/>
          <w:sz w:val="22"/>
          <w:szCs w:val="22"/>
        </w:rPr>
        <w:t>c</w:t>
      </w:r>
      <w:r w:rsidRPr="002A1E1E">
        <w:rPr>
          <w:rFonts w:cs="Arial"/>
          <w:sz w:val="22"/>
          <w:szCs w:val="22"/>
        </w:rPr>
        <w:t xml:space="preserve">entre </w:t>
      </w:r>
      <w:r>
        <w:rPr>
          <w:rFonts w:cs="Arial"/>
          <w:sz w:val="22"/>
          <w:szCs w:val="22"/>
        </w:rPr>
        <w:t>v</w:t>
      </w:r>
      <w:r w:rsidRPr="002A1E1E">
        <w:rPr>
          <w:rFonts w:cs="Arial"/>
          <w:sz w:val="22"/>
          <w:szCs w:val="22"/>
        </w:rPr>
        <w:t>itality</w:t>
      </w:r>
    </w:p>
    <w:p w:rsidR="00F13AD5" w:rsidRPr="002A1E1E" w:rsidRDefault="00F13AD5" w:rsidP="00390DB5">
      <w:pPr>
        <w:pStyle w:val="BodyText2"/>
        <w:numPr>
          <w:ilvl w:val="0"/>
          <w:numId w:val="15"/>
        </w:numPr>
        <w:tabs>
          <w:tab w:val="clear" w:pos="360"/>
        </w:tabs>
        <w:spacing w:before="0" w:after="0"/>
        <w:ind w:left="567" w:hanging="567"/>
        <w:rPr>
          <w:rFonts w:cs="Arial"/>
          <w:sz w:val="22"/>
          <w:szCs w:val="22"/>
        </w:rPr>
      </w:pPr>
      <w:r>
        <w:rPr>
          <w:rFonts w:cs="Arial"/>
          <w:sz w:val="22"/>
          <w:szCs w:val="22"/>
        </w:rPr>
        <w:t>e</w:t>
      </w:r>
      <w:r w:rsidRPr="002A1E1E">
        <w:rPr>
          <w:rFonts w:cs="Arial"/>
          <w:sz w:val="22"/>
          <w:szCs w:val="22"/>
        </w:rPr>
        <w:t xml:space="preserve">ffective </w:t>
      </w:r>
      <w:r>
        <w:rPr>
          <w:rFonts w:cs="Arial"/>
          <w:sz w:val="22"/>
          <w:szCs w:val="22"/>
        </w:rPr>
        <w:t>g</w:t>
      </w:r>
      <w:r w:rsidRPr="002A1E1E">
        <w:rPr>
          <w:rFonts w:cs="Arial"/>
          <w:sz w:val="22"/>
          <w:szCs w:val="22"/>
        </w:rPr>
        <w:t>overnance</w:t>
      </w:r>
    </w:p>
    <w:p w:rsidR="00F13AD5" w:rsidRPr="002A1E1E" w:rsidRDefault="00F13AD5" w:rsidP="00390DB5">
      <w:pPr>
        <w:pStyle w:val="BodyText2"/>
        <w:numPr>
          <w:ilvl w:val="0"/>
          <w:numId w:val="15"/>
        </w:numPr>
        <w:tabs>
          <w:tab w:val="clear" w:pos="360"/>
        </w:tabs>
        <w:spacing w:before="0" w:after="0"/>
        <w:ind w:left="567" w:hanging="567"/>
        <w:rPr>
          <w:rFonts w:cs="Arial"/>
          <w:sz w:val="22"/>
          <w:szCs w:val="22"/>
        </w:rPr>
      </w:pPr>
      <w:r>
        <w:rPr>
          <w:rFonts w:cs="Arial"/>
          <w:sz w:val="22"/>
          <w:szCs w:val="22"/>
        </w:rPr>
        <w:t>risk m</w:t>
      </w:r>
      <w:r w:rsidRPr="002A1E1E">
        <w:rPr>
          <w:rFonts w:cs="Arial"/>
          <w:sz w:val="22"/>
          <w:szCs w:val="22"/>
        </w:rPr>
        <w:t>anagement</w:t>
      </w:r>
    </w:p>
    <w:p w:rsidR="00F13AD5" w:rsidRDefault="00F13AD5" w:rsidP="00F13AD5">
      <w:pPr>
        <w:pStyle w:val="BodyText2"/>
        <w:keepNext w:val="0"/>
        <w:keepLines w:val="0"/>
        <w:spacing w:before="0" w:after="0"/>
        <w:rPr>
          <w:rFonts w:cs="Arial"/>
          <w:sz w:val="22"/>
          <w:szCs w:val="22"/>
        </w:rPr>
      </w:pPr>
    </w:p>
    <w:p w:rsidR="00F13AD5" w:rsidRPr="00C82EF8" w:rsidRDefault="00F13AD5" w:rsidP="00F13AD5">
      <w:pPr>
        <w:pStyle w:val="BodyText2"/>
        <w:keepNext w:val="0"/>
        <w:keepLines w:val="0"/>
        <w:spacing w:before="0" w:after="0"/>
        <w:rPr>
          <w:rFonts w:cs="Arial"/>
          <w:sz w:val="22"/>
          <w:szCs w:val="22"/>
        </w:rPr>
      </w:pPr>
      <w:r w:rsidRPr="00C82EF8">
        <w:rPr>
          <w:rFonts w:cs="Arial"/>
          <w:sz w:val="22"/>
          <w:szCs w:val="22"/>
        </w:rPr>
        <w:t>The indicators of success for each measure are described in Table 4 below.</w:t>
      </w:r>
    </w:p>
    <w:p w:rsidR="00F13AD5" w:rsidRDefault="00F13AD5" w:rsidP="00F13AD5">
      <w:pPr>
        <w:pStyle w:val="Caption0"/>
      </w:pPr>
      <w:r w:rsidRPr="00C82EF8">
        <w:t xml:space="preserve">Table </w:t>
      </w:r>
      <w:r w:rsidR="004908CF">
        <w:t>4</w:t>
      </w:r>
      <w:r w:rsidRPr="00C82EF8">
        <w:t xml:space="preserve">: Key </w:t>
      </w:r>
      <w:r>
        <w:t>p</w:t>
      </w:r>
      <w:r w:rsidRPr="00C82EF8">
        <w:t>erformance</w:t>
      </w:r>
      <w:r w:rsidRPr="002A1E1E">
        <w:t xml:space="preserve"> </w:t>
      </w:r>
      <w:r>
        <w:t>i</w:t>
      </w:r>
      <w:r w:rsidRPr="002A1E1E">
        <w:t>ndicators (non-financial)</w:t>
      </w:r>
    </w:p>
    <w:tbl>
      <w:tblPr>
        <w:tblW w:w="9781" w:type="dxa"/>
        <w:tblInd w:w="108" w:type="dxa"/>
        <w:tblLook w:val="04A0" w:firstRow="1" w:lastRow="0" w:firstColumn="1" w:lastColumn="0" w:noHBand="0" w:noVBand="1"/>
      </w:tblPr>
      <w:tblGrid>
        <w:gridCol w:w="3180"/>
        <w:gridCol w:w="5040"/>
        <w:gridCol w:w="1561"/>
      </w:tblGrid>
      <w:tr w:rsidR="00F13AD5" w:rsidTr="00F83E2E">
        <w:trPr>
          <w:trHeight w:val="288"/>
        </w:trPr>
        <w:tc>
          <w:tcPr>
            <w:tcW w:w="3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Projects</w:t>
            </w:r>
          </w:p>
        </w:tc>
        <w:tc>
          <w:tcPr>
            <w:tcW w:w="50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Indicator</w:t>
            </w:r>
          </w:p>
        </w:tc>
        <w:tc>
          <w:tcPr>
            <w:tcW w:w="1561" w:type="dxa"/>
            <w:tcBorders>
              <w:top w:val="single" w:sz="4" w:space="0" w:color="auto"/>
              <w:left w:val="nil"/>
              <w:bottom w:val="nil"/>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Target</w:t>
            </w:r>
          </w:p>
        </w:tc>
      </w:tr>
      <w:tr w:rsidR="00F13AD5" w:rsidTr="00F83E2E">
        <w:trPr>
          <w:trHeight w:val="288"/>
        </w:trPr>
        <w:tc>
          <w:tcPr>
            <w:tcW w:w="3180" w:type="dxa"/>
            <w:vMerge/>
            <w:tcBorders>
              <w:top w:val="single" w:sz="4" w:space="0" w:color="auto"/>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b/>
                <w:bCs/>
                <w:color w:val="000000"/>
                <w:sz w:val="22"/>
                <w:szCs w:val="22"/>
                <w:lang w:eastAsia="en-AU"/>
              </w:rPr>
            </w:pPr>
          </w:p>
        </w:tc>
        <w:tc>
          <w:tcPr>
            <w:tcW w:w="5040" w:type="dxa"/>
            <w:vMerge/>
            <w:tcBorders>
              <w:top w:val="single" w:sz="4" w:space="0" w:color="auto"/>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b/>
                <w:bCs/>
                <w:color w:val="000000"/>
                <w:sz w:val="22"/>
                <w:szCs w:val="22"/>
                <w:lang w:eastAsia="en-AU"/>
              </w:rPr>
            </w:pPr>
          </w:p>
        </w:tc>
        <w:tc>
          <w:tcPr>
            <w:tcW w:w="1561" w:type="dxa"/>
            <w:tcBorders>
              <w:top w:val="nil"/>
              <w:left w:val="nil"/>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2018-19</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City Renewal Precinct Place Plan</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Plan complete with budget proposals.</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Pr>
                <w:rFonts w:cs="Arial"/>
                <w:color w:val="000000"/>
                <w:sz w:val="22"/>
                <w:szCs w:val="22"/>
                <w:lang w:eastAsia="en-AU"/>
              </w:rPr>
              <w:t>Quarter Three</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Haig Park</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Action Plan complete and implementation underway.</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Quarter </w:t>
            </w:r>
            <w:r>
              <w:rPr>
                <w:rFonts w:cs="Arial"/>
                <w:color w:val="000000"/>
                <w:sz w:val="22"/>
                <w:szCs w:val="22"/>
                <w:lang w:eastAsia="en-AU"/>
              </w:rPr>
              <w:t>Four</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West Basin Precinct</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West Basin </w:t>
            </w:r>
            <w:r>
              <w:rPr>
                <w:rFonts w:cs="Arial"/>
                <w:color w:val="000000"/>
                <w:sz w:val="22"/>
                <w:szCs w:val="22"/>
                <w:lang w:eastAsia="en-AU"/>
              </w:rPr>
              <w:t>r</w:t>
            </w:r>
            <w:r w:rsidRPr="003028F2">
              <w:rPr>
                <w:rFonts w:cs="Arial"/>
                <w:color w:val="000000"/>
                <w:sz w:val="22"/>
                <w:szCs w:val="22"/>
                <w:lang w:eastAsia="en-AU"/>
              </w:rPr>
              <w:t>eview complete.</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Pr>
                <w:rFonts w:cs="Arial"/>
                <w:color w:val="000000"/>
                <w:sz w:val="22"/>
                <w:szCs w:val="22"/>
                <w:lang w:eastAsia="en-AU"/>
              </w:rPr>
              <w:t>Quarter Three</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West Basin Precinct</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Commence construction of </w:t>
            </w:r>
            <w:r>
              <w:rPr>
                <w:rFonts w:cs="Arial"/>
                <w:color w:val="000000"/>
                <w:sz w:val="22"/>
                <w:szCs w:val="22"/>
                <w:lang w:eastAsia="en-AU"/>
              </w:rPr>
              <w:t>s</w:t>
            </w:r>
            <w:r w:rsidRPr="003028F2">
              <w:rPr>
                <w:rFonts w:cs="Arial"/>
                <w:color w:val="000000"/>
                <w:sz w:val="22"/>
                <w:szCs w:val="22"/>
                <w:lang w:eastAsia="en-AU"/>
              </w:rPr>
              <w:t xml:space="preserve">tage </w:t>
            </w:r>
            <w:r>
              <w:rPr>
                <w:rFonts w:cs="Arial"/>
                <w:color w:val="000000"/>
                <w:sz w:val="22"/>
                <w:szCs w:val="22"/>
                <w:lang w:eastAsia="en-AU"/>
              </w:rPr>
              <w:t>two w</w:t>
            </w:r>
            <w:r w:rsidRPr="003028F2">
              <w:rPr>
                <w:rFonts w:cs="Arial"/>
                <w:color w:val="000000"/>
                <w:sz w:val="22"/>
                <w:szCs w:val="22"/>
                <w:lang w:eastAsia="en-AU"/>
              </w:rPr>
              <w:t>aterfront.</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Quarter </w:t>
            </w:r>
            <w:r>
              <w:rPr>
                <w:rFonts w:cs="Arial"/>
                <w:color w:val="000000"/>
                <w:sz w:val="22"/>
                <w:szCs w:val="22"/>
                <w:lang w:eastAsia="en-AU"/>
              </w:rPr>
              <w:t>Four</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Sydney and Melbourne Buildings</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Sydney and Melbourne Building Precinct renewal strategy and associated </w:t>
            </w:r>
            <w:r>
              <w:rPr>
                <w:rFonts w:cs="Arial"/>
                <w:color w:val="000000"/>
                <w:sz w:val="22"/>
                <w:szCs w:val="22"/>
                <w:lang w:eastAsia="en-AU"/>
              </w:rPr>
              <w:t>i</w:t>
            </w:r>
            <w:r w:rsidRPr="003028F2">
              <w:rPr>
                <w:rFonts w:cs="Arial"/>
                <w:color w:val="000000"/>
                <w:sz w:val="22"/>
                <w:szCs w:val="22"/>
                <w:lang w:eastAsia="en-AU"/>
              </w:rPr>
              <w:t xml:space="preserve">mplementation </w:t>
            </w:r>
            <w:r>
              <w:rPr>
                <w:rFonts w:cs="Arial"/>
                <w:color w:val="000000"/>
                <w:sz w:val="22"/>
                <w:szCs w:val="22"/>
                <w:lang w:eastAsia="en-AU"/>
              </w:rPr>
              <w:t>p</w:t>
            </w:r>
            <w:r w:rsidRPr="003028F2">
              <w:rPr>
                <w:rFonts w:cs="Arial"/>
                <w:color w:val="000000"/>
                <w:sz w:val="22"/>
                <w:szCs w:val="22"/>
                <w:lang w:eastAsia="en-AU"/>
              </w:rPr>
              <w:t>lan.</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Quarter </w:t>
            </w:r>
            <w:r>
              <w:rPr>
                <w:rFonts w:cs="Arial"/>
                <w:color w:val="000000"/>
                <w:sz w:val="22"/>
                <w:szCs w:val="22"/>
                <w:lang w:eastAsia="en-AU"/>
              </w:rPr>
              <w:t>Four</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Northbourne Avenue</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Master Plan complete and renewal works underway.</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Pr>
                <w:rFonts w:cs="Arial"/>
                <w:color w:val="000000"/>
                <w:sz w:val="22"/>
                <w:szCs w:val="22"/>
                <w:lang w:eastAsia="en-AU"/>
              </w:rPr>
              <w:t>Quarter Three</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Dickson Group Centre</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Place Plan complete and place activation renewal underway.</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Quarter </w:t>
            </w:r>
            <w:r>
              <w:rPr>
                <w:rFonts w:cs="Arial"/>
                <w:color w:val="000000"/>
                <w:sz w:val="22"/>
                <w:szCs w:val="22"/>
                <w:lang w:eastAsia="en-AU"/>
              </w:rPr>
              <w:t>Four</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bCs/>
                <w:color w:val="000000"/>
                <w:sz w:val="22"/>
                <w:szCs w:val="22"/>
                <w:lang w:eastAsia="en-AU"/>
              </w:rPr>
              <w:t>Braddon Village</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Place Plan complete and place activation renewal underway.</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Quarter </w:t>
            </w:r>
            <w:r>
              <w:rPr>
                <w:rFonts w:cs="Arial"/>
                <w:color w:val="000000"/>
                <w:sz w:val="22"/>
                <w:szCs w:val="22"/>
                <w:lang w:eastAsia="en-AU"/>
              </w:rPr>
              <w:t>Four</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bCs/>
                <w:color w:val="000000"/>
                <w:sz w:val="22"/>
                <w:szCs w:val="22"/>
                <w:lang w:eastAsia="en-AU"/>
              </w:rPr>
              <w:t>Civic and Cultural Centre</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Business Plan and Place Plan underway.</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Quarter </w:t>
            </w:r>
            <w:r>
              <w:rPr>
                <w:rFonts w:cs="Arial"/>
                <w:color w:val="000000"/>
                <w:sz w:val="22"/>
                <w:szCs w:val="22"/>
                <w:lang w:eastAsia="en-AU"/>
              </w:rPr>
              <w:t>Four</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bCs/>
                <w:color w:val="000000"/>
                <w:sz w:val="22"/>
                <w:szCs w:val="22"/>
                <w:lang w:eastAsia="en-AU"/>
              </w:rPr>
              <w:t>City and Gateway Urban Design Framework</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Support the implementation of the City and Gateway Urban Design Framework.</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Ongoing</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Asset Recycling Initiative</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Asset sales complete.</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Quarter </w:t>
            </w:r>
            <w:r>
              <w:rPr>
                <w:rFonts w:cs="Arial"/>
                <w:color w:val="000000"/>
                <w:sz w:val="22"/>
                <w:szCs w:val="22"/>
                <w:lang w:eastAsia="en-AU"/>
              </w:rPr>
              <w:t>Four</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City Activation</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Implementation of Place Activation Program.</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Ongoing</w:t>
            </w:r>
          </w:p>
        </w:tc>
      </w:tr>
      <w:tr w:rsidR="00F13AD5" w:rsidTr="00F83E2E">
        <w:trPr>
          <w:trHeight w:val="70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City Centre Marketing and Improvements Levy (CCMIL)</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Implementation of CCMIL place making initiatives.</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Ongoing</w:t>
            </w:r>
          </w:p>
        </w:tc>
      </w:tr>
      <w:tr w:rsidR="00F13AD5" w:rsidTr="00F83E2E">
        <w:trPr>
          <w:trHeight w:val="288"/>
        </w:trPr>
        <w:tc>
          <w:tcPr>
            <w:tcW w:w="3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Effective Governance</w:t>
            </w:r>
          </w:p>
        </w:tc>
        <w:tc>
          <w:tcPr>
            <w:tcW w:w="50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Indicator</w:t>
            </w:r>
          </w:p>
        </w:tc>
        <w:tc>
          <w:tcPr>
            <w:tcW w:w="1561" w:type="dxa"/>
            <w:tcBorders>
              <w:top w:val="single" w:sz="4" w:space="0" w:color="auto"/>
              <w:left w:val="nil"/>
              <w:bottom w:val="nil"/>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Target</w:t>
            </w:r>
          </w:p>
        </w:tc>
      </w:tr>
      <w:tr w:rsidR="00F13AD5" w:rsidTr="00F83E2E">
        <w:trPr>
          <w:trHeight w:val="288"/>
        </w:trPr>
        <w:tc>
          <w:tcPr>
            <w:tcW w:w="3180" w:type="dxa"/>
            <w:vMerge/>
            <w:tcBorders>
              <w:top w:val="single" w:sz="4" w:space="0" w:color="auto"/>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b/>
                <w:bCs/>
                <w:color w:val="000000"/>
                <w:sz w:val="22"/>
                <w:szCs w:val="22"/>
                <w:lang w:eastAsia="en-AU"/>
              </w:rPr>
            </w:pPr>
          </w:p>
        </w:tc>
        <w:tc>
          <w:tcPr>
            <w:tcW w:w="5040" w:type="dxa"/>
            <w:vMerge/>
            <w:tcBorders>
              <w:top w:val="single" w:sz="4" w:space="0" w:color="auto"/>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b/>
                <w:bCs/>
                <w:color w:val="000000"/>
                <w:sz w:val="22"/>
                <w:szCs w:val="22"/>
                <w:lang w:eastAsia="en-AU"/>
              </w:rPr>
            </w:pPr>
          </w:p>
        </w:tc>
        <w:tc>
          <w:tcPr>
            <w:tcW w:w="1561" w:type="dxa"/>
            <w:tcBorders>
              <w:top w:val="nil"/>
              <w:left w:val="nil"/>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2018-19</w:t>
            </w:r>
          </w:p>
        </w:tc>
      </w:tr>
      <w:tr w:rsidR="00F13AD5" w:rsidTr="00F83E2E">
        <w:trPr>
          <w:trHeight w:val="2004"/>
        </w:trPr>
        <w:tc>
          <w:tcPr>
            <w:tcW w:w="3180" w:type="dxa"/>
            <w:vMerge w:val="restart"/>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Authority policies and procedures</w:t>
            </w:r>
          </w:p>
        </w:tc>
        <w:tc>
          <w:tcPr>
            <w:tcW w:w="5040" w:type="dxa"/>
            <w:tcBorders>
              <w:top w:val="nil"/>
              <w:left w:val="nil"/>
              <w:bottom w:val="nil"/>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The Board has no breaches of its statutory and fiduciary obligations, however (recognising that breaches may occur) any breaches not within the ACT Government tolerances are referred to either the Police or other appropriate authorities.</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Up to 30 June 2019 </w:t>
            </w:r>
          </w:p>
        </w:tc>
      </w:tr>
      <w:tr w:rsidR="00F13AD5" w:rsidTr="00F83E2E">
        <w:trPr>
          <w:trHeight w:val="2004"/>
        </w:trPr>
        <w:tc>
          <w:tcPr>
            <w:tcW w:w="3180" w:type="dxa"/>
            <w:vMerge/>
            <w:tcBorders>
              <w:top w:val="nil"/>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color w:val="000000"/>
                <w:sz w:val="22"/>
                <w:szCs w:val="22"/>
                <w:lang w:eastAsia="en-AU"/>
              </w:rPr>
            </w:pP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The Board and staff have no breaches of ACT Government administration and governance requirements, however (recognising that breaches may occur) any breaches not within the ACT Government tolerances are referred to appropriate investigation authorities.</w:t>
            </w:r>
          </w:p>
        </w:tc>
        <w:tc>
          <w:tcPr>
            <w:tcW w:w="1561" w:type="dxa"/>
            <w:vMerge/>
            <w:tcBorders>
              <w:top w:val="nil"/>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color w:val="000000"/>
                <w:sz w:val="22"/>
                <w:szCs w:val="22"/>
                <w:lang w:eastAsia="en-AU"/>
              </w:rPr>
            </w:pPr>
          </w:p>
        </w:tc>
      </w:tr>
      <w:tr w:rsidR="00F13AD5" w:rsidTr="00F83E2E">
        <w:trPr>
          <w:trHeight w:val="288"/>
        </w:trPr>
        <w:tc>
          <w:tcPr>
            <w:tcW w:w="3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Risk Management</w:t>
            </w:r>
          </w:p>
        </w:tc>
        <w:tc>
          <w:tcPr>
            <w:tcW w:w="5040" w:type="dxa"/>
            <w:vMerge w:val="restart"/>
            <w:tcBorders>
              <w:top w:val="nil"/>
              <w:left w:val="single" w:sz="4" w:space="0" w:color="auto"/>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Indicator</w:t>
            </w:r>
          </w:p>
        </w:tc>
        <w:tc>
          <w:tcPr>
            <w:tcW w:w="1561" w:type="dxa"/>
            <w:tcBorders>
              <w:top w:val="nil"/>
              <w:left w:val="nil"/>
              <w:bottom w:val="nil"/>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Target</w:t>
            </w:r>
          </w:p>
        </w:tc>
      </w:tr>
      <w:tr w:rsidR="00F13AD5" w:rsidTr="00F83E2E">
        <w:trPr>
          <w:trHeight w:val="288"/>
        </w:trPr>
        <w:tc>
          <w:tcPr>
            <w:tcW w:w="3180" w:type="dxa"/>
            <w:vMerge/>
            <w:tcBorders>
              <w:top w:val="nil"/>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b/>
                <w:bCs/>
                <w:color w:val="000000"/>
                <w:sz w:val="22"/>
                <w:szCs w:val="22"/>
                <w:lang w:eastAsia="en-AU"/>
              </w:rPr>
            </w:pPr>
          </w:p>
        </w:tc>
        <w:tc>
          <w:tcPr>
            <w:tcW w:w="5040" w:type="dxa"/>
            <w:vMerge/>
            <w:tcBorders>
              <w:top w:val="nil"/>
              <w:left w:val="single" w:sz="4" w:space="0" w:color="auto"/>
              <w:bottom w:val="single" w:sz="4" w:space="0" w:color="auto"/>
              <w:right w:val="single" w:sz="4" w:space="0" w:color="auto"/>
            </w:tcBorders>
            <w:vAlign w:val="center"/>
            <w:hideMark/>
          </w:tcPr>
          <w:p w:rsidR="00F13AD5" w:rsidRPr="003028F2" w:rsidRDefault="00F13AD5" w:rsidP="00F83E2E">
            <w:pPr>
              <w:pStyle w:val="Normal5"/>
              <w:spacing w:before="0" w:after="0"/>
              <w:rPr>
                <w:b/>
                <w:bCs/>
                <w:color w:val="000000"/>
                <w:sz w:val="22"/>
                <w:szCs w:val="22"/>
                <w:lang w:eastAsia="en-AU"/>
              </w:rPr>
            </w:pPr>
          </w:p>
        </w:tc>
        <w:tc>
          <w:tcPr>
            <w:tcW w:w="1561" w:type="dxa"/>
            <w:tcBorders>
              <w:top w:val="nil"/>
              <w:left w:val="nil"/>
              <w:bottom w:val="single" w:sz="4" w:space="0" w:color="auto"/>
              <w:right w:val="single" w:sz="4" w:space="0" w:color="auto"/>
            </w:tcBorders>
            <w:shd w:val="clear" w:color="000000" w:fill="D9D9D9"/>
            <w:vAlign w:val="center"/>
            <w:hideMark/>
          </w:tcPr>
          <w:p w:rsidR="00F13AD5" w:rsidRPr="003028F2" w:rsidRDefault="00F13AD5" w:rsidP="00F83E2E">
            <w:pPr>
              <w:pStyle w:val="Normal5"/>
              <w:spacing w:before="0" w:after="0"/>
              <w:rPr>
                <w:b/>
                <w:bCs/>
                <w:color w:val="000000"/>
                <w:sz w:val="22"/>
                <w:szCs w:val="22"/>
                <w:lang w:eastAsia="en-AU"/>
              </w:rPr>
            </w:pPr>
            <w:r w:rsidRPr="003028F2">
              <w:rPr>
                <w:rFonts w:cs="Arial"/>
                <w:b/>
                <w:bCs/>
                <w:color w:val="000000"/>
                <w:sz w:val="22"/>
                <w:szCs w:val="22"/>
                <w:lang w:eastAsia="en-AU"/>
              </w:rPr>
              <w:t>2018-19</w:t>
            </w:r>
          </w:p>
        </w:tc>
      </w:tr>
      <w:tr w:rsidR="00F13AD5" w:rsidTr="00F83E2E">
        <w:trPr>
          <w:trHeight w:val="1128"/>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Internal and external audit of financial management and business systems.</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Unqualified audit reports.</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Up to 30 June 2019 </w:t>
            </w:r>
          </w:p>
        </w:tc>
      </w:tr>
      <w:tr w:rsidR="00F13AD5" w:rsidTr="00F83E2E">
        <w:trPr>
          <w:trHeight w:val="1752"/>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Service Agreements</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All actions or inactions relating to the City Renewal Authority Service Agreements with ACT Government entities are within the tolerances specified in the relevant Agreement, or otherwise within ACT Government tolerances.</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Up to 30 June 2019 </w:t>
            </w:r>
          </w:p>
        </w:tc>
      </w:tr>
      <w:tr w:rsidR="00F13AD5" w:rsidTr="00F83E2E">
        <w:trPr>
          <w:trHeight w:val="912"/>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Risk Framework and Register</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Framework and Register monitored and updated by the Audit and Risk Committee. </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Up to 30 June 2019 </w:t>
            </w:r>
          </w:p>
        </w:tc>
      </w:tr>
      <w:tr w:rsidR="00F13AD5" w:rsidTr="00F83E2E">
        <w:trPr>
          <w:trHeight w:val="912"/>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Workplace Health and Safety (WHS)</w:t>
            </w:r>
          </w:p>
        </w:tc>
        <w:tc>
          <w:tcPr>
            <w:tcW w:w="5040"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No breaches of WHS-related legislated or policy requirements.</w:t>
            </w:r>
          </w:p>
        </w:tc>
        <w:tc>
          <w:tcPr>
            <w:tcW w:w="1561" w:type="dxa"/>
            <w:tcBorders>
              <w:top w:val="nil"/>
              <w:left w:val="nil"/>
              <w:bottom w:val="single" w:sz="4" w:space="0" w:color="auto"/>
              <w:right w:val="single" w:sz="4" w:space="0" w:color="auto"/>
            </w:tcBorders>
            <w:shd w:val="clear" w:color="auto" w:fill="auto"/>
            <w:vAlign w:val="center"/>
            <w:hideMark/>
          </w:tcPr>
          <w:p w:rsidR="00F13AD5" w:rsidRPr="003028F2" w:rsidRDefault="00F13AD5" w:rsidP="00F83E2E">
            <w:pPr>
              <w:pStyle w:val="Normal5"/>
              <w:spacing w:before="0" w:after="0"/>
              <w:rPr>
                <w:color w:val="000000"/>
                <w:sz w:val="22"/>
                <w:szCs w:val="22"/>
                <w:lang w:eastAsia="en-AU"/>
              </w:rPr>
            </w:pPr>
            <w:r w:rsidRPr="003028F2">
              <w:rPr>
                <w:rFonts w:cs="Arial"/>
                <w:color w:val="000000"/>
                <w:sz w:val="22"/>
                <w:szCs w:val="22"/>
                <w:lang w:eastAsia="en-AU"/>
              </w:rPr>
              <w:t xml:space="preserve">Up to 30 June 2019 </w:t>
            </w:r>
          </w:p>
        </w:tc>
      </w:tr>
    </w:tbl>
    <w:p w:rsidR="00F13AD5" w:rsidRDefault="00F13AD5" w:rsidP="00F13AD5">
      <w:pPr>
        <w:pStyle w:val="Normal5"/>
        <w:spacing w:before="0" w:after="0"/>
        <w:rPr>
          <w:rFonts w:cs="Arial"/>
          <w:sz w:val="22"/>
          <w:szCs w:val="22"/>
          <w:highlight w:val="cyan"/>
        </w:rPr>
      </w:pPr>
      <w:r>
        <w:rPr>
          <w:rFonts w:cs="Arial"/>
          <w:sz w:val="22"/>
          <w:szCs w:val="22"/>
          <w:highlight w:val="cyan"/>
        </w:rPr>
        <w:br w:type="page"/>
      </w:r>
    </w:p>
    <w:p w:rsidR="00F13AD5" w:rsidRPr="004906B0" w:rsidRDefault="00F13AD5" w:rsidP="00F13AD5">
      <w:pPr>
        <w:pStyle w:val="Caption0"/>
      </w:pPr>
      <w:r w:rsidRPr="004906B0">
        <w:t>Assessment of non-financial performance against 2017-18 objectives</w:t>
      </w:r>
    </w:p>
    <w:p w:rsidR="00F13AD5" w:rsidRPr="00C82EF8" w:rsidRDefault="00F13AD5" w:rsidP="00F13AD5">
      <w:pPr>
        <w:pStyle w:val="Normal30"/>
        <w:rPr>
          <w:sz w:val="22"/>
          <w:szCs w:val="22"/>
          <w:lang w:eastAsia="en-AU"/>
        </w:rPr>
      </w:pPr>
      <w:r w:rsidRPr="002A1E1E">
        <w:rPr>
          <w:sz w:val="22"/>
          <w:szCs w:val="22"/>
          <w:lang w:eastAsia="en-AU"/>
        </w:rPr>
        <w:t xml:space="preserve">The Authority’s achievement against its non-financial objectives set for 2017-18 are </w:t>
      </w:r>
      <w:r w:rsidRPr="00C82EF8">
        <w:rPr>
          <w:sz w:val="22"/>
          <w:szCs w:val="22"/>
          <w:lang w:eastAsia="en-AU"/>
        </w:rPr>
        <w:t>in Table 5 below.</w:t>
      </w:r>
    </w:p>
    <w:p w:rsidR="00F13AD5" w:rsidRDefault="00F13AD5" w:rsidP="00F13AD5">
      <w:pPr>
        <w:pStyle w:val="Caption0"/>
      </w:pPr>
      <w:r w:rsidRPr="00C82EF8">
        <w:t xml:space="preserve">Table </w:t>
      </w:r>
      <w:r w:rsidR="004908CF">
        <w:t>5</w:t>
      </w:r>
      <w:r w:rsidRPr="00C82EF8">
        <w:t>: Assessment of non-financial performance against 2017-18 objectives</w:t>
      </w:r>
    </w:p>
    <w:tbl>
      <w:tblPr>
        <w:tblW w:w="9781" w:type="dxa"/>
        <w:tblInd w:w="108" w:type="dxa"/>
        <w:tblLook w:val="04A0" w:firstRow="1" w:lastRow="0" w:firstColumn="1" w:lastColumn="0" w:noHBand="0" w:noVBand="1"/>
      </w:tblPr>
      <w:tblGrid>
        <w:gridCol w:w="2460"/>
        <w:gridCol w:w="3680"/>
        <w:gridCol w:w="3641"/>
      </w:tblGrid>
      <w:tr w:rsidR="00F13AD5" w:rsidTr="00F83E2E">
        <w:trPr>
          <w:trHeight w:val="576"/>
        </w:trPr>
        <w:tc>
          <w:tcPr>
            <w:tcW w:w="2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13AD5" w:rsidRPr="003717B5" w:rsidRDefault="00F13AD5" w:rsidP="00F83E2E">
            <w:pPr>
              <w:pStyle w:val="Normal5"/>
              <w:spacing w:before="0" w:after="0"/>
              <w:rPr>
                <w:b/>
                <w:bCs/>
                <w:color w:val="000000"/>
                <w:sz w:val="22"/>
                <w:szCs w:val="22"/>
                <w:lang w:eastAsia="en-AU"/>
              </w:rPr>
            </w:pPr>
            <w:r w:rsidRPr="003717B5">
              <w:rPr>
                <w:rFonts w:cs="Arial"/>
                <w:b/>
                <w:bCs/>
                <w:color w:val="000000"/>
                <w:sz w:val="22"/>
                <w:szCs w:val="22"/>
                <w:lang w:eastAsia="en-AU"/>
              </w:rPr>
              <w:t>Projects</w:t>
            </w:r>
          </w:p>
        </w:tc>
        <w:tc>
          <w:tcPr>
            <w:tcW w:w="3680" w:type="dxa"/>
            <w:tcBorders>
              <w:top w:val="single" w:sz="4" w:space="0" w:color="auto"/>
              <w:left w:val="nil"/>
              <w:bottom w:val="single" w:sz="4" w:space="0" w:color="auto"/>
              <w:right w:val="single" w:sz="4" w:space="0" w:color="auto"/>
            </w:tcBorders>
            <w:shd w:val="clear" w:color="000000" w:fill="D9D9D9"/>
            <w:vAlign w:val="center"/>
            <w:hideMark/>
          </w:tcPr>
          <w:p w:rsidR="00F13AD5" w:rsidRPr="003717B5" w:rsidRDefault="00F13AD5" w:rsidP="00F83E2E">
            <w:pPr>
              <w:pStyle w:val="Normal5"/>
              <w:spacing w:before="0" w:after="0"/>
              <w:rPr>
                <w:b/>
                <w:bCs/>
                <w:color w:val="000000"/>
                <w:sz w:val="22"/>
                <w:szCs w:val="22"/>
                <w:lang w:eastAsia="en-AU"/>
              </w:rPr>
            </w:pPr>
            <w:r w:rsidRPr="003717B5">
              <w:rPr>
                <w:rFonts w:cs="Arial"/>
                <w:b/>
                <w:bCs/>
                <w:color w:val="000000"/>
                <w:sz w:val="22"/>
                <w:szCs w:val="22"/>
                <w:lang w:eastAsia="en-AU"/>
              </w:rPr>
              <w:t>Indicator</w:t>
            </w:r>
          </w:p>
        </w:tc>
        <w:tc>
          <w:tcPr>
            <w:tcW w:w="3641" w:type="dxa"/>
            <w:tcBorders>
              <w:top w:val="single" w:sz="4" w:space="0" w:color="auto"/>
              <w:left w:val="nil"/>
              <w:bottom w:val="single" w:sz="4" w:space="0" w:color="auto"/>
              <w:right w:val="single" w:sz="4" w:space="0" w:color="auto"/>
            </w:tcBorders>
            <w:shd w:val="clear" w:color="000000" w:fill="D9D9D9"/>
            <w:vAlign w:val="center"/>
            <w:hideMark/>
          </w:tcPr>
          <w:p w:rsidR="00F13AD5" w:rsidRPr="003717B5" w:rsidRDefault="00F13AD5" w:rsidP="00F83E2E">
            <w:pPr>
              <w:pStyle w:val="Normal5"/>
              <w:spacing w:before="0" w:after="0"/>
              <w:rPr>
                <w:b/>
                <w:bCs/>
                <w:color w:val="000000"/>
                <w:sz w:val="22"/>
                <w:szCs w:val="22"/>
                <w:lang w:eastAsia="en-AU"/>
              </w:rPr>
            </w:pPr>
            <w:r w:rsidRPr="003717B5">
              <w:rPr>
                <w:rFonts w:cs="Arial"/>
                <w:b/>
                <w:bCs/>
                <w:color w:val="000000"/>
                <w:sz w:val="22"/>
                <w:szCs w:val="22"/>
                <w:lang w:eastAsia="en-AU"/>
              </w:rPr>
              <w:t>Result for 2017-18</w:t>
            </w:r>
          </w:p>
        </w:tc>
      </w:tr>
      <w:tr w:rsidR="00F13AD5" w:rsidTr="00F83E2E">
        <w:trPr>
          <w:trHeight w:val="117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 xml:space="preserve">City Renewal Precinct </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Plan submitted to Government.</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 xml:space="preserve">A City Renewal Precinct implementation program has been formulated and submitted for approval. </w:t>
            </w:r>
          </w:p>
        </w:tc>
      </w:tr>
      <w:tr w:rsidR="00F13AD5" w:rsidTr="00F83E2E">
        <w:trPr>
          <w:trHeight w:val="68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Haig Park</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Master Plan completed.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The Master Plan has been completed.</w:t>
            </w:r>
          </w:p>
        </w:tc>
      </w:tr>
      <w:tr w:rsidR="00F13AD5" w:rsidTr="00F83E2E">
        <w:trPr>
          <w:trHeight w:val="68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West Basin Precinct</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 xml:space="preserve">Stage </w:t>
            </w:r>
            <w:r>
              <w:rPr>
                <w:rFonts w:cs="Arial"/>
                <w:color w:val="000000"/>
                <w:sz w:val="22"/>
                <w:szCs w:val="22"/>
                <w:lang w:eastAsia="en-AU"/>
              </w:rPr>
              <w:t>two</w:t>
            </w:r>
            <w:r w:rsidRPr="003717B5">
              <w:rPr>
                <w:rFonts w:cs="Arial"/>
                <w:color w:val="000000"/>
                <w:sz w:val="22"/>
                <w:szCs w:val="22"/>
                <w:lang w:eastAsia="en-AU"/>
              </w:rPr>
              <w:t xml:space="preserve"> commenced.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S</w:t>
            </w:r>
            <w:r>
              <w:rPr>
                <w:rFonts w:cs="Arial"/>
                <w:color w:val="000000"/>
                <w:sz w:val="22"/>
                <w:szCs w:val="22"/>
                <w:lang w:eastAsia="en-AU"/>
              </w:rPr>
              <w:t>tage two</w:t>
            </w:r>
            <w:r w:rsidRPr="003717B5">
              <w:rPr>
                <w:rFonts w:cs="Arial"/>
                <w:color w:val="000000"/>
                <w:sz w:val="22"/>
                <w:szCs w:val="22"/>
                <w:lang w:eastAsia="en-AU"/>
              </w:rPr>
              <w:t xml:space="preserve"> design has commenced.</w:t>
            </w:r>
          </w:p>
        </w:tc>
      </w:tr>
      <w:tr w:rsidR="00F13AD5" w:rsidTr="00F83E2E">
        <w:trPr>
          <w:trHeight w:val="134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City Bus Interchange</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Extension plan implemented.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The Authority has engaged with Transport Canberra and City Services to support its implementation of the extension plan for the Interchange.</w:t>
            </w:r>
          </w:p>
        </w:tc>
      </w:tr>
      <w:tr w:rsidR="00F13AD5" w:rsidTr="00F83E2E">
        <w:trPr>
          <w:trHeight w:val="99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Sydney and Melbourne Buildings</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Revitalisation plan implemented.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Formulation of a revitalisation plan is underway. Construction of waste enclosures has commenced.</w:t>
            </w:r>
          </w:p>
        </w:tc>
      </w:tr>
      <w:tr w:rsidR="00F13AD5" w:rsidTr="00F83E2E">
        <w:trPr>
          <w:trHeight w:val="234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Northbourne Avenue</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Guidelines implemented.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The Authority has supported the Environment, Planning and Sustainable Development Directorate in the formulation and consultation of the City and Gateway Draft Urban Design Framework. The Authority has commissioned a landscape master plan.</w:t>
            </w:r>
          </w:p>
        </w:tc>
      </w:tr>
      <w:tr w:rsidR="00F13AD5" w:rsidTr="00F83E2E">
        <w:trPr>
          <w:trHeight w:val="102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Dickson Group Centre</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Revitalisation project agreed.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Development of a Place Plan and implementation is underway in consultation with Dickson traders.</w:t>
            </w:r>
          </w:p>
        </w:tc>
      </w:tr>
      <w:tr w:rsidR="00F13AD5" w:rsidTr="00F83E2E">
        <w:trPr>
          <w:trHeight w:val="68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Asset Recycling Initiative (ARI)</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Land sales program met.</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Land sales have been undertaken in accordance with the ARI program.</w:t>
            </w:r>
          </w:p>
        </w:tc>
      </w:tr>
      <w:tr w:rsidR="00F13AD5" w:rsidTr="00F83E2E">
        <w:trPr>
          <w:trHeight w:val="94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City Activation</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Program fully implemented.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The program has been partially implemented, and a three-year place activation strategy is being developed.</w:t>
            </w:r>
          </w:p>
        </w:tc>
      </w:tr>
      <w:tr w:rsidR="00F13AD5" w:rsidTr="00F83E2E">
        <w:trPr>
          <w:trHeight w:val="82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 xml:space="preserve">Integrated City Centre </w:t>
            </w:r>
            <w:r>
              <w:rPr>
                <w:rFonts w:cs="Arial"/>
                <w:color w:val="000000"/>
                <w:sz w:val="22"/>
                <w:szCs w:val="22"/>
                <w:lang w:eastAsia="en-AU"/>
              </w:rPr>
              <w:t>R</w:t>
            </w:r>
            <w:r w:rsidRPr="003717B5">
              <w:rPr>
                <w:rFonts w:cs="Arial"/>
                <w:color w:val="000000"/>
                <w:sz w:val="22"/>
                <w:szCs w:val="22"/>
                <w:lang w:eastAsia="en-AU"/>
              </w:rPr>
              <w:t xml:space="preserve">evitalisation </w:t>
            </w:r>
            <w:r>
              <w:rPr>
                <w:rFonts w:cs="Arial"/>
                <w:color w:val="000000"/>
                <w:sz w:val="22"/>
                <w:szCs w:val="22"/>
                <w:lang w:eastAsia="en-AU"/>
              </w:rPr>
              <w:t>P</w:t>
            </w:r>
            <w:r w:rsidRPr="003717B5">
              <w:rPr>
                <w:rFonts w:cs="Arial"/>
                <w:color w:val="000000"/>
                <w:sz w:val="22"/>
                <w:szCs w:val="22"/>
                <w:lang w:eastAsia="en-AU"/>
              </w:rPr>
              <w:t>rogram</w:t>
            </w:r>
          </w:p>
        </w:tc>
        <w:tc>
          <w:tcPr>
            <w:tcW w:w="3680"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A</w:t>
            </w:r>
            <w:r>
              <w:rPr>
                <w:rFonts w:cs="Arial"/>
                <w:color w:val="000000"/>
                <w:sz w:val="22"/>
                <w:szCs w:val="22"/>
                <w:lang w:eastAsia="en-AU"/>
              </w:rPr>
              <w:t>pproved year one</w:t>
            </w:r>
            <w:r w:rsidRPr="003717B5">
              <w:rPr>
                <w:rFonts w:cs="Arial"/>
                <w:color w:val="000000"/>
                <w:sz w:val="22"/>
                <w:szCs w:val="22"/>
                <w:lang w:eastAsia="en-AU"/>
              </w:rPr>
              <w:t xml:space="preserve"> program fully implemented.</w:t>
            </w:r>
          </w:p>
        </w:tc>
        <w:tc>
          <w:tcPr>
            <w:tcW w:w="3641" w:type="dxa"/>
            <w:tcBorders>
              <w:top w:val="nil"/>
              <w:left w:val="nil"/>
              <w:bottom w:val="single" w:sz="4" w:space="0" w:color="auto"/>
              <w:right w:val="single" w:sz="4" w:space="0" w:color="auto"/>
            </w:tcBorders>
            <w:shd w:val="clear" w:color="auto" w:fill="auto"/>
            <w:vAlign w:val="center"/>
            <w:hideMark/>
          </w:tcPr>
          <w:p w:rsidR="00F13AD5" w:rsidRPr="003717B5" w:rsidRDefault="00F13AD5" w:rsidP="00F83E2E">
            <w:pPr>
              <w:pStyle w:val="Normal5"/>
              <w:spacing w:before="0" w:after="0"/>
              <w:rPr>
                <w:color w:val="000000"/>
                <w:sz w:val="22"/>
                <w:szCs w:val="22"/>
                <w:lang w:eastAsia="en-AU"/>
              </w:rPr>
            </w:pPr>
            <w:r w:rsidRPr="003717B5">
              <w:rPr>
                <w:rFonts w:cs="Arial"/>
                <w:color w:val="000000"/>
                <w:sz w:val="22"/>
                <w:szCs w:val="22"/>
                <w:lang w:eastAsia="en-AU"/>
              </w:rPr>
              <w:t xml:space="preserve">The </w:t>
            </w:r>
            <w:r>
              <w:rPr>
                <w:rFonts w:cs="Arial"/>
                <w:color w:val="000000"/>
                <w:sz w:val="22"/>
                <w:szCs w:val="22"/>
                <w:lang w:eastAsia="en-AU"/>
              </w:rPr>
              <w:t>y</w:t>
            </w:r>
            <w:r w:rsidRPr="003717B5">
              <w:rPr>
                <w:rFonts w:cs="Arial"/>
                <w:color w:val="000000"/>
                <w:sz w:val="22"/>
                <w:szCs w:val="22"/>
                <w:lang w:eastAsia="en-AU"/>
              </w:rPr>
              <w:t xml:space="preserve">ear </w:t>
            </w:r>
            <w:r>
              <w:rPr>
                <w:rFonts w:cs="Arial"/>
                <w:color w:val="000000"/>
                <w:sz w:val="22"/>
                <w:szCs w:val="22"/>
                <w:lang w:eastAsia="en-AU"/>
              </w:rPr>
              <w:t>one</w:t>
            </w:r>
            <w:r w:rsidRPr="003717B5">
              <w:rPr>
                <w:rFonts w:cs="Arial"/>
                <w:color w:val="000000"/>
                <w:sz w:val="22"/>
                <w:szCs w:val="22"/>
                <w:lang w:eastAsia="en-AU"/>
              </w:rPr>
              <w:t xml:space="preserve"> program has been implemented.</w:t>
            </w:r>
          </w:p>
        </w:tc>
      </w:tr>
    </w:tbl>
    <w:p w:rsidR="00F13AD5" w:rsidRDefault="00F13AD5" w:rsidP="00F13AD5">
      <w:pPr>
        <w:pStyle w:val="Normal5"/>
      </w:pPr>
    </w:p>
    <w:tbl>
      <w:tblPr>
        <w:tblW w:w="9781" w:type="dxa"/>
        <w:tblInd w:w="108" w:type="dxa"/>
        <w:tblLook w:val="04A0" w:firstRow="1" w:lastRow="0" w:firstColumn="1" w:lastColumn="0" w:noHBand="0" w:noVBand="1"/>
      </w:tblPr>
      <w:tblGrid>
        <w:gridCol w:w="2460"/>
        <w:gridCol w:w="3680"/>
        <w:gridCol w:w="3641"/>
      </w:tblGrid>
      <w:tr w:rsidR="00F13AD5" w:rsidTr="00F83E2E">
        <w:trPr>
          <w:trHeight w:val="576"/>
        </w:trPr>
        <w:tc>
          <w:tcPr>
            <w:tcW w:w="2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Projects (continued)</w:t>
            </w:r>
          </w:p>
        </w:tc>
        <w:tc>
          <w:tcPr>
            <w:tcW w:w="3680" w:type="dxa"/>
            <w:tcBorders>
              <w:top w:val="single" w:sz="4" w:space="0" w:color="auto"/>
              <w:left w:val="nil"/>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Indicator</w:t>
            </w:r>
          </w:p>
        </w:tc>
        <w:tc>
          <w:tcPr>
            <w:tcW w:w="3641" w:type="dxa"/>
            <w:tcBorders>
              <w:top w:val="single" w:sz="4" w:space="0" w:color="auto"/>
              <w:left w:val="nil"/>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Result for 2017-18</w:t>
            </w:r>
          </w:p>
        </w:tc>
      </w:tr>
      <w:tr w:rsidR="00F13AD5" w:rsidTr="00F83E2E">
        <w:trPr>
          <w:trHeight w:val="146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New Events</w:t>
            </w:r>
          </w:p>
        </w:tc>
        <w:tc>
          <w:tcPr>
            <w:tcW w:w="3680"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New opportunities identified and supported by Events ACT.</w:t>
            </w:r>
          </w:p>
        </w:tc>
        <w:tc>
          <w:tcPr>
            <w:tcW w:w="3641"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New events have been implemented in the period and supported by Events ACT, including ‘Christmas in Glebe Park’, ‘Enlighten in the City’, and the ‘Winter Festival’.</w:t>
            </w:r>
          </w:p>
        </w:tc>
      </w:tr>
      <w:tr w:rsidR="00F13AD5" w:rsidTr="00F83E2E">
        <w:trPr>
          <w:trHeight w:val="576"/>
        </w:trPr>
        <w:tc>
          <w:tcPr>
            <w:tcW w:w="2460" w:type="dxa"/>
            <w:tcBorders>
              <w:top w:val="nil"/>
              <w:left w:val="single" w:sz="4" w:space="0" w:color="auto"/>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Effective Governance</w:t>
            </w:r>
          </w:p>
        </w:tc>
        <w:tc>
          <w:tcPr>
            <w:tcW w:w="3680" w:type="dxa"/>
            <w:tcBorders>
              <w:top w:val="nil"/>
              <w:left w:val="nil"/>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Indicator</w:t>
            </w:r>
          </w:p>
        </w:tc>
        <w:tc>
          <w:tcPr>
            <w:tcW w:w="3641" w:type="dxa"/>
            <w:tcBorders>
              <w:top w:val="nil"/>
              <w:left w:val="nil"/>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Result for 2017-18</w:t>
            </w:r>
          </w:p>
        </w:tc>
      </w:tr>
      <w:tr w:rsidR="00F13AD5" w:rsidTr="00F83E2E">
        <w:trPr>
          <w:trHeight w:val="2256"/>
        </w:trPr>
        <w:tc>
          <w:tcPr>
            <w:tcW w:w="2460" w:type="dxa"/>
            <w:vMerge w:val="restart"/>
            <w:tcBorders>
              <w:top w:val="nil"/>
              <w:left w:val="single" w:sz="4" w:space="0" w:color="auto"/>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Authority policies and procedures</w:t>
            </w:r>
          </w:p>
        </w:tc>
        <w:tc>
          <w:tcPr>
            <w:tcW w:w="3680" w:type="dxa"/>
            <w:tcBorders>
              <w:top w:val="nil"/>
              <w:left w:val="nil"/>
              <w:bottom w:val="nil"/>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The Board has no breaches of its statutory and fiduciary obligations, however (recognising that breaches may occur) any breaches are either referred to the Police or other appropriate authorities, or are within ACT Government tolerances.</w:t>
            </w:r>
          </w:p>
        </w:tc>
        <w:tc>
          <w:tcPr>
            <w:tcW w:w="3641" w:type="dxa"/>
            <w:vMerge w:val="restart"/>
            <w:tcBorders>
              <w:top w:val="nil"/>
              <w:left w:val="single" w:sz="4" w:space="0" w:color="auto"/>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 xml:space="preserve">There have been no known breaches as at </w:t>
            </w:r>
            <w:r>
              <w:rPr>
                <w:rFonts w:cs="Arial"/>
                <w:color w:val="000000"/>
                <w:sz w:val="22"/>
                <w:szCs w:val="22"/>
                <w:lang w:eastAsia="en-AU"/>
              </w:rPr>
              <w:t>17 May</w:t>
            </w:r>
            <w:r w:rsidRPr="00673B83">
              <w:rPr>
                <w:rFonts w:cs="Arial"/>
                <w:color w:val="000000"/>
                <w:sz w:val="22"/>
                <w:szCs w:val="22"/>
                <w:lang w:eastAsia="en-AU"/>
              </w:rPr>
              <w:t xml:space="preserve"> 2018.</w:t>
            </w:r>
          </w:p>
        </w:tc>
      </w:tr>
      <w:tr w:rsidR="00F13AD5" w:rsidTr="00F83E2E">
        <w:trPr>
          <w:trHeight w:val="2280"/>
        </w:trPr>
        <w:tc>
          <w:tcPr>
            <w:tcW w:w="2460" w:type="dxa"/>
            <w:vMerge/>
            <w:tcBorders>
              <w:top w:val="nil"/>
              <w:left w:val="single" w:sz="4" w:space="0" w:color="auto"/>
              <w:bottom w:val="single" w:sz="4" w:space="0" w:color="auto"/>
              <w:right w:val="single" w:sz="4" w:space="0" w:color="auto"/>
            </w:tcBorders>
            <w:vAlign w:val="center"/>
            <w:hideMark/>
          </w:tcPr>
          <w:p w:rsidR="00F13AD5" w:rsidRPr="00673B83" w:rsidRDefault="00F13AD5" w:rsidP="00F83E2E">
            <w:pPr>
              <w:pStyle w:val="Normal5"/>
              <w:spacing w:before="0" w:after="0"/>
              <w:rPr>
                <w:color w:val="000000"/>
                <w:sz w:val="22"/>
                <w:szCs w:val="22"/>
                <w:lang w:eastAsia="en-AU"/>
              </w:rPr>
            </w:pPr>
          </w:p>
        </w:tc>
        <w:tc>
          <w:tcPr>
            <w:tcW w:w="3680"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The Board and staff have no breaches of ACT Government administration and governance requirements, however (recognising that breaches may occur) any breaches are either referred to the appropriate investigation authorities, or are within ACT Government tolerances.</w:t>
            </w:r>
          </w:p>
        </w:tc>
        <w:tc>
          <w:tcPr>
            <w:tcW w:w="3641" w:type="dxa"/>
            <w:vMerge/>
            <w:tcBorders>
              <w:top w:val="nil"/>
              <w:left w:val="single" w:sz="4" w:space="0" w:color="auto"/>
              <w:bottom w:val="single" w:sz="4" w:space="0" w:color="auto"/>
              <w:right w:val="single" w:sz="4" w:space="0" w:color="auto"/>
            </w:tcBorders>
            <w:vAlign w:val="center"/>
            <w:hideMark/>
          </w:tcPr>
          <w:p w:rsidR="00F13AD5" w:rsidRPr="00673B83" w:rsidRDefault="00F13AD5" w:rsidP="00F83E2E">
            <w:pPr>
              <w:pStyle w:val="Normal5"/>
              <w:spacing w:before="0" w:after="0"/>
              <w:rPr>
                <w:color w:val="000000"/>
                <w:sz w:val="22"/>
                <w:szCs w:val="22"/>
                <w:lang w:eastAsia="en-AU"/>
              </w:rPr>
            </w:pPr>
          </w:p>
        </w:tc>
      </w:tr>
      <w:tr w:rsidR="00F13AD5" w:rsidTr="00F83E2E">
        <w:trPr>
          <w:trHeight w:val="576"/>
        </w:trPr>
        <w:tc>
          <w:tcPr>
            <w:tcW w:w="2460" w:type="dxa"/>
            <w:tcBorders>
              <w:top w:val="nil"/>
              <w:left w:val="single" w:sz="4" w:space="0" w:color="auto"/>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Risk Management</w:t>
            </w:r>
          </w:p>
        </w:tc>
        <w:tc>
          <w:tcPr>
            <w:tcW w:w="3680" w:type="dxa"/>
            <w:tcBorders>
              <w:top w:val="nil"/>
              <w:left w:val="nil"/>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Indicator</w:t>
            </w:r>
          </w:p>
        </w:tc>
        <w:tc>
          <w:tcPr>
            <w:tcW w:w="3641" w:type="dxa"/>
            <w:tcBorders>
              <w:top w:val="nil"/>
              <w:left w:val="nil"/>
              <w:bottom w:val="single" w:sz="4" w:space="0" w:color="auto"/>
              <w:right w:val="single" w:sz="4" w:space="0" w:color="auto"/>
            </w:tcBorders>
            <w:shd w:val="clear" w:color="000000" w:fill="D9D9D9"/>
            <w:vAlign w:val="center"/>
            <w:hideMark/>
          </w:tcPr>
          <w:p w:rsidR="00F13AD5" w:rsidRPr="00673B83" w:rsidRDefault="00F13AD5" w:rsidP="00F83E2E">
            <w:pPr>
              <w:pStyle w:val="Normal5"/>
              <w:spacing w:before="0" w:after="0"/>
              <w:rPr>
                <w:b/>
                <w:bCs/>
                <w:color w:val="000000"/>
                <w:sz w:val="22"/>
                <w:szCs w:val="22"/>
                <w:lang w:eastAsia="en-AU"/>
              </w:rPr>
            </w:pPr>
            <w:r w:rsidRPr="00673B83">
              <w:rPr>
                <w:rFonts w:cs="Arial"/>
                <w:b/>
                <w:bCs/>
                <w:color w:val="000000"/>
                <w:sz w:val="22"/>
                <w:szCs w:val="22"/>
                <w:lang w:eastAsia="en-AU"/>
              </w:rPr>
              <w:t>Result for 2017-18</w:t>
            </w:r>
          </w:p>
        </w:tc>
      </w:tr>
      <w:tr w:rsidR="00F13AD5" w:rsidTr="00F83E2E">
        <w:trPr>
          <w:trHeight w:val="126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Internal and external audit of financial management and business systems.</w:t>
            </w:r>
          </w:p>
        </w:tc>
        <w:tc>
          <w:tcPr>
            <w:tcW w:w="3680"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Unqualified audit reports.</w:t>
            </w:r>
          </w:p>
        </w:tc>
        <w:tc>
          <w:tcPr>
            <w:tcW w:w="3641"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 xml:space="preserve">There have been no audits conducted in the period 1 July 2017 </w:t>
            </w:r>
            <w:r>
              <w:rPr>
                <w:rFonts w:cs="Arial"/>
                <w:color w:val="000000"/>
                <w:sz w:val="22"/>
                <w:szCs w:val="22"/>
                <w:lang w:eastAsia="en-AU"/>
              </w:rPr>
              <w:t>–</w:t>
            </w:r>
            <w:r w:rsidRPr="00673B83">
              <w:rPr>
                <w:rFonts w:cs="Arial"/>
                <w:color w:val="000000"/>
                <w:sz w:val="22"/>
                <w:szCs w:val="22"/>
                <w:lang w:eastAsia="en-AU"/>
              </w:rPr>
              <w:t xml:space="preserve"> </w:t>
            </w:r>
            <w:r>
              <w:rPr>
                <w:rFonts w:cs="Arial"/>
                <w:color w:val="000000"/>
                <w:sz w:val="22"/>
                <w:szCs w:val="22"/>
                <w:lang w:eastAsia="en-AU"/>
              </w:rPr>
              <w:t>17 May</w:t>
            </w:r>
            <w:r w:rsidRPr="00673B83">
              <w:rPr>
                <w:rFonts w:cs="Arial"/>
                <w:color w:val="000000"/>
                <w:sz w:val="22"/>
                <w:szCs w:val="22"/>
                <w:lang w:eastAsia="en-AU"/>
              </w:rPr>
              <w:t xml:space="preserve"> 2018.</w:t>
            </w:r>
          </w:p>
        </w:tc>
      </w:tr>
      <w:tr w:rsidR="00F13AD5" w:rsidTr="00F83E2E">
        <w:trPr>
          <w:trHeight w:val="216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Service Agreements</w:t>
            </w:r>
          </w:p>
        </w:tc>
        <w:tc>
          <w:tcPr>
            <w:tcW w:w="3680"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All actions or inactions relating to the City Renewal Authority Service Agreements with ACT Government entities are within the tolerances specified in the relevant Agreement, or otherwise within ACT Government tolerances.</w:t>
            </w:r>
          </w:p>
        </w:tc>
        <w:tc>
          <w:tcPr>
            <w:tcW w:w="3641"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 xml:space="preserve">There have been no such issues as at </w:t>
            </w:r>
            <w:r>
              <w:rPr>
                <w:rFonts w:cs="Arial"/>
                <w:color w:val="000000"/>
                <w:sz w:val="22"/>
                <w:szCs w:val="22"/>
                <w:lang w:eastAsia="en-AU"/>
              </w:rPr>
              <w:t>17 May</w:t>
            </w:r>
            <w:r w:rsidRPr="00673B83">
              <w:rPr>
                <w:rFonts w:cs="Arial"/>
                <w:color w:val="000000"/>
                <w:sz w:val="22"/>
                <w:szCs w:val="22"/>
                <w:lang w:eastAsia="en-AU"/>
              </w:rPr>
              <w:t xml:space="preserve"> 2018.</w:t>
            </w:r>
          </w:p>
        </w:tc>
      </w:tr>
      <w:tr w:rsidR="00F13AD5" w:rsidTr="00F83E2E">
        <w:trPr>
          <w:trHeight w:val="94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Risk Framework and Register</w:t>
            </w:r>
          </w:p>
        </w:tc>
        <w:tc>
          <w:tcPr>
            <w:tcW w:w="3680"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 xml:space="preserve">Framework and Register approved, implemented and monitored by the Audit and Risk Committee. </w:t>
            </w:r>
          </w:p>
        </w:tc>
        <w:tc>
          <w:tcPr>
            <w:tcW w:w="3641"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On track for completion by 30 June 2018.</w:t>
            </w:r>
          </w:p>
        </w:tc>
      </w:tr>
      <w:tr w:rsidR="00F13AD5" w:rsidTr="00F83E2E">
        <w:trPr>
          <w:trHeight w:val="69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Workplace Health and Safety (WHS)</w:t>
            </w:r>
          </w:p>
        </w:tc>
        <w:tc>
          <w:tcPr>
            <w:tcW w:w="3680"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No breaches of WHS-related legislated or policy requirements.</w:t>
            </w:r>
          </w:p>
        </w:tc>
        <w:tc>
          <w:tcPr>
            <w:tcW w:w="3641" w:type="dxa"/>
            <w:tcBorders>
              <w:top w:val="nil"/>
              <w:left w:val="nil"/>
              <w:bottom w:val="single" w:sz="4" w:space="0" w:color="auto"/>
              <w:right w:val="single" w:sz="4" w:space="0" w:color="auto"/>
            </w:tcBorders>
            <w:shd w:val="clear" w:color="auto" w:fill="auto"/>
            <w:vAlign w:val="center"/>
            <w:hideMark/>
          </w:tcPr>
          <w:p w:rsidR="00F13AD5" w:rsidRPr="00673B83" w:rsidRDefault="00F13AD5" w:rsidP="00F83E2E">
            <w:pPr>
              <w:pStyle w:val="Normal5"/>
              <w:spacing w:before="0" w:after="0"/>
              <w:rPr>
                <w:color w:val="000000"/>
                <w:sz w:val="22"/>
                <w:szCs w:val="22"/>
                <w:lang w:eastAsia="en-AU"/>
              </w:rPr>
            </w:pPr>
            <w:r w:rsidRPr="00673B83">
              <w:rPr>
                <w:rFonts w:cs="Arial"/>
                <w:color w:val="000000"/>
                <w:sz w:val="22"/>
                <w:szCs w:val="22"/>
                <w:lang w:eastAsia="en-AU"/>
              </w:rPr>
              <w:t xml:space="preserve">There have been no known breaches as at </w:t>
            </w:r>
            <w:r>
              <w:rPr>
                <w:rFonts w:cs="Arial"/>
                <w:color w:val="000000"/>
                <w:sz w:val="22"/>
                <w:szCs w:val="22"/>
                <w:lang w:eastAsia="en-AU"/>
              </w:rPr>
              <w:t>17 May</w:t>
            </w:r>
            <w:r w:rsidRPr="00673B83">
              <w:rPr>
                <w:rFonts w:cs="Arial"/>
                <w:color w:val="000000"/>
                <w:sz w:val="22"/>
                <w:szCs w:val="22"/>
                <w:lang w:eastAsia="en-AU"/>
              </w:rPr>
              <w:t xml:space="preserve"> 2018.</w:t>
            </w:r>
          </w:p>
        </w:tc>
      </w:tr>
    </w:tbl>
    <w:p w:rsidR="00F13AD5" w:rsidRDefault="00F13AD5" w:rsidP="00F13AD5">
      <w:pPr>
        <w:pStyle w:val="Normal5"/>
      </w:pPr>
      <w:r>
        <w:t xml:space="preserve"> </w:t>
      </w:r>
    </w:p>
    <w:p w:rsidR="002A5CF3" w:rsidRDefault="002A5CF3" w:rsidP="002A5CF3">
      <w:pPr>
        <w:pStyle w:val="Heading2"/>
        <w:pageBreakBefore/>
        <w:pBdr>
          <w:top w:val="nil"/>
          <w:left w:val="nil"/>
          <w:bottom w:val="nil"/>
          <w:right w:val="nil"/>
          <w:between w:val="nil"/>
          <w:bar w:val="nil"/>
        </w:pBdr>
        <w:rPr>
          <w:bdr w:val="nil"/>
        </w:rPr>
      </w:pPr>
      <w:bookmarkStart w:id="132" w:name="_Toc514840968"/>
      <w:bookmarkStart w:id="133" w:name="_Toc514841045"/>
      <w:r>
        <w:rPr>
          <w:bdr w:val="nil"/>
        </w:rPr>
        <w:t>Changes to Appropriation</w:t>
      </w:r>
      <w:bookmarkEnd w:id="132"/>
      <w:bookmarkEnd w:id="133"/>
    </w:p>
    <w:p w:rsidR="00F13AD5" w:rsidRPr="003B439B" w:rsidRDefault="00F13AD5" w:rsidP="002A5CF3">
      <w:pPr>
        <w:pStyle w:val="Caption"/>
        <w:pBdr>
          <w:top w:val="nil"/>
          <w:left w:val="nil"/>
          <w:bottom w:val="nil"/>
          <w:right w:val="nil"/>
          <w:between w:val="nil"/>
          <w:bar w:val="nil"/>
        </w:pBdr>
        <w:rPr>
          <w:rFonts w:eastAsia="TimesNewRomanPS-ItalicMT"/>
          <w:bdr w:val="nil"/>
        </w:rPr>
      </w:pPr>
      <w:r w:rsidRPr="003B439B">
        <w:rPr>
          <w:bdr w:val="nil"/>
        </w:rPr>
        <w:t xml:space="preserve">Table </w:t>
      </w:r>
      <w:r>
        <w:rPr>
          <w:bdr w:val="nil"/>
        </w:rPr>
        <w:t>6</w:t>
      </w:r>
      <w:r w:rsidRPr="003B439B">
        <w:rPr>
          <w:bdr w:val="nil"/>
        </w:rPr>
        <w:t>: Changes to appropriation –</w:t>
      </w:r>
      <w:r w:rsidRPr="003B439B">
        <w:rPr>
          <w:szCs w:val="20"/>
          <w:bdr w:val="nil"/>
        </w:rPr>
        <w:t xml:space="preserve"> </w:t>
      </w:r>
      <w:r>
        <w:rPr>
          <w:bdr w:val="nil"/>
        </w:rPr>
        <w:t>Controlled Recurrent Payments</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F13AD5" w:rsidTr="00F83E2E">
        <w:trPr>
          <w:trHeight w:val="975"/>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2017-18 Estimated Outcome</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2018-19 Budget</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2019-20 Estimate</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2020-21 Estimate</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2021-22 Estimate</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jc w:val="right"/>
              <w:rPr>
                <w:rFonts w:eastAsia="Calibri" w:cs="Calibri"/>
                <w:color w:val="000000"/>
                <w:sz w:val="18"/>
              </w:rPr>
            </w:pPr>
            <w:r>
              <w:rPr>
                <w:rFonts w:eastAsia="Calibri" w:cs="Calibri"/>
                <w:color w:val="000000"/>
                <w:sz w:val="18"/>
              </w:rPr>
              <w:t>4,758</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jc w:val="right"/>
              <w:rPr>
                <w:rFonts w:eastAsia="Calibri" w:cs="Calibri"/>
                <w:color w:val="000000"/>
                <w:sz w:val="18"/>
              </w:rPr>
            </w:pPr>
            <w:r>
              <w:rPr>
                <w:rFonts w:eastAsia="Calibri" w:cs="Calibri"/>
                <w:color w:val="000000"/>
                <w:sz w:val="18"/>
              </w:rPr>
              <w:t>4,334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jc w:val="right"/>
              <w:rPr>
                <w:rFonts w:eastAsia="Calibri" w:cs="Calibri"/>
                <w:color w:val="000000"/>
                <w:sz w:val="18"/>
              </w:rPr>
            </w:pPr>
            <w:r>
              <w:rPr>
                <w:rFonts w:eastAsia="Calibri" w:cs="Calibri"/>
                <w:color w:val="000000"/>
                <w:sz w:val="18"/>
              </w:rPr>
              <w:t>4,406</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jc w:val="right"/>
              <w:rPr>
                <w:rFonts w:eastAsia="Calibri" w:cs="Calibri"/>
                <w:color w:val="000000"/>
                <w:sz w:val="18"/>
              </w:rPr>
            </w:pPr>
            <w:r>
              <w:rPr>
                <w:rFonts w:eastAsia="Calibri" w:cs="Calibri"/>
                <w:color w:val="000000"/>
                <w:sz w:val="18"/>
              </w:rPr>
              <w:t>553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jc w:val="right"/>
              <w:rPr>
                <w:rFonts w:eastAsia="Calibri" w:cs="Calibri"/>
                <w:color w:val="000000"/>
                <w:sz w:val="18"/>
              </w:rPr>
            </w:pPr>
            <w:r>
              <w:rPr>
                <w:rFonts w:eastAsia="Calibri" w:cs="Calibri"/>
                <w:color w:val="000000"/>
                <w:sz w:val="18"/>
              </w:rPr>
              <w:t>553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2nd Appropriation</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Building a better city – City Renewal Authority – Operational funding</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2,472</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2,209</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2,251</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rPr>
                <w:rFonts w:eastAsia="Calibri" w:cs="Calibri"/>
                <w:color w:val="000000"/>
                <w:sz w:val="18"/>
              </w:rPr>
            </w:pPr>
            <w:r>
              <w:rPr>
                <w:rFonts w:eastAsia="Calibri" w:cs="Calibri"/>
                <w:color w:val="000000"/>
                <w:sz w:val="18"/>
              </w:rPr>
              <w:t>Urban Renewal for Civic - Creating a vibrant city centre</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22</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More jobs for our growing city - City Renewal Precinct activation projects</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850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1,200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Comcare Premium Reduction</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-4</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Revised Funding Profile – Building a better city – City Renewal Authority – Initial works package</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-561</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561</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8</w:t>
            </w: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6</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-1</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67</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72</w:t>
            </w: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53</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124</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3170B" w:rsidRDefault="00D3170B" w:rsidP="00D3170B">
            <w:pPr>
              <w:spacing w:before="0" w:after="0"/>
              <w:ind w:left="113" w:hanging="113"/>
              <w:rPr>
                <w:rFonts w:eastAsia="Calibri" w:cs="Calibri"/>
                <w:color w:val="000000"/>
                <w:sz w:val="18"/>
              </w:rPr>
            </w:pPr>
            <w:r>
              <w:rPr>
                <w:rFonts w:eastAsia="Calibri" w:cs="Calibri"/>
                <w:color w:val="000000"/>
                <w:sz w:val="18"/>
              </w:rPr>
              <w:t>Transfer – Capital Injections to Controlled Recurrent Payments - Building a better city - City Renewal Authority - Initial works  package</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3170B" w:rsidRDefault="00D3170B" w:rsidP="00D3170B">
            <w:pPr>
              <w:spacing w:before="0" w:after="0"/>
              <w:jc w:val="right"/>
              <w:rPr>
                <w:rFonts w:eastAsia="Calibri" w:cs="Calibri"/>
                <w:color w:val="000000"/>
                <w:sz w:val="18"/>
              </w:rPr>
            </w:pPr>
            <w:r>
              <w:rPr>
                <w:rFonts w:eastAsia="Calibri" w:cs="Calibri"/>
                <w:color w:val="000000"/>
                <w:sz w:val="18"/>
              </w:rPr>
              <w:t>0</w:t>
            </w: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3170B" w:rsidRDefault="00D3170B" w:rsidP="00D317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3170B" w:rsidRDefault="00D3170B" w:rsidP="00D317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3170B" w:rsidRDefault="00D3170B" w:rsidP="00D317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3170B" w:rsidRDefault="00D3170B" w:rsidP="00D317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3170B" w:rsidRDefault="00D3170B" w:rsidP="00D3170B">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3170B" w:rsidRDefault="00D3170B" w:rsidP="00D3170B">
            <w:pPr>
              <w:spacing w:before="0" w:after="0"/>
              <w:rPr>
                <w:rFonts w:eastAsia="Calibri" w:cs="Calibri"/>
                <w:color w:val="000000"/>
                <w:sz w:val="18"/>
              </w:rPr>
            </w:pPr>
          </w:p>
        </w:tc>
      </w:tr>
      <w:tr w:rsidR="00D3170B"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3170B" w:rsidRDefault="00D3170B" w:rsidP="00D3170B">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3170B" w:rsidRDefault="00D3170B" w:rsidP="00D3170B">
            <w:pPr>
              <w:spacing w:before="0" w:after="0"/>
              <w:jc w:val="right"/>
              <w:rPr>
                <w:rFonts w:eastAsia="Calibri" w:cs="Calibri"/>
                <w:b/>
                <w:color w:val="000000"/>
                <w:sz w:val="18"/>
              </w:rPr>
            </w:pPr>
            <w:r>
              <w:rPr>
                <w:rFonts w:eastAsia="Calibri" w:cs="Calibri"/>
                <w:b/>
                <w:color w:val="000000"/>
                <w:sz w:val="18"/>
              </w:rPr>
              <w:t>7,487</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3170B" w:rsidRDefault="00D3170B" w:rsidP="00D3170B">
            <w:pPr>
              <w:spacing w:before="0" w:after="0"/>
              <w:jc w:val="right"/>
              <w:rPr>
                <w:rFonts w:eastAsia="Calibri" w:cs="Calibri"/>
                <w:b/>
                <w:color w:val="000000"/>
                <w:sz w:val="18"/>
              </w:rPr>
            </w:pPr>
            <w:r>
              <w:rPr>
                <w:rFonts w:eastAsia="Calibri" w:cs="Calibri"/>
                <w:b/>
                <w:color w:val="000000"/>
                <w:sz w:val="18"/>
              </w:rPr>
              <w:t>8,013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3170B" w:rsidRDefault="00D3170B" w:rsidP="00D3170B">
            <w:pPr>
              <w:spacing w:before="0" w:after="0"/>
              <w:jc w:val="right"/>
              <w:rPr>
                <w:rFonts w:eastAsia="Calibri" w:cs="Calibri"/>
                <w:b/>
                <w:color w:val="000000"/>
                <w:sz w:val="18"/>
              </w:rPr>
            </w:pPr>
            <w:r>
              <w:rPr>
                <w:rFonts w:eastAsia="Calibri" w:cs="Calibri"/>
                <w:b/>
                <w:color w:val="000000"/>
                <w:sz w:val="18"/>
              </w:rPr>
              <w:t>7,980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3170B" w:rsidRDefault="00D3170B" w:rsidP="00D3170B">
            <w:pPr>
              <w:spacing w:before="0" w:after="0"/>
              <w:jc w:val="right"/>
              <w:rPr>
                <w:rFonts w:eastAsia="Calibri" w:cs="Calibri"/>
                <w:b/>
                <w:color w:val="000000"/>
                <w:sz w:val="18"/>
              </w:rPr>
            </w:pPr>
            <w:r>
              <w:rPr>
                <w:rFonts w:eastAsia="Calibri" w:cs="Calibri"/>
                <w:b/>
                <w:color w:val="000000"/>
                <w:sz w:val="18"/>
              </w:rPr>
              <w:t>620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3170B" w:rsidRDefault="00D3170B" w:rsidP="00D3170B">
            <w:pPr>
              <w:spacing w:before="0" w:after="0"/>
              <w:jc w:val="right"/>
              <w:rPr>
                <w:rFonts w:eastAsia="Calibri" w:cs="Calibri"/>
                <w:b/>
                <w:color w:val="000000"/>
                <w:sz w:val="18"/>
              </w:rPr>
            </w:pPr>
            <w:r>
              <w:rPr>
                <w:rFonts w:eastAsia="Calibri" w:cs="Calibri"/>
                <w:b/>
                <w:color w:val="000000"/>
                <w:sz w:val="18"/>
              </w:rPr>
              <w:t>633</w:t>
            </w:r>
          </w:p>
        </w:tc>
      </w:tr>
    </w:tbl>
    <w:p w:rsidR="00F13AD5" w:rsidRPr="00EC6DFD" w:rsidRDefault="00F13AD5" w:rsidP="00EC6DFD">
      <w:pPr>
        <w:pStyle w:val="Caption"/>
        <w:pageBreakBefore/>
        <w:pBdr>
          <w:top w:val="nil"/>
          <w:left w:val="nil"/>
          <w:bottom w:val="nil"/>
          <w:right w:val="nil"/>
          <w:between w:val="nil"/>
          <w:bar w:val="nil"/>
        </w:pBdr>
        <w:outlineLvl w:val="0"/>
        <w:rPr>
          <w:bdr w:val="nil"/>
        </w:rPr>
      </w:pPr>
      <w:bookmarkStart w:id="134" w:name="_Toc514763816"/>
      <w:bookmarkStart w:id="135" w:name="_Toc514840969"/>
      <w:bookmarkStart w:id="136" w:name="_Toc514841046"/>
      <w:r w:rsidRPr="002168B4">
        <w:rPr>
          <w:bdr w:val="nil"/>
        </w:rPr>
        <w:t xml:space="preserve">Table </w:t>
      </w:r>
      <w:r>
        <w:rPr>
          <w:bdr w:val="nil"/>
        </w:rPr>
        <w:t>7</w:t>
      </w:r>
      <w:r w:rsidRPr="002168B4">
        <w:rPr>
          <w:bdr w:val="nil"/>
        </w:rPr>
        <w:t>: Changes to appropriation –</w:t>
      </w:r>
      <w:r w:rsidRPr="002168B4">
        <w:rPr>
          <w:szCs w:val="20"/>
          <w:bdr w:val="nil"/>
        </w:rPr>
        <w:t xml:space="preserve"> </w:t>
      </w:r>
      <w:r w:rsidRPr="002168B4">
        <w:rPr>
          <w:bdr w:val="nil"/>
        </w:rPr>
        <w:t>Capital Injections</w:t>
      </w:r>
      <w:bookmarkEnd w:id="134"/>
      <w:bookmarkEnd w:id="135"/>
      <w:bookmarkEnd w:id="136"/>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F13AD5" w:rsidTr="00F83E2E">
        <w:trPr>
          <w:trHeight w:val="975"/>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2017-18 Estimated Outcome</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2018-19 Budget</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2019-20 Estimate</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2020-21 Estimate</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2021-22 Estimate</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A20D74"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A20D74" w:rsidRDefault="00A20D74" w:rsidP="00A20D74">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20D74" w:rsidRDefault="00A20D74" w:rsidP="00A20D74">
            <w:pPr>
              <w:spacing w:before="0" w:after="0"/>
              <w:jc w:val="right"/>
              <w:rPr>
                <w:rFonts w:eastAsia="Calibri" w:cs="Calibri"/>
                <w:color w:val="000000"/>
                <w:sz w:val="18"/>
              </w:rPr>
            </w:pPr>
            <w:r>
              <w:rPr>
                <w:rFonts w:eastAsia="Calibri" w:cs="Calibri"/>
                <w:color w:val="000000"/>
                <w:sz w:val="18"/>
              </w:rPr>
              <w:t>9,500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20D74" w:rsidRDefault="00A20D74" w:rsidP="00A20D74">
            <w:pPr>
              <w:spacing w:before="0" w:after="0"/>
              <w:jc w:val="right"/>
              <w:rPr>
                <w:rFonts w:eastAsia="Calibri" w:cs="Calibri"/>
                <w:color w:val="000000"/>
                <w:sz w:val="18"/>
              </w:rPr>
            </w:pPr>
            <w:r>
              <w:rPr>
                <w:rFonts w:eastAsia="Calibri" w:cs="Calibri"/>
                <w:color w:val="000000"/>
                <w:sz w:val="18"/>
              </w:rPr>
              <w:t>15,000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20D74" w:rsidRDefault="00A20D74" w:rsidP="00A20D74">
            <w:pPr>
              <w:spacing w:before="0" w:after="0"/>
              <w:jc w:val="right"/>
              <w:rPr>
                <w:rFonts w:eastAsia="Calibri" w:cs="Calibri"/>
                <w:color w:val="000000"/>
                <w:sz w:val="18"/>
              </w:rPr>
            </w:pPr>
            <w:r>
              <w:rPr>
                <w:rFonts w:eastAsia="Calibri" w:cs="Calibri"/>
                <w:color w:val="000000"/>
                <w:sz w:val="18"/>
              </w:rPr>
              <w:t>14,888</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20D74" w:rsidRDefault="00A20D74" w:rsidP="00A20D7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A20D74" w:rsidRDefault="00A20D74" w:rsidP="00A20D74">
            <w:pPr>
              <w:spacing w:before="0" w:after="0"/>
              <w:jc w:val="right"/>
              <w:rPr>
                <w:rFonts w:eastAsia="Calibri" w:cs="Calibri"/>
                <w:color w:val="000000"/>
                <w:sz w:val="18"/>
              </w:rPr>
            </w:pPr>
            <w:r>
              <w:rPr>
                <w:rFonts w:eastAsia="Calibri" w:cs="Calibri"/>
                <w:color w:val="000000"/>
                <w:sz w:val="18"/>
              </w:rPr>
              <w:t>0</w:t>
            </w:r>
          </w:p>
        </w:tc>
      </w:tr>
      <w:tr w:rsidR="00A20D74"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000000"/>
                <w:sz w:val="18"/>
              </w:rPr>
            </w:pPr>
          </w:p>
        </w:tc>
      </w:tr>
      <w:tr w:rsidR="00A20D74"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A20D74" w:rsidRDefault="00A20D74" w:rsidP="00A20D74">
            <w:pPr>
              <w:spacing w:before="0" w:after="0"/>
              <w:rPr>
                <w:rFonts w:eastAsia="Calibri" w:cs="Calibri"/>
                <w:b/>
                <w:color w:val="000000"/>
                <w:sz w:val="18"/>
              </w:rPr>
            </w:pPr>
            <w:r>
              <w:rPr>
                <w:rFonts w:eastAsia="Calibri" w:cs="Calibri"/>
                <w:b/>
                <w:color w:val="000000"/>
                <w:sz w:val="18"/>
              </w:rPr>
              <w:t>2nd Appropriation</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A20D74" w:rsidRDefault="00A20D74" w:rsidP="00A20D74">
            <w:pPr>
              <w:spacing w:before="0" w:after="0"/>
              <w:rPr>
                <w:rFonts w:eastAsia="Calibri" w:cs="Calibri"/>
                <w:color w:val="FFFFFF"/>
                <w:sz w:val="18"/>
              </w:rPr>
            </w:pPr>
          </w:p>
        </w:tc>
      </w:tr>
      <w:tr w:rsidR="00A20D74"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A20D74" w:rsidRDefault="00A20D74" w:rsidP="00A20D74">
            <w:pPr>
              <w:spacing w:before="0" w:after="0"/>
              <w:rPr>
                <w:rFonts w:eastAsia="Calibri" w:cs="Calibri"/>
                <w:color w:val="000000"/>
                <w:sz w:val="18"/>
              </w:rPr>
            </w:pPr>
            <w:r>
              <w:rPr>
                <w:rFonts w:eastAsia="Calibri" w:cs="Calibri"/>
                <w:color w:val="000000"/>
                <w:sz w:val="18"/>
              </w:rPr>
              <w:t>Building a better city – City Renewal Authority – City precinct improvements</w:t>
            </w:r>
          </w:p>
        </w:tc>
        <w:tc>
          <w:tcPr>
            <w:tcW w:w="1035" w:type="dxa"/>
            <w:tcBorders>
              <w:top w:val="nil"/>
              <w:left w:val="nil"/>
              <w:bottom w:val="nil"/>
              <w:right w:val="nil"/>
              <w:tl2br w:val="nil"/>
              <w:tr2bl w:val="nil"/>
            </w:tcBorders>
            <w:shd w:val="clear" w:color="auto" w:fill="auto"/>
            <w:noWrap/>
            <w:tcMar>
              <w:left w:w="101" w:type="dxa"/>
              <w:right w:w="101" w:type="dxa"/>
            </w:tcMar>
          </w:tcPr>
          <w:p w:rsidR="00A20D74" w:rsidRDefault="00A20D74" w:rsidP="00A20D74">
            <w:pPr>
              <w:spacing w:before="0" w:after="0"/>
              <w:jc w:val="right"/>
              <w:rPr>
                <w:rFonts w:eastAsia="Calibri" w:cs="Calibri"/>
                <w:color w:val="000000"/>
                <w:sz w:val="18"/>
              </w:rPr>
            </w:pPr>
            <w:r>
              <w:rPr>
                <w:rFonts w:eastAsia="Calibri" w:cs="Calibri"/>
                <w:color w:val="000000"/>
                <w:sz w:val="18"/>
              </w:rPr>
              <w:t>2,750</w:t>
            </w:r>
          </w:p>
        </w:tc>
        <w:tc>
          <w:tcPr>
            <w:tcW w:w="1035" w:type="dxa"/>
            <w:tcBorders>
              <w:top w:val="nil"/>
              <w:left w:val="nil"/>
              <w:bottom w:val="nil"/>
              <w:right w:val="nil"/>
              <w:tl2br w:val="nil"/>
              <w:tr2bl w:val="nil"/>
            </w:tcBorders>
            <w:shd w:val="clear" w:color="auto" w:fill="auto"/>
            <w:noWrap/>
            <w:tcMar>
              <w:left w:w="101" w:type="dxa"/>
              <w:right w:w="101" w:type="dxa"/>
            </w:tcMar>
          </w:tcPr>
          <w:p w:rsidR="00A20D74" w:rsidRDefault="00A20D74" w:rsidP="00A20D74">
            <w:pPr>
              <w:spacing w:before="0" w:after="0"/>
              <w:jc w:val="right"/>
              <w:rPr>
                <w:rFonts w:eastAsia="Calibri" w:cs="Calibri"/>
                <w:color w:val="000000"/>
                <w:sz w:val="18"/>
              </w:rPr>
            </w:pPr>
            <w:r>
              <w:rPr>
                <w:rFonts w:eastAsia="Calibri" w:cs="Calibri"/>
                <w:color w:val="000000"/>
                <w:sz w:val="18"/>
              </w:rPr>
              <w:t>4,200</w:t>
            </w:r>
          </w:p>
        </w:tc>
        <w:tc>
          <w:tcPr>
            <w:tcW w:w="1035" w:type="dxa"/>
            <w:tcBorders>
              <w:top w:val="nil"/>
              <w:left w:val="nil"/>
              <w:bottom w:val="nil"/>
              <w:right w:val="nil"/>
              <w:tl2br w:val="nil"/>
              <w:tr2bl w:val="nil"/>
            </w:tcBorders>
            <w:shd w:val="clear" w:color="auto" w:fill="auto"/>
            <w:noWrap/>
            <w:tcMar>
              <w:left w:w="101" w:type="dxa"/>
              <w:right w:w="101" w:type="dxa"/>
            </w:tcMar>
          </w:tcPr>
          <w:p w:rsidR="00A20D74" w:rsidRDefault="00A20D74" w:rsidP="00A20D74">
            <w:pPr>
              <w:spacing w:before="0" w:after="0"/>
              <w:jc w:val="right"/>
              <w:rPr>
                <w:rFonts w:eastAsia="Calibri" w:cs="Calibri"/>
                <w:color w:val="000000"/>
                <w:sz w:val="18"/>
              </w:rPr>
            </w:pPr>
            <w:r>
              <w:rPr>
                <w:rFonts w:eastAsia="Calibri" w:cs="Calibri"/>
                <w:color w:val="000000"/>
                <w:sz w:val="18"/>
              </w:rPr>
              <w:t>550</w:t>
            </w:r>
          </w:p>
        </w:tc>
        <w:tc>
          <w:tcPr>
            <w:tcW w:w="1035" w:type="dxa"/>
            <w:tcBorders>
              <w:top w:val="nil"/>
              <w:left w:val="nil"/>
              <w:bottom w:val="nil"/>
              <w:right w:val="nil"/>
              <w:tl2br w:val="nil"/>
              <w:tr2bl w:val="nil"/>
            </w:tcBorders>
            <w:shd w:val="clear" w:color="auto" w:fill="auto"/>
            <w:noWrap/>
            <w:tcMar>
              <w:left w:w="101" w:type="dxa"/>
              <w:right w:w="101" w:type="dxa"/>
            </w:tcMar>
          </w:tcPr>
          <w:p w:rsidR="00A20D74" w:rsidRDefault="00A20D74" w:rsidP="00A20D7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A20D74" w:rsidRDefault="00A20D74" w:rsidP="00A20D74">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FFFFFF"/>
                <w:sz w:val="18"/>
              </w:rPr>
            </w:pP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Building a better city – West Basin infrastructure</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37</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Building a better city – West Basin Public Waterfront</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372</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Urban Renewal Program – Civic and Braddon public realm improvements</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-78</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69774E"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r>
      <w:tr w:rsidR="0069774E"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69774E" w:rsidRDefault="0069774E" w:rsidP="0069774E">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More jobs for our growing city - City Renewal Precinct activation projects</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2,750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1,458</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69774E"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000000"/>
                <w:sz w:val="18"/>
              </w:rPr>
            </w:pPr>
          </w:p>
        </w:tc>
      </w:tr>
      <w:tr w:rsidR="0069774E"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69774E" w:rsidRDefault="0069774E" w:rsidP="0069774E">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69774E" w:rsidRDefault="0069774E" w:rsidP="0069774E">
            <w:pPr>
              <w:spacing w:before="0" w:after="0"/>
              <w:rPr>
                <w:rFonts w:eastAsia="Calibri" w:cs="Calibri"/>
                <w:color w:val="FFFFFF"/>
                <w:sz w:val="18"/>
              </w:rPr>
            </w:pP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18</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697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Revised Funding Profile – Building a better city – City Renewal Authority – Canberra's lakeside</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-11,500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5,612</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5,888</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697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Revised Funding Profile - Building a better city - City Renewal Authority - Canberra's lakeside (formerly Building a better city - City Renewal Authority - City to the Lake)</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-6,500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6,500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C22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Revised Funding Profile – Building a better city – City Renewal Authority – Initial works package</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-950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950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C22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Revised Funding Profile – Building a better city – New Civic pool</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C22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Transfer – Building a better city – New Civic pool to CMTEDD</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697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Transfer – Building a better city – New Civic pool from EPSDD (formerly City to the Lake – New Civic Pool)</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400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697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Transfer – Building a better city – West Basin infrastructure from EPSDD (formerly Urban Renewal Program – City to the Lake – West Basin infrastructure)</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7,500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697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Transfer – Capital Injections to Controlled Recurrent Payments - Building a better city - City Renewal Authority - Initial works package</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C22BC2" w:rsidRDefault="00C22BC2" w:rsidP="00C22BC2">
            <w:pPr>
              <w:spacing w:before="0" w:after="0"/>
              <w:ind w:left="113" w:hanging="113"/>
              <w:rPr>
                <w:rFonts w:eastAsia="Calibri" w:cs="Calibri"/>
                <w:color w:val="000000"/>
                <w:sz w:val="18"/>
              </w:rPr>
            </w:pPr>
            <w:r>
              <w:rPr>
                <w:rFonts w:eastAsia="Calibri" w:cs="Calibri"/>
                <w:color w:val="000000"/>
                <w:sz w:val="18"/>
              </w:rPr>
              <w:t>Transfer – Urban Renewal Program – Civic and Braddon public realm improvements from EPSDD</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1,050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C22BC2" w:rsidRDefault="00C22BC2" w:rsidP="00C22BC2">
            <w:pPr>
              <w:spacing w:before="0" w:after="0"/>
              <w:jc w:val="right"/>
              <w:rPr>
                <w:rFonts w:eastAsia="Calibri" w:cs="Calibri"/>
                <w:color w:val="000000"/>
                <w:sz w:val="18"/>
              </w:rPr>
            </w:pPr>
            <w:r>
              <w:rPr>
                <w:rFonts w:eastAsia="Calibri" w:cs="Calibri"/>
                <w:color w:val="000000"/>
                <w:sz w:val="18"/>
              </w:rPr>
              <w:t>0</w:t>
            </w: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C22BC2" w:rsidRDefault="00C22BC2" w:rsidP="00C22BC2">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C22BC2" w:rsidRDefault="00C22BC2" w:rsidP="00C22BC2">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C22BC2" w:rsidRDefault="00C22BC2" w:rsidP="00C22BC2">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C22BC2" w:rsidRDefault="00C22BC2" w:rsidP="00C22BC2">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C22BC2" w:rsidRDefault="00C22BC2" w:rsidP="00C22BC2">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C22BC2" w:rsidRDefault="00C22BC2" w:rsidP="00C22BC2">
            <w:pPr>
              <w:spacing w:before="0" w:after="0"/>
              <w:rPr>
                <w:rFonts w:eastAsia="Calibri" w:cs="Calibri"/>
                <w:color w:val="000000"/>
                <w:sz w:val="18"/>
              </w:rPr>
            </w:pPr>
          </w:p>
        </w:tc>
      </w:tr>
      <w:tr w:rsidR="00C22BC2"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C22BC2" w:rsidRDefault="00C22BC2" w:rsidP="00C22BC2">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C22BC2" w:rsidRDefault="00C22BC2" w:rsidP="00C22BC2">
            <w:pPr>
              <w:spacing w:before="0" w:after="0"/>
              <w:jc w:val="right"/>
              <w:rPr>
                <w:rFonts w:eastAsia="Calibri" w:cs="Calibri"/>
                <w:b/>
                <w:color w:val="000000"/>
                <w:sz w:val="18"/>
              </w:rPr>
            </w:pPr>
            <w:r>
              <w:rPr>
                <w:rFonts w:eastAsia="Calibri" w:cs="Calibri"/>
                <w:b/>
                <w:color w:val="000000"/>
                <w:sz w:val="18"/>
              </w:rPr>
              <w:t>12,881</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C22BC2" w:rsidRDefault="00C22BC2" w:rsidP="00C22BC2">
            <w:pPr>
              <w:spacing w:before="0" w:after="0"/>
              <w:jc w:val="right"/>
              <w:rPr>
                <w:rFonts w:eastAsia="Calibri" w:cs="Calibri"/>
                <w:b/>
                <w:color w:val="000000"/>
                <w:sz w:val="18"/>
              </w:rPr>
            </w:pPr>
            <w:r>
              <w:rPr>
                <w:rFonts w:eastAsia="Calibri" w:cs="Calibri"/>
                <w:b/>
                <w:color w:val="000000"/>
                <w:sz w:val="18"/>
              </w:rPr>
              <w:t>18,118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C22BC2" w:rsidRDefault="00C22BC2" w:rsidP="00C22BC2">
            <w:pPr>
              <w:spacing w:before="0" w:after="0"/>
              <w:jc w:val="right"/>
              <w:rPr>
                <w:rFonts w:eastAsia="Calibri" w:cs="Calibri"/>
                <w:b/>
                <w:color w:val="000000"/>
                <w:sz w:val="18"/>
              </w:rPr>
            </w:pPr>
            <w:r>
              <w:rPr>
                <w:rFonts w:eastAsia="Calibri" w:cs="Calibri"/>
                <w:b/>
                <w:color w:val="000000"/>
                <w:sz w:val="18"/>
              </w:rPr>
              <w:t>22,508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C22BC2" w:rsidRDefault="00C22BC2" w:rsidP="00C22BC2">
            <w:pPr>
              <w:spacing w:before="0" w:after="0"/>
              <w:jc w:val="right"/>
              <w:rPr>
                <w:rFonts w:eastAsia="Calibri" w:cs="Calibri"/>
                <w:b/>
                <w:color w:val="000000"/>
                <w:sz w:val="18"/>
              </w:rPr>
            </w:pPr>
            <w:r>
              <w:rPr>
                <w:rFonts w:eastAsia="Calibri" w:cs="Calibri"/>
                <w:b/>
                <w:color w:val="000000"/>
                <w:sz w:val="18"/>
              </w:rPr>
              <w:t>5,888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C22BC2" w:rsidRDefault="00C22BC2" w:rsidP="00C22BC2">
            <w:pPr>
              <w:spacing w:before="0" w:after="0"/>
              <w:jc w:val="right"/>
              <w:rPr>
                <w:rFonts w:eastAsia="Calibri" w:cs="Calibri"/>
                <w:b/>
                <w:color w:val="000000"/>
                <w:sz w:val="18"/>
              </w:rPr>
            </w:pPr>
            <w:r>
              <w:rPr>
                <w:rFonts w:eastAsia="Calibri" w:cs="Calibri"/>
                <w:b/>
                <w:color w:val="000000"/>
                <w:sz w:val="18"/>
              </w:rPr>
              <w:t>0</w:t>
            </w:r>
          </w:p>
        </w:tc>
      </w:tr>
    </w:tbl>
    <w:p w:rsidR="00F13AD5" w:rsidRDefault="00F13AD5" w:rsidP="00B632C2">
      <w:pPr>
        <w:pStyle w:val="Heading2"/>
        <w:pageBreakBefore/>
      </w:pPr>
      <w:bookmarkStart w:id="137" w:name="_Toc452127436"/>
      <w:bookmarkStart w:id="138" w:name="_Toc449517590"/>
      <w:bookmarkStart w:id="139" w:name="_Toc382989668"/>
      <w:bookmarkStart w:id="140" w:name="_Toc514840970"/>
      <w:bookmarkStart w:id="141" w:name="_Toc514841047"/>
      <w:bookmarkStart w:id="142" w:name="_Toc434844190"/>
      <w:bookmarkStart w:id="143" w:name="_Toc385349561"/>
      <w:bookmarkStart w:id="144" w:name="_Toc434844188"/>
      <w:r>
        <w:t>Monitoring and Reporting</w:t>
      </w:r>
      <w:bookmarkEnd w:id="137"/>
      <w:bookmarkEnd w:id="138"/>
      <w:bookmarkEnd w:id="139"/>
      <w:bookmarkEnd w:id="140"/>
      <w:bookmarkEnd w:id="141"/>
    </w:p>
    <w:bookmarkEnd w:id="142"/>
    <w:bookmarkEnd w:id="143"/>
    <w:bookmarkEnd w:id="144"/>
    <w:p w:rsidR="00F13AD5" w:rsidRPr="00642C50" w:rsidRDefault="00F13AD5" w:rsidP="00F13AD5">
      <w:pPr>
        <w:pStyle w:val="BodyText3"/>
        <w:keepNext w:val="0"/>
        <w:keepLines w:val="0"/>
        <w:spacing w:after="0"/>
        <w:rPr>
          <w:rFonts w:cs="Arial"/>
          <w:szCs w:val="24"/>
        </w:rPr>
      </w:pPr>
      <w:r w:rsidRPr="00642C50">
        <w:rPr>
          <w:rFonts w:cs="Arial"/>
          <w:szCs w:val="24"/>
        </w:rPr>
        <w:t>The Authority will meet its reporting requirements as described below.</w:t>
      </w:r>
    </w:p>
    <w:p w:rsidR="00F13AD5" w:rsidRPr="00642C50" w:rsidRDefault="00F13AD5" w:rsidP="00F13AD5">
      <w:pPr>
        <w:pStyle w:val="Heading40"/>
        <w:rPr>
          <w:szCs w:val="24"/>
        </w:rPr>
      </w:pPr>
      <w:r w:rsidRPr="00642C50">
        <w:rPr>
          <w:szCs w:val="24"/>
        </w:rPr>
        <w:t xml:space="preserve">Monthly Reporting </w:t>
      </w:r>
    </w:p>
    <w:p w:rsidR="00F13AD5" w:rsidRPr="00642C50" w:rsidRDefault="00F13AD5" w:rsidP="00F50AA3">
      <w:pPr>
        <w:pStyle w:val="BodyText3"/>
        <w:keepNext w:val="0"/>
        <w:keepLines w:val="0"/>
        <w:spacing w:after="0"/>
        <w:jc w:val="left"/>
        <w:rPr>
          <w:rFonts w:cs="Arial"/>
          <w:szCs w:val="24"/>
        </w:rPr>
      </w:pPr>
      <w:r w:rsidRPr="00642C50">
        <w:rPr>
          <w:rFonts w:cs="Arial"/>
          <w:szCs w:val="24"/>
        </w:rPr>
        <w:t>To meet whole of government reporting requirements on a monthly basis, the Authority will ensure the timely availability of the financial statements to the Treasurer through the Chief Minister, Treasury and Economic Development Directorate (CMTEDD). The statements will be in the prescribed form and required detail, for the previous calendar month.  These will be provided by the due dates set by Treasury.</w:t>
      </w:r>
    </w:p>
    <w:p w:rsidR="00F13AD5" w:rsidRPr="00642C50" w:rsidRDefault="00F13AD5" w:rsidP="00F50AA3">
      <w:pPr>
        <w:pStyle w:val="BSbullet1"/>
      </w:pPr>
      <w:r w:rsidRPr="00642C50">
        <w:t>Operating Statement;</w:t>
      </w:r>
    </w:p>
    <w:p w:rsidR="00F13AD5" w:rsidRPr="00642C50" w:rsidRDefault="00F13AD5" w:rsidP="00F50AA3">
      <w:pPr>
        <w:pStyle w:val="BSbullet1"/>
      </w:pPr>
      <w:r w:rsidRPr="00642C50">
        <w:t>Balance Sheet; and</w:t>
      </w:r>
    </w:p>
    <w:p w:rsidR="00F13AD5" w:rsidRPr="00642C50" w:rsidRDefault="00F13AD5" w:rsidP="00F50AA3">
      <w:pPr>
        <w:pStyle w:val="BSbullet1"/>
      </w:pPr>
      <w:r w:rsidRPr="00642C50">
        <w:t>Cash Flow Statement.</w:t>
      </w:r>
    </w:p>
    <w:p w:rsidR="00F13AD5" w:rsidRPr="00642C50" w:rsidRDefault="00F13AD5" w:rsidP="00F13AD5">
      <w:pPr>
        <w:pStyle w:val="Heading40"/>
        <w:rPr>
          <w:szCs w:val="24"/>
        </w:rPr>
      </w:pPr>
      <w:r w:rsidRPr="00642C50">
        <w:rPr>
          <w:szCs w:val="24"/>
        </w:rPr>
        <w:t xml:space="preserve">Quarterly Reporting </w:t>
      </w:r>
    </w:p>
    <w:p w:rsidR="00F13AD5" w:rsidRPr="00642C50" w:rsidRDefault="00F13AD5" w:rsidP="00F50AA3">
      <w:pPr>
        <w:pStyle w:val="BodyText3"/>
        <w:keepNext w:val="0"/>
        <w:keepLines w:val="0"/>
        <w:spacing w:after="0"/>
        <w:jc w:val="left"/>
        <w:rPr>
          <w:rFonts w:cs="Arial"/>
          <w:szCs w:val="24"/>
        </w:rPr>
      </w:pPr>
      <w:r>
        <w:rPr>
          <w:rFonts w:cs="Arial"/>
          <w:szCs w:val="24"/>
        </w:rPr>
        <w:t xml:space="preserve">As required by Section </w:t>
      </w:r>
      <w:r w:rsidRPr="00642C50">
        <w:rPr>
          <w:rFonts w:cs="Arial"/>
          <w:szCs w:val="24"/>
        </w:rPr>
        <w:t>13 of the Act, the Authority will provide to the Minister after the end of a quarter a report which details any land acquisition by the Authority during the quarter.</w:t>
      </w:r>
    </w:p>
    <w:p w:rsidR="00F13AD5" w:rsidRPr="00642C50" w:rsidRDefault="00F13AD5" w:rsidP="00F13AD5">
      <w:pPr>
        <w:pStyle w:val="Heading40"/>
        <w:rPr>
          <w:szCs w:val="24"/>
        </w:rPr>
      </w:pPr>
      <w:r w:rsidRPr="00642C50">
        <w:rPr>
          <w:szCs w:val="24"/>
        </w:rPr>
        <w:t>Annual Reporting</w:t>
      </w:r>
    </w:p>
    <w:p w:rsidR="00F13AD5" w:rsidRPr="00642C50" w:rsidRDefault="00F13AD5" w:rsidP="00F50AA3">
      <w:pPr>
        <w:pStyle w:val="BodyText3"/>
        <w:keepNext w:val="0"/>
        <w:keepLines w:val="0"/>
        <w:spacing w:after="0"/>
        <w:jc w:val="left"/>
        <w:rPr>
          <w:rFonts w:cs="Arial"/>
          <w:szCs w:val="24"/>
        </w:rPr>
      </w:pPr>
      <w:r w:rsidRPr="00642C50">
        <w:rPr>
          <w:rFonts w:cs="Arial"/>
          <w:szCs w:val="24"/>
        </w:rPr>
        <w:t xml:space="preserve">To comply with the </w:t>
      </w:r>
      <w:r w:rsidRPr="00642C50">
        <w:rPr>
          <w:rFonts w:cs="Arial"/>
          <w:i/>
          <w:szCs w:val="24"/>
        </w:rPr>
        <w:t>Financial Management Act 1996</w:t>
      </w:r>
      <w:r w:rsidRPr="00642C50">
        <w:rPr>
          <w:rFonts w:cs="Arial"/>
          <w:szCs w:val="24"/>
        </w:rPr>
        <w:t xml:space="preserve"> and to enable whole of government reporting requirements to be met, the Authority will provide the following information to the Auditor-General and CMTEDD by the dates set by Treasury:</w:t>
      </w:r>
    </w:p>
    <w:p w:rsidR="00F13AD5" w:rsidRPr="00642C50" w:rsidRDefault="00F13AD5" w:rsidP="00F50AA3">
      <w:pPr>
        <w:pStyle w:val="BSbullet1"/>
      </w:pPr>
      <w:r>
        <w:t>c</w:t>
      </w:r>
      <w:r w:rsidRPr="00642C50">
        <w:t>ertified financial statements;</w:t>
      </w:r>
    </w:p>
    <w:p w:rsidR="00F13AD5" w:rsidRPr="00642C50" w:rsidRDefault="00F13AD5" w:rsidP="00F50AA3">
      <w:pPr>
        <w:pStyle w:val="BSbullet1"/>
      </w:pPr>
      <w:r w:rsidRPr="00642C50">
        <w:t>Statement of Performance;</w:t>
      </w:r>
    </w:p>
    <w:p w:rsidR="00F13AD5" w:rsidRPr="00642C50" w:rsidRDefault="00F13AD5" w:rsidP="00F50AA3">
      <w:pPr>
        <w:pStyle w:val="BSbullet1"/>
      </w:pPr>
      <w:r>
        <w:t>m</w:t>
      </w:r>
      <w:r w:rsidRPr="00642C50">
        <w:t>anagement discussion and analysis;</w:t>
      </w:r>
    </w:p>
    <w:p w:rsidR="00F13AD5" w:rsidRPr="00642C50" w:rsidRDefault="00F13AD5" w:rsidP="00F50AA3">
      <w:pPr>
        <w:pStyle w:val="BSbullet1"/>
      </w:pPr>
      <w:r>
        <w:t>a</w:t>
      </w:r>
      <w:r w:rsidRPr="00642C50">
        <w:t xml:space="preserve"> full and accurate set of audited financial records for the preceding financial year in the form requested; and </w:t>
      </w:r>
    </w:p>
    <w:p w:rsidR="00F13AD5" w:rsidRPr="00642C50" w:rsidRDefault="00F13AD5" w:rsidP="00F50AA3">
      <w:pPr>
        <w:pStyle w:val="BSbullet1"/>
      </w:pPr>
      <w:r>
        <w:t>c</w:t>
      </w:r>
      <w:r w:rsidRPr="00642C50">
        <w:t>onsolidation packs relating to the annual financial statements, draft and final.</w:t>
      </w:r>
    </w:p>
    <w:p w:rsidR="00F13AD5" w:rsidRPr="00642C50" w:rsidRDefault="00F13AD5" w:rsidP="00F50AA3">
      <w:pPr>
        <w:pStyle w:val="BodyText3"/>
        <w:keepNext w:val="0"/>
        <w:keepLines w:val="0"/>
        <w:jc w:val="left"/>
        <w:rPr>
          <w:rFonts w:cs="Arial"/>
          <w:szCs w:val="24"/>
        </w:rPr>
      </w:pPr>
      <w:r w:rsidRPr="00642C50">
        <w:rPr>
          <w:rFonts w:cs="Arial"/>
          <w:szCs w:val="24"/>
        </w:rPr>
        <w:t xml:space="preserve">As required by </w:t>
      </w:r>
      <w:r>
        <w:rPr>
          <w:rFonts w:cs="Arial"/>
          <w:szCs w:val="24"/>
        </w:rPr>
        <w:t xml:space="preserve">Section </w:t>
      </w:r>
      <w:r w:rsidRPr="00642C50">
        <w:rPr>
          <w:rFonts w:cs="Arial"/>
          <w:szCs w:val="24"/>
        </w:rPr>
        <w:t xml:space="preserve">14 of the Act, the Authority will prepare an annual report under the </w:t>
      </w:r>
      <w:r w:rsidRPr="00642C50">
        <w:rPr>
          <w:rFonts w:cs="Arial"/>
          <w:i/>
          <w:szCs w:val="24"/>
        </w:rPr>
        <w:t>Annual Reports (Government Agencies) Act 2004</w:t>
      </w:r>
      <w:r w:rsidRPr="00642C50">
        <w:rPr>
          <w:rFonts w:cs="Arial"/>
          <w:szCs w:val="24"/>
        </w:rPr>
        <w:t>, including:</w:t>
      </w:r>
    </w:p>
    <w:p w:rsidR="00F13AD5" w:rsidRPr="00642C50" w:rsidRDefault="00F13AD5" w:rsidP="00F50AA3">
      <w:pPr>
        <w:pStyle w:val="BSbullet1"/>
      </w:pPr>
      <w:r w:rsidRPr="00642C50">
        <w:t xml:space="preserve">any </w:t>
      </w:r>
      <w:r>
        <w:t>S</w:t>
      </w:r>
      <w:r w:rsidRPr="00642C50">
        <w:t xml:space="preserve">tatement of </w:t>
      </w:r>
      <w:r>
        <w:t>Expectations and Statement of O</w:t>
      </w:r>
      <w:r w:rsidRPr="00642C50">
        <w:t xml:space="preserve">perational </w:t>
      </w:r>
      <w:r>
        <w:t>I</w:t>
      </w:r>
      <w:r w:rsidRPr="00642C50">
        <w:t>ntent in effec</w:t>
      </w:r>
      <w:r>
        <w:t xml:space="preserve">t during the reporting year; </w:t>
      </w:r>
    </w:p>
    <w:p w:rsidR="00F13AD5" w:rsidRPr="00642C50" w:rsidRDefault="00F13AD5" w:rsidP="00F50AA3">
      <w:pPr>
        <w:pStyle w:val="BSbullet1"/>
      </w:pPr>
      <w:r w:rsidRPr="00642C50">
        <w:t xml:space="preserve">a report on the extent to which the </w:t>
      </w:r>
      <w:r>
        <w:t>Statement of Operational I</w:t>
      </w:r>
      <w:r w:rsidRPr="00642C50">
        <w:t>ntent in effect during the reporting year was met during the reporting year; and</w:t>
      </w:r>
    </w:p>
    <w:p w:rsidR="00F13AD5" w:rsidRPr="00642C50" w:rsidRDefault="00F13AD5" w:rsidP="00F50AA3">
      <w:pPr>
        <w:pStyle w:val="BSbullet1"/>
      </w:pPr>
      <w:r w:rsidRPr="00642C50">
        <w:t xml:space="preserve">if the </w:t>
      </w:r>
      <w:r>
        <w:t>S</w:t>
      </w:r>
      <w:r w:rsidRPr="00642C50">
        <w:t xml:space="preserve">tatement of </w:t>
      </w:r>
      <w:r>
        <w:t>O</w:t>
      </w:r>
      <w:r w:rsidRPr="00642C50">
        <w:t xml:space="preserve">perational </w:t>
      </w:r>
      <w:r>
        <w:t>I</w:t>
      </w:r>
      <w:r w:rsidRPr="00642C50">
        <w:t xml:space="preserve">ntent was not met in whole or in part during the reporting year - give reasons why the </w:t>
      </w:r>
      <w:r>
        <w:t>S</w:t>
      </w:r>
      <w:r w:rsidRPr="00642C50">
        <w:t xml:space="preserve">tatement of </w:t>
      </w:r>
      <w:r>
        <w:t>O</w:t>
      </w:r>
      <w:r w:rsidRPr="00642C50">
        <w:t xml:space="preserve">perational </w:t>
      </w:r>
      <w:r>
        <w:t>I</w:t>
      </w:r>
      <w:r w:rsidRPr="00642C50">
        <w:t>ntent was not met.</w:t>
      </w:r>
    </w:p>
    <w:p w:rsidR="00F13AD5" w:rsidRPr="00642C50" w:rsidRDefault="00F13AD5" w:rsidP="00F13AD5">
      <w:pPr>
        <w:pStyle w:val="Normal6"/>
        <w:spacing w:before="0" w:after="0"/>
        <w:rPr>
          <w:rFonts w:cs="Arial"/>
          <w:b/>
          <w:i/>
          <w:szCs w:val="24"/>
          <w:bdr w:val="none" w:sz="0" w:space="0" w:color="auto" w:frame="1"/>
          <w:lang w:eastAsia="en-AU"/>
        </w:rPr>
      </w:pPr>
      <w:r w:rsidRPr="00642C50">
        <w:rPr>
          <w:rFonts w:cs="Arial"/>
          <w:szCs w:val="24"/>
        </w:rPr>
        <w:br w:type="page"/>
      </w:r>
    </w:p>
    <w:p w:rsidR="00F13AD5" w:rsidRPr="00642C50" w:rsidRDefault="00F13AD5" w:rsidP="00F13AD5">
      <w:pPr>
        <w:pStyle w:val="Heading40"/>
        <w:rPr>
          <w:szCs w:val="24"/>
        </w:rPr>
      </w:pPr>
      <w:r w:rsidRPr="00642C50">
        <w:rPr>
          <w:szCs w:val="24"/>
        </w:rPr>
        <w:t>Ministerial and Directorate Reporting</w:t>
      </w:r>
    </w:p>
    <w:p w:rsidR="00F13AD5" w:rsidRPr="00642C50" w:rsidRDefault="00F13AD5" w:rsidP="00F13AD5">
      <w:pPr>
        <w:pStyle w:val="BodyText3"/>
        <w:keepNext w:val="0"/>
        <w:keepLines w:val="0"/>
        <w:spacing w:after="0"/>
        <w:rPr>
          <w:rFonts w:cs="Arial"/>
          <w:szCs w:val="24"/>
        </w:rPr>
      </w:pPr>
      <w:r w:rsidRPr="00642C50">
        <w:rPr>
          <w:rFonts w:cs="Arial"/>
          <w:szCs w:val="24"/>
        </w:rPr>
        <w:t>The Authority will provide timely, accurate and coordinated advice to Government, including the Minister, on significant issues in its core area of business, including (but not limited to):</w:t>
      </w:r>
    </w:p>
    <w:p w:rsidR="00F13AD5" w:rsidRPr="00642C50" w:rsidRDefault="00F13AD5" w:rsidP="00F50AA3">
      <w:pPr>
        <w:pStyle w:val="BSbullet1"/>
      </w:pPr>
      <w:r>
        <w:t>m</w:t>
      </w:r>
      <w:r w:rsidRPr="00642C50">
        <w:t>atters for which the Government is likely to be accountable in the Legislative Assembly;</w:t>
      </w:r>
    </w:p>
    <w:p w:rsidR="00F13AD5" w:rsidRPr="00642C50" w:rsidRDefault="00F13AD5" w:rsidP="00F50AA3">
      <w:pPr>
        <w:pStyle w:val="BSbullet1"/>
      </w:pPr>
      <w:r>
        <w:t>i</w:t>
      </w:r>
      <w:r w:rsidRPr="00642C50">
        <w:t xml:space="preserve">mportant operational or budgetary issues, including management of its responsibilities under the </w:t>
      </w:r>
      <w:r w:rsidRPr="00462DE9">
        <w:rPr>
          <w:i/>
        </w:rPr>
        <w:t>Work Health and Safety Act 2011</w:t>
      </w:r>
      <w:r w:rsidRPr="00642C50">
        <w:t>;</w:t>
      </w:r>
    </w:p>
    <w:p w:rsidR="00F13AD5" w:rsidRPr="00642C50" w:rsidRDefault="00F13AD5" w:rsidP="00F50AA3">
      <w:pPr>
        <w:pStyle w:val="BSbullet1"/>
      </w:pPr>
      <w:r>
        <w:t>t</w:t>
      </w:r>
      <w:r w:rsidRPr="00642C50">
        <w:t>he Authority’s achievement of set housing targets; and</w:t>
      </w:r>
    </w:p>
    <w:p w:rsidR="00F13AD5" w:rsidRDefault="00F13AD5" w:rsidP="00F50AA3">
      <w:pPr>
        <w:pStyle w:val="BSbullet1"/>
      </w:pPr>
      <w:r w:rsidRPr="005345AC">
        <w:t>matters related to its internal governance, including compliance with the Government’s framework for management of risk.</w:t>
      </w:r>
    </w:p>
    <w:p w:rsidR="00F13AD5" w:rsidRDefault="00F13AD5" w:rsidP="00B632C2">
      <w:pPr>
        <w:pStyle w:val="Heading2"/>
      </w:pPr>
      <w:bookmarkStart w:id="145" w:name="_Toc452127439"/>
      <w:bookmarkStart w:id="146" w:name="_Toc449517595"/>
      <w:bookmarkStart w:id="147" w:name="_Toc514840971"/>
      <w:bookmarkStart w:id="148" w:name="_Toc514841048"/>
      <w:bookmarkStart w:id="149" w:name="_Toc434844190_0"/>
      <w:bookmarkStart w:id="150" w:name="_Toc385349561_0"/>
      <w:bookmarkStart w:id="151" w:name="_Toc434844188_0"/>
      <w:r>
        <w:t>Financial arrangements</w:t>
      </w:r>
      <w:bookmarkEnd w:id="145"/>
      <w:bookmarkEnd w:id="146"/>
      <w:bookmarkEnd w:id="147"/>
      <w:bookmarkEnd w:id="148"/>
    </w:p>
    <w:p w:rsidR="00F13AD5" w:rsidRDefault="00F13AD5" w:rsidP="00F13AD5">
      <w:pPr>
        <w:pStyle w:val="Normal7"/>
        <w:jc w:val="both"/>
      </w:pPr>
      <w:bookmarkStart w:id="152" w:name="_Toc67730700"/>
      <w:r>
        <w:t xml:space="preserve">Budgeted financial statements for the 2018-19 Budget year, as well as forward estimates for the three financial years appear below. These general purpose financial statements, have been prepared in accordance with the ACT’s Model Financial Statements and include: </w:t>
      </w:r>
    </w:p>
    <w:p w:rsidR="00F13AD5" w:rsidRDefault="00F13AD5" w:rsidP="00F50AA3">
      <w:pPr>
        <w:pStyle w:val="BSbullet1"/>
      </w:pPr>
      <w:r>
        <w:t>Operating Statement;</w:t>
      </w:r>
    </w:p>
    <w:p w:rsidR="00F13AD5" w:rsidRDefault="00F13AD5" w:rsidP="00F50AA3">
      <w:pPr>
        <w:pStyle w:val="BSbullet1"/>
      </w:pPr>
      <w:r>
        <w:t>Balance Sheet;</w:t>
      </w:r>
    </w:p>
    <w:p w:rsidR="00F13AD5" w:rsidRDefault="00F13AD5" w:rsidP="00F50AA3">
      <w:pPr>
        <w:pStyle w:val="BSbullet1"/>
      </w:pPr>
      <w:r>
        <w:t>Statement of Changes in Equity; and</w:t>
      </w:r>
    </w:p>
    <w:p w:rsidR="00F13AD5" w:rsidRDefault="00F13AD5" w:rsidP="00F50AA3">
      <w:pPr>
        <w:pStyle w:val="BSbullet1"/>
      </w:pPr>
      <w:r>
        <w:t>Cash Flow Statement.</w:t>
      </w:r>
      <w:bookmarkEnd w:id="149"/>
      <w:bookmarkEnd w:id="150"/>
      <w:bookmarkEnd w:id="151"/>
      <w:bookmarkEnd w:id="152"/>
    </w:p>
    <w:p w:rsidR="00F13AD5" w:rsidRDefault="00F13AD5" w:rsidP="00F13AD5">
      <w:pPr>
        <w:pStyle w:val="Normal7"/>
      </w:pPr>
      <w:r>
        <w:t xml:space="preserve"> </w:t>
      </w:r>
    </w:p>
    <w:p w:rsidR="00F13AD5" w:rsidRDefault="00F13AD5" w:rsidP="00F13AD5">
      <w:pPr>
        <w:pStyle w:val="Heading2"/>
        <w:pageBreakBefore/>
        <w:pBdr>
          <w:top w:val="nil"/>
          <w:left w:val="nil"/>
          <w:bottom w:val="nil"/>
          <w:right w:val="nil"/>
          <w:between w:val="nil"/>
          <w:bar w:val="nil"/>
        </w:pBdr>
        <w:ind w:left="-426" w:firstLine="426"/>
        <w:rPr>
          <w:bdr w:val="nil"/>
        </w:rPr>
      </w:pPr>
      <w:bookmarkStart w:id="153" w:name="_Toc514840972"/>
      <w:bookmarkStart w:id="154" w:name="_Toc514841049"/>
      <w:r>
        <w:rPr>
          <w:bdr w:val="nil"/>
        </w:rPr>
        <w:t>Financial Statements</w:t>
      </w:r>
      <w:bookmarkEnd w:id="153"/>
      <w:bookmarkEnd w:id="154"/>
    </w:p>
    <w:p w:rsidR="00F13AD5" w:rsidRDefault="0002262C" w:rsidP="00F13AD5">
      <w:pPr>
        <w:pStyle w:val="Caption"/>
        <w:pBdr>
          <w:top w:val="nil"/>
          <w:left w:val="nil"/>
          <w:bottom w:val="nil"/>
          <w:right w:val="nil"/>
          <w:between w:val="nil"/>
          <w:bar w:val="nil"/>
        </w:pBdr>
        <w:rPr>
          <w:bdr w:val="nil"/>
        </w:rPr>
      </w:pPr>
      <w:r>
        <w:rPr>
          <w:bdr w:val="nil"/>
        </w:rPr>
        <w:t xml:space="preserve">Table 8: City Renewal </w:t>
      </w:r>
      <w:r w:rsidR="00F13AD5">
        <w:rPr>
          <w:bdr w:val="nil"/>
        </w:rPr>
        <w:t xml:space="preserve">Authority: Operating Statement </w:t>
      </w:r>
    </w:p>
    <w:tbl>
      <w:tblPr>
        <w:tblStyle w:val="CDMRange1"/>
        <w:tblW w:w="9390" w:type="dxa"/>
        <w:tblLayout w:type="fixed"/>
        <w:tblLook w:val="0600" w:firstRow="0" w:lastRow="0" w:firstColumn="0" w:lastColumn="0" w:noHBand="1" w:noVBand="1"/>
      </w:tblPr>
      <w:tblGrid>
        <w:gridCol w:w="1035"/>
        <w:gridCol w:w="2385"/>
        <w:gridCol w:w="210"/>
        <w:gridCol w:w="1035"/>
        <w:gridCol w:w="1035"/>
        <w:gridCol w:w="585"/>
        <w:gridCol w:w="1035"/>
        <w:gridCol w:w="1035"/>
        <w:gridCol w:w="1035"/>
      </w:tblGrid>
      <w:tr w:rsidR="00F13AD5" w:rsidTr="00F83E2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2017-18 Budget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2018-19 Budget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5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Var</w:t>
            </w:r>
          </w:p>
          <w:p w:rsidR="00F13AD5" w:rsidRDefault="00F13AD5" w:rsidP="00F83E2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2019-20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2020-21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2021-22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58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Income</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Revenue</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4,758</w:t>
            </w:r>
          </w:p>
        </w:tc>
        <w:tc>
          <w:tcPr>
            <w:tcW w:w="2385" w:type="dxa"/>
            <w:tcBorders>
              <w:top w:val="nil"/>
              <w:left w:val="nil"/>
              <w:bottom w:val="nil"/>
              <w:right w:val="nil"/>
              <w:tl2br w:val="nil"/>
              <w:tr2bl w:val="nil"/>
            </w:tcBorders>
            <w:shd w:val="clear" w:color="auto" w:fill="auto"/>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Controlled Recurrent Payments</w:t>
            </w:r>
          </w:p>
        </w:tc>
        <w:tc>
          <w:tcPr>
            <w:tcW w:w="210" w:type="dxa"/>
            <w:tcBorders>
              <w:top w:val="nil"/>
              <w:left w:val="nil"/>
              <w:bottom w:val="nil"/>
              <w:right w:val="nil"/>
              <w:tl2br w:val="nil"/>
              <w:tr2bl w:val="nil"/>
            </w:tcBorders>
            <w:shd w:val="clear" w:color="auto" w:fill="auto"/>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7,487</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8,013</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7,980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620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432</w:t>
            </w:r>
          </w:p>
        </w:tc>
        <w:tc>
          <w:tcPr>
            <w:tcW w:w="2385" w:type="dxa"/>
            <w:tcBorders>
              <w:top w:val="nil"/>
              <w:left w:val="nil"/>
              <w:bottom w:val="nil"/>
              <w:right w:val="nil"/>
              <w:tl2br w:val="nil"/>
              <w:tr2bl w:val="nil"/>
            </w:tcBorders>
            <w:shd w:val="clear" w:color="auto" w:fill="auto"/>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Land Revenue</w:t>
            </w:r>
          </w:p>
        </w:tc>
        <w:tc>
          <w:tcPr>
            <w:tcW w:w="210" w:type="dxa"/>
            <w:tcBorders>
              <w:top w:val="nil"/>
              <w:left w:val="nil"/>
              <w:bottom w:val="nil"/>
              <w:right w:val="nil"/>
              <w:tl2br w:val="nil"/>
              <w:tr2bl w:val="nil"/>
            </w:tcBorders>
            <w:shd w:val="clear" w:color="auto" w:fill="auto"/>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1,819</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14,130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32,710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32,710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User Charges</w:t>
            </w:r>
          </w:p>
        </w:tc>
        <w:tc>
          <w:tcPr>
            <w:tcW w:w="210" w:type="dxa"/>
            <w:tcBorders>
              <w:top w:val="nil"/>
              <w:left w:val="nil"/>
              <w:bottom w:val="nil"/>
              <w:right w:val="nil"/>
              <w:tl2br w:val="nil"/>
              <w:tr2bl w:val="nil"/>
            </w:tcBorders>
            <w:shd w:val="clear" w:color="auto" w:fill="auto"/>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Interest</w:t>
            </w:r>
          </w:p>
        </w:tc>
        <w:tc>
          <w:tcPr>
            <w:tcW w:w="210" w:type="dxa"/>
            <w:tcBorders>
              <w:top w:val="nil"/>
              <w:left w:val="nil"/>
              <w:bottom w:val="nil"/>
              <w:right w:val="nil"/>
              <w:tl2br w:val="nil"/>
              <w:tr2bl w:val="nil"/>
            </w:tcBorders>
            <w:shd w:val="clear" w:color="auto" w:fill="auto"/>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184</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222</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21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118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44</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1,764</w:t>
            </w:r>
          </w:p>
        </w:tc>
        <w:tc>
          <w:tcPr>
            <w:tcW w:w="2385" w:type="dxa"/>
            <w:tcBorders>
              <w:top w:val="nil"/>
              <w:left w:val="nil"/>
              <w:bottom w:val="nil"/>
              <w:right w:val="nil"/>
              <w:tl2br w:val="nil"/>
              <w:tr2bl w:val="nil"/>
            </w:tcBorders>
            <w:shd w:val="clear" w:color="auto" w:fill="auto"/>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Resources Received Free of Charge</w:t>
            </w:r>
          </w:p>
        </w:tc>
        <w:tc>
          <w:tcPr>
            <w:tcW w:w="210" w:type="dxa"/>
            <w:tcBorders>
              <w:top w:val="nil"/>
              <w:left w:val="nil"/>
              <w:bottom w:val="nil"/>
              <w:right w:val="nil"/>
              <w:tl2br w:val="nil"/>
              <w:tr2bl w:val="nil"/>
            </w:tcBorders>
            <w:shd w:val="clear" w:color="auto" w:fill="auto"/>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1,926</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1,792</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1,821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1,850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1,872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Other Revenue</w:t>
            </w:r>
          </w:p>
        </w:tc>
        <w:tc>
          <w:tcPr>
            <w:tcW w:w="210" w:type="dxa"/>
            <w:tcBorders>
              <w:top w:val="nil"/>
              <w:left w:val="nil"/>
              <w:bottom w:val="nil"/>
              <w:right w:val="nil"/>
              <w:tl2br w:val="nil"/>
              <w:tr2bl w:val="nil"/>
            </w:tcBorders>
            <w:shd w:val="clear" w:color="auto" w:fill="auto"/>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1,964</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1,967</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1,970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1,973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1,976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6,954</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Revenue</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13,443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12,057</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26,082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37,276</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37,298</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 xml:space="preserve">Expenses  </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3,038</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Employee Expenses</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3,886</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3,996</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4,138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4,221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4,320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389</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Superannuation Expenses</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460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488</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509</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523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537</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3,133</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Supplies and Services</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6,493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6,921</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6,972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7,131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7,518</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Depreciation and Amortisation</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135</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622</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361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662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912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2,158</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182</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Grants and Purchased Services</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629</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638</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647</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657</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667</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250</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Cost of Goods Sold</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610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750</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23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8,423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19,176</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19,176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Borrowing Costs</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681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681</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Other Expenses</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162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533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533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6,992</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Expenses</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12,375</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13,415</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21,351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33,834</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35,590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-38</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Operating Result from Ordinary Activities</w:t>
            </w:r>
          </w:p>
        </w:tc>
        <w:tc>
          <w:tcPr>
            <w:tcW w:w="210"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jc w:val="right"/>
              <w:rPr>
                <w:rFonts w:eastAsia="Calibri" w:cs="Calibri"/>
                <w:i/>
                <w:color w:val="000000"/>
                <w:sz w:val="14"/>
              </w:rPr>
            </w:pPr>
            <w:r>
              <w:rPr>
                <w:rFonts w:eastAsia="Calibri" w:cs="Calibri"/>
                <w:i/>
                <w:color w:val="000000"/>
                <w:sz w:val="14"/>
              </w:rPr>
              <w:t>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1,068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-1,358</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-227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4,731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3,442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1,708</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-11</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Income Tax Equivalent</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320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-100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1,419</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1,033</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512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-27</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Operating Result</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748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-1,358</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-282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3,312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2,409</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1,196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5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-27</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Comprehensive Income</w:t>
            </w:r>
          </w:p>
        </w:tc>
        <w:tc>
          <w:tcPr>
            <w:tcW w:w="21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748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-1,358</w:t>
            </w:r>
          </w:p>
        </w:tc>
        <w:tc>
          <w:tcPr>
            <w:tcW w:w="58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-282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3,312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2,409</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1,196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10"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58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bl>
    <w:p w:rsidR="0000297C" w:rsidRDefault="0000297C" w:rsidP="0000297C">
      <w:pPr>
        <w:pStyle w:val="BSnote"/>
      </w:pPr>
      <w:bookmarkStart w:id="155" w:name="_Toc514763820"/>
      <w:bookmarkStart w:id="156" w:name="_Toc514840973"/>
      <w:bookmarkStart w:id="157" w:name="_Toc514841050"/>
      <w:r w:rsidRPr="0000297C">
        <w:t>Note(s):</w:t>
      </w:r>
    </w:p>
    <w:p w:rsidR="0000297C" w:rsidRDefault="0000297C" w:rsidP="00862CB5">
      <w:pPr>
        <w:pStyle w:val="BSnoteslist"/>
        <w:numPr>
          <w:ilvl w:val="0"/>
          <w:numId w:val="77"/>
        </w:numPr>
        <w:rPr>
          <w:rFonts w:eastAsia="Calibri"/>
        </w:rPr>
      </w:pPr>
      <w:r w:rsidRPr="0000297C">
        <w:rPr>
          <w:rFonts w:eastAsia="Calibri"/>
        </w:rPr>
        <w:t xml:space="preserve">The negative operating result in 2018-19 Budget is predominantly attributable to: </w:t>
      </w:r>
    </w:p>
    <w:p w:rsidR="0000297C" w:rsidRDefault="0000297C" w:rsidP="00862CB5">
      <w:pPr>
        <w:pStyle w:val="BSnoteslist"/>
        <w:numPr>
          <w:ilvl w:val="1"/>
          <w:numId w:val="77"/>
        </w:numPr>
        <w:rPr>
          <w:rFonts w:eastAsia="Calibri"/>
        </w:rPr>
      </w:pPr>
      <w:r>
        <w:rPr>
          <w:rFonts w:eastAsia="Calibri"/>
        </w:rPr>
        <w:t>$0.622 </w:t>
      </w:r>
      <w:r w:rsidRPr="0000297C">
        <w:rPr>
          <w:rFonts w:eastAsia="Calibri"/>
        </w:rPr>
        <w:t>million depreciation expense - This is a non-cash expense related to capital projects transferred to the Authority in 2017-18; and</w:t>
      </w:r>
    </w:p>
    <w:p w:rsidR="0000297C" w:rsidRPr="0000297C" w:rsidRDefault="0000297C" w:rsidP="00862CB5">
      <w:pPr>
        <w:pStyle w:val="BSnoteslist"/>
        <w:numPr>
          <w:ilvl w:val="1"/>
          <w:numId w:val="77"/>
        </w:numPr>
        <w:rPr>
          <w:rFonts w:eastAsia="Calibri"/>
        </w:rPr>
      </w:pPr>
      <w:r>
        <w:rPr>
          <w:rFonts w:eastAsia="Calibri"/>
        </w:rPr>
        <w:t>$0.750 </w:t>
      </w:r>
      <w:r w:rsidRPr="0000297C">
        <w:rPr>
          <w:rFonts w:eastAsia="Calibri"/>
        </w:rPr>
        <w:t>million non-capital land development costs - Early design, feasibility and consulting costs which cannot be capitalised and are attributable to future city land releases. These costs are funded from $9.034</w:t>
      </w:r>
      <w:r>
        <w:rPr>
          <w:rFonts w:eastAsia="Calibri"/>
        </w:rPr>
        <w:t> </w:t>
      </w:r>
      <w:r w:rsidRPr="0000297C">
        <w:rPr>
          <w:rFonts w:eastAsia="Calibri"/>
        </w:rPr>
        <w:t>m</w:t>
      </w:r>
      <w:r>
        <w:rPr>
          <w:rFonts w:eastAsia="Calibri"/>
        </w:rPr>
        <w:t>illion</w:t>
      </w:r>
      <w:r w:rsidRPr="0000297C">
        <w:rPr>
          <w:rFonts w:eastAsia="Calibri"/>
        </w:rPr>
        <w:t xml:space="preserve"> cash balance transferred from the former Land Development Agency (LDA) at the establishment of the Authority.</w:t>
      </w:r>
    </w:p>
    <w:p w:rsidR="00F13AD5" w:rsidRPr="0004555B" w:rsidRDefault="0002262C" w:rsidP="0000297C">
      <w:pPr>
        <w:pStyle w:val="Caption"/>
        <w:pageBreakBefore/>
        <w:pBdr>
          <w:top w:val="nil"/>
          <w:left w:val="nil"/>
          <w:bottom w:val="nil"/>
          <w:right w:val="nil"/>
          <w:between w:val="nil"/>
          <w:bar w:val="nil"/>
        </w:pBdr>
        <w:outlineLvl w:val="0"/>
        <w:rPr>
          <w:rFonts w:eastAsia="TimesNewRomanPS-ItalicMT"/>
          <w:bdr w:val="nil"/>
        </w:rPr>
      </w:pPr>
      <w:r>
        <w:rPr>
          <w:bdr w:val="nil"/>
        </w:rPr>
        <w:t xml:space="preserve">Table 9: City Renewal </w:t>
      </w:r>
      <w:r w:rsidR="00F13AD5">
        <w:rPr>
          <w:bdr w:val="nil"/>
        </w:rPr>
        <w:t>Authority: Balance Sheet</w:t>
      </w:r>
      <w:bookmarkEnd w:id="155"/>
      <w:bookmarkEnd w:id="156"/>
      <w:bookmarkEnd w:id="157"/>
      <w:r w:rsidR="00F13AD5">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F13AD5" w:rsidTr="00F83E2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Budget</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30/6/18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2017-18 Estimated Outcome</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Budget</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30/6/19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Var</w:t>
            </w:r>
          </w:p>
          <w:p w:rsidR="00F13AD5" w:rsidRDefault="00F13AD5" w:rsidP="00F83E2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Estimate</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30/6/20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Estimate</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30/6/21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Estimate</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30/6/22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7,834</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9,950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8,082</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3,848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4,058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299</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11,715</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Inventories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10,486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11,626</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19,685</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19,306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17,927</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9,500</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4,000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22,100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453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43,408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45,096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16,208</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29,049</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24,436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41,808</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71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66,941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68,460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34,434</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5,966</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Inventories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5,966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5,966</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5,966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5,966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5,966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1,004</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19,373</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19,911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26,699</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61,929</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18,991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5,966</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25,961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25,339</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25,877</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32,665</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67,895</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35,015</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50,397</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67,147</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33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92,818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101,125</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102,329</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603</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626</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646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654</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188</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159</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159</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791</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795</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785</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636</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646</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654</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26</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26</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748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748</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2,702</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5,111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6,307</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26</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774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774</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2,728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5,137</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6,333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817</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1,569</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1,559</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3,364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5,783</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6,987</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34,198</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48,828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65,588</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34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89,454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95,342</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95,342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REPRESENTED BY FUNDS EMPLOYED</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34,198</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48,828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65,588</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34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89,454</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95,342</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95,342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34,198</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48,828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65,588</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89,454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95,342</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95,342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bl>
    <w:p w:rsidR="00F13AD5" w:rsidRPr="00F20F3F" w:rsidRDefault="0002262C" w:rsidP="00F13AD5">
      <w:pPr>
        <w:pStyle w:val="Caption"/>
        <w:pageBreakBefore/>
        <w:pBdr>
          <w:top w:val="nil"/>
          <w:left w:val="nil"/>
          <w:bottom w:val="nil"/>
          <w:right w:val="nil"/>
          <w:between w:val="nil"/>
          <w:bar w:val="nil"/>
        </w:pBdr>
        <w:outlineLvl w:val="0"/>
        <w:rPr>
          <w:rFonts w:eastAsia="TimesNewRomanPS-ItalicMT"/>
          <w:b w:val="0"/>
          <w:bdr w:val="nil"/>
        </w:rPr>
      </w:pPr>
      <w:bookmarkStart w:id="158" w:name="_Toc514763821"/>
      <w:bookmarkStart w:id="159" w:name="_Toc514840974"/>
      <w:bookmarkStart w:id="160" w:name="_Toc514841051"/>
      <w:r>
        <w:rPr>
          <w:bdr w:val="nil"/>
        </w:rPr>
        <w:t xml:space="preserve">Table 10: City Renewal </w:t>
      </w:r>
      <w:r w:rsidR="00F13AD5">
        <w:rPr>
          <w:bdr w:val="nil"/>
        </w:rPr>
        <w:t>Authority: Statement of Changes in Equity</w:t>
      </w:r>
      <w:bookmarkEnd w:id="158"/>
      <w:bookmarkEnd w:id="159"/>
      <w:bookmarkEnd w:id="160"/>
      <w:r w:rsidR="00F13AD5">
        <w:rPr>
          <w:bdr w:val="nil"/>
        </w:rPr>
        <w:t xml:space="preserve">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F13AD5" w:rsidTr="00F83E2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Budget</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30/6/18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2017-18 Estimated Outcome</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Budget</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30/6/19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Var</w:t>
            </w:r>
          </w:p>
          <w:p w:rsidR="00F13AD5" w:rsidRDefault="00F13AD5" w:rsidP="00F83E2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Estimate</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30/6/20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Estimate</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30/6/21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Estimate</w:t>
            </w:r>
          </w:p>
          <w:p w:rsidR="00F13AD5" w:rsidRDefault="00F13AD5" w:rsidP="00F83E2E">
            <w:pPr>
              <w:spacing w:before="0" w:after="0"/>
              <w:jc w:val="right"/>
              <w:rPr>
                <w:rFonts w:eastAsia="Calibri" w:cs="Calibri"/>
                <w:b/>
                <w:color w:val="000000"/>
                <w:sz w:val="18"/>
              </w:rPr>
            </w:pPr>
            <w:r>
              <w:rPr>
                <w:rFonts w:eastAsia="Calibri" w:cs="Calibri"/>
                <w:b/>
                <w:color w:val="000000"/>
                <w:sz w:val="18"/>
              </w:rPr>
              <w:t>at</w:t>
            </w: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30/6/22 </w:t>
            </w:r>
          </w:p>
          <w:p w:rsidR="00F13AD5" w:rsidRDefault="00F13AD5" w:rsidP="00F83E2E">
            <w:pPr>
              <w:spacing w:before="0" w:after="0"/>
              <w:jc w:val="right"/>
              <w:rPr>
                <w:rFonts w:eastAsia="Calibri" w:cs="Calibri"/>
                <w:b/>
                <w:color w:val="000000"/>
                <w:sz w:val="18"/>
              </w:rPr>
            </w:pPr>
            <w:r>
              <w:rPr>
                <w:rFonts w:eastAsia="Calibri" w:cs="Calibri"/>
                <w:b/>
                <w:color w:val="000000"/>
                <w:sz w:val="18"/>
              </w:rPr>
              <w:t>$'000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48,828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65,588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89,454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95,342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48,828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65,588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89,454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95,342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-27</w:t>
            </w: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748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-1,358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-282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3,312</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2,409</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1,196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-27</w:t>
            </w:r>
          </w:p>
        </w:tc>
        <w:tc>
          <w:tcPr>
            <w:tcW w:w="238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748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-1,358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-282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3,312</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2,409</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1,196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Transactions Involving Owners Affecting Accumulated Funds</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9,500</w:t>
            </w:r>
          </w:p>
        </w:tc>
        <w:tc>
          <w:tcPr>
            <w:tcW w:w="2385" w:type="dxa"/>
            <w:tcBorders>
              <w:top w:val="nil"/>
              <w:left w:val="nil"/>
              <w:bottom w:val="nil"/>
              <w:right w:val="nil"/>
              <w:tl2br w:val="nil"/>
              <w:tr2bl w:val="nil"/>
            </w:tcBorders>
            <w:shd w:val="clear" w:color="FFFFFF" w:fill="FFFFFF"/>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12,881</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18,118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41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22,508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5,888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24,698</w:t>
            </w: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Inc/Dec in Net Assets due to Admin Restructure</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35,947</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27</w:t>
            </w:r>
          </w:p>
        </w:tc>
        <w:tc>
          <w:tcPr>
            <w:tcW w:w="2385" w:type="dxa"/>
            <w:tcBorders>
              <w:top w:val="nil"/>
              <w:left w:val="nil"/>
              <w:bottom w:val="nil"/>
              <w:right w:val="nil"/>
              <w:tl2br w:val="nil"/>
              <w:tr2bl w:val="nil"/>
            </w:tcBorders>
            <w:shd w:val="clear" w:color="FFFFFF" w:fill="FFFFFF"/>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Dividend Approved</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-748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-2,409</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-1,196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34,225</w:t>
            </w: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48,080</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18,118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-62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20,554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3,479</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-1,196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34,198</w:t>
            </w:r>
          </w:p>
        </w:tc>
        <w:tc>
          <w:tcPr>
            <w:tcW w:w="2385" w:type="dxa"/>
            <w:tcBorders>
              <w:top w:val="nil"/>
              <w:left w:val="nil"/>
              <w:bottom w:val="nil"/>
              <w:right w:val="nil"/>
              <w:tl2br w:val="nil"/>
              <w:tr2bl w:val="nil"/>
            </w:tcBorders>
            <w:shd w:val="clear" w:color="auto" w:fill="auto"/>
            <w:tcMar>
              <w:left w:w="101" w:type="dxa"/>
              <w:right w:w="101" w:type="dxa"/>
            </w:tcMar>
          </w:tcPr>
          <w:p w:rsidR="00F13AD5" w:rsidRDefault="00F13AD5" w:rsidP="00F83E2E">
            <w:pPr>
              <w:spacing w:before="0" w:after="0"/>
              <w:rPr>
                <w:rFonts w:eastAsia="Calibri" w:cs="Calibri"/>
                <w:color w:val="000000"/>
                <w:sz w:val="18"/>
              </w:rPr>
            </w:pPr>
            <w:r>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48,828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65,588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34 </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89,454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95,342</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95,342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34,198</w:t>
            </w:r>
          </w:p>
        </w:tc>
        <w:tc>
          <w:tcPr>
            <w:tcW w:w="2385" w:type="dxa"/>
            <w:tcBorders>
              <w:top w:val="nil"/>
              <w:left w:val="nil"/>
              <w:bottom w:val="nil"/>
              <w:right w:val="nil"/>
              <w:tl2br w:val="nil"/>
              <w:tr2bl w:val="nil"/>
            </w:tcBorders>
            <w:shd w:val="clear" w:color="FFFFFF" w:fill="FFFFFF"/>
            <w:tcMar>
              <w:left w:w="101" w:type="dxa"/>
              <w:right w:w="101"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48,828</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65,588</w:t>
            </w:r>
          </w:p>
        </w:tc>
        <w:tc>
          <w:tcPr>
            <w:tcW w:w="600"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89,454</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95,342</w:t>
            </w:r>
          </w:p>
        </w:tc>
        <w:tc>
          <w:tcPr>
            <w:tcW w:w="103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95,342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bl>
    <w:p w:rsidR="00F13AD5" w:rsidRPr="00B85F8D" w:rsidRDefault="0002262C" w:rsidP="00F13AD5">
      <w:pPr>
        <w:pStyle w:val="Caption"/>
        <w:pageBreakBefore/>
        <w:pBdr>
          <w:top w:val="nil"/>
          <w:left w:val="nil"/>
          <w:bottom w:val="nil"/>
          <w:right w:val="nil"/>
          <w:between w:val="nil"/>
          <w:bar w:val="nil"/>
        </w:pBdr>
        <w:outlineLvl w:val="0"/>
        <w:rPr>
          <w:rFonts w:eastAsia="TimesNewRomanPS-ItalicMT"/>
          <w:b w:val="0"/>
          <w:bdr w:val="nil"/>
        </w:rPr>
      </w:pPr>
      <w:bookmarkStart w:id="161" w:name="_Toc514763822"/>
      <w:bookmarkStart w:id="162" w:name="_Toc514840975"/>
      <w:bookmarkStart w:id="163" w:name="_Toc514841052"/>
      <w:r>
        <w:rPr>
          <w:bdr w:val="nil"/>
        </w:rPr>
        <w:t xml:space="preserve">Table 11: City Renewal </w:t>
      </w:r>
      <w:r w:rsidR="00F13AD5">
        <w:rPr>
          <w:bdr w:val="nil"/>
        </w:rPr>
        <w:t>Authority: Cash Flow Statement</w:t>
      </w:r>
      <w:bookmarkEnd w:id="161"/>
      <w:bookmarkEnd w:id="162"/>
      <w:bookmarkEnd w:id="163"/>
      <w:r w:rsidR="00F13AD5">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F13AD5" w:rsidTr="00F83E2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2017-18 Budget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2018-19 Budget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Var </w:t>
            </w:r>
          </w:p>
          <w:p w:rsidR="00F13AD5" w:rsidRDefault="00F13AD5" w:rsidP="00F83E2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2019-20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2020-21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2021-22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b/>
                <w: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F13AD5" w:rsidRDefault="00F13AD5" w:rsidP="00F83E2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CASH FLOWS FROM OPERATING ACTIVITIES</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4,758</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7,487</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8,013</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7,980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184</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222</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21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118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44</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432</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Land Sales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1,819</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13,971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32,710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32,710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1,964</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1,967</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1,970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1,973</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1,976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5,190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11,517</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10,265</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24,102</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35,426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35,426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3,038</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3,855</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4,004</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4,128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4,211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4,312</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389</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458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490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509</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523</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537</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1,369</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4,729</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5,129</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5,151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5,281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5,646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182</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629</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638</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647</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657</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667</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681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681</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-11</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Income Tax Equivalent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320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1,418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1,034</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513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1,479</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Related to 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610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1,890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210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16,483</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18,796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17,796</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533</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533</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6,446</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10,601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12,151</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28,336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31,716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30,685</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-1,256</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916</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-1,886</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-306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-4,234</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3,710</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4,741</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CASH FLOWS FROM INVESTING ACTIVITIES</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9,500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12,881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18,100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41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22,508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9,388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8,500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9,500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F83E2E">
            <w:pPr>
              <w:spacing w:before="0" w:after="0"/>
              <w:rPr>
                <w:rFonts w:eastAsia="Calibri" w:cs="Calibri"/>
                <w:b/>
                <w:color w:val="000000"/>
                <w:sz w:val="18"/>
              </w:rPr>
            </w:pPr>
            <w:r>
              <w:rPr>
                <w:rFonts w:eastAsia="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12,881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18,100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41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22,508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9,388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8,500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-9,500</w:t>
            </w:r>
          </w:p>
        </w:tc>
        <w:tc>
          <w:tcPr>
            <w:tcW w:w="2385" w:type="dxa"/>
            <w:tcBorders>
              <w:top w:val="nil"/>
              <w:left w:val="nil"/>
              <w:bottom w:val="nil"/>
              <w:right w:val="nil"/>
              <w:tl2br w:val="nil"/>
              <w:tr2bl w:val="nil"/>
            </w:tcBorders>
            <w:shd w:val="clear" w:color="FFFFFF" w:fill="FFFFFF"/>
            <w:noWrap/>
            <w:tcMar>
              <w:left w:w="101" w:type="dxa"/>
              <w:right w:w="101"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-12,881</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-18,100</w:t>
            </w:r>
          </w:p>
        </w:tc>
        <w:tc>
          <w:tcPr>
            <w:tcW w:w="600"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-41 </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-22,508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-9,388</w:t>
            </w:r>
          </w:p>
        </w:tc>
        <w:tc>
          <w:tcPr>
            <w:tcW w:w="1035" w:type="dxa"/>
            <w:tcBorders>
              <w:top w:val="nil"/>
              <w:left w:val="nil"/>
              <w:bottom w:val="nil"/>
              <w:right w:val="nil"/>
              <w:tl2br w:val="nil"/>
              <w:tr2bl w:val="nil"/>
            </w:tcBorders>
            <w:shd w:val="clear" w:color="FFFFFF" w:fill="FFFFFF"/>
            <w:tcMar>
              <w:left w:w="101" w:type="dxa"/>
              <w:right w:w="101"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-8,500</w:t>
            </w:r>
          </w:p>
        </w:tc>
      </w:tr>
    </w:tbl>
    <w:p w:rsidR="00F13AD5" w:rsidRPr="00B85F8D" w:rsidRDefault="0002262C" w:rsidP="00F13AD5">
      <w:pPr>
        <w:pStyle w:val="Caption"/>
        <w:pageBreakBefore/>
        <w:pBdr>
          <w:top w:val="nil"/>
          <w:left w:val="nil"/>
          <w:bottom w:val="nil"/>
          <w:right w:val="nil"/>
          <w:between w:val="nil"/>
          <w:bar w:val="nil"/>
        </w:pBdr>
        <w:outlineLvl w:val="0"/>
        <w:rPr>
          <w:rFonts w:eastAsia="TimesNewRomanPS-ItalicMT"/>
          <w:b w:val="0"/>
          <w:bdr w:val="nil"/>
        </w:rPr>
      </w:pPr>
      <w:bookmarkStart w:id="164" w:name="_Toc514763823"/>
      <w:bookmarkStart w:id="165" w:name="_Toc514840976"/>
      <w:bookmarkStart w:id="166" w:name="_Toc514841053"/>
      <w:r>
        <w:rPr>
          <w:bdr w:val="nil"/>
        </w:rPr>
        <w:t xml:space="preserve">Table 11: City Renewal </w:t>
      </w:r>
      <w:r w:rsidR="00F13AD5">
        <w:rPr>
          <w:bdr w:val="nil"/>
        </w:rPr>
        <w:t>Authority: Cash Flow Statement (continued)</w:t>
      </w:r>
      <w:bookmarkEnd w:id="164"/>
      <w:bookmarkEnd w:id="165"/>
      <w:bookmarkEnd w:id="166"/>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F13AD5" w:rsidTr="00F83E2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2017-18 Budget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2018-19 Budget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Var </w:t>
            </w:r>
          </w:p>
          <w:p w:rsidR="00F13AD5" w:rsidRDefault="00F13AD5" w:rsidP="00F83E2E">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2019-20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2020-21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2021-22 Estimate            </w:t>
            </w:r>
          </w:p>
          <w:p w:rsidR="00F13AD5" w:rsidRDefault="00F13AD5" w:rsidP="00F83E2E">
            <w:pPr>
              <w:spacing w:before="0" w:after="0"/>
              <w:jc w:val="right"/>
              <w:rPr>
                <w:rFonts w:eastAsia="Calibri" w:cs="Calibri"/>
                <w:b/>
                <w:color w:val="000000"/>
                <w:sz w:val="18"/>
              </w:rPr>
            </w:pPr>
          </w:p>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$'000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40" w:type="dxa"/>
              <w:right w:w="40" w:type="dxa"/>
            </w:tcMar>
            <w:vAlign w:val="bottom"/>
          </w:tcPr>
          <w:p w:rsidR="00F13AD5" w:rsidRDefault="00F13AD5" w:rsidP="00F83E2E">
            <w:pPr>
              <w:spacing w:before="0" w:after="0"/>
              <w:rPr>
                <w:rFonts w:eastAsia="Calibri" w:cs="Calibri"/>
                <w:b/>
                <w:color w:val="000000"/>
                <w:sz w:val="18"/>
              </w:rPr>
            </w:pPr>
            <w:r>
              <w:rPr>
                <w:rFonts w:eastAsia="Calibri" w:cs="Calibri"/>
                <w:b/>
                <w:color w:val="000000"/>
                <w:sz w:val="18"/>
              </w:rPr>
              <w:t>CASH FLOWS FROM FINANCING ACTIVITIES</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9,500</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12,881</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18,118</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41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22,508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5,888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9,034</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color w:val="000000"/>
                <w:sz w:val="18"/>
              </w:rPr>
            </w:pPr>
            <w:r>
              <w:rPr>
                <w:rFonts w:eastAsia="Calibri" w:cs="Calibri"/>
                <w:color w:val="000000"/>
                <w:sz w:val="18"/>
              </w:rPr>
              <w:t>Receipts of Transferred Cash Balances</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9,034</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18,534</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21,915</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18,118</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22,508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5,888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-56</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color w:val="000000"/>
                <w:sz w:val="18"/>
              </w:rPr>
            </w:pPr>
            <w:r>
              <w:rPr>
                <w:rFonts w:eastAsia="Calibri" w:cs="Calibri"/>
                <w:color w:val="000000"/>
                <w:sz w:val="18"/>
              </w:rPr>
              <w:t>Payment of Dividend</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color w:val="000000"/>
                <w:sz w:val="18"/>
              </w:rPr>
            </w:pPr>
            <w:r>
              <w:rPr>
                <w:rFonts w:eastAsia="Calibri" w:cs="Calibri"/>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-56</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F83E2E">
            <w:pPr>
              <w:spacing w:before="0" w:after="0"/>
              <w:rPr>
                <w:rFonts w:eastAsia="Calibri" w:cs="Calibri"/>
                <w:b/>
                <w:color w:val="000000"/>
                <w:sz w:val="18"/>
              </w:rPr>
            </w:pPr>
            <w:r>
              <w:rPr>
                <w:rFonts w:eastAsia="Calibri" w:cs="Calibri"/>
                <w:b/>
                <w:color w:val="000000"/>
                <w:sz w:val="18"/>
              </w:rPr>
              <w:t>Financing Payments</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18,590</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21,915</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18,118</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22,508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5,888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7,834</w:t>
            </w:r>
          </w:p>
        </w:tc>
        <w:tc>
          <w:tcPr>
            <w:tcW w:w="2385" w:type="dxa"/>
            <w:tcBorders>
              <w:top w:val="nil"/>
              <w:left w:val="nil"/>
              <w:bottom w:val="nil"/>
              <w:right w:val="nil"/>
              <w:tl2br w:val="nil"/>
              <w:tr2bl w:val="nil"/>
            </w:tcBorders>
            <w:shd w:val="clear" w:color="FFFFFF" w:fill="FFFFFF"/>
            <w:noWrap/>
            <w:tcMar>
              <w:left w:w="40" w:type="dxa"/>
              <w:right w:w="40" w:type="dxa"/>
            </w:tcMar>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9,950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-1,868</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-119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-4,234</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210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-3,759</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noWrap/>
            <w:tcMar>
              <w:left w:w="40" w:type="dxa"/>
              <w:right w:w="40" w:type="dxa"/>
            </w:tcMar>
            <w:vAlign w:val="bottom"/>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9,950</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8,082</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3,848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4,058</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7,834</w:t>
            </w:r>
          </w:p>
        </w:tc>
        <w:tc>
          <w:tcPr>
            <w:tcW w:w="2385" w:type="dxa"/>
            <w:tcBorders>
              <w:top w:val="nil"/>
              <w:left w:val="nil"/>
              <w:bottom w:val="nil"/>
              <w:right w:val="nil"/>
              <w:tl2br w:val="nil"/>
              <w:tr2bl w:val="nil"/>
            </w:tcBorders>
            <w:shd w:val="clear" w:color="auto" w:fill="auto"/>
            <w:noWrap/>
            <w:tcMar>
              <w:left w:w="40" w:type="dxa"/>
              <w:right w:w="40" w:type="dxa"/>
            </w:tcMar>
            <w:vAlign w:val="bottom"/>
          </w:tcPr>
          <w:p w:rsidR="00F13AD5" w:rsidRDefault="00F13AD5" w:rsidP="00E968C4">
            <w:pPr>
              <w:spacing w:before="0" w:after="0"/>
              <w:ind w:left="113" w:hanging="113"/>
              <w:rPr>
                <w:rFonts w:eastAsia="Calibri" w:cs="Calibri"/>
                <w:b/>
                <w:color w:val="000000"/>
                <w:sz w:val="18"/>
              </w:rPr>
            </w:pPr>
            <w:r>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9,950</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8,082</w:t>
            </w:r>
          </w:p>
        </w:tc>
        <w:tc>
          <w:tcPr>
            <w:tcW w:w="600"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 xml:space="preserve">-19 </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3,848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4,058</w:t>
            </w:r>
          </w:p>
        </w:tc>
        <w:tc>
          <w:tcPr>
            <w:tcW w:w="1035" w:type="dxa"/>
            <w:tcBorders>
              <w:top w:val="nil"/>
              <w:left w:val="nil"/>
              <w:bottom w:val="nil"/>
              <w:right w:val="nil"/>
              <w:tl2br w:val="nil"/>
              <w:tr2bl w:val="nil"/>
            </w:tcBorders>
            <w:shd w:val="clear" w:color="FFFFFF" w:fill="FFFFFF"/>
            <w:tcMar>
              <w:left w:w="40" w:type="dxa"/>
              <w:right w:w="40" w:type="dxa"/>
            </w:tcMar>
          </w:tcPr>
          <w:p w:rsidR="00F13AD5" w:rsidRDefault="00F13AD5" w:rsidP="00F83E2E">
            <w:pPr>
              <w:spacing w:before="0" w:after="0"/>
              <w:jc w:val="right"/>
              <w:rPr>
                <w:rFonts w:eastAsia="Calibri" w:cs="Calibri"/>
                <w:b/>
                <w:color w:val="000000"/>
                <w:sz w:val="18"/>
              </w:rPr>
            </w:pPr>
            <w:r>
              <w:rPr>
                <w:rFonts w:eastAsia="Calibri" w:cs="Calibri"/>
                <w:b/>
                <w:color w:val="000000"/>
                <w:sz w:val="18"/>
              </w:rPr>
              <w:t>299</w:t>
            </w:r>
          </w:p>
        </w:tc>
      </w:tr>
      <w:tr w:rsidR="00F13AD5" w:rsidTr="00F83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13AD5" w:rsidRDefault="00F13AD5" w:rsidP="00F83E2E">
            <w:pPr>
              <w:spacing w:before="0" w:after="0"/>
              <w:rPr>
                <w:rFonts w:eastAsia="Calibri" w:cs="Calibri"/>
                <w:color w:val="000000"/>
                <w:sz w:val="18"/>
              </w:rPr>
            </w:pPr>
          </w:p>
        </w:tc>
      </w:tr>
    </w:tbl>
    <w:p w:rsidR="00F13AD5" w:rsidRDefault="00F13AD5" w:rsidP="00F13AD5">
      <w:pPr>
        <w:pStyle w:val="Heading3"/>
        <w:pageBreakBefore/>
      </w:pPr>
      <w:bookmarkStart w:id="167" w:name="_Toc514763824"/>
      <w:bookmarkStart w:id="168" w:name="_Toc514841054"/>
      <w:r>
        <w:t>Notes to the Controlled Budget Statements</w:t>
      </w:r>
      <w:bookmarkEnd w:id="167"/>
      <w:bookmarkEnd w:id="168"/>
    </w:p>
    <w:p w:rsidR="00F13AD5" w:rsidRDefault="00F13AD5" w:rsidP="00F13AD5">
      <w:pPr>
        <w:pStyle w:val="Normal8"/>
      </w:pPr>
      <w:r>
        <w:t>Significant variations are as follows:</w:t>
      </w:r>
    </w:p>
    <w:p w:rsidR="00F13AD5" w:rsidRDefault="00F13AD5" w:rsidP="00F13AD5">
      <w:pPr>
        <w:pStyle w:val="Normal8"/>
        <w:rPr>
          <w:b/>
          <w:i/>
        </w:rPr>
      </w:pPr>
      <w:r>
        <w:rPr>
          <w:b/>
          <w:i/>
        </w:rPr>
        <w:t>Operating Statement</w:t>
      </w:r>
    </w:p>
    <w:p w:rsidR="00F13AD5" w:rsidRDefault="00F13AD5" w:rsidP="00E968C4">
      <w:pPr>
        <w:pStyle w:val="BSbullet1"/>
      </w:pPr>
      <w:r>
        <w:t xml:space="preserve">controlled recurrent payments:  </w:t>
      </w:r>
    </w:p>
    <w:p w:rsidR="00F13AD5" w:rsidRPr="00997DDE" w:rsidRDefault="00F13AD5" w:rsidP="009329A6">
      <w:pPr>
        <w:pStyle w:val="BSbullet20"/>
        <w:jc w:val="left"/>
      </w:pPr>
      <w:r w:rsidRPr="005A099E">
        <w:t xml:space="preserve">the </w:t>
      </w:r>
      <w:r>
        <w:t>increase of $2.729</w:t>
      </w:r>
      <w:r w:rsidR="009329A6">
        <w:t> million in the 2017</w:t>
      </w:r>
      <w:r w:rsidR="009329A6">
        <w:noBreakHyphen/>
      </w:r>
      <w:r w:rsidRPr="00997DDE">
        <w:t>18 estimated outcome from the 2017</w:t>
      </w:r>
      <w:r w:rsidR="009329A6">
        <w:noBreakHyphen/>
      </w:r>
      <w:r w:rsidRPr="00997DDE">
        <w:t xml:space="preserve">18 Budget is </w:t>
      </w:r>
      <w:r>
        <w:t xml:space="preserve">predominantly </w:t>
      </w:r>
      <w:r w:rsidRPr="00997DDE">
        <w:t>associated with the implementation of initiative Building a better city – City Renewal Authority – Operational fundi</w:t>
      </w:r>
      <w:r w:rsidR="009329A6">
        <w:t>ng which was funded in the 2017</w:t>
      </w:r>
      <w:r w:rsidR="009329A6">
        <w:noBreakHyphen/>
      </w:r>
      <w:r w:rsidRPr="00997DDE">
        <w:t>18 Budget Review</w:t>
      </w:r>
      <w:r w:rsidR="009329A6">
        <w:t xml:space="preserve"> ($2.472 </w:t>
      </w:r>
      <w:r>
        <w:t>million)</w:t>
      </w:r>
      <w:r w:rsidRPr="00997DDE">
        <w:t>.</w:t>
      </w:r>
    </w:p>
    <w:p w:rsidR="00F13AD5" w:rsidRPr="00997DDE" w:rsidRDefault="00F13AD5" w:rsidP="00E968C4">
      <w:pPr>
        <w:pStyle w:val="BSbullet1"/>
      </w:pPr>
      <w:r w:rsidRPr="00997DDE">
        <w:t xml:space="preserve">land revenue:  </w:t>
      </w:r>
    </w:p>
    <w:p w:rsidR="00F13AD5" w:rsidRPr="005A099E" w:rsidRDefault="00F13AD5" w:rsidP="009329A6">
      <w:pPr>
        <w:pStyle w:val="BSbullet20"/>
        <w:jc w:val="left"/>
      </w:pPr>
      <w:r w:rsidRPr="005A099E">
        <w:t xml:space="preserve">the </w:t>
      </w:r>
      <w:r>
        <w:t xml:space="preserve">increase </w:t>
      </w:r>
      <w:r w:rsidRPr="005A099E">
        <w:t>of $</w:t>
      </w:r>
      <w:r>
        <w:t>1.387</w:t>
      </w:r>
      <w:r w:rsidR="009329A6">
        <w:t> </w:t>
      </w:r>
      <w:r w:rsidRPr="005A099E">
        <w:t xml:space="preserve">million in the </w:t>
      </w:r>
      <w:r w:rsidR="009329A6">
        <w:t>2017</w:t>
      </w:r>
      <w:r w:rsidR="009329A6">
        <w:noBreakHyphen/>
      </w:r>
      <w:r>
        <w:t>18</w:t>
      </w:r>
      <w:r w:rsidRPr="005A099E">
        <w:t xml:space="preserve"> estimated outcome from the </w:t>
      </w:r>
      <w:r w:rsidR="009329A6">
        <w:t>2017</w:t>
      </w:r>
      <w:r w:rsidR="009329A6">
        <w:noBreakHyphen/>
      </w:r>
      <w:r>
        <w:t>18 Budget</w:t>
      </w:r>
      <w:r w:rsidRPr="005A099E">
        <w:t xml:space="preserve"> is </w:t>
      </w:r>
      <w:r>
        <w:t>due to an increase in land sales revenue associated with air and subterranean rights sold for a city block during the year.</w:t>
      </w:r>
    </w:p>
    <w:p w:rsidR="00F13AD5" w:rsidRDefault="009329A6" w:rsidP="009329A6">
      <w:pPr>
        <w:pStyle w:val="BSbullet20"/>
        <w:jc w:val="left"/>
      </w:pPr>
      <w:r>
        <w:t>the decrease of $1.819 million in the 2018</w:t>
      </w:r>
      <w:r>
        <w:noBreakHyphen/>
        <w:t>19 Budget from the 2017</w:t>
      </w:r>
      <w:r>
        <w:noBreakHyphen/>
      </w:r>
      <w:r w:rsidR="00F13AD5">
        <w:t xml:space="preserve">18 estimated outcome is due to no </w:t>
      </w:r>
      <w:r>
        <w:t>forecast land sales in the 2018</w:t>
      </w:r>
      <w:r>
        <w:noBreakHyphen/>
      </w:r>
      <w:r w:rsidR="00F13AD5">
        <w:t>19 year.</w:t>
      </w:r>
    </w:p>
    <w:p w:rsidR="00F13AD5" w:rsidRPr="00997DDE" w:rsidRDefault="00F13AD5" w:rsidP="000D6549">
      <w:pPr>
        <w:pStyle w:val="BSbullet1"/>
      </w:pPr>
      <w:r>
        <w:t>other revenue</w:t>
      </w:r>
      <w:r w:rsidRPr="00997DDE">
        <w:t xml:space="preserve">:  </w:t>
      </w:r>
    </w:p>
    <w:p w:rsidR="00F13AD5" w:rsidRDefault="00F13AD5" w:rsidP="009329A6">
      <w:pPr>
        <w:pStyle w:val="BSbullet20"/>
        <w:jc w:val="left"/>
      </w:pPr>
      <w:r w:rsidRPr="00997DDE">
        <w:t>the addition of $</w:t>
      </w:r>
      <w:r>
        <w:t>1.964</w:t>
      </w:r>
      <w:r w:rsidR="009329A6">
        <w:t> million in the 2017</w:t>
      </w:r>
      <w:r w:rsidR="009329A6">
        <w:noBreakHyphen/>
      </w:r>
      <w:r w:rsidRPr="00997DDE">
        <w:t>18 estimated outcome from the 2017</w:t>
      </w:r>
      <w:r w:rsidR="009329A6">
        <w:noBreakHyphen/>
      </w:r>
      <w:r w:rsidRPr="00997DDE">
        <w:t xml:space="preserve">18 Budget relates to </w:t>
      </w:r>
      <w:r>
        <w:t xml:space="preserve">the transfer of the </w:t>
      </w:r>
      <w:r w:rsidRPr="00997DDE">
        <w:t xml:space="preserve">CCMIL from </w:t>
      </w:r>
      <w:r>
        <w:t>EPSDD</w:t>
      </w:r>
      <w:r w:rsidRPr="00997DDE">
        <w:t>. The administration of the CCMIL has been transferred to the City Renewal Authority.</w:t>
      </w:r>
    </w:p>
    <w:p w:rsidR="00F13AD5" w:rsidRDefault="00F13AD5" w:rsidP="009329A6">
      <w:pPr>
        <w:pStyle w:val="BSbullet1"/>
      </w:pPr>
      <w:r>
        <w:t>supplies and services:</w:t>
      </w:r>
    </w:p>
    <w:p w:rsidR="00F13AD5" w:rsidRDefault="009329A6" w:rsidP="009329A6">
      <w:pPr>
        <w:pStyle w:val="BSbullet20"/>
        <w:jc w:val="left"/>
      </w:pPr>
      <w:r>
        <w:t>the increase of $3.360 million in the 2017</w:t>
      </w:r>
      <w:r>
        <w:noBreakHyphen/>
      </w:r>
      <w:r w:rsidR="00F13AD5">
        <w:t xml:space="preserve">18 </w:t>
      </w:r>
      <w:r>
        <w:t>estimated outcome from the 2017</w:t>
      </w:r>
      <w:r>
        <w:noBreakHyphen/>
      </w:r>
      <w:r w:rsidR="00F13AD5">
        <w:t>18 Budget is due primarily to the implementation of initiative Building a better city – City Renewal Authority – Operational fundi</w:t>
      </w:r>
      <w:r>
        <w:t>ng which was funded in the 2017</w:t>
      </w:r>
      <w:r>
        <w:noBreakHyphen/>
        <w:t>18 Budget Review ($1.582 </w:t>
      </w:r>
      <w:r w:rsidR="00F13AD5">
        <w:t>million) and expenditure associated</w:t>
      </w:r>
      <w:r>
        <w:t xml:space="preserve"> with the CCMIL program ($1.964 </w:t>
      </w:r>
      <w:r w:rsidR="00F13AD5">
        <w:t>million).</w:t>
      </w:r>
    </w:p>
    <w:p w:rsidR="00F13AD5" w:rsidRDefault="00F13AD5" w:rsidP="00F13AD5">
      <w:pPr>
        <w:pStyle w:val="Heading4"/>
      </w:pPr>
      <w:r>
        <w:t>Balance Sheet</w:t>
      </w:r>
    </w:p>
    <w:p w:rsidR="00F13AD5" w:rsidRDefault="00F13AD5" w:rsidP="00FD2D7E">
      <w:pPr>
        <w:pStyle w:val="BSbullet1"/>
      </w:pPr>
      <w:r>
        <w:t xml:space="preserve">cash and cash equivalents:  </w:t>
      </w:r>
    </w:p>
    <w:p w:rsidR="00F13AD5" w:rsidRPr="00BC200C" w:rsidRDefault="00F13AD5" w:rsidP="00FD2D7E">
      <w:pPr>
        <w:pStyle w:val="BSbullet20"/>
        <w:jc w:val="left"/>
      </w:pPr>
      <w:r>
        <w:t xml:space="preserve">the </w:t>
      </w:r>
      <w:r w:rsidRPr="00BC200C">
        <w:t>increase of $2.1</w:t>
      </w:r>
      <w:r>
        <w:t>16</w:t>
      </w:r>
      <w:r w:rsidR="009329A6">
        <w:t> million in the 2017</w:t>
      </w:r>
      <w:r w:rsidR="009329A6">
        <w:noBreakHyphen/>
      </w:r>
      <w:r w:rsidRPr="00BC200C">
        <w:t>18 estimated outcome from the 2017</w:t>
      </w:r>
      <w:r w:rsidR="009329A6">
        <w:noBreakHyphen/>
      </w:r>
      <w:r w:rsidRPr="00BC200C">
        <w:t xml:space="preserve">18 Budget is </w:t>
      </w:r>
      <w:r>
        <w:t>predominantly</w:t>
      </w:r>
      <w:r w:rsidRPr="00BC200C">
        <w:t xml:space="preserve"> due to the increase in land sales revenue associated with the sale of air and subterranean rights on a city block.</w:t>
      </w:r>
    </w:p>
    <w:p w:rsidR="00F13AD5" w:rsidRDefault="00F13AD5" w:rsidP="00FD2D7E">
      <w:pPr>
        <w:pStyle w:val="BSbullet20"/>
        <w:jc w:val="left"/>
      </w:pPr>
      <w:r w:rsidRPr="00BC200C">
        <w:t>the decrease of $1.868 million in the 201</w:t>
      </w:r>
      <w:r>
        <w:t>8</w:t>
      </w:r>
      <w:r w:rsidR="00FD2D7E">
        <w:noBreakHyphen/>
      </w:r>
      <w:r w:rsidRPr="00BC200C">
        <w:t>1</w:t>
      </w:r>
      <w:r>
        <w:t>9</w:t>
      </w:r>
      <w:r w:rsidR="00FD2D7E">
        <w:t xml:space="preserve"> Budget from the 2017</w:t>
      </w:r>
      <w:r w:rsidR="00FD2D7E">
        <w:noBreakHyphen/>
      </w:r>
      <w:r w:rsidRPr="00BC200C">
        <w:t>18 estimated outcome is associated with land development costs (early design, feasibility and consulting</w:t>
      </w:r>
      <w:r>
        <w:t xml:space="preserve"> works) related to future city releases. These land development costs are funded through tra</w:t>
      </w:r>
      <w:r w:rsidR="00FD2D7E">
        <w:t>nsferred cash balances ($9.034 </w:t>
      </w:r>
      <w:r>
        <w:t>million) from the former LDA.</w:t>
      </w:r>
    </w:p>
    <w:p w:rsidR="000D6549" w:rsidRDefault="000D6549" w:rsidP="00FD2D7E">
      <w:pPr>
        <w:spacing w:before="0" w:after="0"/>
        <w:rPr>
          <w:szCs w:val="24"/>
        </w:rPr>
      </w:pPr>
      <w:r>
        <w:br w:type="page"/>
      </w:r>
    </w:p>
    <w:p w:rsidR="00F13AD5" w:rsidRDefault="00F13AD5" w:rsidP="00FD2D7E">
      <w:pPr>
        <w:pStyle w:val="BSbullet1"/>
      </w:pPr>
      <w:r>
        <w:t xml:space="preserve">current and non-current inventories:  </w:t>
      </w:r>
    </w:p>
    <w:p w:rsidR="00F13AD5" w:rsidRDefault="00F13AD5" w:rsidP="00FD2D7E">
      <w:pPr>
        <w:pStyle w:val="BSbullet20"/>
        <w:jc w:val="left"/>
      </w:pPr>
      <w:r>
        <w:t>the decreas</w:t>
      </w:r>
      <w:r w:rsidR="00FD2D7E">
        <w:t>e of $1.229 million in the 2017</w:t>
      </w:r>
      <w:r w:rsidR="00FD2D7E">
        <w:noBreakHyphen/>
      </w:r>
      <w:r>
        <w:t xml:space="preserve">18 </w:t>
      </w:r>
      <w:r w:rsidR="00FD2D7E">
        <w:t>estimated outcome from the 2017</w:t>
      </w:r>
      <w:r w:rsidR="00FD2D7E">
        <w:noBreakHyphen/>
      </w:r>
      <w:r>
        <w:t>18 Budget is due to decreased land development costs anticipated to be incur</w:t>
      </w:r>
      <w:r w:rsidR="00FD2D7E">
        <w:t>red during the 2017</w:t>
      </w:r>
      <w:r w:rsidR="00FD2D7E">
        <w:noBreakHyphen/>
      </w:r>
      <w:r>
        <w:t xml:space="preserve">18 year. </w:t>
      </w:r>
    </w:p>
    <w:p w:rsidR="00F13AD5" w:rsidRDefault="00F13AD5" w:rsidP="00FD2D7E">
      <w:pPr>
        <w:pStyle w:val="BSbullet20"/>
        <w:jc w:val="left"/>
      </w:pPr>
      <w:r>
        <w:t xml:space="preserve">the increase of $1.140 million </w:t>
      </w:r>
      <w:r w:rsidR="00FD2D7E">
        <w:t>in the 2018</w:t>
      </w:r>
      <w:r w:rsidR="00FD2D7E">
        <w:noBreakHyphen/>
        <w:t>19 Budget from the 2017</w:t>
      </w:r>
      <w:r w:rsidR="00FD2D7E">
        <w:noBreakHyphen/>
      </w:r>
      <w:r w:rsidRPr="00BC200C">
        <w:t>18 estimated outcome is due to land development costs for</w:t>
      </w:r>
      <w:r>
        <w:t xml:space="preserve"> future city releases expected to be incurred during the year. </w:t>
      </w:r>
    </w:p>
    <w:p w:rsidR="00F13AD5" w:rsidRDefault="00F13AD5" w:rsidP="00FD2D7E">
      <w:pPr>
        <w:pStyle w:val="BSbullet1"/>
      </w:pPr>
      <w:r>
        <w:t xml:space="preserve">current and non-current capital works in progress:  </w:t>
      </w:r>
    </w:p>
    <w:p w:rsidR="00F13AD5" w:rsidRDefault="00F13AD5" w:rsidP="00FD2D7E">
      <w:pPr>
        <w:pStyle w:val="BSbullet20"/>
        <w:jc w:val="left"/>
      </w:pPr>
      <w:r>
        <w:t xml:space="preserve">the increase of $13.491 million in </w:t>
      </w:r>
      <w:r w:rsidR="00FD2D7E">
        <w:t>the 2017</w:t>
      </w:r>
      <w:r w:rsidR="00FD2D7E">
        <w:noBreakHyphen/>
      </w:r>
      <w:r w:rsidRPr="00B65343">
        <w:t xml:space="preserve">18 </w:t>
      </w:r>
      <w:r w:rsidR="00FD2D7E">
        <w:t>estimated outcome from the 2017</w:t>
      </w:r>
      <w:r w:rsidR="00FD2D7E">
        <w:noBreakHyphen/>
      </w:r>
      <w:r w:rsidRPr="00B65343">
        <w:t>18 Budget is largely due to the transfer of Capital Work</w:t>
      </w:r>
      <w:r w:rsidR="00FD2D7E">
        <w:t>s in Progress balances ($10.110 </w:t>
      </w:r>
      <w:r w:rsidRPr="00B65343">
        <w:t>million) to the City Renewal</w:t>
      </w:r>
      <w:r w:rsidR="00FD2D7E">
        <w:t xml:space="preserve"> Authority from EPSDD.  A f</w:t>
      </w:r>
      <w:r w:rsidRPr="002D4D28">
        <w:t xml:space="preserve">urther </w:t>
      </w:r>
      <w:r>
        <w:t>(</w:t>
      </w:r>
      <w:r w:rsidR="00FD2D7E">
        <w:t>$2.750 </w:t>
      </w:r>
      <w:r w:rsidRPr="002D4D28">
        <w:t>million</w:t>
      </w:r>
      <w:r>
        <w:t>)</w:t>
      </w:r>
      <w:r w:rsidRPr="002D4D28">
        <w:t xml:space="preserve"> is associated with the implementation of initiative Building a better city – City Renewal Authority – City precinct improvements which wa</w:t>
      </w:r>
      <w:r w:rsidR="00FD2D7E">
        <w:t>s announced as part of the 2017</w:t>
      </w:r>
      <w:r w:rsidR="00FD2D7E">
        <w:noBreakHyphen/>
      </w:r>
      <w:r w:rsidRPr="002D4D28">
        <w:t>18 Budget Review.</w:t>
      </w:r>
    </w:p>
    <w:p w:rsidR="00F13AD5" w:rsidRDefault="00F13AD5" w:rsidP="00FD2D7E">
      <w:pPr>
        <w:pStyle w:val="BSbullet1"/>
      </w:pPr>
      <w:r>
        <w:t xml:space="preserve">property, plant and equipment:  </w:t>
      </w:r>
    </w:p>
    <w:p w:rsidR="00F13AD5" w:rsidRDefault="00F13AD5" w:rsidP="00FD2D7E">
      <w:pPr>
        <w:pStyle w:val="BSbullet20"/>
        <w:jc w:val="left"/>
      </w:pPr>
      <w:r>
        <w:t>the increase of $1.004 million in</w:t>
      </w:r>
      <w:r w:rsidR="00FD2D7E">
        <w:t xml:space="preserve"> the 2017</w:t>
      </w:r>
      <w:r w:rsidR="00FD2D7E">
        <w:noBreakHyphen/>
      </w:r>
      <w:r>
        <w:t xml:space="preserve">18 </w:t>
      </w:r>
      <w:r w:rsidR="00FD2D7E">
        <w:t>estimated outcome from the 2017</w:t>
      </w:r>
      <w:r w:rsidR="00FD2D7E">
        <w:noBreakHyphen/>
      </w:r>
      <w:r>
        <w:t>18 Budget is due to the transfer of fixed assets at written down value from the former LDA during the year.</w:t>
      </w:r>
    </w:p>
    <w:p w:rsidR="00F13AD5" w:rsidRDefault="00F13AD5" w:rsidP="00FD2D7E">
      <w:pPr>
        <w:pStyle w:val="BSbullet20"/>
        <w:jc w:val="left"/>
      </w:pPr>
      <w:r>
        <w:t>the increase</w:t>
      </w:r>
      <w:r w:rsidR="00FD2D7E">
        <w:t xml:space="preserve"> of $18.369 million in the 2018</w:t>
      </w:r>
      <w:r w:rsidR="00FD2D7E">
        <w:noBreakHyphen/>
        <w:t>19 Budget from the 2017</w:t>
      </w:r>
      <w:r w:rsidR="00FD2D7E">
        <w:noBreakHyphen/>
      </w:r>
      <w:r>
        <w:t>18 estimated outcome is due to the capitalisation of non-current capital work</w:t>
      </w:r>
      <w:r w:rsidR="00FD2D7E">
        <w:t>s in progress balances ($18.991 </w:t>
      </w:r>
      <w:r>
        <w:t>million) which is partially offset by a</w:t>
      </w:r>
      <w:r w:rsidR="00FD2D7E">
        <w:t>ccumulated depreciation ($0.622 </w:t>
      </w:r>
      <w:r>
        <w:t xml:space="preserve">million). </w:t>
      </w:r>
    </w:p>
    <w:p w:rsidR="00F13AD5" w:rsidRDefault="00F13AD5" w:rsidP="00FD2D7E">
      <w:pPr>
        <w:pStyle w:val="Heading4"/>
      </w:pPr>
      <w:r>
        <w:t>Statement of Changes in Equity and Cash Flow Statement</w:t>
      </w:r>
    </w:p>
    <w:p w:rsidR="00F13AD5" w:rsidRDefault="00F13AD5" w:rsidP="00FD2D7E">
      <w:pPr>
        <w:pStyle w:val="Normal8"/>
      </w:pPr>
      <w:r>
        <w:t>Variations in the Statement are explained in the notes above.</w:t>
      </w:r>
    </w:p>
    <w:p w:rsidR="00F13AD5" w:rsidRPr="0004555B" w:rsidRDefault="00F13AD5" w:rsidP="00F13AD5">
      <w:pPr>
        <w:pStyle w:val="Normal8"/>
        <w:rPr>
          <w:rFonts w:eastAsia="TimesNewRomanPS-ItalicMT"/>
        </w:rPr>
      </w:pPr>
    </w:p>
    <w:p w:rsidR="008713D7" w:rsidRDefault="008713D7">
      <w:pPr>
        <w:spacing w:before="0" w:after="0"/>
      </w:pPr>
      <w:r>
        <w:br w:type="page"/>
      </w:r>
    </w:p>
    <w:p w:rsidR="008713D7" w:rsidRDefault="008713D7">
      <w:pPr>
        <w:sectPr w:rsidR="008713D7" w:rsidSect="00BA4809">
          <w:headerReference w:type="even" r:id="rId24"/>
          <w:headerReference w:type="default" r:id="rId25"/>
          <w:footerReference w:type="even" r:id="rId26"/>
          <w:footerReference w:type="default" r:id="rId27"/>
          <w:type w:val="continuous"/>
          <w:pgSz w:w="11906" w:h="16838"/>
          <w:pgMar w:top="1151" w:right="1440" w:bottom="1729" w:left="1440" w:header="720" w:footer="720" w:gutter="0"/>
          <w:pgBorders>
            <w:top w:val="nil"/>
            <w:left w:val="nil"/>
            <w:bottom w:val="nil"/>
            <w:right w:val="nil"/>
          </w:pgBorders>
          <w:cols w:space="720"/>
        </w:sectPr>
      </w:pPr>
    </w:p>
    <w:p w:rsidR="008713D7" w:rsidRPr="00954EED" w:rsidRDefault="008713D7" w:rsidP="008713D7">
      <w:pPr>
        <w:pStyle w:val="Heading1"/>
        <w:pageBreakBefore/>
        <w:rPr>
          <w:sz w:val="32"/>
          <w:szCs w:val="48"/>
        </w:rPr>
      </w:pPr>
      <w:bookmarkStart w:id="169" w:name="_Toc514840977"/>
      <w:bookmarkStart w:id="170" w:name="_Toc514841055"/>
      <w:r w:rsidRPr="00E85369">
        <w:rPr>
          <w:szCs w:val="48"/>
        </w:rPr>
        <w:t xml:space="preserve">SUBURBAN LAND AGENCY – </w:t>
      </w:r>
      <w:r>
        <w:rPr>
          <w:szCs w:val="48"/>
        </w:rPr>
        <w:br/>
      </w:r>
      <w:r w:rsidRPr="00E85369">
        <w:rPr>
          <w:szCs w:val="48"/>
        </w:rPr>
        <w:t>STATEMENT OF INTENT</w:t>
      </w:r>
      <w:bookmarkEnd w:id="169"/>
      <w:bookmarkEnd w:id="170"/>
    </w:p>
    <w:p w:rsidR="008713D7" w:rsidRPr="00C3473D" w:rsidRDefault="008713D7" w:rsidP="00F50AA3">
      <w:pPr>
        <w:rPr>
          <w:rFonts w:asciiTheme="minorHAnsi" w:hAnsiTheme="minorHAnsi"/>
        </w:rPr>
      </w:pPr>
      <w:r w:rsidRPr="00C3473D">
        <w:rPr>
          <w:rFonts w:asciiTheme="minorHAnsi" w:hAnsiTheme="minorHAnsi"/>
        </w:rPr>
        <w:t xml:space="preserve">The Suburban Land Agency is a Territory Authority established under the </w:t>
      </w:r>
      <w:r w:rsidRPr="00C3473D">
        <w:rPr>
          <w:rStyle w:val="Emphasis"/>
          <w:rFonts w:asciiTheme="minorHAnsi" w:hAnsiTheme="minorHAnsi"/>
        </w:rPr>
        <w:t>City Renewal Authority and Suburban Land Agency Act 2017</w:t>
      </w:r>
      <w:r>
        <w:rPr>
          <w:rFonts w:asciiTheme="minorHAnsi" w:hAnsiTheme="minorHAnsi"/>
        </w:rPr>
        <w:t>.</w:t>
      </w:r>
    </w:p>
    <w:p w:rsidR="008713D7" w:rsidRPr="00C3473D" w:rsidRDefault="008713D7" w:rsidP="00F50AA3">
      <w:pPr>
        <w:rPr>
          <w:rFonts w:asciiTheme="minorHAnsi" w:hAnsiTheme="minorHAnsi"/>
          <w:i/>
          <w:iCs/>
        </w:rPr>
      </w:pPr>
      <w:r w:rsidRPr="00C3473D">
        <w:rPr>
          <w:rFonts w:asciiTheme="minorHAnsi" w:hAnsiTheme="minorHAnsi"/>
        </w:rPr>
        <w:t>This Statement of Intent for 2018</w:t>
      </w:r>
      <w:r>
        <w:rPr>
          <w:rFonts w:asciiTheme="minorHAnsi" w:hAnsiTheme="minorHAnsi"/>
        </w:rPr>
        <w:t xml:space="preserve">-19 has been prepared in accordance </w:t>
      </w:r>
      <w:r w:rsidRPr="00C3473D">
        <w:rPr>
          <w:rFonts w:asciiTheme="minorHAnsi" w:hAnsiTheme="minorHAnsi"/>
        </w:rPr>
        <w:t xml:space="preserve">with Section 61 of the </w:t>
      </w:r>
      <w:r w:rsidRPr="00C3473D">
        <w:rPr>
          <w:rFonts w:asciiTheme="minorHAnsi" w:hAnsiTheme="minorHAnsi"/>
          <w:i/>
          <w:iCs/>
        </w:rPr>
        <w:t>Financial Management Act 1996.</w:t>
      </w:r>
    </w:p>
    <w:p w:rsidR="008713D7" w:rsidRPr="00C3473D" w:rsidRDefault="008713D7" w:rsidP="00F50AA3">
      <w:pPr>
        <w:pStyle w:val="BodyText"/>
        <w:jc w:val="left"/>
        <w:rPr>
          <w:rFonts w:asciiTheme="minorHAnsi" w:hAnsiTheme="minorHAnsi" w:cs="Calibri"/>
        </w:rPr>
      </w:pPr>
      <w:r w:rsidRPr="00C3473D">
        <w:rPr>
          <w:rFonts w:asciiTheme="minorHAnsi" w:hAnsiTheme="minorHAnsi" w:cs="Calibri"/>
          <w:bCs/>
        </w:rPr>
        <w:t xml:space="preserve">The responsible Minister, Ms Yvette Berry </w:t>
      </w:r>
      <w:r w:rsidRPr="00C3473D">
        <w:rPr>
          <w:rFonts w:asciiTheme="minorHAnsi" w:hAnsiTheme="minorHAnsi" w:cs="Calibri"/>
        </w:rPr>
        <w:t>MLA was consulted during the preparation of the Statement of Intent.</w:t>
      </w:r>
    </w:p>
    <w:p w:rsidR="008713D7" w:rsidRPr="00C3473D" w:rsidRDefault="008713D7" w:rsidP="00F50AA3">
      <w:pPr>
        <w:pStyle w:val="BodyText"/>
        <w:jc w:val="left"/>
        <w:rPr>
          <w:rFonts w:asciiTheme="minorHAnsi" w:hAnsiTheme="minorHAnsi" w:cs="Calibri"/>
        </w:rPr>
      </w:pPr>
      <w:r w:rsidRPr="00C3473D">
        <w:rPr>
          <w:rFonts w:asciiTheme="minorHAnsi" w:hAnsiTheme="minorHAnsi" w:cs="Calibri"/>
        </w:rPr>
        <w:t>The Statement of Intent</w:t>
      </w:r>
      <w:r>
        <w:rPr>
          <w:rFonts w:asciiTheme="minorHAnsi" w:hAnsiTheme="minorHAnsi" w:cs="Calibri"/>
        </w:rPr>
        <w:t>, which</w:t>
      </w:r>
      <w:r w:rsidRPr="00C3473D">
        <w:rPr>
          <w:rFonts w:asciiTheme="minorHAnsi" w:hAnsiTheme="minorHAnsi" w:cs="Calibri"/>
        </w:rPr>
        <w:t xml:space="preserve"> focuses on the 2018-19 Budget year</w:t>
      </w:r>
      <w:r>
        <w:rPr>
          <w:rFonts w:asciiTheme="minorHAnsi" w:hAnsiTheme="minorHAnsi" w:cs="Calibri"/>
        </w:rPr>
        <w:t xml:space="preserve"> has been developed in the context of</w:t>
      </w:r>
      <w:r w:rsidRPr="00C3473D">
        <w:rPr>
          <w:rFonts w:asciiTheme="minorHAnsi" w:hAnsiTheme="minorHAnsi" w:cs="Calibri"/>
        </w:rPr>
        <w:t xml:space="preserve"> a four year forward planning horizon </w:t>
      </w:r>
      <w:r>
        <w:rPr>
          <w:rFonts w:asciiTheme="minorHAnsi" w:hAnsiTheme="minorHAnsi" w:cs="Calibri"/>
        </w:rPr>
        <w:t xml:space="preserve">to be incorporated, as far as practicable, into the </w:t>
      </w:r>
      <w:r w:rsidRPr="00010339">
        <w:rPr>
          <w:rFonts w:asciiTheme="minorHAnsi" w:hAnsiTheme="minorHAnsi" w:cs="Calibri"/>
        </w:rPr>
        <w:t>Suburban Land Agency</w:t>
      </w:r>
      <w:r>
        <w:rPr>
          <w:rFonts w:asciiTheme="minorHAnsi" w:hAnsiTheme="minorHAnsi" w:cs="Calibri"/>
        </w:rPr>
        <w:t>’s</w:t>
      </w:r>
      <w:r w:rsidRPr="00010339">
        <w:rPr>
          <w:rFonts w:asciiTheme="minorHAnsi" w:hAnsiTheme="minorHAnsi"/>
        </w:rPr>
        <w:t xml:space="preserve"> </w:t>
      </w:r>
      <w:r w:rsidRPr="00010339">
        <w:rPr>
          <w:rFonts w:asciiTheme="minorHAnsi" w:hAnsiTheme="minorHAnsi" w:cs="Calibri"/>
        </w:rPr>
        <w:t>strategic an</w:t>
      </w:r>
      <w:r>
        <w:rPr>
          <w:rFonts w:asciiTheme="minorHAnsi" w:hAnsiTheme="minorHAnsi" w:cs="Calibri"/>
        </w:rPr>
        <w:t>d business planning processes.</w:t>
      </w:r>
    </w:p>
    <w:p w:rsidR="008713D7" w:rsidRDefault="008713D7" w:rsidP="00F50AA3">
      <w:pPr>
        <w:pStyle w:val="BodyText"/>
        <w:jc w:val="left"/>
        <w:rPr>
          <w:rFonts w:asciiTheme="minorHAnsi" w:hAnsiTheme="minorHAnsi" w:cs="Calibri"/>
          <w:lang w:val="en-US"/>
        </w:rPr>
      </w:pPr>
      <w:r w:rsidRPr="00C3473D">
        <w:rPr>
          <w:rFonts w:asciiTheme="minorHAnsi" w:hAnsiTheme="minorHAnsi" w:cs="Calibri"/>
          <w:lang w:val="en-US"/>
        </w:rPr>
        <w:t>The Suburban Land Agency</w:t>
      </w:r>
      <w:r w:rsidRPr="00C3473D">
        <w:rPr>
          <w:rFonts w:asciiTheme="minorHAnsi" w:hAnsiTheme="minorHAnsi"/>
        </w:rPr>
        <w:t xml:space="preserve"> </w:t>
      </w:r>
      <w:r w:rsidRPr="00C3473D">
        <w:rPr>
          <w:rFonts w:asciiTheme="minorHAnsi" w:hAnsiTheme="minorHAnsi" w:cs="Calibri"/>
          <w:lang w:val="en-US"/>
        </w:rPr>
        <w:t>2018-19 Statement of Intent has been agreed between:</w:t>
      </w:r>
    </w:p>
    <w:p w:rsidR="0044366E" w:rsidRDefault="0044366E" w:rsidP="008713D7">
      <w:pPr>
        <w:pStyle w:val="BodyText"/>
        <w:rPr>
          <w:rFonts w:asciiTheme="minorHAnsi" w:hAnsiTheme="minorHAnsi" w:cs="Calibri"/>
          <w:lang w:val="en-US"/>
        </w:rPr>
      </w:pPr>
    </w:p>
    <w:p w:rsidR="0044366E" w:rsidRDefault="0044366E" w:rsidP="008713D7">
      <w:pPr>
        <w:pStyle w:val="BodyText"/>
        <w:rPr>
          <w:rFonts w:asciiTheme="minorHAnsi" w:hAnsiTheme="minorHAnsi" w:cs="Calibri"/>
          <w:lang w:val="en-US"/>
        </w:rPr>
      </w:pPr>
    </w:p>
    <w:p w:rsidR="0044366E" w:rsidRDefault="0044366E" w:rsidP="008713D7">
      <w:pPr>
        <w:pStyle w:val="BodyText"/>
        <w:rPr>
          <w:rFonts w:asciiTheme="minorHAnsi" w:hAnsiTheme="minorHAnsi" w:cs="Calibri"/>
          <w:lang w:val="en-US"/>
        </w:rPr>
      </w:pPr>
    </w:p>
    <w:p w:rsidR="0044366E" w:rsidRDefault="0044366E" w:rsidP="008713D7">
      <w:pPr>
        <w:pStyle w:val="BodyText"/>
        <w:rPr>
          <w:rFonts w:asciiTheme="minorHAnsi" w:hAnsiTheme="minorHAnsi" w:cs="Calibri"/>
          <w:lang w:val="en-US"/>
        </w:rPr>
      </w:pPr>
    </w:p>
    <w:p w:rsidR="0044366E" w:rsidRPr="00C3473D" w:rsidRDefault="002467AD" w:rsidP="008713D7">
      <w:pPr>
        <w:pStyle w:val="BodyText"/>
        <w:rPr>
          <w:rFonts w:asciiTheme="minorHAnsi" w:hAnsiTheme="minorHAnsi" w:cs="Calibri"/>
          <w:lang w:val="en-US"/>
        </w:rPr>
      </w:pPr>
      <w:r w:rsidRPr="002467AD">
        <w:rPr>
          <w:rFonts w:asciiTheme="minorHAnsi" w:hAnsiTheme="minorHAnsi" w:cs="Calibri"/>
          <w:noProof/>
          <w:lang w:eastAsia="en-AU"/>
        </w:rPr>
        <w:drawing>
          <wp:inline distT="0" distB="0" distL="0" distR="0">
            <wp:extent cx="5731510" cy="3966318"/>
            <wp:effectExtent l="0" t="0" r="2540" b="0"/>
            <wp:docPr id="3" name="Picture 3" descr="C:\Users\nicole munyard\AppData\Local\Microsoft\Windows\Temporary Internet Files\Content.Outlook\8X9R0A7N\20180521181657981-(002)-Sig-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 munyard\AppData\Local\Microsoft\Windows\Temporary Internet Files\Content.Outlook\8X9R0A7N\20180521181657981-(002)-Sig-Block.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3966318"/>
                    </a:xfrm>
                    <a:prstGeom prst="rect">
                      <a:avLst/>
                    </a:prstGeom>
                    <a:noFill/>
                    <a:ln>
                      <a:noFill/>
                    </a:ln>
                  </pic:spPr>
                </pic:pic>
              </a:graphicData>
            </a:graphic>
          </wp:inline>
        </w:drawing>
      </w:r>
    </w:p>
    <w:p w:rsidR="008713D7" w:rsidRPr="00AB5AA0" w:rsidRDefault="008713D7" w:rsidP="00B632C2">
      <w:pPr>
        <w:pStyle w:val="Heading1"/>
        <w:pageBreakBefore/>
      </w:pPr>
      <w:bookmarkStart w:id="171" w:name="_Toc514840978"/>
      <w:bookmarkStart w:id="172" w:name="_Toc514841056"/>
      <w:r w:rsidRPr="00AB5AA0">
        <w:t>SUBURBAN LAND AGENCY</w:t>
      </w:r>
      <w:bookmarkEnd w:id="171"/>
      <w:bookmarkEnd w:id="172"/>
    </w:p>
    <w:p w:rsidR="008713D7" w:rsidRDefault="008713D7" w:rsidP="008713D7">
      <w:pPr>
        <w:pStyle w:val="Heading2"/>
      </w:pPr>
      <w:bookmarkStart w:id="173" w:name="_Toc514840979"/>
      <w:bookmarkStart w:id="174" w:name="_Toc514841057"/>
      <w:r>
        <w:t>Purpose</w:t>
      </w:r>
      <w:bookmarkEnd w:id="173"/>
      <w:bookmarkEnd w:id="174"/>
    </w:p>
    <w:p w:rsidR="008713D7" w:rsidRDefault="008713D7" w:rsidP="007E071D">
      <w:pPr>
        <w:pStyle w:val="Normal00"/>
        <w:spacing w:before="120" w:after="120"/>
      </w:pPr>
      <w:r>
        <w:t xml:space="preserve">The Suburban Land Agency is a Territory Authority established under the </w:t>
      </w:r>
      <w:r>
        <w:rPr>
          <w:i/>
        </w:rPr>
        <w:t>City Renewal Authority and Suburban Land Agency Act 2017</w:t>
      </w:r>
      <w:r>
        <w:t xml:space="preserve"> to deliver the ACT Government’s desired suburban land development</w:t>
      </w:r>
      <w:r w:rsidRPr="00954EED">
        <w:t>.</w:t>
      </w:r>
    </w:p>
    <w:p w:rsidR="008713D7" w:rsidRDefault="008713D7" w:rsidP="007E071D">
      <w:pPr>
        <w:pStyle w:val="Normal00"/>
        <w:spacing w:before="120" w:after="120"/>
      </w:pPr>
      <w:r>
        <w:t>Our vision is to deliver:</w:t>
      </w:r>
    </w:p>
    <w:p w:rsidR="008713D7" w:rsidRPr="00F20D9E" w:rsidRDefault="008713D7" w:rsidP="002467AD">
      <w:pPr>
        <w:pStyle w:val="Normal00"/>
        <w:spacing w:before="120" w:after="120"/>
        <w:ind w:firstLine="720"/>
        <w:rPr>
          <w:i/>
          <w:szCs w:val="24"/>
        </w:rPr>
      </w:pPr>
      <w:r w:rsidRPr="00F20D9E">
        <w:rPr>
          <w:i/>
          <w:szCs w:val="24"/>
        </w:rPr>
        <w:t>‘Great places, where communities thrive’</w:t>
      </w:r>
    </w:p>
    <w:p w:rsidR="008713D7" w:rsidRPr="0075415B" w:rsidRDefault="002467AD" w:rsidP="007E071D">
      <w:pPr>
        <w:pStyle w:val="Normal00"/>
        <w:spacing w:before="120" w:after="120"/>
      </w:pPr>
      <w:r>
        <w:t>The Suburban Land Agency’s</w:t>
      </w:r>
      <w:r w:rsidR="008713D7" w:rsidRPr="0075415B">
        <w:t xml:space="preserve"> </w:t>
      </w:r>
      <w:r w:rsidR="008713D7">
        <w:t>objectives are</w:t>
      </w:r>
      <w:r w:rsidR="008713D7" w:rsidRPr="0075415B">
        <w:t xml:space="preserve"> to:</w:t>
      </w:r>
    </w:p>
    <w:p w:rsidR="008713D7" w:rsidRPr="0075415B" w:rsidRDefault="008713D7" w:rsidP="00862CB5">
      <w:pPr>
        <w:pStyle w:val="BSbullet1"/>
        <w:numPr>
          <w:ilvl w:val="0"/>
          <w:numId w:val="78"/>
        </w:numPr>
      </w:pPr>
      <w:r w:rsidRPr="0075415B">
        <w:t>encourage and promote:</w:t>
      </w:r>
    </w:p>
    <w:p w:rsidR="008713D7" w:rsidRPr="0075415B" w:rsidRDefault="008713D7" w:rsidP="00862CB5">
      <w:pPr>
        <w:pStyle w:val="BSbullet20"/>
        <w:numPr>
          <w:ilvl w:val="2"/>
          <w:numId w:val="79"/>
        </w:numPr>
        <w:jc w:val="left"/>
      </w:pPr>
      <w:r w:rsidRPr="0075415B">
        <w:t>inclusive communities through the delivery of people-focussed neighbourhoods;</w:t>
      </w:r>
    </w:p>
    <w:p w:rsidR="007E071D" w:rsidRDefault="008713D7" w:rsidP="00862CB5">
      <w:pPr>
        <w:pStyle w:val="BSbullet20"/>
        <w:numPr>
          <w:ilvl w:val="2"/>
          <w:numId w:val="79"/>
        </w:numPr>
        <w:jc w:val="left"/>
      </w:pPr>
      <w:r w:rsidRPr="0075415B">
        <w:t xml:space="preserve">suburban development and urban renewal, other than in the City </w:t>
      </w:r>
      <w:r>
        <w:t>R</w:t>
      </w:r>
      <w:r w:rsidRPr="0075415B">
        <w:t xml:space="preserve">enewal </w:t>
      </w:r>
      <w:r>
        <w:t>P</w:t>
      </w:r>
      <w:r w:rsidRPr="0075415B">
        <w:t>recinct, that supports the following:</w:t>
      </w:r>
    </w:p>
    <w:p w:rsidR="008713D7" w:rsidRPr="0075415B" w:rsidRDefault="008713D7" w:rsidP="00862CB5">
      <w:pPr>
        <w:pStyle w:val="BSbullet20"/>
        <w:numPr>
          <w:ilvl w:val="3"/>
          <w:numId w:val="79"/>
        </w:numPr>
        <w:jc w:val="left"/>
      </w:pPr>
      <w:r w:rsidRPr="0075415B">
        <w:t>affordable living;</w:t>
      </w:r>
    </w:p>
    <w:p w:rsidR="008713D7" w:rsidRPr="0075415B" w:rsidRDefault="008713D7" w:rsidP="00862CB5">
      <w:pPr>
        <w:pStyle w:val="BSbullet20"/>
        <w:numPr>
          <w:ilvl w:val="3"/>
          <w:numId w:val="79"/>
        </w:numPr>
        <w:jc w:val="left"/>
      </w:pPr>
      <w:r w:rsidRPr="0075415B">
        <w:t>a safe and healthy population;</w:t>
      </w:r>
    </w:p>
    <w:p w:rsidR="008713D7" w:rsidRPr="0075415B" w:rsidRDefault="008713D7" w:rsidP="00862CB5">
      <w:pPr>
        <w:pStyle w:val="BSbullet20"/>
        <w:numPr>
          <w:ilvl w:val="3"/>
          <w:numId w:val="79"/>
        </w:numPr>
        <w:jc w:val="left"/>
      </w:pPr>
      <w:r w:rsidRPr="0075415B">
        <w:t>social inclusion;</w:t>
      </w:r>
    </w:p>
    <w:p w:rsidR="008713D7" w:rsidRPr="0075415B" w:rsidRDefault="008713D7" w:rsidP="00862CB5">
      <w:pPr>
        <w:pStyle w:val="BSbullet20"/>
        <w:numPr>
          <w:ilvl w:val="3"/>
          <w:numId w:val="79"/>
        </w:numPr>
        <w:jc w:val="left"/>
      </w:pPr>
      <w:r w:rsidRPr="0075415B">
        <w:t>housing choice;</w:t>
      </w:r>
    </w:p>
    <w:p w:rsidR="008713D7" w:rsidRPr="0075415B" w:rsidRDefault="008713D7" w:rsidP="00862CB5">
      <w:pPr>
        <w:pStyle w:val="BSbullet20"/>
        <w:numPr>
          <w:ilvl w:val="3"/>
          <w:numId w:val="79"/>
        </w:numPr>
        <w:jc w:val="left"/>
      </w:pPr>
      <w:r w:rsidRPr="0075415B">
        <w:t>environmental sustainability;</w:t>
      </w:r>
    </w:p>
    <w:p w:rsidR="008713D7" w:rsidRPr="0075415B" w:rsidRDefault="008713D7" w:rsidP="00862CB5">
      <w:pPr>
        <w:pStyle w:val="BSbullet20"/>
        <w:numPr>
          <w:ilvl w:val="2"/>
          <w:numId w:val="79"/>
        </w:numPr>
        <w:jc w:val="left"/>
      </w:pPr>
      <w:r w:rsidRPr="0075415B">
        <w:t>growth and diversification of the Territory’s economy; and</w:t>
      </w:r>
    </w:p>
    <w:p w:rsidR="008713D7" w:rsidRPr="0075415B" w:rsidRDefault="008713D7" w:rsidP="00862CB5">
      <w:pPr>
        <w:pStyle w:val="BSbullet1"/>
        <w:numPr>
          <w:ilvl w:val="0"/>
          <w:numId w:val="78"/>
        </w:numPr>
      </w:pPr>
      <w:r w:rsidRPr="0075415B">
        <w:t>operate effectively, in a way that delivers value for money, in accordance with sound risk management practices.</w:t>
      </w:r>
    </w:p>
    <w:p w:rsidR="008713D7" w:rsidRDefault="008713D7" w:rsidP="00B632C2">
      <w:pPr>
        <w:pStyle w:val="Heading2"/>
      </w:pPr>
      <w:bookmarkStart w:id="175" w:name="_Toc514840980"/>
      <w:bookmarkStart w:id="176" w:name="_Toc514841058"/>
      <w:r>
        <w:t>Nature and scope of activities</w:t>
      </w:r>
      <w:bookmarkEnd w:id="175"/>
      <w:bookmarkEnd w:id="176"/>
    </w:p>
    <w:p w:rsidR="008713D7" w:rsidRDefault="008713D7" w:rsidP="00F50AA3">
      <w:pPr>
        <w:pStyle w:val="BodyText0"/>
        <w:keepNext w:val="0"/>
        <w:keepLines w:val="0"/>
        <w:spacing w:before="240" w:after="0"/>
        <w:jc w:val="left"/>
      </w:pPr>
      <w:r>
        <w:t>The Suburban Land Agency develops and releases government-owned land for residential, commercial, industrial and community purposes.</w:t>
      </w:r>
    </w:p>
    <w:p w:rsidR="008713D7" w:rsidRDefault="008713D7" w:rsidP="00F50AA3">
      <w:pPr>
        <w:pStyle w:val="BodyText0"/>
        <w:keepNext w:val="0"/>
        <w:keepLines w:val="0"/>
        <w:spacing w:before="240" w:after="0"/>
        <w:jc w:val="left"/>
      </w:pPr>
      <w:r>
        <w:t>The Suburban Land Agency:</w:t>
      </w:r>
    </w:p>
    <w:p w:rsidR="008713D7" w:rsidRDefault="008713D7" w:rsidP="00186F9A">
      <w:pPr>
        <w:pStyle w:val="BSbullet1"/>
      </w:pPr>
      <w:r>
        <w:t>buys and sells leases of land on behalf of the Territory;</w:t>
      </w:r>
    </w:p>
    <w:p w:rsidR="008713D7" w:rsidRDefault="008713D7" w:rsidP="00186F9A">
      <w:pPr>
        <w:pStyle w:val="BSbullet1"/>
      </w:pPr>
      <w:r>
        <w:t>ensures a mixture of public and private housing in new suburbs;</w:t>
      </w:r>
    </w:p>
    <w:p w:rsidR="008713D7" w:rsidRDefault="008713D7" w:rsidP="00186F9A">
      <w:pPr>
        <w:pStyle w:val="BSbullet1"/>
      </w:pPr>
      <w:r>
        <w:t>increases the supply of affordable and community housing;</w:t>
      </w:r>
    </w:p>
    <w:p w:rsidR="008713D7" w:rsidRDefault="008713D7" w:rsidP="00186F9A">
      <w:pPr>
        <w:pStyle w:val="BSbullet1"/>
      </w:pPr>
      <w:r>
        <w:t>meets housing targets;</w:t>
      </w:r>
    </w:p>
    <w:p w:rsidR="008713D7" w:rsidRDefault="008713D7" w:rsidP="00186F9A">
      <w:pPr>
        <w:pStyle w:val="BSbullet1"/>
      </w:pPr>
      <w:r>
        <w:t>carries out development of land in a manner that is environmentally sustainable;</w:t>
      </w:r>
    </w:p>
    <w:p w:rsidR="008713D7" w:rsidRDefault="008713D7" w:rsidP="00852AB5">
      <w:pPr>
        <w:pStyle w:val="BSbullet1"/>
      </w:pPr>
      <w:r>
        <w:t xml:space="preserve">exercises its functions in a way that </w:t>
      </w:r>
      <w:r w:rsidRPr="00F20D9E">
        <w:t>support</w:t>
      </w:r>
      <w:r w:rsidRPr="00817C2A">
        <w:t>s statutory greenhouse gas emissions targets and delivers environmentally sustainable development</w:t>
      </w:r>
      <w:r>
        <w:t>; and</w:t>
      </w:r>
    </w:p>
    <w:p w:rsidR="008713D7" w:rsidRDefault="008713D7" w:rsidP="00852AB5">
      <w:pPr>
        <w:pStyle w:val="BSbullet1"/>
      </w:pPr>
      <w:r>
        <w:t>follows and supports whole of government strategies.</w:t>
      </w:r>
    </w:p>
    <w:p w:rsidR="008713D7" w:rsidRDefault="008713D7" w:rsidP="00F50AA3">
      <w:pPr>
        <w:pStyle w:val="BodyText0"/>
        <w:keepNext w:val="0"/>
        <w:keepLines w:val="0"/>
        <w:spacing w:before="240" w:after="0"/>
        <w:jc w:val="left"/>
      </w:pPr>
      <w:r>
        <w:t>The Suburban Land Agency works with other entities to encourage cohesive suburban development.</w:t>
      </w:r>
    </w:p>
    <w:p w:rsidR="008713D7" w:rsidRDefault="008713D7" w:rsidP="00F50AA3">
      <w:pPr>
        <w:pStyle w:val="BodyText0"/>
        <w:keepNext w:val="0"/>
        <w:keepLines w:val="0"/>
        <w:spacing w:before="240" w:after="0"/>
        <w:jc w:val="left"/>
        <w:rPr>
          <w:rFonts w:cs="Calibri"/>
        </w:rPr>
      </w:pPr>
      <w:r>
        <w:rPr>
          <w:rFonts w:cs="Calibri"/>
        </w:rPr>
        <w:t>By acting in a trustworthy, responsible and professional way, the Suburban Land Agency will:</w:t>
      </w:r>
    </w:p>
    <w:p w:rsidR="008713D7" w:rsidRDefault="008713D7" w:rsidP="003C0280">
      <w:pPr>
        <w:pStyle w:val="BSbullet1"/>
      </w:pPr>
      <w:r>
        <w:t>work efficiently and provide agreed returns to the Territory;</w:t>
      </w:r>
    </w:p>
    <w:p w:rsidR="008713D7" w:rsidRDefault="008713D7" w:rsidP="003C0280">
      <w:pPr>
        <w:pStyle w:val="BSbullet1"/>
      </w:pPr>
      <w:r>
        <w:t>consider the long-term sustainability of the Territory in all key commercial decisions on greenfield land in the ACT;</w:t>
      </w:r>
    </w:p>
    <w:p w:rsidR="008713D7" w:rsidRDefault="008713D7" w:rsidP="003C0280">
      <w:pPr>
        <w:pStyle w:val="BSbullet1"/>
      </w:pPr>
      <w:r>
        <w:t>encourage and support innovation to build a city for the future including transport, water supply, sustainable environments, connectivity and energy efficiency;</w:t>
      </w:r>
    </w:p>
    <w:p w:rsidR="008713D7" w:rsidRDefault="008713D7" w:rsidP="003C0280">
      <w:pPr>
        <w:pStyle w:val="BSbullet1"/>
      </w:pPr>
      <w:r>
        <w:t>deliver the Government’s Indicative Land Release Program (further details of this can be found in Table 4); and</w:t>
      </w:r>
    </w:p>
    <w:p w:rsidR="008713D7" w:rsidRDefault="008713D7" w:rsidP="003C0280">
      <w:pPr>
        <w:pStyle w:val="BSbullet1"/>
      </w:pPr>
      <w:r>
        <w:t>engage with the community in a clear, honest and professional way about the land development process and projects.</w:t>
      </w:r>
    </w:p>
    <w:p w:rsidR="008713D7" w:rsidRDefault="008713D7" w:rsidP="00F50AA3">
      <w:pPr>
        <w:pStyle w:val="BodyText0"/>
        <w:keepNext w:val="0"/>
        <w:keepLines w:val="0"/>
        <w:spacing w:before="240" w:after="0"/>
        <w:jc w:val="left"/>
        <w:rPr>
          <w:rFonts w:cs="Calibri"/>
        </w:rPr>
      </w:pPr>
      <w:r>
        <w:rPr>
          <w:rFonts w:cs="Calibri"/>
        </w:rPr>
        <w:t>In balancing public sector and commercial priorities, the Suburban Land Agency will grow and maintain good relationships with the private sector and across the ACT Government.</w:t>
      </w:r>
    </w:p>
    <w:p w:rsidR="008713D7" w:rsidRDefault="008713D7" w:rsidP="008713D7">
      <w:pPr>
        <w:pStyle w:val="BodyText0"/>
        <w:keepNext w:val="0"/>
        <w:keepLines w:val="0"/>
        <w:spacing w:before="240" w:after="0"/>
        <w:rPr>
          <w:rFonts w:cs="Calibri"/>
          <w:b/>
        </w:rPr>
      </w:pPr>
      <w:bookmarkStart w:id="177" w:name="_Toc493064824"/>
      <w:r>
        <w:rPr>
          <w:rFonts w:cs="Calibri"/>
          <w:b/>
        </w:rPr>
        <w:t>Government’s Expectations</w:t>
      </w:r>
    </w:p>
    <w:p w:rsidR="008713D7" w:rsidRDefault="008713D7" w:rsidP="00F50AA3">
      <w:pPr>
        <w:pStyle w:val="BodyText0"/>
        <w:keepNext w:val="0"/>
        <w:keepLines w:val="0"/>
        <w:spacing w:before="240" w:after="0"/>
        <w:jc w:val="left"/>
        <w:rPr>
          <w:rFonts w:cs="Calibri"/>
        </w:rPr>
      </w:pPr>
      <w:r>
        <w:rPr>
          <w:rFonts w:cs="Calibri"/>
        </w:rPr>
        <w:t xml:space="preserve">Correspondence updating the Minister’s expectations of the Suburban Land Agency was received on </w:t>
      </w:r>
      <w:r w:rsidRPr="002031E6">
        <w:rPr>
          <w:rFonts w:cs="Calibri"/>
        </w:rPr>
        <w:t>19 April 2018</w:t>
      </w:r>
      <w:r>
        <w:rPr>
          <w:rFonts w:cs="Calibri"/>
        </w:rPr>
        <w:t>.  It reaffirmed the Government’s expectations as set out in the previous advice of 25 August 2017.  Specific emphasis was included in the updated advice regarding better practice information management and governance, active participation in and contribution to land and housing planning, assisting others with the Suburban Land Agency’s experience and knowledge, and ensuring the Suburban Land Agency embodies the Government’s commitment to true gender equality.</w:t>
      </w:r>
    </w:p>
    <w:p w:rsidR="008713D7" w:rsidRDefault="008713D7" w:rsidP="008713D7">
      <w:pPr>
        <w:pStyle w:val="BodyText0"/>
        <w:spacing w:before="240" w:after="0"/>
        <w:rPr>
          <w:rFonts w:cs="Calibri"/>
          <w:b/>
        </w:rPr>
      </w:pPr>
      <w:r>
        <w:rPr>
          <w:rFonts w:cs="Calibri"/>
          <w:b/>
        </w:rPr>
        <w:t>ACT Government and Other Planning Strategies</w:t>
      </w:r>
    </w:p>
    <w:p w:rsidR="008713D7" w:rsidRDefault="008713D7" w:rsidP="00F50AA3">
      <w:pPr>
        <w:pStyle w:val="BodyText0"/>
        <w:spacing w:before="240" w:after="0"/>
        <w:jc w:val="left"/>
      </w:pPr>
      <w:r>
        <w:t xml:space="preserve">The ACT Government in its </w:t>
      </w:r>
      <w:r w:rsidRPr="005B2A70">
        <w:rPr>
          <w:i/>
        </w:rPr>
        <w:t>Statement of Planning Intent 2015</w:t>
      </w:r>
      <w:r>
        <w:t>, sets out the key planning priorities for the ACT Government.  These priorities remain unchanged.  The statement aims to create a more compact and sustainable city that is inclusive, vibrant, connected, prosperous and environmentally responsible.  It encourages quality design of public spaces to promote innovation and flexibility in the planning system and to effectively manage planning and design outcomes.</w:t>
      </w:r>
    </w:p>
    <w:p w:rsidR="008713D7" w:rsidRDefault="008713D7" w:rsidP="00F50AA3">
      <w:pPr>
        <w:pStyle w:val="BodyText0"/>
        <w:spacing w:after="0"/>
        <w:jc w:val="left"/>
      </w:pPr>
      <w:r>
        <w:t>In its development of new estates, suburbs and communities, the Suburban Land Agency will provide support in recognising and responding to the community’s desire for:</w:t>
      </w:r>
    </w:p>
    <w:p w:rsidR="008713D7" w:rsidRDefault="008713D7" w:rsidP="003C0280">
      <w:pPr>
        <w:pStyle w:val="BSbullet1"/>
      </w:pPr>
      <w:r>
        <w:t xml:space="preserve">compact and sustainable neighbourhoods; </w:t>
      </w:r>
    </w:p>
    <w:p w:rsidR="008713D7" w:rsidRDefault="008713D7" w:rsidP="003C0280">
      <w:pPr>
        <w:pStyle w:val="BSbullet1"/>
      </w:pPr>
      <w:r>
        <w:t>collaboration between the public and private sectors;</w:t>
      </w:r>
    </w:p>
    <w:p w:rsidR="008713D7" w:rsidRDefault="008713D7" w:rsidP="003C0280">
      <w:pPr>
        <w:pStyle w:val="BSbullet1"/>
      </w:pPr>
      <w:r>
        <w:t>housing choice and affordability;</w:t>
      </w:r>
    </w:p>
    <w:p w:rsidR="008713D7" w:rsidRDefault="008713D7" w:rsidP="003C0280">
      <w:pPr>
        <w:pStyle w:val="BSbullet1"/>
      </w:pPr>
      <w:r>
        <w:t>improved quality of urban design in public spaces; and</w:t>
      </w:r>
    </w:p>
    <w:p w:rsidR="008713D7" w:rsidRDefault="008713D7" w:rsidP="003C0280">
      <w:pPr>
        <w:pStyle w:val="BSbullet1"/>
      </w:pPr>
      <w:r>
        <w:t>showcasing sustainability and quality design in new developments and precincts.</w:t>
      </w:r>
    </w:p>
    <w:p w:rsidR="008713D7" w:rsidRDefault="008713D7" w:rsidP="00F50AA3">
      <w:pPr>
        <w:pStyle w:val="BodyText0"/>
        <w:keepNext w:val="0"/>
        <w:keepLines w:val="0"/>
        <w:spacing w:before="240" w:after="0"/>
        <w:jc w:val="left"/>
        <w:rPr>
          <w:rFonts w:cs="Calibri"/>
        </w:rPr>
      </w:pPr>
      <w:r>
        <w:t xml:space="preserve">The Suburban Land Agency complies with ACT Government and Commonwealth legislation, codes and policies in its operations and land development activities.  </w:t>
      </w:r>
      <w:r>
        <w:rPr>
          <w:rFonts w:cs="Calibri"/>
        </w:rPr>
        <w:t>Relevant planning strategies and codes are incorporated into all residential estates.  These strategies, codes and other items include, but are not limited to, the:</w:t>
      </w:r>
    </w:p>
    <w:p w:rsidR="008713D7" w:rsidRDefault="008713D7" w:rsidP="003C0280">
      <w:pPr>
        <w:pStyle w:val="BSbullet1"/>
      </w:pPr>
      <w:r w:rsidRPr="003C0280">
        <w:rPr>
          <w:i/>
        </w:rPr>
        <w:t>Estate Development Code</w:t>
      </w:r>
      <w:r>
        <w:t>;</w:t>
      </w:r>
    </w:p>
    <w:p w:rsidR="008713D7" w:rsidRDefault="008713D7" w:rsidP="003C0280">
      <w:pPr>
        <w:pStyle w:val="BSbullet1"/>
      </w:pPr>
      <w:r w:rsidRPr="003C0280">
        <w:rPr>
          <w:i/>
        </w:rPr>
        <w:t>Crime Prevention through Environmental Design General Code</w:t>
      </w:r>
      <w:r>
        <w:t>;</w:t>
      </w:r>
    </w:p>
    <w:p w:rsidR="008713D7" w:rsidRDefault="008713D7" w:rsidP="003C0280">
      <w:pPr>
        <w:pStyle w:val="BSbullet1"/>
      </w:pPr>
      <w:r w:rsidRPr="003C0280">
        <w:rPr>
          <w:i/>
        </w:rPr>
        <w:t>Waterways: Water Sensitive Urban Design General Code</w:t>
      </w:r>
      <w:r>
        <w:t>;</w:t>
      </w:r>
    </w:p>
    <w:p w:rsidR="008713D7" w:rsidRDefault="008713D7" w:rsidP="003C0280">
      <w:pPr>
        <w:pStyle w:val="BSbullet1"/>
      </w:pPr>
      <w:r>
        <w:t>Structure Plans, Concept Plans or Precinct Codes for the identified area;</w:t>
      </w:r>
    </w:p>
    <w:p w:rsidR="008713D7" w:rsidRDefault="008713D7" w:rsidP="003C0280">
      <w:pPr>
        <w:pStyle w:val="BSbullet1"/>
      </w:pPr>
      <w:r w:rsidRPr="003C0280">
        <w:rPr>
          <w:i/>
        </w:rPr>
        <w:t>Environmental Protection Act 1997</w:t>
      </w:r>
      <w:r>
        <w:t>;</w:t>
      </w:r>
    </w:p>
    <w:p w:rsidR="008713D7" w:rsidRPr="005B2A70" w:rsidRDefault="008713D7" w:rsidP="003C0280">
      <w:pPr>
        <w:pStyle w:val="BSbullet1"/>
      </w:pPr>
      <w:r w:rsidRPr="003C0280">
        <w:rPr>
          <w:i/>
        </w:rPr>
        <w:t>Nature Conservation Strategy 2013-2023</w:t>
      </w:r>
      <w:r w:rsidRPr="005B2A70">
        <w:t>;</w:t>
      </w:r>
    </w:p>
    <w:p w:rsidR="008713D7" w:rsidRDefault="008713D7" w:rsidP="003C0280">
      <w:pPr>
        <w:pStyle w:val="BSbullet1"/>
      </w:pPr>
      <w:r w:rsidRPr="003C0280">
        <w:rPr>
          <w:i/>
        </w:rPr>
        <w:t>Heritage Act 2004</w:t>
      </w:r>
      <w:r>
        <w:t xml:space="preserve"> and </w:t>
      </w:r>
      <w:r w:rsidRPr="003C0280">
        <w:rPr>
          <w:i/>
        </w:rPr>
        <w:t>Environment Protection and Biodiversity Conservation Act 1999</w:t>
      </w:r>
      <w:r w:rsidRPr="0075415B">
        <w:t xml:space="preserve"> (Cwth)</w:t>
      </w:r>
      <w:r>
        <w:t>;</w:t>
      </w:r>
    </w:p>
    <w:p w:rsidR="008713D7" w:rsidRDefault="008713D7" w:rsidP="003C0280">
      <w:pPr>
        <w:pStyle w:val="BSbullet1"/>
      </w:pPr>
      <w:r w:rsidRPr="003C0280">
        <w:rPr>
          <w:i/>
        </w:rPr>
        <w:t>Climate Change and Greenhouse Gas Reduction Act 2010</w:t>
      </w:r>
      <w:r>
        <w:t>;</w:t>
      </w:r>
    </w:p>
    <w:p w:rsidR="008713D7" w:rsidRDefault="008713D7" w:rsidP="003C0280">
      <w:pPr>
        <w:pStyle w:val="BSbullet1"/>
      </w:pPr>
      <w:r w:rsidRPr="003C0280">
        <w:rPr>
          <w:i/>
        </w:rPr>
        <w:t>ACT Climate Change Adaptation Strategy 2016</w:t>
      </w:r>
      <w:r>
        <w:t>;</w:t>
      </w:r>
    </w:p>
    <w:p w:rsidR="008713D7" w:rsidRDefault="008713D7" w:rsidP="003C0280">
      <w:pPr>
        <w:pStyle w:val="BSbullet1"/>
      </w:pPr>
      <w:r w:rsidRPr="003C0280">
        <w:rPr>
          <w:i/>
        </w:rPr>
        <w:t>Design Standards for Urban Infrastructure</w:t>
      </w:r>
      <w:r>
        <w:t>;</w:t>
      </w:r>
    </w:p>
    <w:p w:rsidR="008713D7" w:rsidRDefault="008713D7" w:rsidP="003C0280">
      <w:pPr>
        <w:pStyle w:val="BSbullet1"/>
      </w:pPr>
      <w:r w:rsidRPr="003C0280">
        <w:rPr>
          <w:i/>
        </w:rPr>
        <w:t>Active Travel Framework</w:t>
      </w:r>
      <w:r>
        <w:t>; and</w:t>
      </w:r>
    </w:p>
    <w:p w:rsidR="008713D7" w:rsidRPr="00FC0041" w:rsidRDefault="008713D7" w:rsidP="003C0280">
      <w:pPr>
        <w:pStyle w:val="BSbullet1"/>
      </w:pPr>
      <w:r w:rsidRPr="00FC0041">
        <w:t xml:space="preserve">Affordable housing targets set in accordance with the </w:t>
      </w:r>
      <w:r w:rsidRPr="003C0280">
        <w:rPr>
          <w:i/>
        </w:rPr>
        <w:t>City Renewal Authority and Suburban Land Agency Act 2017</w:t>
      </w:r>
      <w:r w:rsidRPr="00FC0041">
        <w:t xml:space="preserve"> and the </w:t>
      </w:r>
      <w:r w:rsidRPr="003C0280">
        <w:rPr>
          <w:i/>
        </w:rPr>
        <w:t>Affordable Housing Action Plan</w:t>
      </w:r>
      <w:r>
        <w:t>.</w:t>
      </w:r>
    </w:p>
    <w:p w:rsidR="008713D7" w:rsidRPr="003C0280" w:rsidRDefault="008713D7" w:rsidP="003C0280">
      <w:pPr>
        <w:pStyle w:val="BodyText0"/>
        <w:spacing w:before="240" w:after="0"/>
        <w:rPr>
          <w:rFonts w:cs="Calibri"/>
          <w:b/>
        </w:rPr>
      </w:pPr>
      <w:bookmarkStart w:id="178" w:name="_Toc514763829"/>
      <w:r w:rsidRPr="003C0280">
        <w:rPr>
          <w:rFonts w:cs="Calibri"/>
          <w:b/>
        </w:rPr>
        <w:t>Land Supply</w:t>
      </w:r>
      <w:bookmarkEnd w:id="178"/>
    </w:p>
    <w:p w:rsidR="008713D7" w:rsidRDefault="008713D7" w:rsidP="00F50AA3">
      <w:pPr>
        <w:pStyle w:val="BodyText0"/>
        <w:keepNext w:val="0"/>
        <w:keepLines w:val="0"/>
        <w:spacing w:before="240" w:after="0"/>
        <w:jc w:val="left"/>
      </w:pPr>
      <w:r>
        <w:t>The ACT Government updates and publishes its indicative land release program each year.  The Suburban Land Agency was consulted in the development of the 2018-19 to 2021-22 Indicative Land Release Program (</w:t>
      </w:r>
      <w:r>
        <w:rPr>
          <w:rFonts w:cs="Calibri"/>
        </w:rPr>
        <w:t>Indicative Land Release Program</w:t>
      </w:r>
      <w:r>
        <w:t>).</w:t>
      </w:r>
    </w:p>
    <w:p w:rsidR="008713D7" w:rsidRDefault="008713D7" w:rsidP="00F50AA3">
      <w:pPr>
        <w:pStyle w:val="BodyText0"/>
        <w:keepNext w:val="0"/>
        <w:keepLines w:val="0"/>
        <w:spacing w:before="240" w:after="0"/>
        <w:jc w:val="left"/>
      </w:pPr>
      <w:r>
        <w:t xml:space="preserve">The </w:t>
      </w:r>
      <w:r>
        <w:rPr>
          <w:rFonts w:cs="Calibri"/>
        </w:rPr>
        <w:t>Indicative Land Release Program</w:t>
      </w:r>
      <w:r>
        <w:t xml:space="preserve"> includes residential, commercial, industrial and community releases.  It aims to meet market needs by providing a range of land choices that allow for a variety of housing types, and community and mixed use developments.  The </w:t>
      </w:r>
      <w:r>
        <w:rPr>
          <w:rFonts w:cs="Calibri"/>
        </w:rPr>
        <w:t>Indicative Land Release Program</w:t>
      </w:r>
      <w:r>
        <w:t xml:space="preserve"> represents an important part of the ACT Government’s economic, social and environmental strategic planning framework.</w:t>
      </w:r>
    </w:p>
    <w:p w:rsidR="008713D7" w:rsidRDefault="008713D7" w:rsidP="00F50AA3">
      <w:pPr>
        <w:pStyle w:val="BodyText0"/>
        <w:keepNext w:val="0"/>
        <w:keepLines w:val="0"/>
        <w:spacing w:before="240" w:after="0"/>
        <w:jc w:val="left"/>
      </w:pPr>
      <w:r>
        <w:t xml:space="preserve">The </w:t>
      </w:r>
      <w:r>
        <w:rPr>
          <w:rFonts w:cs="Calibri"/>
        </w:rPr>
        <w:t>Indicative Land Release Program</w:t>
      </w:r>
      <w:r w:rsidDel="00BA2F63">
        <w:t xml:space="preserve"> </w:t>
      </w:r>
      <w:r>
        <w:t>gives guidance on how the ACT Government intends to release land.  This information can be useful for a range of people and organisations such as property developers, builders, homeowners, investors, community organisations, and business and industry sectors.</w:t>
      </w:r>
    </w:p>
    <w:p w:rsidR="008713D7" w:rsidRDefault="008713D7" w:rsidP="00F50AA3">
      <w:pPr>
        <w:pStyle w:val="BodyText0"/>
        <w:keepNext w:val="0"/>
        <w:keepLines w:val="0"/>
        <w:spacing w:before="240" w:after="0"/>
        <w:jc w:val="left"/>
      </w:pPr>
      <w:r>
        <w:t>The Suburban Land Agency is responsible for managing the release of land for residential, commercial, industrial and community purposes specified under the program through:</w:t>
      </w:r>
    </w:p>
    <w:p w:rsidR="008713D7" w:rsidRDefault="008713D7" w:rsidP="003C0280">
      <w:pPr>
        <w:pStyle w:val="BSbullet1"/>
      </w:pPr>
      <w:r>
        <w:t>releasing serviced sites from its own greenfield estates, urban renewal and infill locations;</w:t>
      </w:r>
    </w:p>
    <w:p w:rsidR="008713D7" w:rsidRDefault="008713D7" w:rsidP="003C0280">
      <w:pPr>
        <w:pStyle w:val="BSbullet1"/>
      </w:pPr>
      <w:r>
        <w:t>partnering with others in joint venture developments;</w:t>
      </w:r>
    </w:p>
    <w:p w:rsidR="008713D7" w:rsidRDefault="008713D7" w:rsidP="003C0280">
      <w:pPr>
        <w:pStyle w:val="BSbullet1"/>
      </w:pPr>
      <w:r>
        <w:t>releasing large areas of raw land directly to the private sector (englobo releases); and</w:t>
      </w:r>
    </w:p>
    <w:p w:rsidR="008713D7" w:rsidRDefault="008713D7" w:rsidP="003C0280">
      <w:pPr>
        <w:pStyle w:val="BSbullet1"/>
      </w:pPr>
      <w:r>
        <w:t>giving feedback to the Environment, Planning and Sustainable Development Directorate (the Directorate) about the delivery of the Indicative Land Release Program, including any suggested refinements.</w:t>
      </w:r>
    </w:p>
    <w:p w:rsidR="008713D7" w:rsidRDefault="008713D7" w:rsidP="00B632C2">
      <w:pPr>
        <w:pStyle w:val="Heading2"/>
      </w:pPr>
      <w:bookmarkStart w:id="179" w:name="_Toc511144489"/>
      <w:bookmarkStart w:id="180" w:name="_Toc493064823"/>
      <w:bookmarkStart w:id="181" w:name="_Toc514840981"/>
      <w:bookmarkStart w:id="182" w:name="_Toc514841059"/>
      <w:bookmarkEnd w:id="177"/>
      <w:r>
        <w:t>Risks</w:t>
      </w:r>
      <w:bookmarkEnd w:id="179"/>
      <w:bookmarkEnd w:id="180"/>
      <w:bookmarkEnd w:id="181"/>
      <w:bookmarkEnd w:id="182"/>
    </w:p>
    <w:p w:rsidR="008713D7" w:rsidRDefault="008713D7" w:rsidP="00F50AA3">
      <w:pPr>
        <w:pStyle w:val="Normal2"/>
        <w:spacing w:before="240"/>
      </w:pPr>
      <w:r>
        <w:t>The Suburban Land Agency maintains a risk register that identifies risks under the following categories:</w:t>
      </w:r>
    </w:p>
    <w:p w:rsidR="008713D7" w:rsidRDefault="008713D7" w:rsidP="003C0280">
      <w:pPr>
        <w:pStyle w:val="BSbullet1"/>
      </w:pPr>
      <w:r>
        <w:t>Strategic – ACT and Commonwealth Government policy, priorities and strategies; external conditions, activities and environment; and meeting community and government expectations.</w:t>
      </w:r>
    </w:p>
    <w:p w:rsidR="008713D7" w:rsidRDefault="008713D7" w:rsidP="003C0280">
      <w:pPr>
        <w:pStyle w:val="BSbullet1"/>
      </w:pPr>
      <w:r>
        <w:t>Operational – Management of financial and non-financial targets, business and financial systems and processes, work health and safety, organisational and workforce planning, projects and land development, and effective governance.</w:t>
      </w:r>
    </w:p>
    <w:p w:rsidR="008713D7" w:rsidRDefault="008713D7" w:rsidP="003C0280">
      <w:pPr>
        <w:pStyle w:val="BSbullet1"/>
      </w:pPr>
      <w:r>
        <w:t>Fraud and Corruption – Management of information including compliant records management, procedures, procurement, resources and contracts.</w:t>
      </w:r>
    </w:p>
    <w:p w:rsidR="008713D7" w:rsidRDefault="008713D7" w:rsidP="00F50AA3">
      <w:pPr>
        <w:pStyle w:val="BodyText0"/>
        <w:keepNext w:val="0"/>
        <w:keepLines w:val="0"/>
        <w:tabs>
          <w:tab w:val="num" w:pos="567"/>
        </w:tabs>
        <w:spacing w:after="0"/>
        <w:jc w:val="left"/>
        <w:rPr>
          <w:rFonts w:cs="Calibri"/>
        </w:rPr>
      </w:pPr>
      <w:r>
        <w:rPr>
          <w:rFonts w:cs="Calibri"/>
        </w:rPr>
        <w:t>The risk priorities of the Suburban Land Agency are:</w:t>
      </w:r>
    </w:p>
    <w:p w:rsidR="008713D7" w:rsidRDefault="008713D7" w:rsidP="003C0280">
      <w:pPr>
        <w:pStyle w:val="BSbullet1"/>
      </w:pPr>
      <w:r>
        <w:t>Safety – ensuring that work health and safety risk is identified, managed and actively monitored.</w:t>
      </w:r>
    </w:p>
    <w:p w:rsidR="008713D7" w:rsidRDefault="008713D7" w:rsidP="003C0280">
      <w:pPr>
        <w:pStyle w:val="BSbullet1"/>
      </w:pPr>
      <w:r>
        <w:t>Effectiveness – striving to deliver quality outcomes the first time.</w:t>
      </w:r>
    </w:p>
    <w:p w:rsidR="008713D7" w:rsidRDefault="008713D7" w:rsidP="003C0280">
      <w:pPr>
        <w:pStyle w:val="BSbullet1"/>
      </w:pPr>
      <w:r>
        <w:t>Efficiency – delivering value for money to the ACT community.</w:t>
      </w:r>
    </w:p>
    <w:p w:rsidR="001A57CC" w:rsidRDefault="001A57CC">
      <w:pPr>
        <w:spacing w:before="0" w:after="0"/>
        <w:rPr>
          <w:b/>
          <w:snapToGrid w:val="0"/>
          <w:sz w:val="32"/>
        </w:rPr>
      </w:pPr>
      <w:bookmarkStart w:id="183" w:name="_Toc511144490"/>
      <w:r>
        <w:br w:type="page"/>
      </w:r>
    </w:p>
    <w:p w:rsidR="008713D7" w:rsidRDefault="008713D7" w:rsidP="00B632C2">
      <w:pPr>
        <w:pStyle w:val="Heading2"/>
      </w:pPr>
      <w:bookmarkStart w:id="184" w:name="_Toc514840982"/>
      <w:bookmarkStart w:id="185" w:name="_Toc514841060"/>
      <w:r>
        <w:t>Priorities and Strategies for 2018-19 to 2021-22</w:t>
      </w:r>
      <w:bookmarkEnd w:id="183"/>
      <w:bookmarkEnd w:id="184"/>
      <w:bookmarkEnd w:id="185"/>
    </w:p>
    <w:p w:rsidR="008713D7" w:rsidRDefault="008713D7" w:rsidP="00BB6FC5">
      <w:pPr>
        <w:pStyle w:val="BodyText1"/>
        <w:keepNext w:val="0"/>
        <w:keepLines w:val="0"/>
        <w:spacing w:before="240" w:after="0"/>
        <w:jc w:val="left"/>
        <w:rPr>
          <w:rFonts w:cs="Calibri"/>
        </w:rPr>
      </w:pPr>
      <w:r>
        <w:rPr>
          <w:rFonts w:cs="Calibri"/>
        </w:rPr>
        <w:t>The Suburban Land Agency has the following strategic priorities to support achievement of its purpose, manage risks and deliver on ACT Government policies and priorities for 2018-19 to 2021-22:</w:t>
      </w:r>
    </w:p>
    <w:p w:rsidR="008713D7" w:rsidRDefault="008713D7" w:rsidP="008713D7">
      <w:pPr>
        <w:pStyle w:val="BodyText1"/>
        <w:keepNext w:val="0"/>
        <w:keepLines w:val="0"/>
        <w:spacing w:before="240" w:after="0"/>
        <w:rPr>
          <w:rFonts w:cs="Calibri"/>
          <w:b/>
        </w:rPr>
      </w:pPr>
      <w:r>
        <w:rPr>
          <w:rFonts w:cs="Calibri"/>
          <w:b/>
        </w:rPr>
        <w:t>Culture</w:t>
      </w:r>
    </w:p>
    <w:p w:rsidR="008713D7" w:rsidRDefault="008713D7" w:rsidP="00862CB5">
      <w:pPr>
        <w:pStyle w:val="BodyText1"/>
        <w:keepNext w:val="0"/>
        <w:keepLines w:val="0"/>
        <w:numPr>
          <w:ilvl w:val="0"/>
          <w:numId w:val="64"/>
        </w:numPr>
        <w:spacing w:after="0"/>
        <w:ind w:left="709"/>
        <w:jc w:val="left"/>
        <w:rPr>
          <w:rFonts w:cs="Calibri"/>
        </w:rPr>
      </w:pPr>
      <w:r>
        <w:rPr>
          <w:rFonts w:cs="Calibri"/>
        </w:rPr>
        <w:t>A trusted organisation, delivering in partnership with Government, industry and the community.</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Values driven behaviour.</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Engaged and empowered staff.</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Staff embrace and model respect, accountability, probity and transparency in their work.</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Meet the Government’s expectations at a strategic and operational level.</w:t>
      </w:r>
    </w:p>
    <w:p w:rsidR="008713D7" w:rsidRDefault="008713D7" w:rsidP="008713D7">
      <w:pPr>
        <w:pStyle w:val="BodyText1"/>
        <w:keepNext w:val="0"/>
        <w:keepLines w:val="0"/>
        <w:spacing w:before="240" w:after="0"/>
        <w:rPr>
          <w:rFonts w:cs="Calibri"/>
          <w:b/>
        </w:rPr>
      </w:pPr>
      <w:r>
        <w:rPr>
          <w:rFonts w:cs="Calibri"/>
          <w:b/>
        </w:rPr>
        <w:t>Business Improvement</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Good governance.</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Effective risk management.</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Excellent work health and safety frameworks.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Integrated systems, tools and processes that present a consistent source of information.</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Financially responsible operations that deliver value for money.</w:t>
      </w:r>
    </w:p>
    <w:p w:rsidR="008713D7" w:rsidRDefault="008713D7" w:rsidP="008713D7">
      <w:pPr>
        <w:pStyle w:val="BodyText1"/>
        <w:keepNext w:val="0"/>
        <w:keepLines w:val="0"/>
        <w:spacing w:before="240" w:after="0"/>
        <w:rPr>
          <w:rFonts w:cs="Calibri"/>
          <w:b/>
        </w:rPr>
      </w:pPr>
      <w:r>
        <w:rPr>
          <w:rFonts w:cs="Calibri"/>
          <w:b/>
        </w:rPr>
        <w:t>Community Needs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Solutions developed and implemented for the diverse range of community needs.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A mix of block sizes and locations for construction within our developments.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Placemaking and design excellence.</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Developments that provide the community with good connections to employment hubs, transport, services and infrastructure.</w:t>
      </w:r>
    </w:p>
    <w:p w:rsidR="008713D7" w:rsidRDefault="008713D7" w:rsidP="008713D7">
      <w:pPr>
        <w:pStyle w:val="BodyText1"/>
        <w:keepNext w:val="0"/>
        <w:keepLines w:val="0"/>
        <w:spacing w:before="240" w:after="0"/>
        <w:rPr>
          <w:rFonts w:cs="Calibri"/>
          <w:b/>
        </w:rPr>
      </w:pPr>
      <w:r>
        <w:rPr>
          <w:rFonts w:cs="Calibri"/>
          <w:b/>
        </w:rPr>
        <w:t>Affordable Living</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Affordable housing in well served areas.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Developments with low running and maintenance costs.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Suitable land supply.</w:t>
      </w:r>
    </w:p>
    <w:p w:rsidR="008713D7" w:rsidRDefault="008713D7" w:rsidP="008713D7">
      <w:pPr>
        <w:pStyle w:val="BodyText1"/>
        <w:keepNext w:val="0"/>
        <w:keepLines w:val="0"/>
        <w:spacing w:before="240" w:after="0"/>
        <w:rPr>
          <w:rFonts w:cs="Calibri"/>
          <w:b/>
        </w:rPr>
      </w:pPr>
      <w:r>
        <w:rPr>
          <w:rFonts w:cs="Calibri"/>
          <w:b/>
        </w:rPr>
        <w:t>Climate Adaptation</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Biodiversity protected and enhanced in our developments.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Climate responsive design including water and energy sensitive communities.</w:t>
      </w:r>
    </w:p>
    <w:p w:rsidR="008713D7" w:rsidRDefault="008713D7" w:rsidP="00862CB5">
      <w:pPr>
        <w:pStyle w:val="BodyText1"/>
        <w:keepNext w:val="0"/>
        <w:keepLines w:val="0"/>
        <w:numPr>
          <w:ilvl w:val="0"/>
          <w:numId w:val="64"/>
        </w:numPr>
        <w:tabs>
          <w:tab w:val="num" w:pos="924"/>
        </w:tabs>
        <w:spacing w:after="0"/>
        <w:ind w:left="714"/>
        <w:jc w:val="left"/>
        <w:rPr>
          <w:rFonts w:cs="Calibri"/>
        </w:rPr>
      </w:pPr>
      <w:r>
        <w:rPr>
          <w:rFonts w:cs="Calibri"/>
        </w:rPr>
        <w:t>Infrastructure that can be maintained within Government expectations and resources.</w:t>
      </w:r>
    </w:p>
    <w:p w:rsidR="008713D7" w:rsidRDefault="008713D7" w:rsidP="008713D7">
      <w:pPr>
        <w:spacing w:before="0" w:after="0"/>
        <w:jc w:val="both"/>
        <w:rPr>
          <w:rFonts w:cs="Calibri"/>
        </w:rPr>
      </w:pPr>
    </w:p>
    <w:p w:rsidR="008713D7" w:rsidRDefault="008713D7" w:rsidP="001A57CC">
      <w:pPr>
        <w:spacing w:before="0" w:after="0"/>
        <w:rPr>
          <w:rFonts w:cs="Calibri"/>
        </w:rPr>
      </w:pPr>
      <w:r>
        <w:rPr>
          <w:rFonts w:cs="Calibri"/>
        </w:rPr>
        <w:t>The Suburban Land Agency will initiate the following major activities to support achievement of its priorities for 2018-19 to 2021-22:</w:t>
      </w:r>
    </w:p>
    <w:p w:rsidR="008713D7" w:rsidRDefault="008713D7" w:rsidP="008713D7">
      <w:pPr>
        <w:pStyle w:val="BodyText1"/>
        <w:keepNext w:val="0"/>
        <w:keepLines w:val="0"/>
        <w:spacing w:before="240" w:after="0"/>
        <w:rPr>
          <w:rFonts w:cs="Calibri"/>
          <w:b/>
        </w:rPr>
      </w:pPr>
      <w:r>
        <w:rPr>
          <w:rFonts w:cs="Calibri"/>
          <w:b/>
        </w:rPr>
        <w:t>Culture</w:t>
      </w:r>
    </w:p>
    <w:p w:rsidR="008713D7" w:rsidRDefault="008713D7" w:rsidP="00862CB5">
      <w:pPr>
        <w:pStyle w:val="BodyText1"/>
        <w:keepNext w:val="0"/>
        <w:keepLines w:val="0"/>
        <w:numPr>
          <w:ilvl w:val="0"/>
          <w:numId w:val="65"/>
        </w:numPr>
        <w:spacing w:after="0"/>
        <w:ind w:left="709"/>
        <w:jc w:val="left"/>
        <w:rPr>
          <w:rFonts w:cs="Calibri"/>
        </w:rPr>
      </w:pPr>
      <w:r>
        <w:rPr>
          <w:rFonts w:cs="Calibri"/>
        </w:rPr>
        <w:t>Strengthen a positive culture in the Suburban Land Agency through education, better communication and actively responding to concerns.</w:t>
      </w:r>
    </w:p>
    <w:p w:rsidR="008713D7" w:rsidRDefault="008713D7" w:rsidP="00862CB5">
      <w:pPr>
        <w:pStyle w:val="BodyText1"/>
        <w:keepNext w:val="0"/>
        <w:keepLines w:val="0"/>
        <w:numPr>
          <w:ilvl w:val="0"/>
          <w:numId w:val="65"/>
        </w:numPr>
        <w:spacing w:after="0"/>
        <w:ind w:left="714"/>
        <w:jc w:val="left"/>
        <w:rPr>
          <w:rFonts w:cs="Calibri"/>
        </w:rPr>
      </w:pPr>
      <w:r>
        <w:rPr>
          <w:rFonts w:cs="Calibri"/>
        </w:rPr>
        <w:t>Ensure awareness within the Suburban Land Agency of the 2018 Staff Survey outcomes and action plan, and undertake a staff satisfaction survey by 2019.</w:t>
      </w:r>
    </w:p>
    <w:p w:rsidR="008713D7" w:rsidRDefault="008713D7" w:rsidP="00862CB5">
      <w:pPr>
        <w:pStyle w:val="BodyText1"/>
        <w:keepNext w:val="0"/>
        <w:keepLines w:val="0"/>
        <w:numPr>
          <w:ilvl w:val="0"/>
          <w:numId w:val="65"/>
        </w:numPr>
        <w:spacing w:after="0"/>
        <w:ind w:left="714"/>
        <w:jc w:val="left"/>
        <w:rPr>
          <w:rFonts w:cs="Calibri"/>
        </w:rPr>
      </w:pPr>
      <w:r>
        <w:rPr>
          <w:rFonts w:cs="Calibri"/>
        </w:rPr>
        <w:t>Improve and implement risk and work health and safety frameworks.</w:t>
      </w:r>
    </w:p>
    <w:p w:rsidR="008713D7" w:rsidRDefault="008713D7" w:rsidP="00862CB5">
      <w:pPr>
        <w:pStyle w:val="BodyText1"/>
        <w:keepNext w:val="0"/>
        <w:keepLines w:val="0"/>
        <w:numPr>
          <w:ilvl w:val="0"/>
          <w:numId w:val="65"/>
        </w:numPr>
        <w:spacing w:after="0"/>
        <w:ind w:left="714"/>
        <w:jc w:val="left"/>
        <w:rPr>
          <w:rFonts w:cs="Calibri"/>
        </w:rPr>
      </w:pPr>
      <w:r>
        <w:rPr>
          <w:rFonts w:cs="Calibri"/>
        </w:rPr>
        <w:t>Promote diversity within the Suburban Land Agency work place, which may include partnering with local universities and reviewing employment advertising strategies.</w:t>
      </w:r>
    </w:p>
    <w:p w:rsidR="008713D7" w:rsidRDefault="008713D7" w:rsidP="00862CB5">
      <w:pPr>
        <w:pStyle w:val="BodyText1"/>
        <w:keepNext w:val="0"/>
        <w:keepLines w:val="0"/>
        <w:numPr>
          <w:ilvl w:val="0"/>
          <w:numId w:val="65"/>
        </w:numPr>
        <w:spacing w:after="0"/>
        <w:ind w:left="714"/>
        <w:jc w:val="left"/>
        <w:rPr>
          <w:rFonts w:cs="Calibri"/>
        </w:rPr>
      </w:pPr>
      <w:r>
        <w:rPr>
          <w:rFonts w:cs="Calibri"/>
        </w:rPr>
        <w:t>Finalise a Strategic Human Resources Plan for the Suburban Land Agency.</w:t>
      </w:r>
    </w:p>
    <w:p w:rsidR="008713D7" w:rsidRDefault="008713D7" w:rsidP="008713D7">
      <w:pPr>
        <w:pStyle w:val="BodyText1"/>
        <w:keepNext w:val="0"/>
        <w:keepLines w:val="0"/>
        <w:spacing w:before="240" w:after="0"/>
        <w:rPr>
          <w:rFonts w:cs="Calibri"/>
          <w:b/>
        </w:rPr>
      </w:pPr>
      <w:r>
        <w:rPr>
          <w:rFonts w:cs="Calibri"/>
          <w:b/>
        </w:rPr>
        <w:t>Business Improvement</w:t>
      </w:r>
    </w:p>
    <w:p w:rsidR="008713D7" w:rsidRDefault="008713D7" w:rsidP="00862CB5">
      <w:pPr>
        <w:pStyle w:val="BodyText1"/>
        <w:keepNext w:val="0"/>
        <w:keepLines w:val="0"/>
        <w:numPr>
          <w:ilvl w:val="0"/>
          <w:numId w:val="65"/>
        </w:numPr>
        <w:spacing w:after="0"/>
        <w:ind w:left="714"/>
        <w:jc w:val="left"/>
        <w:rPr>
          <w:rFonts w:cs="Calibri"/>
        </w:rPr>
      </w:pPr>
      <w:r>
        <w:rPr>
          <w:rFonts w:cs="Calibri"/>
        </w:rPr>
        <w:t>Scope and implement a business improvement program with a focus on processes, systems and data.</w:t>
      </w:r>
    </w:p>
    <w:p w:rsidR="008713D7" w:rsidRDefault="008713D7" w:rsidP="00862CB5">
      <w:pPr>
        <w:pStyle w:val="BodyText1"/>
        <w:keepNext w:val="0"/>
        <w:keepLines w:val="0"/>
        <w:numPr>
          <w:ilvl w:val="0"/>
          <w:numId w:val="65"/>
        </w:numPr>
        <w:spacing w:after="0"/>
        <w:ind w:left="714"/>
        <w:jc w:val="left"/>
        <w:rPr>
          <w:rFonts w:cs="Calibri"/>
        </w:rPr>
      </w:pPr>
      <w:r>
        <w:rPr>
          <w:rFonts w:cs="Calibri"/>
        </w:rPr>
        <w:t>Work with other areas of the ACT Government to improve whole of life urban infrastructure outcomes within the Suburban Land Agency’s estates and developments.</w:t>
      </w:r>
    </w:p>
    <w:p w:rsidR="008713D7" w:rsidRPr="00D3680B" w:rsidRDefault="008713D7" w:rsidP="00862CB5">
      <w:pPr>
        <w:pStyle w:val="BodyText1"/>
        <w:keepNext w:val="0"/>
        <w:keepLines w:val="0"/>
        <w:numPr>
          <w:ilvl w:val="0"/>
          <w:numId w:val="65"/>
        </w:numPr>
        <w:spacing w:after="0"/>
        <w:ind w:left="714"/>
        <w:jc w:val="left"/>
        <w:rPr>
          <w:rFonts w:cs="Calibri"/>
        </w:rPr>
      </w:pPr>
      <w:r w:rsidRPr="00D3680B">
        <w:rPr>
          <w:rFonts w:cs="Calibri"/>
        </w:rPr>
        <w:t xml:space="preserve">Collaborate and co-operate with other ACT and Commonwealth Government </w:t>
      </w:r>
      <w:r w:rsidRPr="005B2A70">
        <w:rPr>
          <w:rFonts w:cs="Calibri"/>
        </w:rPr>
        <w:t>a</w:t>
      </w:r>
      <w:r w:rsidRPr="00D3680B">
        <w:rPr>
          <w:rFonts w:cs="Calibri"/>
        </w:rPr>
        <w:t xml:space="preserve">gencies </w:t>
      </w:r>
      <w:r w:rsidRPr="005B2A70">
        <w:rPr>
          <w:rFonts w:cs="Calibri"/>
        </w:rPr>
        <w:t xml:space="preserve">to deliver and advise the ACT Government </w:t>
      </w:r>
      <w:r w:rsidRPr="00D3680B">
        <w:rPr>
          <w:rFonts w:cs="Calibri"/>
        </w:rPr>
        <w:t xml:space="preserve">on key government priorities including land development, </w:t>
      </w:r>
      <w:r w:rsidRPr="005B2A70">
        <w:rPr>
          <w:rFonts w:cs="Calibri"/>
        </w:rPr>
        <w:t xml:space="preserve">future areas of growth, </w:t>
      </w:r>
      <w:r w:rsidRPr="00D3680B">
        <w:rPr>
          <w:rFonts w:cs="Calibri"/>
        </w:rPr>
        <w:t>housing, renewal</w:t>
      </w:r>
      <w:r w:rsidRPr="005B2A70">
        <w:rPr>
          <w:rFonts w:cs="Calibri"/>
        </w:rPr>
        <w:t>, affordable housing, property market conditions</w:t>
      </w:r>
      <w:r w:rsidRPr="00D3680B">
        <w:rPr>
          <w:rFonts w:cs="Calibri"/>
        </w:rPr>
        <w:t xml:space="preserve"> and </w:t>
      </w:r>
      <w:r w:rsidRPr="005B2A70">
        <w:rPr>
          <w:rFonts w:cs="Calibri"/>
        </w:rPr>
        <w:t xml:space="preserve">effective </w:t>
      </w:r>
      <w:r w:rsidRPr="00D3680B">
        <w:rPr>
          <w:rFonts w:cs="Calibri"/>
        </w:rPr>
        <w:t>community building.</w:t>
      </w:r>
    </w:p>
    <w:p w:rsidR="008713D7" w:rsidRDefault="008713D7" w:rsidP="008713D7">
      <w:pPr>
        <w:pStyle w:val="BodyText1"/>
        <w:keepNext w:val="0"/>
        <w:keepLines w:val="0"/>
        <w:spacing w:before="240" w:after="0"/>
        <w:rPr>
          <w:rFonts w:cs="Calibri"/>
          <w:b/>
        </w:rPr>
      </w:pPr>
      <w:r>
        <w:rPr>
          <w:rFonts w:cs="Calibri"/>
          <w:b/>
        </w:rPr>
        <w:t>Community Needs</w:t>
      </w:r>
    </w:p>
    <w:p w:rsidR="008713D7" w:rsidRDefault="008713D7" w:rsidP="00862CB5">
      <w:pPr>
        <w:pStyle w:val="BodyText1"/>
        <w:keepNext w:val="0"/>
        <w:keepLines w:val="0"/>
        <w:numPr>
          <w:ilvl w:val="0"/>
          <w:numId w:val="65"/>
        </w:numPr>
        <w:spacing w:after="0"/>
        <w:ind w:left="714"/>
        <w:jc w:val="left"/>
        <w:rPr>
          <w:rFonts w:cs="Calibri"/>
        </w:rPr>
      </w:pPr>
      <w:r>
        <w:rPr>
          <w:rFonts w:cs="Calibri"/>
        </w:rPr>
        <w:t>Establish an innovation capability designed to enhance outcomes in community needs, affordable living, inclusive communities and climate adaptation.</w:t>
      </w:r>
    </w:p>
    <w:p w:rsidR="008713D7" w:rsidRDefault="008713D7" w:rsidP="00862CB5">
      <w:pPr>
        <w:pStyle w:val="BodyText1"/>
        <w:keepNext w:val="0"/>
        <w:keepLines w:val="0"/>
        <w:numPr>
          <w:ilvl w:val="0"/>
          <w:numId w:val="65"/>
        </w:numPr>
        <w:spacing w:after="0"/>
        <w:ind w:left="714"/>
        <w:jc w:val="left"/>
        <w:rPr>
          <w:rFonts w:cs="Calibri"/>
        </w:rPr>
      </w:pPr>
      <w:r>
        <w:rPr>
          <w:rFonts w:cs="Calibri"/>
        </w:rPr>
        <w:t>Engage and build strategic relationships with local communities, industry associations, special interest groups and the broader ACT community to make sure any relevant interests are identified and considered in land release activities.</w:t>
      </w:r>
    </w:p>
    <w:p w:rsidR="008713D7" w:rsidRDefault="008713D7" w:rsidP="00862CB5">
      <w:pPr>
        <w:pStyle w:val="BodyText1"/>
        <w:keepNext w:val="0"/>
        <w:keepLines w:val="0"/>
        <w:numPr>
          <w:ilvl w:val="0"/>
          <w:numId w:val="65"/>
        </w:numPr>
        <w:spacing w:after="0"/>
        <w:ind w:left="714"/>
        <w:jc w:val="left"/>
        <w:rPr>
          <w:rFonts w:cs="Calibri"/>
        </w:rPr>
      </w:pPr>
      <w:r>
        <w:rPr>
          <w:rFonts w:cs="Calibri"/>
        </w:rPr>
        <w:t>Deliver community building and development programs to encourage resident involvement and connection to their local community.</w:t>
      </w:r>
    </w:p>
    <w:p w:rsidR="008713D7" w:rsidRDefault="008713D7" w:rsidP="00862CB5">
      <w:pPr>
        <w:pStyle w:val="BodyText1"/>
        <w:keepNext w:val="0"/>
        <w:keepLines w:val="0"/>
        <w:numPr>
          <w:ilvl w:val="0"/>
          <w:numId w:val="65"/>
        </w:numPr>
        <w:spacing w:after="0"/>
        <w:ind w:left="714"/>
        <w:jc w:val="left"/>
        <w:rPr>
          <w:rFonts w:cs="Calibri"/>
        </w:rPr>
      </w:pPr>
      <w:r>
        <w:rPr>
          <w:rFonts w:cs="Calibri"/>
        </w:rPr>
        <w:t>Share the learnings of the Mingle program within the ACT Government and with other interested parties.</w:t>
      </w:r>
    </w:p>
    <w:p w:rsidR="008713D7" w:rsidRDefault="008713D7" w:rsidP="008713D7">
      <w:pPr>
        <w:pStyle w:val="BodyText1"/>
        <w:keepNext w:val="0"/>
        <w:keepLines w:val="0"/>
        <w:spacing w:before="240" w:after="0"/>
        <w:rPr>
          <w:rFonts w:cs="Calibri"/>
          <w:b/>
        </w:rPr>
      </w:pPr>
      <w:r>
        <w:rPr>
          <w:rFonts w:cs="Calibri"/>
          <w:b/>
        </w:rPr>
        <w:t>Affordable Living</w:t>
      </w:r>
    </w:p>
    <w:p w:rsidR="008713D7" w:rsidRDefault="008713D7" w:rsidP="00862CB5">
      <w:pPr>
        <w:pStyle w:val="BodyText1"/>
        <w:keepNext w:val="0"/>
        <w:keepLines w:val="0"/>
        <w:numPr>
          <w:ilvl w:val="0"/>
          <w:numId w:val="65"/>
        </w:numPr>
        <w:spacing w:after="0"/>
        <w:ind w:left="714"/>
        <w:jc w:val="left"/>
        <w:rPr>
          <w:rFonts w:cs="Calibri"/>
        </w:rPr>
      </w:pPr>
      <w:r>
        <w:rPr>
          <w:rFonts w:cs="Calibri"/>
        </w:rPr>
        <w:t>Review Government initiatives and industry exemplar projects to determine the best approach for industry partnering, particularly in affordable living and climate adaptation.</w:t>
      </w:r>
    </w:p>
    <w:p w:rsidR="008713D7" w:rsidRDefault="008713D7" w:rsidP="00862CB5">
      <w:pPr>
        <w:pStyle w:val="BodyText1"/>
        <w:keepNext w:val="0"/>
        <w:keepLines w:val="0"/>
        <w:numPr>
          <w:ilvl w:val="0"/>
          <w:numId w:val="65"/>
        </w:numPr>
        <w:spacing w:after="0"/>
        <w:ind w:left="714"/>
        <w:jc w:val="left"/>
        <w:rPr>
          <w:rFonts w:cs="Calibri"/>
        </w:rPr>
      </w:pPr>
      <w:r>
        <w:rPr>
          <w:rFonts w:cs="Calibri"/>
        </w:rPr>
        <w:t>Identify opportunities within the Indicative Land Release Program and with industry partners to create affordable housing and climate adaptation demonstration projects.</w:t>
      </w:r>
    </w:p>
    <w:p w:rsidR="008713D7" w:rsidRDefault="008713D7" w:rsidP="00862CB5">
      <w:pPr>
        <w:pStyle w:val="BodyText1"/>
        <w:keepNext w:val="0"/>
        <w:keepLines w:val="0"/>
        <w:numPr>
          <w:ilvl w:val="0"/>
          <w:numId w:val="65"/>
        </w:numPr>
        <w:spacing w:after="0"/>
        <w:ind w:left="714"/>
        <w:jc w:val="left"/>
        <w:rPr>
          <w:rFonts w:cs="Calibri"/>
        </w:rPr>
      </w:pPr>
      <w:r>
        <w:rPr>
          <w:rFonts w:cs="Calibri"/>
        </w:rPr>
        <w:t>Facilitate and support the delivery of affordable housing including community and public housing.</w:t>
      </w:r>
    </w:p>
    <w:p w:rsidR="008713D7" w:rsidRDefault="008713D7" w:rsidP="008713D7">
      <w:pPr>
        <w:pStyle w:val="BodyText1"/>
        <w:keepNext w:val="0"/>
        <w:keepLines w:val="0"/>
        <w:spacing w:before="240" w:after="0"/>
        <w:rPr>
          <w:rFonts w:cs="Calibri"/>
          <w:b/>
        </w:rPr>
      </w:pPr>
      <w:r>
        <w:rPr>
          <w:rFonts w:cs="Calibri"/>
          <w:b/>
        </w:rPr>
        <w:t>Climate Adaptation</w:t>
      </w:r>
    </w:p>
    <w:p w:rsidR="008713D7" w:rsidRDefault="008713D7" w:rsidP="00862CB5">
      <w:pPr>
        <w:pStyle w:val="BodyText1"/>
        <w:keepNext w:val="0"/>
        <w:keepLines w:val="0"/>
        <w:numPr>
          <w:ilvl w:val="0"/>
          <w:numId w:val="65"/>
        </w:numPr>
        <w:spacing w:after="0"/>
        <w:ind w:left="714"/>
        <w:jc w:val="left"/>
        <w:rPr>
          <w:rFonts w:cs="Calibri"/>
        </w:rPr>
      </w:pPr>
      <w:r>
        <w:rPr>
          <w:rFonts w:cs="Calibri"/>
        </w:rPr>
        <w:t>New Suburban Land Agency greenfield estates (&gt;500 single residential dwellings) exhibit and promote initiatives focused on biodiversity, energy efficiency and sustainability.</w:t>
      </w:r>
    </w:p>
    <w:p w:rsidR="008713D7" w:rsidRDefault="008713D7" w:rsidP="00862CB5">
      <w:pPr>
        <w:pStyle w:val="BodyText1"/>
        <w:keepNext w:val="0"/>
        <w:keepLines w:val="0"/>
        <w:numPr>
          <w:ilvl w:val="0"/>
          <w:numId w:val="65"/>
        </w:numPr>
        <w:spacing w:after="0"/>
        <w:ind w:left="714"/>
        <w:jc w:val="left"/>
        <w:rPr>
          <w:rFonts w:cs="Calibri"/>
        </w:rPr>
      </w:pPr>
      <w:r>
        <w:rPr>
          <w:rFonts w:cs="Calibri"/>
        </w:rPr>
        <w:t>Bushfire Management Plans will be developed, where applicable, as part of the Estate Development Planning process.</w:t>
      </w:r>
    </w:p>
    <w:p w:rsidR="008713D7" w:rsidRDefault="008713D7" w:rsidP="008713D7">
      <w:pPr>
        <w:pStyle w:val="BodyText1"/>
        <w:keepNext w:val="0"/>
        <w:keepLines w:val="0"/>
        <w:tabs>
          <w:tab w:val="num" w:pos="567"/>
        </w:tabs>
        <w:spacing w:before="240" w:after="0"/>
        <w:rPr>
          <w:rFonts w:cs="Calibri"/>
        </w:rPr>
      </w:pPr>
      <w:r>
        <w:rPr>
          <w:rFonts w:cs="Calibri"/>
        </w:rPr>
        <w:t>Key land developments for 2018-19 to 2021-22 include:</w:t>
      </w:r>
    </w:p>
    <w:p w:rsidR="008713D7" w:rsidRDefault="008713D7" w:rsidP="00862CB5">
      <w:pPr>
        <w:pStyle w:val="BodyText1"/>
        <w:keepNext w:val="0"/>
        <w:keepLines w:val="0"/>
        <w:numPr>
          <w:ilvl w:val="0"/>
          <w:numId w:val="66"/>
        </w:numPr>
        <w:spacing w:after="0"/>
        <w:ind w:left="720"/>
        <w:jc w:val="left"/>
        <w:rPr>
          <w:rFonts w:cs="Calibri"/>
        </w:rPr>
      </w:pPr>
      <w:r>
        <w:rPr>
          <w:rFonts w:cs="Calibri"/>
        </w:rPr>
        <w:t>Ginninderry – Deliver stage one construction work providing an innovative housing affordability model.</w:t>
      </w:r>
    </w:p>
    <w:p w:rsidR="008713D7" w:rsidRDefault="008713D7" w:rsidP="00862CB5">
      <w:pPr>
        <w:pStyle w:val="BodyText1"/>
        <w:keepNext w:val="0"/>
        <w:keepLines w:val="0"/>
        <w:numPr>
          <w:ilvl w:val="0"/>
          <w:numId w:val="66"/>
        </w:numPr>
        <w:spacing w:after="0"/>
        <w:ind w:left="720"/>
        <w:jc w:val="left"/>
        <w:rPr>
          <w:rFonts w:cs="Calibri"/>
        </w:rPr>
      </w:pPr>
      <w:r>
        <w:rPr>
          <w:rFonts w:cs="Calibri"/>
        </w:rPr>
        <w:t>Molonglo – Complete releases of land in Coombs and Wright; finalise development of the first stage in Whitlam; and release further commercial land.</w:t>
      </w:r>
    </w:p>
    <w:p w:rsidR="008713D7" w:rsidRDefault="008713D7" w:rsidP="00862CB5">
      <w:pPr>
        <w:pStyle w:val="BodyText1"/>
        <w:keepNext w:val="0"/>
        <w:keepLines w:val="0"/>
        <w:numPr>
          <w:ilvl w:val="0"/>
          <w:numId w:val="66"/>
        </w:numPr>
        <w:spacing w:after="0"/>
        <w:ind w:left="720"/>
        <w:jc w:val="left"/>
        <w:rPr>
          <w:rFonts w:cs="Calibri"/>
        </w:rPr>
      </w:pPr>
      <w:r>
        <w:rPr>
          <w:rFonts w:cs="Calibri"/>
        </w:rPr>
        <w:t>Gungahlin – Continue development and release of land in Taylor and Jacka; and release commercial land in the Gungahlin Town Centre.</w:t>
      </w:r>
    </w:p>
    <w:p w:rsidR="008713D7" w:rsidRDefault="008713D7" w:rsidP="00862CB5">
      <w:pPr>
        <w:pStyle w:val="BodyText1"/>
        <w:keepNext w:val="0"/>
        <w:keepLines w:val="0"/>
        <w:numPr>
          <w:ilvl w:val="0"/>
          <w:numId w:val="66"/>
        </w:numPr>
        <w:spacing w:after="0"/>
        <w:ind w:left="720"/>
        <w:jc w:val="left"/>
        <w:rPr>
          <w:rFonts w:cs="Calibri"/>
        </w:rPr>
      </w:pPr>
      <w:r>
        <w:rPr>
          <w:rFonts w:cs="Calibri"/>
        </w:rPr>
        <w:t>Industrial – Continue land release to meet market demand; and subject to finalisation of the Eastern Broadacre planning project, increase availability of land in Fyshwick and Symonston.</w:t>
      </w:r>
    </w:p>
    <w:p w:rsidR="008713D7" w:rsidRPr="003449C0" w:rsidRDefault="008713D7" w:rsidP="00862CB5">
      <w:pPr>
        <w:pStyle w:val="BodyText1"/>
        <w:keepNext w:val="0"/>
        <w:keepLines w:val="0"/>
        <w:numPr>
          <w:ilvl w:val="0"/>
          <w:numId w:val="66"/>
        </w:numPr>
        <w:spacing w:after="0"/>
        <w:ind w:left="720"/>
        <w:jc w:val="left"/>
        <w:rPr>
          <w:rFonts w:cs="Calibri"/>
        </w:rPr>
      </w:pPr>
      <w:r w:rsidRPr="005B43BA">
        <w:rPr>
          <w:rFonts w:cs="Calibri"/>
        </w:rPr>
        <w:t xml:space="preserve">Urban – </w:t>
      </w:r>
      <w:r>
        <w:rPr>
          <w:rFonts w:cs="Calibri"/>
        </w:rPr>
        <w:t>Continue development and release of u</w:t>
      </w:r>
      <w:r w:rsidRPr="005B43BA">
        <w:rPr>
          <w:rFonts w:cs="Calibri"/>
        </w:rPr>
        <w:t>rban development</w:t>
      </w:r>
      <w:r>
        <w:rPr>
          <w:rFonts w:cs="Calibri"/>
        </w:rPr>
        <w:t xml:space="preserve"> and Asset Recycling Initiative (ARI)</w:t>
      </w:r>
      <w:r w:rsidRPr="005B43BA">
        <w:rPr>
          <w:rFonts w:cs="Calibri"/>
        </w:rPr>
        <w:t xml:space="preserve"> </w:t>
      </w:r>
      <w:r>
        <w:rPr>
          <w:rFonts w:cs="Calibri"/>
        </w:rPr>
        <w:t xml:space="preserve">sites </w:t>
      </w:r>
      <w:r w:rsidRPr="005B43BA">
        <w:rPr>
          <w:rFonts w:cs="Calibri"/>
        </w:rPr>
        <w:t xml:space="preserve">identified in </w:t>
      </w:r>
      <w:r>
        <w:rPr>
          <w:rFonts w:cs="Calibri"/>
        </w:rPr>
        <w:t xml:space="preserve">the </w:t>
      </w:r>
      <w:r w:rsidRPr="005B43BA">
        <w:rPr>
          <w:rFonts w:cs="Calibri"/>
        </w:rPr>
        <w:t>Indicative Land Release Program.</w:t>
      </w:r>
    </w:p>
    <w:p w:rsidR="001A57CC" w:rsidRDefault="001A57CC">
      <w:pPr>
        <w:spacing w:before="0" w:after="0"/>
        <w:rPr>
          <w:b/>
          <w:snapToGrid w:val="0"/>
          <w:sz w:val="32"/>
        </w:rPr>
      </w:pPr>
      <w:r>
        <w:br w:type="page"/>
      </w:r>
    </w:p>
    <w:p w:rsidR="008713D7" w:rsidRDefault="008713D7" w:rsidP="00B632C2">
      <w:pPr>
        <w:pStyle w:val="Heading2"/>
      </w:pPr>
      <w:bookmarkStart w:id="186" w:name="_Toc514840983"/>
      <w:bookmarkStart w:id="187" w:name="_Toc514841061"/>
      <w:r>
        <w:t>Estimated Employment Level and Employment Profile</w:t>
      </w:r>
      <w:bookmarkEnd w:id="186"/>
      <w:bookmarkEnd w:id="187"/>
    </w:p>
    <w:p w:rsidR="008713D7" w:rsidRDefault="008713D7" w:rsidP="008713D7">
      <w:pPr>
        <w:pStyle w:val="Caption"/>
        <w:jc w:val="both"/>
      </w:pPr>
      <w:r>
        <w:t xml:space="preserve">Table </w:t>
      </w:r>
      <w:r w:rsidR="00692D0C">
        <w:t>1</w:t>
      </w:r>
      <w:r>
        <w:t>: Estimated Employment Level</w:t>
      </w:r>
    </w:p>
    <w:tbl>
      <w:tblPr>
        <w:tblW w:w="9214" w:type="dxa"/>
        <w:tblBorders>
          <w:top w:val="single" w:sz="12" w:space="0" w:color="000000"/>
        </w:tblBorders>
        <w:tblLayout w:type="fixed"/>
        <w:tblLook w:val="04A0" w:firstRow="1" w:lastRow="0" w:firstColumn="1" w:lastColumn="0" w:noHBand="0" w:noVBand="1"/>
      </w:tblPr>
      <w:tblGrid>
        <w:gridCol w:w="2700"/>
        <w:gridCol w:w="702"/>
        <w:gridCol w:w="1985"/>
        <w:gridCol w:w="1943"/>
        <w:gridCol w:w="1884"/>
      </w:tblGrid>
      <w:tr w:rsidR="008713D7" w:rsidTr="00067864">
        <w:trPr>
          <w:trHeight w:val="392"/>
          <w:tblHeader/>
        </w:trPr>
        <w:tc>
          <w:tcPr>
            <w:tcW w:w="2700" w:type="dxa"/>
            <w:tcBorders>
              <w:top w:val="single" w:sz="12" w:space="0" w:color="000000"/>
              <w:left w:val="nil"/>
              <w:bottom w:val="nil"/>
              <w:right w:val="nil"/>
            </w:tcBorders>
            <w:vAlign w:val="bottom"/>
          </w:tcPr>
          <w:p w:rsidR="008713D7" w:rsidRDefault="008713D7" w:rsidP="00067864">
            <w:pPr>
              <w:pStyle w:val="BStabletext"/>
              <w:jc w:val="both"/>
            </w:pPr>
          </w:p>
        </w:tc>
        <w:tc>
          <w:tcPr>
            <w:tcW w:w="702" w:type="dxa"/>
            <w:tcBorders>
              <w:top w:val="single" w:sz="12" w:space="0" w:color="000000"/>
              <w:left w:val="nil"/>
              <w:bottom w:val="nil"/>
              <w:right w:val="nil"/>
            </w:tcBorders>
          </w:tcPr>
          <w:p w:rsidR="008713D7" w:rsidRDefault="008713D7" w:rsidP="00067864">
            <w:pPr>
              <w:pStyle w:val="BStableheading1"/>
              <w:framePr w:wrap="around"/>
              <w:jc w:val="both"/>
            </w:pPr>
          </w:p>
        </w:tc>
        <w:tc>
          <w:tcPr>
            <w:tcW w:w="1985" w:type="dxa"/>
            <w:tcBorders>
              <w:top w:val="single" w:sz="12" w:space="0" w:color="000000"/>
              <w:left w:val="nil"/>
              <w:bottom w:val="nil"/>
              <w:right w:val="nil"/>
            </w:tcBorders>
            <w:hideMark/>
          </w:tcPr>
          <w:p w:rsidR="008713D7" w:rsidRDefault="008713D7" w:rsidP="00067864">
            <w:pPr>
              <w:pStyle w:val="BStableheading1"/>
              <w:framePr w:wrap="auto" w:vAnchor="margin" w:yAlign="inline"/>
              <w:jc w:val="both"/>
            </w:pPr>
            <w:r>
              <w:t>2017-18</w:t>
            </w:r>
          </w:p>
          <w:p w:rsidR="008713D7" w:rsidRDefault="008713D7" w:rsidP="00067864">
            <w:pPr>
              <w:pStyle w:val="BStableheading1"/>
              <w:framePr w:wrap="around"/>
              <w:jc w:val="both"/>
            </w:pPr>
            <w:r>
              <w:t>Budget</w:t>
            </w:r>
          </w:p>
        </w:tc>
        <w:tc>
          <w:tcPr>
            <w:tcW w:w="1943" w:type="dxa"/>
            <w:tcBorders>
              <w:top w:val="single" w:sz="12" w:space="0" w:color="000000"/>
              <w:left w:val="nil"/>
              <w:bottom w:val="nil"/>
              <w:right w:val="nil"/>
            </w:tcBorders>
            <w:hideMark/>
          </w:tcPr>
          <w:p w:rsidR="008713D7" w:rsidRDefault="008713D7" w:rsidP="00067864">
            <w:pPr>
              <w:pStyle w:val="BStableheading1"/>
              <w:framePr w:wrap="around"/>
              <w:jc w:val="both"/>
            </w:pPr>
            <w:r>
              <w:t>2017-18</w:t>
            </w:r>
          </w:p>
          <w:p w:rsidR="008713D7" w:rsidRDefault="008713D7" w:rsidP="00067864">
            <w:pPr>
              <w:pStyle w:val="BStableheading1"/>
              <w:framePr w:wrap="around"/>
              <w:jc w:val="both"/>
            </w:pPr>
            <w:r>
              <w:t>Estimated</w:t>
            </w:r>
          </w:p>
          <w:p w:rsidR="008713D7" w:rsidRDefault="008713D7" w:rsidP="00067864">
            <w:pPr>
              <w:pStyle w:val="BStableheading1"/>
              <w:framePr w:wrap="around"/>
              <w:jc w:val="both"/>
            </w:pPr>
            <w:r>
              <w:t>Outcome</w:t>
            </w:r>
          </w:p>
        </w:tc>
        <w:tc>
          <w:tcPr>
            <w:tcW w:w="1884" w:type="dxa"/>
            <w:tcBorders>
              <w:top w:val="single" w:sz="12" w:space="0" w:color="000000"/>
              <w:left w:val="nil"/>
              <w:bottom w:val="nil"/>
              <w:right w:val="nil"/>
            </w:tcBorders>
            <w:noWrap/>
            <w:hideMark/>
          </w:tcPr>
          <w:p w:rsidR="008713D7" w:rsidRDefault="008713D7" w:rsidP="00067864">
            <w:pPr>
              <w:pStyle w:val="BStableheading1"/>
              <w:framePr w:wrap="around"/>
              <w:jc w:val="both"/>
            </w:pPr>
            <w:r>
              <w:t>2018-19</w:t>
            </w:r>
          </w:p>
          <w:p w:rsidR="008713D7" w:rsidRDefault="008713D7" w:rsidP="00067864">
            <w:pPr>
              <w:pStyle w:val="BStableheading1"/>
              <w:framePr w:wrap="around"/>
              <w:jc w:val="both"/>
            </w:pPr>
            <w:r>
              <w:t>Budget</w:t>
            </w:r>
          </w:p>
        </w:tc>
      </w:tr>
      <w:tr w:rsidR="008713D7" w:rsidTr="00067864">
        <w:trPr>
          <w:trHeight w:val="319"/>
          <w:tblHeader/>
        </w:trPr>
        <w:tc>
          <w:tcPr>
            <w:tcW w:w="2700" w:type="dxa"/>
            <w:tcBorders>
              <w:top w:val="single" w:sz="6" w:space="0" w:color="000000"/>
              <w:left w:val="nil"/>
              <w:bottom w:val="single" w:sz="12" w:space="0" w:color="000000"/>
              <w:right w:val="nil"/>
            </w:tcBorders>
            <w:vAlign w:val="bottom"/>
            <w:hideMark/>
          </w:tcPr>
          <w:p w:rsidR="008713D7" w:rsidRDefault="008713D7" w:rsidP="00067864">
            <w:pPr>
              <w:pStyle w:val="BStabletext"/>
              <w:jc w:val="both"/>
              <w:rPr>
                <w:rStyle w:val="Strong0"/>
                <w:bCs/>
                <w:sz w:val="24"/>
              </w:rPr>
            </w:pPr>
            <w:r>
              <w:rPr>
                <w:rStyle w:val="Strong0"/>
              </w:rPr>
              <w:t>Staffing (FTE)</w:t>
            </w:r>
          </w:p>
        </w:tc>
        <w:tc>
          <w:tcPr>
            <w:tcW w:w="702" w:type="dxa"/>
            <w:tcBorders>
              <w:top w:val="single" w:sz="6" w:space="0" w:color="000000"/>
              <w:left w:val="nil"/>
              <w:bottom w:val="single" w:sz="12" w:space="0" w:color="000000"/>
              <w:right w:val="nil"/>
            </w:tcBorders>
            <w:vAlign w:val="bottom"/>
          </w:tcPr>
          <w:p w:rsidR="008713D7" w:rsidRDefault="008713D7" w:rsidP="00067864">
            <w:pPr>
              <w:pStyle w:val="BStablefigures"/>
              <w:jc w:val="both"/>
            </w:pPr>
          </w:p>
        </w:tc>
        <w:tc>
          <w:tcPr>
            <w:tcW w:w="1985" w:type="dxa"/>
            <w:tcBorders>
              <w:top w:val="single" w:sz="6" w:space="0" w:color="000000"/>
              <w:left w:val="nil"/>
              <w:bottom w:val="single" w:sz="12" w:space="0" w:color="000000"/>
              <w:right w:val="nil"/>
            </w:tcBorders>
            <w:vAlign w:val="bottom"/>
            <w:hideMark/>
          </w:tcPr>
          <w:p w:rsidR="008713D7" w:rsidRDefault="008713D7" w:rsidP="00067864">
            <w:pPr>
              <w:pStyle w:val="BStablefigures"/>
              <w:jc w:val="both"/>
            </w:pPr>
            <w:r>
              <w:t>77</w:t>
            </w:r>
          </w:p>
        </w:tc>
        <w:tc>
          <w:tcPr>
            <w:tcW w:w="1943" w:type="dxa"/>
            <w:tcBorders>
              <w:top w:val="single" w:sz="6" w:space="0" w:color="000000"/>
              <w:left w:val="nil"/>
              <w:bottom w:val="single" w:sz="12" w:space="0" w:color="000000"/>
              <w:right w:val="nil"/>
            </w:tcBorders>
            <w:vAlign w:val="bottom"/>
            <w:hideMark/>
          </w:tcPr>
          <w:p w:rsidR="008713D7" w:rsidRDefault="008713D7" w:rsidP="00067864">
            <w:pPr>
              <w:pStyle w:val="BStablefigures"/>
              <w:jc w:val="both"/>
            </w:pPr>
            <w:r>
              <w:t>85</w:t>
            </w:r>
            <w:r w:rsidRPr="00EB6E53">
              <w:rPr>
                <w:vertAlign w:val="superscript"/>
              </w:rPr>
              <w:t>1</w:t>
            </w:r>
          </w:p>
        </w:tc>
        <w:tc>
          <w:tcPr>
            <w:tcW w:w="1884" w:type="dxa"/>
            <w:tcBorders>
              <w:top w:val="single" w:sz="6" w:space="0" w:color="000000"/>
              <w:left w:val="nil"/>
              <w:bottom w:val="single" w:sz="12" w:space="0" w:color="000000"/>
              <w:right w:val="nil"/>
            </w:tcBorders>
            <w:noWrap/>
            <w:vAlign w:val="bottom"/>
            <w:hideMark/>
          </w:tcPr>
          <w:p w:rsidR="008713D7" w:rsidRDefault="008713D7" w:rsidP="00067864">
            <w:pPr>
              <w:pStyle w:val="BStablefigures"/>
              <w:jc w:val="both"/>
            </w:pPr>
            <w:r>
              <w:t>92</w:t>
            </w:r>
            <w:r w:rsidRPr="00EB6E53">
              <w:rPr>
                <w:vertAlign w:val="superscript"/>
              </w:rPr>
              <w:t>2</w:t>
            </w:r>
          </w:p>
        </w:tc>
      </w:tr>
    </w:tbl>
    <w:p w:rsidR="008713D7" w:rsidRDefault="008713D7" w:rsidP="008713D7">
      <w:pPr>
        <w:pStyle w:val="BSnote"/>
        <w:jc w:val="both"/>
      </w:pPr>
      <w:r>
        <w:t>Note(s):</w:t>
      </w:r>
    </w:p>
    <w:p w:rsidR="008713D7" w:rsidRPr="00FC0041" w:rsidRDefault="008713D7" w:rsidP="00862CB5">
      <w:pPr>
        <w:pStyle w:val="BSnote"/>
        <w:numPr>
          <w:ilvl w:val="0"/>
          <w:numId w:val="61"/>
        </w:numPr>
        <w:jc w:val="both"/>
        <w:rPr>
          <w:b w:val="0"/>
        </w:rPr>
      </w:pPr>
      <w:r w:rsidRPr="00FC0041">
        <w:rPr>
          <w:b w:val="0"/>
        </w:rPr>
        <w:t xml:space="preserve">The 2017-18 </w:t>
      </w:r>
      <w:r>
        <w:rPr>
          <w:b w:val="0"/>
        </w:rPr>
        <w:t>e</w:t>
      </w:r>
      <w:r w:rsidRPr="00FC0041">
        <w:rPr>
          <w:b w:val="0"/>
        </w:rPr>
        <w:t xml:space="preserve">stimated </w:t>
      </w:r>
      <w:r>
        <w:rPr>
          <w:b w:val="0"/>
        </w:rPr>
        <w:t>o</w:t>
      </w:r>
      <w:r w:rsidRPr="00FC0041">
        <w:rPr>
          <w:b w:val="0"/>
        </w:rPr>
        <w:t xml:space="preserve">utcome includes a revised FTE establishment profile.  This reflects the final outcome of the agreed transfer of functions from the former Land Development Agency to the Environment, Planning and Sustainable Development Directorate, Suburban Land Agency and </w:t>
      </w:r>
      <w:r>
        <w:rPr>
          <w:b w:val="0"/>
        </w:rPr>
        <w:t>City Renewal Authority.</w:t>
      </w:r>
    </w:p>
    <w:p w:rsidR="008713D7" w:rsidRPr="0075415B" w:rsidRDefault="008713D7" w:rsidP="00862CB5">
      <w:pPr>
        <w:pStyle w:val="BSnote"/>
        <w:numPr>
          <w:ilvl w:val="0"/>
          <w:numId w:val="61"/>
        </w:numPr>
        <w:jc w:val="both"/>
        <w:rPr>
          <w:b w:val="0"/>
        </w:rPr>
      </w:pPr>
      <w:r w:rsidRPr="0075415B">
        <w:rPr>
          <w:b w:val="0"/>
        </w:rPr>
        <w:t xml:space="preserve">The </w:t>
      </w:r>
      <w:r>
        <w:rPr>
          <w:b w:val="0"/>
        </w:rPr>
        <w:t>staffing profile is unchanged between</w:t>
      </w:r>
      <w:r w:rsidRPr="0075415B">
        <w:rPr>
          <w:b w:val="0"/>
        </w:rPr>
        <w:t xml:space="preserve"> the 2018-19 Budget and the 2017-18 estimated</w:t>
      </w:r>
      <w:r>
        <w:rPr>
          <w:b w:val="0"/>
        </w:rPr>
        <w:t xml:space="preserve"> outcome.  It is expected that current</w:t>
      </w:r>
      <w:r w:rsidRPr="0075415B">
        <w:rPr>
          <w:b w:val="0"/>
        </w:rPr>
        <w:t xml:space="preserve"> vacancies </w:t>
      </w:r>
      <w:r>
        <w:rPr>
          <w:b w:val="0"/>
        </w:rPr>
        <w:t>will be filled in the 2018-19 financial year.</w:t>
      </w:r>
    </w:p>
    <w:p w:rsidR="008713D7" w:rsidRDefault="008713D7" w:rsidP="008713D7">
      <w:pPr>
        <w:pStyle w:val="Caption"/>
      </w:pPr>
      <w:r>
        <w:t xml:space="preserve">Table </w:t>
      </w:r>
      <w:fldSimple w:instr=" SEQ Table \* ARABIC ">
        <w:r w:rsidR="00C8791A">
          <w:rPr>
            <w:noProof/>
          </w:rPr>
          <w:t>2</w:t>
        </w:r>
      </w:fldSimple>
      <w:r>
        <w:t>: 2018-19 Employment Profile</w:t>
      </w:r>
    </w:p>
    <w:tbl>
      <w:tblPr>
        <w:tblW w:w="9040" w:type="dxa"/>
        <w:tblLook w:val="04A0" w:firstRow="1" w:lastRow="0" w:firstColumn="1" w:lastColumn="0" w:noHBand="0" w:noVBand="1"/>
      </w:tblPr>
      <w:tblGrid>
        <w:gridCol w:w="2640"/>
        <w:gridCol w:w="1600"/>
        <w:gridCol w:w="1600"/>
        <w:gridCol w:w="1600"/>
        <w:gridCol w:w="1600"/>
      </w:tblGrid>
      <w:tr w:rsidR="008713D7" w:rsidRPr="00581F49" w:rsidTr="00067864">
        <w:trPr>
          <w:trHeight w:val="153"/>
        </w:trPr>
        <w:tc>
          <w:tcPr>
            <w:tcW w:w="2640" w:type="dxa"/>
            <w:tcBorders>
              <w:top w:val="single" w:sz="12" w:space="0" w:color="auto"/>
              <w:left w:val="nil"/>
              <w:bottom w:val="single" w:sz="12" w:space="0" w:color="auto"/>
              <w:right w:val="nil"/>
            </w:tcBorders>
            <w:shd w:val="clear" w:color="auto" w:fill="auto"/>
            <w:vAlign w:val="center"/>
            <w:hideMark/>
          </w:tcPr>
          <w:p w:rsidR="008713D7" w:rsidRPr="00581F49" w:rsidRDefault="008713D7" w:rsidP="00067864">
            <w:pPr>
              <w:spacing w:before="0" w:after="0"/>
              <w:rPr>
                <w:rFonts w:asciiTheme="minorHAnsi" w:hAnsiTheme="minorHAnsi"/>
                <w:b/>
                <w:bCs/>
                <w:color w:val="000000"/>
                <w:sz w:val="20"/>
                <w:lang w:eastAsia="en-AU"/>
              </w:rPr>
            </w:pPr>
            <w:r w:rsidRPr="00581F49">
              <w:rPr>
                <w:rFonts w:asciiTheme="minorHAnsi" w:hAnsiTheme="minorHAnsi"/>
                <w:b/>
                <w:bCs/>
                <w:color w:val="000000"/>
                <w:sz w:val="20"/>
                <w:lang w:eastAsia="en-AU"/>
              </w:rPr>
              <w:t>Classification</w:t>
            </w:r>
          </w:p>
        </w:tc>
        <w:tc>
          <w:tcPr>
            <w:tcW w:w="1600" w:type="dxa"/>
            <w:tcBorders>
              <w:top w:val="single" w:sz="12" w:space="0" w:color="auto"/>
              <w:left w:val="nil"/>
              <w:bottom w:val="single" w:sz="12" w:space="0" w:color="auto"/>
              <w:right w:val="nil"/>
            </w:tcBorders>
            <w:shd w:val="clear" w:color="auto" w:fill="auto"/>
            <w:vAlign w:val="center"/>
            <w:hideMark/>
          </w:tcPr>
          <w:p w:rsidR="008713D7" w:rsidRPr="00581F49" w:rsidRDefault="008713D7" w:rsidP="00067864">
            <w:pPr>
              <w:spacing w:before="0" w:after="0"/>
              <w:jc w:val="right"/>
              <w:rPr>
                <w:rFonts w:asciiTheme="minorHAnsi" w:hAnsiTheme="minorHAnsi"/>
                <w:b/>
                <w:bCs/>
                <w:color w:val="000000"/>
                <w:sz w:val="20"/>
                <w:lang w:eastAsia="en-AU"/>
              </w:rPr>
            </w:pPr>
            <w:r w:rsidRPr="00581F49">
              <w:rPr>
                <w:rFonts w:asciiTheme="minorHAnsi" w:hAnsiTheme="minorHAnsi"/>
                <w:b/>
                <w:bCs/>
                <w:color w:val="000000"/>
                <w:sz w:val="20"/>
                <w:lang w:eastAsia="en-AU"/>
              </w:rPr>
              <w:t>Male</w:t>
            </w:r>
          </w:p>
        </w:tc>
        <w:tc>
          <w:tcPr>
            <w:tcW w:w="1600" w:type="dxa"/>
            <w:tcBorders>
              <w:top w:val="single" w:sz="12" w:space="0" w:color="auto"/>
              <w:left w:val="nil"/>
              <w:bottom w:val="single" w:sz="12" w:space="0" w:color="auto"/>
              <w:right w:val="nil"/>
            </w:tcBorders>
            <w:shd w:val="clear" w:color="auto" w:fill="auto"/>
            <w:vAlign w:val="center"/>
            <w:hideMark/>
          </w:tcPr>
          <w:p w:rsidR="008713D7" w:rsidRPr="00581F49" w:rsidRDefault="008713D7" w:rsidP="00067864">
            <w:pPr>
              <w:spacing w:before="0" w:after="0"/>
              <w:jc w:val="right"/>
              <w:rPr>
                <w:rFonts w:asciiTheme="minorHAnsi" w:hAnsiTheme="minorHAnsi"/>
                <w:b/>
                <w:bCs/>
                <w:color w:val="000000"/>
                <w:sz w:val="20"/>
                <w:lang w:eastAsia="en-AU"/>
              </w:rPr>
            </w:pPr>
            <w:r w:rsidRPr="00581F49">
              <w:rPr>
                <w:rFonts w:asciiTheme="minorHAnsi" w:hAnsiTheme="minorHAnsi"/>
                <w:b/>
                <w:bCs/>
                <w:color w:val="000000"/>
                <w:sz w:val="20"/>
                <w:lang w:eastAsia="en-AU"/>
              </w:rPr>
              <w:t>Female</w:t>
            </w:r>
          </w:p>
        </w:tc>
        <w:tc>
          <w:tcPr>
            <w:tcW w:w="1600" w:type="dxa"/>
            <w:tcBorders>
              <w:top w:val="single" w:sz="12" w:space="0" w:color="auto"/>
              <w:left w:val="nil"/>
              <w:bottom w:val="single" w:sz="12" w:space="0" w:color="auto"/>
              <w:right w:val="nil"/>
            </w:tcBorders>
            <w:shd w:val="clear" w:color="auto" w:fill="auto"/>
            <w:vAlign w:val="center"/>
            <w:hideMark/>
          </w:tcPr>
          <w:p w:rsidR="008713D7" w:rsidRPr="00581F49" w:rsidRDefault="008713D7" w:rsidP="00067864">
            <w:pPr>
              <w:spacing w:before="0" w:after="0"/>
              <w:jc w:val="right"/>
              <w:rPr>
                <w:rFonts w:asciiTheme="minorHAnsi" w:hAnsiTheme="minorHAnsi"/>
                <w:b/>
                <w:bCs/>
                <w:color w:val="000000"/>
                <w:sz w:val="20"/>
                <w:lang w:eastAsia="en-AU"/>
              </w:rPr>
            </w:pPr>
            <w:r>
              <w:rPr>
                <w:rFonts w:asciiTheme="minorHAnsi" w:hAnsiTheme="minorHAnsi"/>
                <w:b/>
                <w:bCs/>
                <w:color w:val="000000"/>
                <w:sz w:val="20"/>
                <w:lang w:eastAsia="en-AU"/>
              </w:rPr>
              <w:t>Vacant</w:t>
            </w:r>
          </w:p>
        </w:tc>
        <w:tc>
          <w:tcPr>
            <w:tcW w:w="1600" w:type="dxa"/>
            <w:tcBorders>
              <w:top w:val="single" w:sz="12" w:space="0" w:color="auto"/>
              <w:left w:val="nil"/>
              <w:bottom w:val="single" w:sz="12" w:space="0" w:color="auto"/>
              <w:right w:val="nil"/>
            </w:tcBorders>
            <w:shd w:val="clear" w:color="auto" w:fill="auto"/>
            <w:vAlign w:val="center"/>
            <w:hideMark/>
          </w:tcPr>
          <w:p w:rsidR="008713D7" w:rsidRPr="00581F49" w:rsidRDefault="008713D7" w:rsidP="00067864">
            <w:pPr>
              <w:spacing w:before="0" w:after="0"/>
              <w:jc w:val="right"/>
              <w:rPr>
                <w:rFonts w:asciiTheme="minorHAnsi" w:hAnsiTheme="minorHAnsi"/>
                <w:b/>
                <w:bCs/>
                <w:color w:val="000000"/>
                <w:sz w:val="20"/>
                <w:lang w:eastAsia="en-AU"/>
              </w:rPr>
            </w:pPr>
            <w:r w:rsidRPr="00581F49">
              <w:rPr>
                <w:rFonts w:asciiTheme="minorHAnsi" w:hAnsiTheme="minorHAnsi"/>
                <w:b/>
                <w:bCs/>
                <w:color w:val="000000"/>
                <w:sz w:val="20"/>
                <w:lang w:eastAsia="en-AU"/>
              </w:rPr>
              <w:t>Total</w:t>
            </w:r>
          </w:p>
        </w:tc>
      </w:tr>
      <w:tr w:rsidR="007E071D" w:rsidRPr="00581F49" w:rsidTr="00067864">
        <w:trPr>
          <w:trHeight w:val="300"/>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Pr>
                <w:rFonts w:asciiTheme="minorHAnsi" w:hAnsiTheme="minorHAnsi"/>
                <w:color w:val="000000"/>
                <w:sz w:val="20"/>
                <w:lang w:eastAsia="en-AU"/>
              </w:rPr>
              <w:t>Executive</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5</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5</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IM/S 3</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5</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5</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IM/S 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IO5</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4</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IO4</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6</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9</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IO3</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7</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9</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IO2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SOGA</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4</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SOGB</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4</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4</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3</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11</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SOGC</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3</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13</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18</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ASO6</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5</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8</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ASO5</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7</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8</w:t>
            </w:r>
          </w:p>
        </w:tc>
      </w:tr>
      <w:tr w:rsidR="007E071D" w:rsidRPr="00581F49" w:rsidTr="00067864">
        <w:trPr>
          <w:trHeight w:val="288"/>
        </w:trPr>
        <w:tc>
          <w:tcPr>
            <w:tcW w:w="264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ASO4</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3</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2</w:t>
            </w:r>
          </w:p>
        </w:tc>
        <w:tc>
          <w:tcPr>
            <w:tcW w:w="1600" w:type="dxa"/>
            <w:tcBorders>
              <w:top w:val="nil"/>
              <w:left w:val="nil"/>
              <w:bottom w:val="nil"/>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6</w:t>
            </w:r>
          </w:p>
        </w:tc>
      </w:tr>
      <w:tr w:rsidR="007E071D" w:rsidRPr="00581F49" w:rsidTr="00067864">
        <w:trPr>
          <w:trHeight w:val="300"/>
        </w:trPr>
        <w:tc>
          <w:tcPr>
            <w:tcW w:w="2640" w:type="dxa"/>
            <w:tcBorders>
              <w:top w:val="nil"/>
              <w:left w:val="nil"/>
              <w:bottom w:val="single" w:sz="12" w:space="0" w:color="auto"/>
              <w:right w:val="nil"/>
            </w:tcBorders>
            <w:shd w:val="clear" w:color="auto" w:fill="auto"/>
            <w:vAlign w:val="center"/>
            <w:hideMark/>
          </w:tcPr>
          <w:p w:rsidR="007E071D" w:rsidRPr="00581F49" w:rsidRDefault="007E071D" w:rsidP="007E071D">
            <w:pPr>
              <w:spacing w:before="0" w:after="0"/>
              <w:ind w:firstLineChars="100" w:firstLine="200"/>
              <w:rPr>
                <w:rFonts w:asciiTheme="minorHAnsi" w:hAnsiTheme="minorHAnsi"/>
                <w:color w:val="000000"/>
                <w:sz w:val="20"/>
                <w:lang w:eastAsia="en-AU"/>
              </w:rPr>
            </w:pPr>
            <w:r w:rsidRPr="00581F49">
              <w:rPr>
                <w:rFonts w:asciiTheme="minorHAnsi" w:hAnsiTheme="minorHAnsi"/>
                <w:color w:val="000000"/>
                <w:sz w:val="20"/>
                <w:lang w:eastAsia="en-AU"/>
              </w:rPr>
              <w:t>ASO3</w:t>
            </w:r>
          </w:p>
        </w:tc>
        <w:tc>
          <w:tcPr>
            <w:tcW w:w="1600" w:type="dxa"/>
            <w:tcBorders>
              <w:top w:val="nil"/>
              <w:left w:val="nil"/>
              <w:bottom w:val="single" w:sz="12" w:space="0" w:color="auto"/>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single" w:sz="12" w:space="0" w:color="auto"/>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0</w:t>
            </w:r>
          </w:p>
        </w:tc>
        <w:tc>
          <w:tcPr>
            <w:tcW w:w="1600" w:type="dxa"/>
            <w:tcBorders>
              <w:top w:val="nil"/>
              <w:left w:val="nil"/>
              <w:bottom w:val="single" w:sz="12" w:space="0" w:color="auto"/>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c>
          <w:tcPr>
            <w:tcW w:w="1600" w:type="dxa"/>
            <w:tcBorders>
              <w:top w:val="nil"/>
              <w:left w:val="nil"/>
              <w:bottom w:val="single" w:sz="12" w:space="0" w:color="auto"/>
              <w:right w:val="nil"/>
            </w:tcBorders>
            <w:shd w:val="clear" w:color="auto" w:fill="auto"/>
            <w:vAlign w:val="center"/>
            <w:hideMark/>
          </w:tcPr>
          <w:p w:rsidR="007E071D" w:rsidRPr="00581F49" w:rsidRDefault="007E071D" w:rsidP="007E071D">
            <w:pPr>
              <w:spacing w:before="0" w:after="0"/>
              <w:ind w:firstLineChars="100" w:firstLine="200"/>
              <w:jc w:val="right"/>
              <w:rPr>
                <w:rFonts w:asciiTheme="minorHAnsi" w:hAnsiTheme="minorHAnsi"/>
                <w:color w:val="000000"/>
                <w:sz w:val="20"/>
                <w:lang w:eastAsia="en-AU"/>
              </w:rPr>
            </w:pPr>
            <w:r w:rsidRPr="00581F49">
              <w:rPr>
                <w:rFonts w:asciiTheme="minorHAnsi" w:hAnsiTheme="minorHAnsi"/>
                <w:color w:val="000000"/>
                <w:sz w:val="20"/>
                <w:lang w:eastAsia="en-AU"/>
              </w:rPr>
              <w:t>1</w:t>
            </w:r>
          </w:p>
        </w:tc>
      </w:tr>
      <w:tr w:rsidR="008713D7" w:rsidRPr="00581F49" w:rsidTr="00067864">
        <w:trPr>
          <w:trHeight w:val="131"/>
        </w:trPr>
        <w:tc>
          <w:tcPr>
            <w:tcW w:w="2640" w:type="dxa"/>
            <w:tcBorders>
              <w:top w:val="nil"/>
              <w:left w:val="nil"/>
              <w:bottom w:val="single" w:sz="12" w:space="0" w:color="auto"/>
              <w:right w:val="nil"/>
            </w:tcBorders>
            <w:shd w:val="clear" w:color="auto" w:fill="auto"/>
            <w:vAlign w:val="center"/>
            <w:hideMark/>
          </w:tcPr>
          <w:p w:rsidR="008713D7" w:rsidRPr="00581F49" w:rsidRDefault="008713D7" w:rsidP="00067864">
            <w:pPr>
              <w:spacing w:before="0" w:after="0"/>
              <w:rPr>
                <w:rFonts w:asciiTheme="minorHAnsi" w:hAnsiTheme="minorHAnsi"/>
                <w:b/>
                <w:bCs/>
                <w:color w:val="000000"/>
                <w:sz w:val="20"/>
                <w:lang w:eastAsia="en-AU"/>
              </w:rPr>
            </w:pPr>
            <w:r w:rsidRPr="00581F49">
              <w:rPr>
                <w:rFonts w:asciiTheme="minorHAnsi" w:hAnsiTheme="minorHAnsi"/>
                <w:b/>
                <w:bCs/>
                <w:color w:val="000000"/>
                <w:sz w:val="20"/>
                <w:lang w:eastAsia="en-AU"/>
              </w:rPr>
              <w:t>Total</w:t>
            </w:r>
          </w:p>
        </w:tc>
        <w:tc>
          <w:tcPr>
            <w:tcW w:w="1600" w:type="dxa"/>
            <w:tcBorders>
              <w:top w:val="nil"/>
              <w:left w:val="nil"/>
              <w:bottom w:val="single" w:sz="12" w:space="0" w:color="auto"/>
              <w:right w:val="nil"/>
            </w:tcBorders>
            <w:shd w:val="clear" w:color="auto" w:fill="auto"/>
            <w:vAlign w:val="center"/>
            <w:hideMark/>
          </w:tcPr>
          <w:p w:rsidR="008713D7" w:rsidRPr="00581F49" w:rsidRDefault="008713D7" w:rsidP="00067864">
            <w:pPr>
              <w:spacing w:before="0" w:after="0"/>
              <w:ind w:firstLineChars="100" w:firstLine="201"/>
              <w:jc w:val="right"/>
              <w:rPr>
                <w:rFonts w:asciiTheme="minorHAnsi" w:hAnsiTheme="minorHAnsi"/>
                <w:b/>
                <w:bCs/>
                <w:color w:val="000000"/>
                <w:sz w:val="20"/>
                <w:lang w:eastAsia="en-AU"/>
              </w:rPr>
            </w:pPr>
            <w:r w:rsidRPr="00581F49">
              <w:rPr>
                <w:rFonts w:asciiTheme="minorHAnsi" w:hAnsiTheme="minorHAnsi"/>
                <w:b/>
                <w:bCs/>
                <w:color w:val="000000"/>
                <w:sz w:val="20"/>
                <w:lang w:eastAsia="en-AU"/>
              </w:rPr>
              <w:t>37</w:t>
            </w:r>
          </w:p>
        </w:tc>
        <w:tc>
          <w:tcPr>
            <w:tcW w:w="1600" w:type="dxa"/>
            <w:tcBorders>
              <w:top w:val="nil"/>
              <w:left w:val="nil"/>
              <w:bottom w:val="single" w:sz="12" w:space="0" w:color="auto"/>
              <w:right w:val="nil"/>
            </w:tcBorders>
            <w:shd w:val="clear" w:color="auto" w:fill="auto"/>
            <w:vAlign w:val="center"/>
            <w:hideMark/>
          </w:tcPr>
          <w:p w:rsidR="008713D7" w:rsidRPr="00581F49" w:rsidRDefault="008713D7" w:rsidP="00067864">
            <w:pPr>
              <w:spacing w:before="0" w:after="0"/>
              <w:ind w:firstLineChars="100" w:firstLine="201"/>
              <w:jc w:val="right"/>
              <w:rPr>
                <w:rFonts w:asciiTheme="minorHAnsi" w:hAnsiTheme="minorHAnsi"/>
                <w:b/>
                <w:bCs/>
                <w:color w:val="000000"/>
                <w:sz w:val="20"/>
                <w:lang w:eastAsia="en-AU"/>
              </w:rPr>
            </w:pPr>
            <w:r w:rsidRPr="00581F49">
              <w:rPr>
                <w:rFonts w:asciiTheme="minorHAnsi" w:hAnsiTheme="minorHAnsi"/>
                <w:b/>
                <w:bCs/>
                <w:color w:val="000000"/>
                <w:sz w:val="20"/>
                <w:lang w:eastAsia="en-AU"/>
              </w:rPr>
              <w:t>40</w:t>
            </w:r>
          </w:p>
        </w:tc>
        <w:tc>
          <w:tcPr>
            <w:tcW w:w="1600" w:type="dxa"/>
            <w:tcBorders>
              <w:top w:val="nil"/>
              <w:left w:val="nil"/>
              <w:bottom w:val="single" w:sz="12" w:space="0" w:color="auto"/>
              <w:right w:val="nil"/>
            </w:tcBorders>
            <w:shd w:val="clear" w:color="auto" w:fill="auto"/>
            <w:vAlign w:val="center"/>
            <w:hideMark/>
          </w:tcPr>
          <w:p w:rsidR="008713D7" w:rsidRPr="00581F49" w:rsidRDefault="008713D7" w:rsidP="00067864">
            <w:pPr>
              <w:spacing w:before="0" w:after="0"/>
              <w:ind w:firstLineChars="100" w:firstLine="201"/>
              <w:jc w:val="right"/>
              <w:rPr>
                <w:rFonts w:asciiTheme="minorHAnsi" w:hAnsiTheme="minorHAnsi"/>
                <w:b/>
                <w:bCs/>
                <w:color w:val="000000"/>
                <w:sz w:val="20"/>
                <w:lang w:eastAsia="en-AU"/>
              </w:rPr>
            </w:pPr>
            <w:r w:rsidRPr="00581F49">
              <w:rPr>
                <w:rFonts w:asciiTheme="minorHAnsi" w:hAnsiTheme="minorHAnsi"/>
                <w:b/>
                <w:bCs/>
                <w:color w:val="000000"/>
                <w:sz w:val="20"/>
                <w:lang w:eastAsia="en-AU"/>
              </w:rPr>
              <w:t>15</w:t>
            </w:r>
            <w:r w:rsidRPr="00996BAE">
              <w:rPr>
                <w:sz w:val="20"/>
                <w:vertAlign w:val="superscript"/>
              </w:rPr>
              <w:t>1</w:t>
            </w:r>
          </w:p>
        </w:tc>
        <w:tc>
          <w:tcPr>
            <w:tcW w:w="1600" w:type="dxa"/>
            <w:tcBorders>
              <w:top w:val="nil"/>
              <w:left w:val="nil"/>
              <w:bottom w:val="single" w:sz="12" w:space="0" w:color="auto"/>
              <w:right w:val="nil"/>
            </w:tcBorders>
            <w:shd w:val="clear" w:color="auto" w:fill="auto"/>
            <w:vAlign w:val="center"/>
            <w:hideMark/>
          </w:tcPr>
          <w:p w:rsidR="008713D7" w:rsidRPr="00581F49" w:rsidRDefault="008713D7" w:rsidP="00067864">
            <w:pPr>
              <w:spacing w:before="0" w:after="0"/>
              <w:ind w:firstLineChars="100" w:firstLine="201"/>
              <w:jc w:val="right"/>
              <w:rPr>
                <w:rFonts w:asciiTheme="minorHAnsi" w:hAnsiTheme="minorHAnsi"/>
                <w:b/>
                <w:bCs/>
                <w:color w:val="000000"/>
                <w:sz w:val="20"/>
                <w:lang w:eastAsia="en-AU"/>
              </w:rPr>
            </w:pPr>
            <w:r w:rsidRPr="00581F49">
              <w:rPr>
                <w:rFonts w:asciiTheme="minorHAnsi" w:hAnsiTheme="minorHAnsi"/>
                <w:b/>
                <w:bCs/>
                <w:color w:val="000000"/>
                <w:sz w:val="20"/>
                <w:lang w:eastAsia="en-AU"/>
              </w:rPr>
              <w:t>92</w:t>
            </w:r>
          </w:p>
        </w:tc>
      </w:tr>
    </w:tbl>
    <w:p w:rsidR="008713D7" w:rsidRPr="00581F49" w:rsidRDefault="008713D7" w:rsidP="008713D7">
      <w:pPr>
        <w:pStyle w:val="BSnote"/>
      </w:pPr>
      <w:r w:rsidRPr="00581F49">
        <w:t xml:space="preserve">Notes:  </w:t>
      </w:r>
    </w:p>
    <w:p w:rsidR="008713D7" w:rsidRPr="0075415B" w:rsidRDefault="008713D7" w:rsidP="00862CB5">
      <w:pPr>
        <w:pStyle w:val="BSnote"/>
        <w:numPr>
          <w:ilvl w:val="0"/>
          <w:numId w:val="63"/>
        </w:numPr>
        <w:jc w:val="both"/>
        <w:rPr>
          <w:b w:val="0"/>
        </w:rPr>
      </w:pPr>
      <w:r>
        <w:rPr>
          <w:b w:val="0"/>
        </w:rPr>
        <w:t>As a</w:t>
      </w:r>
      <w:r w:rsidRPr="0075415B">
        <w:rPr>
          <w:b w:val="0"/>
        </w:rPr>
        <w:t xml:space="preserve">t </w:t>
      </w:r>
      <w:r>
        <w:rPr>
          <w:b w:val="0"/>
        </w:rPr>
        <w:t xml:space="preserve">the end of </w:t>
      </w:r>
      <w:r w:rsidRPr="0075415B">
        <w:rPr>
          <w:b w:val="0"/>
        </w:rPr>
        <w:t>March 2018, there were 15 vacant positions against a r</w:t>
      </w:r>
      <w:r>
        <w:rPr>
          <w:b w:val="0"/>
        </w:rPr>
        <w:t>evised establishment of 92 FTE.</w:t>
      </w:r>
    </w:p>
    <w:p w:rsidR="008713D7" w:rsidRDefault="008713D7" w:rsidP="00B632C2">
      <w:pPr>
        <w:pStyle w:val="Heading2"/>
        <w:pageBreakBefore/>
      </w:pPr>
      <w:bookmarkStart w:id="188" w:name="_Toc514840984"/>
      <w:bookmarkStart w:id="189" w:name="_Toc514841062"/>
      <w:r>
        <w:t>Key performance indicators for 2018-19 to 2021-2022</w:t>
      </w:r>
      <w:bookmarkEnd w:id="188"/>
      <w:bookmarkEnd w:id="189"/>
      <w:r>
        <w:t xml:space="preserve"> </w:t>
      </w:r>
    </w:p>
    <w:p w:rsidR="008713D7" w:rsidRDefault="008713D7" w:rsidP="008713D7">
      <w:pPr>
        <w:pStyle w:val="Caption0"/>
        <w:jc w:val="both"/>
      </w:pPr>
      <w:r>
        <w:t>Financial Measures</w:t>
      </w:r>
    </w:p>
    <w:p w:rsidR="008713D7" w:rsidRPr="007D72AD" w:rsidRDefault="008713D7" w:rsidP="00E671C9">
      <w:pPr>
        <w:pStyle w:val="Normal5"/>
      </w:pPr>
      <w:r>
        <w:t>The following table outlines the Suburban Land Agency’s performance measures for profitability and financial stability.</w:t>
      </w:r>
    </w:p>
    <w:p w:rsidR="008713D7" w:rsidRDefault="008713D7" w:rsidP="008713D7">
      <w:pPr>
        <w:pStyle w:val="Caption0"/>
        <w:jc w:val="both"/>
      </w:pPr>
      <w:r>
        <w:t>Table 3</w:t>
      </w:r>
      <w:r>
        <w:rPr>
          <w:noProof/>
        </w:rPr>
        <w:t>:</w:t>
      </w:r>
      <w:r>
        <w:t xml:space="preserve"> Financial Measures</w:t>
      </w:r>
    </w:p>
    <w:tbl>
      <w:tblPr>
        <w:tblW w:w="9055" w:type="dxa"/>
        <w:tblLook w:val="04A0" w:firstRow="1" w:lastRow="0" w:firstColumn="1" w:lastColumn="0" w:noHBand="0" w:noVBand="1"/>
      </w:tblPr>
      <w:tblGrid>
        <w:gridCol w:w="3828"/>
        <w:gridCol w:w="1236"/>
        <w:gridCol w:w="977"/>
        <w:gridCol w:w="1058"/>
        <w:gridCol w:w="978"/>
        <w:gridCol w:w="978"/>
      </w:tblGrid>
      <w:tr w:rsidR="008713D7" w:rsidRPr="00E8704F" w:rsidTr="00067864">
        <w:trPr>
          <w:trHeight w:val="630"/>
        </w:trPr>
        <w:tc>
          <w:tcPr>
            <w:tcW w:w="3828" w:type="dxa"/>
            <w:tcBorders>
              <w:top w:val="single" w:sz="4" w:space="0" w:color="auto"/>
              <w:left w:val="nil"/>
              <w:bottom w:val="single" w:sz="4" w:space="0" w:color="auto"/>
              <w:right w:val="nil"/>
            </w:tcBorders>
            <w:shd w:val="clear" w:color="auto" w:fill="auto"/>
            <w:noWrap/>
            <w:vAlign w:val="bottom"/>
            <w:hideMark/>
          </w:tcPr>
          <w:p w:rsidR="008713D7" w:rsidRPr="00E8704F" w:rsidRDefault="008713D7" w:rsidP="00067864">
            <w:pPr>
              <w:spacing w:before="0" w:after="0"/>
              <w:rPr>
                <w:sz w:val="20"/>
                <w:lang w:eastAsia="zh-CN"/>
              </w:rPr>
            </w:pPr>
            <w:r w:rsidRPr="00E8704F">
              <w:rPr>
                <w:sz w:val="20"/>
                <w:lang w:eastAsia="zh-CN"/>
              </w:rPr>
              <w:t> </w:t>
            </w:r>
          </w:p>
        </w:tc>
        <w:tc>
          <w:tcPr>
            <w:tcW w:w="1236" w:type="dxa"/>
            <w:tcBorders>
              <w:top w:val="single" w:sz="4" w:space="0" w:color="auto"/>
              <w:left w:val="nil"/>
              <w:bottom w:val="single" w:sz="4" w:space="0" w:color="auto"/>
              <w:right w:val="nil"/>
            </w:tcBorders>
            <w:shd w:val="clear" w:color="auto" w:fill="auto"/>
            <w:vAlign w:val="center"/>
            <w:hideMark/>
          </w:tcPr>
          <w:p w:rsidR="008713D7" w:rsidRPr="00E8704F" w:rsidRDefault="008713D7" w:rsidP="00067864">
            <w:pPr>
              <w:tabs>
                <w:tab w:val="left" w:pos="401"/>
              </w:tabs>
              <w:spacing w:before="0" w:after="0"/>
              <w:ind w:left="-148" w:hanging="141"/>
              <w:jc w:val="right"/>
              <w:rPr>
                <w:b/>
                <w:bCs/>
                <w:color w:val="000000"/>
                <w:sz w:val="20"/>
                <w:lang w:eastAsia="zh-CN"/>
              </w:rPr>
            </w:pPr>
            <w:r w:rsidRPr="00E8704F">
              <w:rPr>
                <w:b/>
                <w:bCs/>
                <w:color w:val="000000"/>
                <w:sz w:val="20"/>
                <w:lang w:eastAsia="zh-CN"/>
              </w:rPr>
              <w:t>2017-18 Estimated Outcome</w:t>
            </w:r>
          </w:p>
        </w:tc>
        <w:tc>
          <w:tcPr>
            <w:tcW w:w="977" w:type="dxa"/>
            <w:tcBorders>
              <w:top w:val="single" w:sz="4" w:space="0" w:color="auto"/>
              <w:left w:val="nil"/>
              <w:bottom w:val="single" w:sz="4" w:space="0" w:color="auto"/>
              <w:right w:val="nil"/>
            </w:tcBorders>
            <w:shd w:val="clear" w:color="auto" w:fill="auto"/>
            <w:vAlign w:val="center"/>
            <w:hideMark/>
          </w:tcPr>
          <w:p w:rsidR="008713D7" w:rsidRPr="00E8704F" w:rsidRDefault="008713D7" w:rsidP="00067864">
            <w:pPr>
              <w:spacing w:before="0" w:after="0"/>
              <w:jc w:val="right"/>
              <w:rPr>
                <w:b/>
                <w:bCs/>
                <w:color w:val="000000"/>
                <w:sz w:val="20"/>
                <w:lang w:eastAsia="zh-CN"/>
              </w:rPr>
            </w:pPr>
            <w:r w:rsidRPr="00E8704F">
              <w:rPr>
                <w:b/>
                <w:bCs/>
                <w:color w:val="000000"/>
                <w:sz w:val="20"/>
                <w:lang w:eastAsia="zh-CN"/>
              </w:rPr>
              <w:t>2018-19 Budget</w:t>
            </w:r>
          </w:p>
        </w:tc>
        <w:tc>
          <w:tcPr>
            <w:tcW w:w="1058" w:type="dxa"/>
            <w:tcBorders>
              <w:top w:val="single" w:sz="4" w:space="0" w:color="auto"/>
              <w:left w:val="nil"/>
              <w:bottom w:val="single" w:sz="4" w:space="0" w:color="auto"/>
              <w:right w:val="nil"/>
            </w:tcBorders>
            <w:shd w:val="clear" w:color="auto" w:fill="auto"/>
            <w:vAlign w:val="center"/>
            <w:hideMark/>
          </w:tcPr>
          <w:p w:rsidR="008713D7" w:rsidRPr="00E8704F" w:rsidRDefault="008713D7" w:rsidP="00067864">
            <w:pPr>
              <w:spacing w:before="0" w:after="0"/>
              <w:jc w:val="right"/>
              <w:rPr>
                <w:b/>
                <w:bCs/>
                <w:color w:val="000000"/>
                <w:sz w:val="20"/>
                <w:lang w:eastAsia="zh-CN"/>
              </w:rPr>
            </w:pPr>
            <w:r w:rsidRPr="00E8704F">
              <w:rPr>
                <w:b/>
                <w:bCs/>
                <w:color w:val="000000"/>
                <w:sz w:val="20"/>
                <w:lang w:eastAsia="zh-CN"/>
              </w:rPr>
              <w:t>2019-20 Estimate</w:t>
            </w:r>
          </w:p>
        </w:tc>
        <w:tc>
          <w:tcPr>
            <w:tcW w:w="978" w:type="dxa"/>
            <w:tcBorders>
              <w:top w:val="single" w:sz="4" w:space="0" w:color="auto"/>
              <w:left w:val="nil"/>
              <w:bottom w:val="single" w:sz="4" w:space="0" w:color="auto"/>
              <w:right w:val="nil"/>
            </w:tcBorders>
            <w:shd w:val="clear" w:color="auto" w:fill="auto"/>
            <w:vAlign w:val="center"/>
            <w:hideMark/>
          </w:tcPr>
          <w:p w:rsidR="008713D7" w:rsidRPr="00E8704F" w:rsidRDefault="008713D7" w:rsidP="00067864">
            <w:pPr>
              <w:spacing w:before="0" w:after="0"/>
              <w:jc w:val="right"/>
              <w:rPr>
                <w:b/>
                <w:bCs/>
                <w:color w:val="000000"/>
                <w:sz w:val="20"/>
                <w:lang w:eastAsia="zh-CN"/>
              </w:rPr>
            </w:pPr>
            <w:r w:rsidRPr="00E8704F">
              <w:rPr>
                <w:b/>
                <w:bCs/>
                <w:color w:val="000000"/>
                <w:sz w:val="20"/>
                <w:lang w:eastAsia="zh-CN"/>
              </w:rPr>
              <w:t>2020-21 Estimate</w:t>
            </w:r>
          </w:p>
        </w:tc>
        <w:tc>
          <w:tcPr>
            <w:tcW w:w="978" w:type="dxa"/>
            <w:tcBorders>
              <w:top w:val="single" w:sz="4" w:space="0" w:color="auto"/>
              <w:left w:val="nil"/>
              <w:bottom w:val="single" w:sz="4" w:space="0" w:color="auto"/>
              <w:right w:val="nil"/>
            </w:tcBorders>
            <w:shd w:val="clear" w:color="auto" w:fill="auto"/>
            <w:vAlign w:val="center"/>
            <w:hideMark/>
          </w:tcPr>
          <w:p w:rsidR="008713D7" w:rsidRPr="00E8704F" w:rsidRDefault="008713D7" w:rsidP="00067864">
            <w:pPr>
              <w:spacing w:before="0" w:after="0"/>
              <w:jc w:val="right"/>
              <w:rPr>
                <w:b/>
                <w:bCs/>
                <w:color w:val="000000"/>
                <w:sz w:val="20"/>
                <w:lang w:eastAsia="zh-CN"/>
              </w:rPr>
            </w:pPr>
            <w:r w:rsidRPr="00E8704F">
              <w:rPr>
                <w:b/>
                <w:bCs/>
                <w:color w:val="000000"/>
                <w:sz w:val="20"/>
                <w:lang w:eastAsia="zh-CN"/>
              </w:rPr>
              <w:t>2021-22 Estimate</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E8704F" w:rsidRDefault="008713D7" w:rsidP="00067864">
            <w:pPr>
              <w:spacing w:before="0" w:after="0"/>
              <w:rPr>
                <w:color w:val="000000"/>
                <w:sz w:val="20"/>
                <w:lang w:eastAsia="zh-CN"/>
              </w:rPr>
            </w:pPr>
            <w:r w:rsidRPr="00E8704F">
              <w:rPr>
                <w:color w:val="000000"/>
                <w:sz w:val="20"/>
                <w:lang w:eastAsia="zh-CN"/>
              </w:rPr>
              <w:t>Land Revenue (million)</w:t>
            </w:r>
            <w:r w:rsidRPr="008970AC">
              <w:rPr>
                <w:sz w:val="20"/>
                <w:vertAlign w:val="superscript"/>
              </w:rPr>
              <w:t xml:space="preserve"> 8</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$445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$701 </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$520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$638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$601 </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FC0041" w:rsidRDefault="008713D7" w:rsidP="00067864">
            <w:pPr>
              <w:spacing w:before="0" w:after="0"/>
              <w:rPr>
                <w:color w:val="000000"/>
                <w:sz w:val="20"/>
                <w:lang w:eastAsia="zh-CN"/>
              </w:rPr>
            </w:pPr>
            <w:r w:rsidRPr="00FC0041">
              <w:rPr>
                <w:color w:val="000000"/>
                <w:sz w:val="20"/>
                <w:lang w:eastAsia="zh-CN"/>
              </w:rPr>
              <w:t xml:space="preserve">Operating Result </w:t>
            </w:r>
            <w:r>
              <w:rPr>
                <w:color w:val="000000"/>
                <w:sz w:val="20"/>
                <w:lang w:eastAsia="zh-CN"/>
              </w:rPr>
              <w:t xml:space="preserve">from Ordinary Activities </w:t>
            </w:r>
            <w:r w:rsidRPr="00FC0041">
              <w:rPr>
                <w:color w:val="000000"/>
                <w:sz w:val="20"/>
                <w:lang w:eastAsia="zh-CN"/>
              </w:rPr>
              <w:t>(before Tax) (million)</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$280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$328 </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$234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$276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$195 </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FC0041" w:rsidRDefault="008713D7" w:rsidP="00067864">
            <w:pPr>
              <w:spacing w:before="0" w:after="0"/>
              <w:rPr>
                <w:color w:val="000000"/>
                <w:sz w:val="20"/>
                <w:lang w:eastAsia="zh-CN"/>
              </w:rPr>
            </w:pPr>
            <w:r w:rsidRPr="00FC0041">
              <w:rPr>
                <w:color w:val="000000"/>
                <w:sz w:val="20"/>
                <w:lang w:eastAsia="zh-CN"/>
              </w:rPr>
              <w:t>Operating Result (after Tax) (million)</w:t>
            </w:r>
            <w:r w:rsidRPr="008970AC">
              <w:rPr>
                <w:sz w:val="20"/>
                <w:vertAlign w:val="superscript"/>
              </w:rPr>
              <w:t xml:space="preserve"> 8</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$196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$230 </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$164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$193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$137 </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E8704F" w:rsidRDefault="008713D7" w:rsidP="00067864">
            <w:pPr>
              <w:spacing w:before="0" w:after="0"/>
              <w:rPr>
                <w:color w:val="000000"/>
                <w:sz w:val="20"/>
                <w:lang w:eastAsia="zh-CN"/>
              </w:rPr>
            </w:pPr>
            <w:r w:rsidRPr="00E8704F">
              <w:rPr>
                <w:color w:val="000000"/>
                <w:sz w:val="20"/>
                <w:lang w:eastAsia="zh-CN"/>
              </w:rPr>
              <w:t>Total Return to Government (million)</w:t>
            </w:r>
            <w:r w:rsidRPr="00EA48D9">
              <w:rPr>
                <w:color w:val="000000"/>
                <w:sz w:val="20"/>
                <w:vertAlign w:val="superscript"/>
                <w:lang w:eastAsia="zh-CN"/>
              </w:rPr>
              <w:t>1</w:t>
            </w:r>
            <w:r w:rsidR="002467AD">
              <w:rPr>
                <w:color w:val="000000"/>
                <w:sz w:val="16"/>
                <w:vertAlign w:val="superscript"/>
                <w:lang w:eastAsia="zh-CN"/>
              </w:rPr>
              <w:t xml:space="preserve">, </w:t>
            </w:r>
            <w:r w:rsidRPr="008970AC">
              <w:rPr>
                <w:sz w:val="20"/>
                <w:vertAlign w:val="superscript"/>
              </w:rPr>
              <w:t>8</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$376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$50</w:t>
            </w:r>
            <w:r>
              <w:rPr>
                <w:color w:val="000000"/>
                <w:sz w:val="20"/>
                <w:lang w:eastAsia="zh-CN"/>
              </w:rPr>
              <w:t>3</w:t>
            </w:r>
            <w:r w:rsidRPr="00E8704F">
              <w:rPr>
                <w:color w:val="000000"/>
                <w:sz w:val="20"/>
                <w:lang w:eastAsia="zh-CN"/>
              </w:rPr>
              <w:t xml:space="preserve"> </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$267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$322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$246 </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E8704F" w:rsidRDefault="008713D7" w:rsidP="00067864">
            <w:pPr>
              <w:spacing w:before="0" w:after="0"/>
              <w:rPr>
                <w:color w:val="000000"/>
                <w:sz w:val="20"/>
                <w:lang w:eastAsia="zh-CN"/>
              </w:rPr>
            </w:pPr>
            <w:r w:rsidRPr="00E8704F">
              <w:rPr>
                <w:color w:val="000000"/>
                <w:sz w:val="20"/>
                <w:lang w:eastAsia="zh-CN"/>
              </w:rPr>
              <w:t>Return on Assets (%)</w:t>
            </w:r>
            <w:r>
              <w:rPr>
                <w:color w:val="000000"/>
                <w:sz w:val="20"/>
                <w:vertAlign w:val="superscript"/>
                <w:lang w:eastAsia="zh-CN"/>
              </w:rPr>
              <w:t>2</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53.6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64.7 </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45.0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52.6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45.2 </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E8704F" w:rsidRDefault="008713D7" w:rsidP="00067864">
            <w:pPr>
              <w:spacing w:before="0" w:after="0"/>
              <w:rPr>
                <w:color w:val="000000"/>
                <w:sz w:val="20"/>
                <w:lang w:eastAsia="zh-CN"/>
              </w:rPr>
            </w:pPr>
            <w:r w:rsidRPr="00E8704F">
              <w:rPr>
                <w:color w:val="000000"/>
                <w:sz w:val="20"/>
                <w:lang w:eastAsia="zh-CN"/>
              </w:rPr>
              <w:t>Gross Profit Margin on Land Sales (%)</w:t>
            </w:r>
            <w:r>
              <w:rPr>
                <w:color w:val="000000"/>
                <w:sz w:val="20"/>
                <w:vertAlign w:val="superscript"/>
                <w:lang w:eastAsia="zh-CN"/>
              </w:rPr>
              <w:t>3, 6, 7</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85.5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Pr>
                <w:color w:val="000000"/>
                <w:sz w:val="20"/>
                <w:lang w:eastAsia="zh-CN"/>
              </w:rPr>
              <w:t>70.8</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54.3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51.3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41.2 </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E8704F" w:rsidRDefault="008713D7" w:rsidP="00067864">
            <w:pPr>
              <w:spacing w:before="0" w:after="0"/>
              <w:rPr>
                <w:color w:val="000000"/>
                <w:sz w:val="20"/>
                <w:lang w:eastAsia="zh-CN"/>
              </w:rPr>
            </w:pPr>
            <w:r w:rsidRPr="00E8704F">
              <w:rPr>
                <w:color w:val="000000"/>
                <w:sz w:val="20"/>
                <w:lang w:eastAsia="zh-CN"/>
              </w:rPr>
              <w:t>Net Profit Margin (%)</w:t>
            </w:r>
            <w:r w:rsidR="002467AD">
              <w:rPr>
                <w:color w:val="000000"/>
                <w:sz w:val="20"/>
                <w:vertAlign w:val="superscript"/>
                <w:lang w:eastAsia="zh-CN"/>
              </w:rPr>
              <w:t xml:space="preserve">4, </w:t>
            </w:r>
            <w:r>
              <w:rPr>
                <w:color w:val="000000"/>
                <w:sz w:val="20"/>
                <w:vertAlign w:val="superscript"/>
                <w:lang w:eastAsia="zh-CN"/>
              </w:rPr>
              <w:t>6</w:t>
            </w:r>
            <w:r w:rsidR="002467AD">
              <w:rPr>
                <w:color w:val="000000"/>
                <w:sz w:val="20"/>
                <w:vertAlign w:val="superscript"/>
                <w:lang w:eastAsia="zh-CN"/>
              </w:rPr>
              <w:t>, 7</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42.0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32.2 </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30.8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29.7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22.3 </w:t>
            </w:r>
          </w:p>
        </w:tc>
      </w:tr>
      <w:tr w:rsidR="008713D7" w:rsidRPr="00E8704F" w:rsidTr="00067864">
        <w:trPr>
          <w:trHeight w:val="300"/>
        </w:trPr>
        <w:tc>
          <w:tcPr>
            <w:tcW w:w="3828" w:type="dxa"/>
            <w:tcBorders>
              <w:top w:val="nil"/>
              <w:left w:val="nil"/>
              <w:bottom w:val="nil"/>
              <w:right w:val="nil"/>
            </w:tcBorders>
            <w:shd w:val="clear" w:color="auto" w:fill="auto"/>
            <w:noWrap/>
            <w:vAlign w:val="center"/>
            <w:hideMark/>
          </w:tcPr>
          <w:p w:rsidR="008713D7" w:rsidRPr="00E8704F" w:rsidRDefault="008713D7" w:rsidP="00067864">
            <w:pPr>
              <w:spacing w:before="0" w:after="0"/>
              <w:rPr>
                <w:color w:val="000000"/>
                <w:sz w:val="20"/>
                <w:lang w:eastAsia="zh-CN"/>
              </w:rPr>
            </w:pPr>
            <w:r w:rsidRPr="00E8704F">
              <w:rPr>
                <w:color w:val="000000"/>
                <w:sz w:val="20"/>
                <w:lang w:eastAsia="zh-CN"/>
              </w:rPr>
              <w:t>Inventory Turnover (%)</w:t>
            </w:r>
            <w:r>
              <w:rPr>
                <w:color w:val="000000"/>
                <w:sz w:val="20"/>
                <w:vertAlign w:val="superscript"/>
                <w:lang w:eastAsia="zh-CN"/>
              </w:rPr>
              <w:t>5</w:t>
            </w:r>
          </w:p>
        </w:tc>
        <w:tc>
          <w:tcPr>
            <w:tcW w:w="1236"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25.1 </w:t>
            </w:r>
          </w:p>
        </w:tc>
        <w:tc>
          <w:tcPr>
            <w:tcW w:w="977"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66.0 </w:t>
            </w:r>
          </w:p>
        </w:tc>
        <w:tc>
          <w:tcPr>
            <w:tcW w:w="105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62.8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85.0 </w:t>
            </w:r>
          </w:p>
        </w:tc>
        <w:tc>
          <w:tcPr>
            <w:tcW w:w="978" w:type="dxa"/>
            <w:tcBorders>
              <w:top w:val="nil"/>
              <w:left w:val="nil"/>
              <w:bottom w:val="nil"/>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sidRPr="00E8704F">
              <w:rPr>
                <w:color w:val="000000"/>
                <w:sz w:val="20"/>
                <w:lang w:eastAsia="zh-CN"/>
              </w:rPr>
              <w:t xml:space="preserve">141.9 </w:t>
            </w:r>
          </w:p>
        </w:tc>
      </w:tr>
      <w:tr w:rsidR="008713D7" w:rsidRPr="00E8704F" w:rsidTr="00067864">
        <w:trPr>
          <w:trHeight w:val="315"/>
        </w:trPr>
        <w:tc>
          <w:tcPr>
            <w:tcW w:w="3828" w:type="dxa"/>
            <w:tcBorders>
              <w:top w:val="nil"/>
              <w:left w:val="nil"/>
              <w:bottom w:val="single" w:sz="8" w:space="0" w:color="auto"/>
              <w:right w:val="nil"/>
            </w:tcBorders>
            <w:shd w:val="clear" w:color="auto" w:fill="auto"/>
            <w:noWrap/>
            <w:vAlign w:val="center"/>
            <w:hideMark/>
          </w:tcPr>
          <w:p w:rsidR="008713D7" w:rsidRPr="00E8704F" w:rsidRDefault="008713D7" w:rsidP="00067864">
            <w:pPr>
              <w:spacing w:before="0" w:after="0"/>
              <w:rPr>
                <w:color w:val="000000"/>
                <w:sz w:val="20"/>
                <w:lang w:eastAsia="zh-CN"/>
              </w:rPr>
            </w:pPr>
            <w:r w:rsidRPr="00E8704F">
              <w:rPr>
                <w:color w:val="000000"/>
                <w:sz w:val="20"/>
                <w:lang w:eastAsia="zh-CN"/>
              </w:rPr>
              <w:t>Net Cash Inflows from Operating Activities (million)</w:t>
            </w:r>
          </w:p>
        </w:tc>
        <w:tc>
          <w:tcPr>
            <w:tcW w:w="1236" w:type="dxa"/>
            <w:tcBorders>
              <w:top w:val="nil"/>
              <w:left w:val="nil"/>
              <w:bottom w:val="single" w:sz="8" w:space="0" w:color="auto"/>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Pr>
                <w:color w:val="000000"/>
                <w:sz w:val="20"/>
                <w:lang w:eastAsia="zh-CN"/>
              </w:rPr>
              <w:t>$</w:t>
            </w:r>
            <w:r w:rsidRPr="00E8704F">
              <w:rPr>
                <w:color w:val="000000"/>
                <w:sz w:val="20"/>
                <w:lang w:eastAsia="zh-CN"/>
              </w:rPr>
              <w:t xml:space="preserve">207 </w:t>
            </w:r>
          </w:p>
        </w:tc>
        <w:tc>
          <w:tcPr>
            <w:tcW w:w="977" w:type="dxa"/>
            <w:tcBorders>
              <w:top w:val="nil"/>
              <w:left w:val="nil"/>
              <w:bottom w:val="single" w:sz="8" w:space="0" w:color="auto"/>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Pr>
                <w:color w:val="000000"/>
                <w:sz w:val="20"/>
                <w:lang w:eastAsia="zh-CN"/>
              </w:rPr>
              <w:t>$</w:t>
            </w:r>
            <w:r w:rsidRPr="00E8704F">
              <w:rPr>
                <w:color w:val="000000"/>
                <w:sz w:val="20"/>
                <w:lang w:eastAsia="zh-CN"/>
              </w:rPr>
              <w:t xml:space="preserve">279 </w:t>
            </w:r>
          </w:p>
        </w:tc>
        <w:tc>
          <w:tcPr>
            <w:tcW w:w="1058" w:type="dxa"/>
            <w:tcBorders>
              <w:top w:val="nil"/>
              <w:left w:val="nil"/>
              <w:bottom w:val="single" w:sz="8" w:space="0" w:color="auto"/>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Pr>
                <w:color w:val="000000"/>
                <w:sz w:val="20"/>
                <w:lang w:eastAsia="zh-CN"/>
              </w:rPr>
              <w:t>$</w:t>
            </w:r>
            <w:r w:rsidRPr="00E8704F">
              <w:rPr>
                <w:color w:val="000000"/>
                <w:sz w:val="20"/>
                <w:lang w:eastAsia="zh-CN"/>
              </w:rPr>
              <w:t xml:space="preserve">75 </w:t>
            </w:r>
          </w:p>
        </w:tc>
        <w:tc>
          <w:tcPr>
            <w:tcW w:w="978" w:type="dxa"/>
            <w:tcBorders>
              <w:top w:val="nil"/>
              <w:left w:val="nil"/>
              <w:bottom w:val="single" w:sz="8" w:space="0" w:color="auto"/>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Pr>
                <w:color w:val="000000"/>
                <w:sz w:val="20"/>
                <w:lang w:eastAsia="zh-CN"/>
              </w:rPr>
              <w:t>$</w:t>
            </w:r>
            <w:r w:rsidRPr="00E8704F">
              <w:rPr>
                <w:color w:val="000000"/>
                <w:sz w:val="20"/>
                <w:lang w:eastAsia="zh-CN"/>
              </w:rPr>
              <w:t xml:space="preserve">272 </w:t>
            </w:r>
          </w:p>
        </w:tc>
        <w:tc>
          <w:tcPr>
            <w:tcW w:w="978" w:type="dxa"/>
            <w:tcBorders>
              <w:top w:val="nil"/>
              <w:left w:val="nil"/>
              <w:bottom w:val="single" w:sz="8" w:space="0" w:color="auto"/>
              <w:right w:val="nil"/>
            </w:tcBorders>
            <w:shd w:val="clear" w:color="auto" w:fill="auto"/>
            <w:noWrap/>
            <w:vAlign w:val="center"/>
            <w:hideMark/>
          </w:tcPr>
          <w:p w:rsidR="008713D7" w:rsidRPr="00E8704F" w:rsidRDefault="008713D7" w:rsidP="00067864">
            <w:pPr>
              <w:spacing w:before="0" w:after="0"/>
              <w:jc w:val="right"/>
              <w:rPr>
                <w:color w:val="000000"/>
                <w:sz w:val="20"/>
                <w:lang w:eastAsia="zh-CN"/>
              </w:rPr>
            </w:pPr>
            <w:r>
              <w:rPr>
                <w:color w:val="000000"/>
                <w:sz w:val="20"/>
                <w:lang w:eastAsia="zh-CN"/>
              </w:rPr>
              <w:t>$</w:t>
            </w:r>
            <w:r w:rsidRPr="00E8704F">
              <w:rPr>
                <w:color w:val="000000"/>
                <w:sz w:val="20"/>
                <w:lang w:eastAsia="zh-CN"/>
              </w:rPr>
              <w:t xml:space="preserve">266 </w:t>
            </w:r>
          </w:p>
        </w:tc>
      </w:tr>
    </w:tbl>
    <w:p w:rsidR="008713D7" w:rsidRDefault="008713D7" w:rsidP="008713D7">
      <w:pPr>
        <w:pStyle w:val="BSnote"/>
      </w:pPr>
      <w:r>
        <w:t xml:space="preserve">Notes: </w:t>
      </w:r>
    </w:p>
    <w:tbl>
      <w:tblPr>
        <w:tblW w:w="9140" w:type="dxa"/>
        <w:tblInd w:w="-108" w:type="dxa"/>
        <w:tblLook w:val="04A0" w:firstRow="1" w:lastRow="0" w:firstColumn="1" w:lastColumn="0" w:noHBand="0" w:noVBand="1"/>
      </w:tblPr>
      <w:tblGrid>
        <w:gridCol w:w="5314"/>
        <w:gridCol w:w="955"/>
        <w:gridCol w:w="957"/>
        <w:gridCol w:w="957"/>
        <w:gridCol w:w="957"/>
      </w:tblGrid>
      <w:tr w:rsidR="008713D7" w:rsidRPr="00BB0BD6" w:rsidTr="00067864">
        <w:trPr>
          <w:trHeight w:val="312"/>
        </w:trPr>
        <w:tc>
          <w:tcPr>
            <w:tcW w:w="9140" w:type="dxa"/>
            <w:gridSpan w:val="5"/>
            <w:tcBorders>
              <w:top w:val="nil"/>
              <w:left w:val="nil"/>
              <w:bottom w:val="nil"/>
              <w:right w:val="nil"/>
            </w:tcBorders>
            <w:shd w:val="clear" w:color="auto" w:fill="auto"/>
            <w:noWrap/>
            <w:hideMark/>
          </w:tcPr>
          <w:p w:rsidR="008713D7" w:rsidRPr="00FC0041" w:rsidRDefault="008713D7" w:rsidP="00862CB5">
            <w:pPr>
              <w:pStyle w:val="BSnote"/>
              <w:numPr>
                <w:ilvl w:val="0"/>
                <w:numId w:val="62"/>
              </w:numPr>
              <w:rPr>
                <w:b w:val="0"/>
              </w:rPr>
            </w:pPr>
            <w:r w:rsidRPr="00FC0041">
              <w:rPr>
                <w:b w:val="0"/>
              </w:rPr>
              <w:t>Total return to Government = operating result before tax + payments for land acquisitions + payroll tax + stamp duty equivalents + land holding costs equi</w:t>
            </w:r>
            <w:r>
              <w:rPr>
                <w:b w:val="0"/>
              </w:rPr>
              <w:t>valents + capital distributions.</w:t>
            </w:r>
          </w:p>
          <w:p w:rsidR="008713D7" w:rsidRPr="00FC0041" w:rsidRDefault="008713D7" w:rsidP="00862CB5">
            <w:pPr>
              <w:pStyle w:val="BSnote"/>
              <w:numPr>
                <w:ilvl w:val="0"/>
                <w:numId w:val="62"/>
              </w:numPr>
              <w:rPr>
                <w:b w:val="0"/>
              </w:rPr>
            </w:pPr>
            <w:r w:rsidRPr="00FC0041">
              <w:rPr>
                <w:b w:val="0"/>
              </w:rPr>
              <w:t>Return on assets = (operating result before tax + borrowing costs) / average total assets for period</w:t>
            </w:r>
            <w:r>
              <w:rPr>
                <w:b w:val="0"/>
              </w:rPr>
              <w:t>.</w:t>
            </w:r>
          </w:p>
        </w:tc>
      </w:tr>
      <w:tr w:rsidR="008713D7" w:rsidRPr="00BB0BD6" w:rsidTr="00067864">
        <w:trPr>
          <w:trHeight w:val="312"/>
        </w:trPr>
        <w:tc>
          <w:tcPr>
            <w:tcW w:w="7226" w:type="dxa"/>
            <w:gridSpan w:val="3"/>
            <w:tcBorders>
              <w:top w:val="nil"/>
              <w:left w:val="nil"/>
              <w:bottom w:val="nil"/>
              <w:right w:val="nil"/>
            </w:tcBorders>
            <w:shd w:val="clear" w:color="auto" w:fill="auto"/>
            <w:noWrap/>
            <w:hideMark/>
          </w:tcPr>
          <w:p w:rsidR="008713D7" w:rsidRPr="00FC0041" w:rsidRDefault="008713D7" w:rsidP="00862CB5">
            <w:pPr>
              <w:pStyle w:val="BSnote"/>
              <w:numPr>
                <w:ilvl w:val="0"/>
                <w:numId w:val="62"/>
              </w:numPr>
              <w:rPr>
                <w:b w:val="0"/>
              </w:rPr>
            </w:pPr>
            <w:r w:rsidRPr="00FC0041">
              <w:rPr>
                <w:b w:val="0"/>
              </w:rPr>
              <w:t>Gross profit margin = (land sales - cost of goods sold including duty) / land sales</w:t>
            </w:r>
            <w:r>
              <w:rPr>
                <w:b w:val="0"/>
              </w:rPr>
              <w:t>.</w:t>
            </w:r>
          </w:p>
        </w:tc>
        <w:tc>
          <w:tcPr>
            <w:tcW w:w="957" w:type="dxa"/>
            <w:tcBorders>
              <w:top w:val="nil"/>
              <w:left w:val="nil"/>
              <w:bottom w:val="nil"/>
              <w:right w:val="nil"/>
            </w:tcBorders>
            <w:shd w:val="clear" w:color="auto" w:fill="auto"/>
            <w:noWrap/>
            <w:hideMark/>
          </w:tcPr>
          <w:p w:rsidR="008713D7" w:rsidRPr="00FC0041" w:rsidRDefault="008713D7" w:rsidP="00E671C9">
            <w:pPr>
              <w:pStyle w:val="BSnote"/>
              <w:ind w:left="360"/>
              <w:rPr>
                <w:b w:val="0"/>
              </w:rPr>
            </w:pPr>
          </w:p>
        </w:tc>
        <w:tc>
          <w:tcPr>
            <w:tcW w:w="957" w:type="dxa"/>
            <w:tcBorders>
              <w:top w:val="nil"/>
              <w:left w:val="nil"/>
              <w:bottom w:val="nil"/>
              <w:right w:val="nil"/>
            </w:tcBorders>
            <w:shd w:val="clear" w:color="auto" w:fill="auto"/>
            <w:noWrap/>
            <w:hideMark/>
          </w:tcPr>
          <w:p w:rsidR="008713D7" w:rsidRPr="00FC0041" w:rsidRDefault="008713D7" w:rsidP="00E671C9">
            <w:pPr>
              <w:pStyle w:val="BSnote"/>
              <w:ind w:left="360"/>
              <w:rPr>
                <w:b w:val="0"/>
              </w:rPr>
            </w:pPr>
          </w:p>
        </w:tc>
      </w:tr>
      <w:tr w:rsidR="008713D7" w:rsidRPr="00BB0BD6" w:rsidTr="00067864">
        <w:trPr>
          <w:trHeight w:val="312"/>
        </w:trPr>
        <w:tc>
          <w:tcPr>
            <w:tcW w:w="5314" w:type="dxa"/>
            <w:tcBorders>
              <w:top w:val="nil"/>
              <w:left w:val="nil"/>
              <w:bottom w:val="nil"/>
              <w:right w:val="nil"/>
            </w:tcBorders>
            <w:shd w:val="clear" w:color="auto" w:fill="auto"/>
            <w:noWrap/>
            <w:hideMark/>
          </w:tcPr>
          <w:p w:rsidR="008713D7" w:rsidRPr="00FC0041" w:rsidRDefault="008713D7" w:rsidP="00862CB5">
            <w:pPr>
              <w:pStyle w:val="BSnote"/>
              <w:numPr>
                <w:ilvl w:val="0"/>
                <w:numId w:val="62"/>
              </w:numPr>
              <w:rPr>
                <w:b w:val="0"/>
              </w:rPr>
            </w:pPr>
            <w:r w:rsidRPr="00FC0041">
              <w:rPr>
                <w:b w:val="0"/>
              </w:rPr>
              <w:t>Net profit margin = operating result / total revenue</w:t>
            </w:r>
            <w:r>
              <w:rPr>
                <w:b w:val="0"/>
              </w:rPr>
              <w:t>.</w:t>
            </w:r>
          </w:p>
        </w:tc>
        <w:tc>
          <w:tcPr>
            <w:tcW w:w="955" w:type="dxa"/>
            <w:tcBorders>
              <w:top w:val="nil"/>
              <w:left w:val="nil"/>
              <w:bottom w:val="nil"/>
              <w:right w:val="nil"/>
            </w:tcBorders>
            <w:shd w:val="clear" w:color="auto" w:fill="auto"/>
            <w:noWrap/>
          </w:tcPr>
          <w:p w:rsidR="008713D7" w:rsidRPr="00FC0041" w:rsidRDefault="008713D7" w:rsidP="00E671C9">
            <w:pPr>
              <w:pStyle w:val="BSnote"/>
              <w:ind w:left="360"/>
              <w:rPr>
                <w:b w:val="0"/>
              </w:rPr>
            </w:pPr>
          </w:p>
        </w:tc>
        <w:tc>
          <w:tcPr>
            <w:tcW w:w="957" w:type="dxa"/>
            <w:tcBorders>
              <w:top w:val="nil"/>
              <w:left w:val="nil"/>
              <w:bottom w:val="nil"/>
              <w:right w:val="nil"/>
            </w:tcBorders>
            <w:shd w:val="clear" w:color="auto" w:fill="auto"/>
            <w:noWrap/>
          </w:tcPr>
          <w:p w:rsidR="008713D7" w:rsidRPr="00FC0041" w:rsidRDefault="008713D7" w:rsidP="00E671C9">
            <w:pPr>
              <w:pStyle w:val="BSnote"/>
              <w:ind w:left="360"/>
              <w:rPr>
                <w:b w:val="0"/>
              </w:rPr>
            </w:pPr>
          </w:p>
        </w:tc>
        <w:tc>
          <w:tcPr>
            <w:tcW w:w="957" w:type="dxa"/>
            <w:tcBorders>
              <w:top w:val="nil"/>
              <w:left w:val="nil"/>
              <w:bottom w:val="nil"/>
              <w:right w:val="nil"/>
            </w:tcBorders>
            <w:shd w:val="clear" w:color="auto" w:fill="auto"/>
            <w:noWrap/>
          </w:tcPr>
          <w:p w:rsidR="008713D7" w:rsidRPr="00FC0041" w:rsidRDefault="008713D7" w:rsidP="00E671C9">
            <w:pPr>
              <w:pStyle w:val="BSnote"/>
              <w:ind w:left="360"/>
              <w:rPr>
                <w:b w:val="0"/>
              </w:rPr>
            </w:pPr>
          </w:p>
        </w:tc>
        <w:tc>
          <w:tcPr>
            <w:tcW w:w="957" w:type="dxa"/>
            <w:tcBorders>
              <w:top w:val="nil"/>
              <w:left w:val="nil"/>
              <w:bottom w:val="nil"/>
              <w:right w:val="nil"/>
            </w:tcBorders>
            <w:shd w:val="clear" w:color="auto" w:fill="auto"/>
            <w:noWrap/>
          </w:tcPr>
          <w:p w:rsidR="008713D7" w:rsidRPr="00FC0041" w:rsidRDefault="008713D7" w:rsidP="00E671C9">
            <w:pPr>
              <w:pStyle w:val="BSnote"/>
              <w:ind w:left="360"/>
              <w:rPr>
                <w:b w:val="0"/>
              </w:rPr>
            </w:pPr>
          </w:p>
        </w:tc>
      </w:tr>
      <w:tr w:rsidR="008713D7" w:rsidRPr="00BB0BD6" w:rsidTr="00067864">
        <w:trPr>
          <w:trHeight w:val="408"/>
        </w:trPr>
        <w:tc>
          <w:tcPr>
            <w:tcW w:w="9140" w:type="dxa"/>
            <w:gridSpan w:val="5"/>
            <w:tcBorders>
              <w:top w:val="nil"/>
              <w:left w:val="nil"/>
              <w:bottom w:val="nil"/>
              <w:right w:val="nil"/>
            </w:tcBorders>
            <w:shd w:val="clear" w:color="auto" w:fill="auto"/>
            <w:hideMark/>
          </w:tcPr>
          <w:p w:rsidR="008713D7" w:rsidRPr="00FC0041" w:rsidRDefault="008713D7" w:rsidP="00862CB5">
            <w:pPr>
              <w:pStyle w:val="BSnote"/>
              <w:numPr>
                <w:ilvl w:val="0"/>
                <w:numId w:val="62"/>
              </w:numPr>
              <w:rPr>
                <w:b w:val="0"/>
              </w:rPr>
            </w:pPr>
            <w:r w:rsidRPr="00FC0041">
              <w:rPr>
                <w:b w:val="0"/>
              </w:rPr>
              <w:t>Inventory turnover = cost of goods sold / average inventory</w:t>
            </w:r>
            <w:r>
              <w:rPr>
                <w:b w:val="0"/>
              </w:rPr>
              <w:t>.</w:t>
            </w:r>
          </w:p>
          <w:p w:rsidR="008713D7" w:rsidRPr="00FC0041" w:rsidRDefault="008713D7" w:rsidP="00E671C9">
            <w:pPr>
              <w:pStyle w:val="BSnote"/>
              <w:ind w:left="360"/>
              <w:rPr>
                <w:b w:val="0"/>
              </w:rPr>
            </w:pPr>
            <w:r w:rsidRPr="00FC0041">
              <w:rPr>
                <w:b w:val="0"/>
              </w:rPr>
              <w:t xml:space="preserve">The high inventory turnover in 2021-22 is due to high cost of goods sold because the majority of settlements in the year are greenfield sites which require more construction work. </w:t>
            </w:r>
          </w:p>
        </w:tc>
      </w:tr>
    </w:tbl>
    <w:p w:rsidR="008713D7" w:rsidRPr="00FC0041" w:rsidRDefault="008713D7" w:rsidP="00862CB5">
      <w:pPr>
        <w:pStyle w:val="BSnote"/>
        <w:numPr>
          <w:ilvl w:val="0"/>
          <w:numId w:val="62"/>
        </w:numPr>
        <w:rPr>
          <w:b w:val="0"/>
        </w:rPr>
      </w:pPr>
      <w:r w:rsidRPr="00FC0041">
        <w:rPr>
          <w:b w:val="0"/>
        </w:rPr>
        <w:t>The profit margins of the Suburban Land Agency are used for internal purposes to provide comparatives across projects and time periods.  These margins are not comparable with private industry,</w:t>
      </w:r>
      <w:r w:rsidRPr="00BB0BD6">
        <w:rPr>
          <w:b w:val="0"/>
        </w:rPr>
        <w:t xml:space="preserve"> noting that</w:t>
      </w:r>
      <w:r w:rsidRPr="00FC0041">
        <w:rPr>
          <w:b w:val="0"/>
        </w:rPr>
        <w:t xml:space="preserve"> the Government, through the Suburban Land Agency, enters into the land development process at an earlier stage than a private developer.  Additionally, the Government invests in infrastructure within and around its developments with the cost incurred by other Government agencies and therefore not </w:t>
      </w:r>
      <w:r w:rsidRPr="00BB0BD6">
        <w:rPr>
          <w:b w:val="0"/>
        </w:rPr>
        <w:t>reflected in</w:t>
      </w:r>
      <w:r w:rsidRPr="00FC0041">
        <w:rPr>
          <w:b w:val="0"/>
        </w:rPr>
        <w:t xml:space="preserve"> the Suburban Land Agency’s profit margins.</w:t>
      </w:r>
    </w:p>
    <w:p w:rsidR="008713D7" w:rsidRDefault="008713D7" w:rsidP="00862CB5">
      <w:pPr>
        <w:pStyle w:val="BSnote"/>
        <w:numPr>
          <w:ilvl w:val="0"/>
          <w:numId w:val="62"/>
        </w:numPr>
        <w:rPr>
          <w:b w:val="0"/>
        </w:rPr>
      </w:pPr>
      <w:r w:rsidRPr="00FC0041">
        <w:rPr>
          <w:b w:val="0"/>
        </w:rPr>
        <w:t>The higher profit margins in 2017-18 and 2018-19 are affected by</w:t>
      </w:r>
      <w:r>
        <w:rPr>
          <w:b w:val="0"/>
        </w:rPr>
        <w:t xml:space="preserve"> the factors listed below. </w:t>
      </w:r>
      <w:r w:rsidRPr="00FC0041">
        <w:rPr>
          <w:b w:val="0"/>
        </w:rPr>
        <w:t>If adjusted, the gross profit margin in 2017-18 and 2018</w:t>
      </w:r>
      <w:r w:rsidRPr="00FC0041">
        <w:rPr>
          <w:b w:val="0"/>
        </w:rPr>
        <w:noBreakHyphen/>
        <w:t xml:space="preserve">19 would be </w:t>
      </w:r>
      <w:r w:rsidRPr="003E4A14">
        <w:rPr>
          <w:b w:val="0"/>
        </w:rPr>
        <w:t>6</w:t>
      </w:r>
      <w:r w:rsidRPr="00220D11">
        <w:rPr>
          <w:b w:val="0"/>
        </w:rPr>
        <w:t>1</w:t>
      </w:r>
      <w:r w:rsidRPr="003E4A14">
        <w:rPr>
          <w:b w:val="0"/>
        </w:rPr>
        <w:t>.</w:t>
      </w:r>
      <w:r w:rsidRPr="00220D11">
        <w:rPr>
          <w:b w:val="0"/>
        </w:rPr>
        <w:t>5</w:t>
      </w:r>
      <w:r w:rsidRPr="003E4A14">
        <w:rPr>
          <w:b w:val="0"/>
        </w:rPr>
        <w:t>% and 4</w:t>
      </w:r>
      <w:r w:rsidRPr="00220D11">
        <w:rPr>
          <w:b w:val="0"/>
        </w:rPr>
        <w:t>6.2</w:t>
      </w:r>
      <w:r w:rsidRPr="003E4A14">
        <w:rPr>
          <w:b w:val="0"/>
        </w:rPr>
        <w:t xml:space="preserve">% and net profit </w:t>
      </w:r>
      <w:r w:rsidRPr="00B032AE">
        <w:rPr>
          <w:b w:val="0"/>
        </w:rPr>
        <w:t xml:space="preserve">margins </w:t>
      </w:r>
      <w:r w:rsidRPr="00220D11">
        <w:rPr>
          <w:b w:val="0"/>
        </w:rPr>
        <w:t>35.2</w:t>
      </w:r>
      <w:r w:rsidRPr="00B032AE">
        <w:rPr>
          <w:b w:val="0"/>
        </w:rPr>
        <w:t>% and 2</w:t>
      </w:r>
      <w:r w:rsidRPr="00220D11">
        <w:rPr>
          <w:b w:val="0"/>
        </w:rPr>
        <w:t>5.5</w:t>
      </w:r>
      <w:r w:rsidRPr="00B032AE">
        <w:rPr>
          <w:b w:val="0"/>
        </w:rPr>
        <w:t>% respectively.</w:t>
      </w:r>
    </w:p>
    <w:p w:rsidR="008713D7" w:rsidRPr="00FC0041" w:rsidRDefault="008713D7" w:rsidP="00862CB5">
      <w:pPr>
        <w:pStyle w:val="BSnote"/>
        <w:numPr>
          <w:ilvl w:val="1"/>
          <w:numId w:val="62"/>
        </w:numPr>
        <w:rPr>
          <w:b w:val="0"/>
        </w:rPr>
      </w:pPr>
      <w:r>
        <w:rPr>
          <w:b w:val="0"/>
        </w:rPr>
        <w:t>T</w:t>
      </w:r>
      <w:r w:rsidRPr="00FC0041">
        <w:rPr>
          <w:b w:val="0"/>
        </w:rPr>
        <w:t>he accounting treatment for ARI land</w:t>
      </w:r>
      <w:r>
        <w:rPr>
          <w:b w:val="0"/>
        </w:rPr>
        <w:t xml:space="preserve"> - t</w:t>
      </w:r>
      <w:r w:rsidRPr="00FC0041">
        <w:rPr>
          <w:b w:val="0"/>
        </w:rPr>
        <w:t>he cost of ARI land is expensed in the period of custodianship transfer to the Suburban Land Agency and therefore is not considered in the calcu</w:t>
      </w:r>
      <w:r>
        <w:rPr>
          <w:b w:val="0"/>
        </w:rPr>
        <w:t>lation of gross profits.</w:t>
      </w:r>
    </w:p>
    <w:p w:rsidR="008713D7" w:rsidRDefault="008713D7" w:rsidP="00862CB5">
      <w:pPr>
        <w:pStyle w:val="BSnote"/>
        <w:numPr>
          <w:ilvl w:val="1"/>
          <w:numId w:val="62"/>
        </w:numPr>
        <w:rPr>
          <w:b w:val="0"/>
        </w:rPr>
      </w:pPr>
      <w:r>
        <w:rPr>
          <w:b w:val="0"/>
        </w:rPr>
        <w:t>A</w:t>
      </w:r>
      <w:r w:rsidRPr="00E909C9">
        <w:rPr>
          <w:b w:val="0"/>
        </w:rPr>
        <w:t xml:space="preserve"> reduction in the attribution of cost of goods sold recognised in prior years.</w:t>
      </w:r>
    </w:p>
    <w:p w:rsidR="008713D7" w:rsidRPr="00E909C9" w:rsidRDefault="008713D7" w:rsidP="00862CB5">
      <w:pPr>
        <w:pStyle w:val="BSnote"/>
        <w:numPr>
          <w:ilvl w:val="0"/>
          <w:numId w:val="62"/>
        </w:numPr>
        <w:rPr>
          <w:b w:val="0"/>
        </w:rPr>
      </w:pPr>
      <w:r>
        <w:rPr>
          <w:b w:val="0"/>
        </w:rPr>
        <w:t>Higher land revenue, operating result and total return to government in 2018-19 is primarily due to an extensive asset recycling program and the inclusion of the revenues and expenses from the West Belconnen joint venture.</w:t>
      </w:r>
    </w:p>
    <w:p w:rsidR="003C0280" w:rsidRDefault="003C0280">
      <w:pPr>
        <w:spacing w:before="0" w:after="0"/>
        <w:rPr>
          <w:b/>
          <w:bCs/>
          <w:color w:val="000000"/>
          <w:sz w:val="22"/>
          <w:szCs w:val="18"/>
        </w:rPr>
      </w:pPr>
      <w:r>
        <w:br w:type="page"/>
      </w:r>
    </w:p>
    <w:p w:rsidR="008713D7" w:rsidRPr="007F7DE6" w:rsidRDefault="008713D7" w:rsidP="008713D7">
      <w:pPr>
        <w:pStyle w:val="Caption0"/>
        <w:jc w:val="both"/>
      </w:pPr>
      <w:r w:rsidRPr="007F7DE6">
        <w:t>Non-Financial Measures</w:t>
      </w:r>
    </w:p>
    <w:p w:rsidR="008713D7" w:rsidRDefault="008713D7" w:rsidP="00E671C9">
      <w:pPr>
        <w:pStyle w:val="Normal5"/>
      </w:pPr>
      <w:r>
        <w:t>The Suburban Land Agency’s non-financial performance will be measured by assessing:</w:t>
      </w:r>
    </w:p>
    <w:p w:rsidR="008713D7" w:rsidRDefault="008713D7" w:rsidP="003C0280">
      <w:pPr>
        <w:pStyle w:val="BSbullet1"/>
      </w:pPr>
      <w:r>
        <w:t>the level of achievement against the targets for the release of residential, commercial, industrial and community land specified in the Government’s Indicative Land Release Program for 2018-19 as set out in Table 4 below; and</w:t>
      </w:r>
    </w:p>
    <w:p w:rsidR="008713D7" w:rsidRDefault="008713D7" w:rsidP="003C0280">
      <w:pPr>
        <w:pStyle w:val="BSbullet1"/>
      </w:pPr>
      <w:r>
        <w:t>performance against the targets in Table 5.</w:t>
      </w:r>
    </w:p>
    <w:p w:rsidR="008713D7" w:rsidRDefault="008713D7" w:rsidP="008713D7">
      <w:pPr>
        <w:pStyle w:val="Caption0"/>
        <w:jc w:val="both"/>
      </w:pPr>
      <w:r w:rsidRPr="00FC0041">
        <w:t>Table 4:  Key Performance Indicators (non-financial) – Land Release</w:t>
      </w:r>
    </w:p>
    <w:tbl>
      <w:tblPr>
        <w:tblW w:w="917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807"/>
        <w:gridCol w:w="1559"/>
        <w:gridCol w:w="1812"/>
      </w:tblGrid>
      <w:tr w:rsidR="008713D7" w:rsidTr="00067864">
        <w:trPr>
          <w:trHeight w:hRule="exact" w:val="542"/>
        </w:trPr>
        <w:tc>
          <w:tcPr>
            <w:tcW w:w="7366" w:type="dxa"/>
            <w:gridSpan w:val="2"/>
            <w:tcBorders>
              <w:bottom w:val="single" w:sz="4" w:space="0" w:color="auto"/>
            </w:tcBorders>
            <w:hideMark/>
          </w:tcPr>
          <w:p w:rsidR="008713D7" w:rsidRPr="00FC0041" w:rsidRDefault="008713D7" w:rsidP="00067864">
            <w:pPr>
              <w:pStyle w:val="Default0"/>
              <w:spacing w:before="60" w:after="60" w:line="256" w:lineRule="auto"/>
              <w:ind w:right="-675"/>
              <w:rPr>
                <w:rFonts w:ascii="Calibri" w:hAnsi="Calibri"/>
                <w:b/>
                <w:color w:val="auto"/>
              </w:rPr>
            </w:pPr>
            <w:r w:rsidRPr="00FC0041">
              <w:rPr>
                <w:rFonts w:ascii="Calibri" w:hAnsi="Calibri"/>
                <w:b/>
                <w:color w:val="auto"/>
              </w:rPr>
              <w:t>Indicative Land Release Program – Suburban Land Agency sites</w:t>
            </w:r>
            <w:r w:rsidRPr="00FC0041">
              <w:rPr>
                <w:rFonts w:ascii="Calibri" w:hAnsi="Calibri"/>
                <w:color w:val="auto"/>
                <w:vertAlign w:val="superscript"/>
              </w:rPr>
              <w:t>1</w:t>
            </w:r>
          </w:p>
          <w:p w:rsidR="008713D7" w:rsidRPr="00FC0041" w:rsidRDefault="008713D7" w:rsidP="00067864">
            <w:pPr>
              <w:pStyle w:val="Default0"/>
              <w:spacing w:before="60" w:after="60" w:line="256" w:lineRule="auto"/>
              <w:jc w:val="right"/>
              <w:rPr>
                <w:rFonts w:ascii="Calibri" w:hAnsi="Calibri"/>
                <w:b/>
                <w:color w:val="auto"/>
                <w:sz w:val="22"/>
                <w:szCs w:val="22"/>
              </w:rPr>
            </w:pPr>
          </w:p>
        </w:tc>
        <w:tc>
          <w:tcPr>
            <w:tcW w:w="1812" w:type="dxa"/>
            <w:tcBorders>
              <w:bottom w:val="single" w:sz="4" w:space="0" w:color="auto"/>
            </w:tcBorders>
          </w:tcPr>
          <w:p w:rsidR="008713D7" w:rsidRPr="003449C0" w:rsidRDefault="008713D7" w:rsidP="00067864">
            <w:pPr>
              <w:pStyle w:val="Default0"/>
              <w:spacing w:before="60" w:after="60" w:line="256" w:lineRule="auto"/>
              <w:ind w:right="-675"/>
              <w:rPr>
                <w:rFonts w:ascii="Calibri" w:hAnsi="Calibri"/>
                <w:b/>
                <w:color w:val="auto"/>
                <w:sz w:val="22"/>
                <w:szCs w:val="22"/>
              </w:rPr>
            </w:pPr>
          </w:p>
        </w:tc>
      </w:tr>
      <w:tr w:rsidR="008713D7" w:rsidTr="00067864">
        <w:trPr>
          <w:trHeight w:hRule="exact" w:val="397"/>
        </w:trPr>
        <w:tc>
          <w:tcPr>
            <w:tcW w:w="5807" w:type="dxa"/>
            <w:tcBorders>
              <w:top w:val="single" w:sz="4" w:space="0" w:color="auto"/>
              <w:bottom w:val="single" w:sz="4" w:space="0" w:color="auto"/>
            </w:tcBorders>
            <w:vAlign w:val="center"/>
          </w:tcPr>
          <w:p w:rsidR="008713D7" w:rsidRPr="00FC0041" w:rsidRDefault="008713D7" w:rsidP="00067864">
            <w:pPr>
              <w:pStyle w:val="Default0"/>
              <w:spacing w:before="60" w:after="60" w:line="256" w:lineRule="auto"/>
              <w:rPr>
                <w:rFonts w:ascii="Calibri" w:hAnsi="Calibri"/>
                <w:b/>
                <w:color w:val="auto"/>
                <w:sz w:val="22"/>
                <w:szCs w:val="22"/>
              </w:rPr>
            </w:pPr>
            <w:r w:rsidRPr="00FC0041">
              <w:rPr>
                <w:rFonts w:ascii="Calibri" w:hAnsi="Calibri"/>
                <w:b/>
                <w:color w:val="auto"/>
                <w:sz w:val="22"/>
                <w:szCs w:val="22"/>
              </w:rPr>
              <w:t>Release Type</w:t>
            </w:r>
          </w:p>
        </w:tc>
        <w:tc>
          <w:tcPr>
            <w:tcW w:w="1559" w:type="dxa"/>
            <w:tcBorders>
              <w:top w:val="single" w:sz="4" w:space="0" w:color="auto"/>
              <w:bottom w:val="single" w:sz="4" w:space="0" w:color="auto"/>
              <w:right w:val="single" w:sz="4" w:space="0" w:color="auto"/>
            </w:tcBorders>
            <w:vAlign w:val="center"/>
          </w:tcPr>
          <w:p w:rsidR="008713D7" w:rsidRPr="00FC0041" w:rsidRDefault="008713D7" w:rsidP="00067864">
            <w:pPr>
              <w:pStyle w:val="Default0"/>
              <w:spacing w:before="60" w:after="60" w:line="256" w:lineRule="auto"/>
              <w:jc w:val="right"/>
              <w:rPr>
                <w:rFonts w:ascii="Calibri" w:hAnsi="Calibri"/>
                <w:color w:val="auto"/>
                <w:sz w:val="22"/>
                <w:szCs w:val="22"/>
              </w:rPr>
            </w:pPr>
          </w:p>
        </w:tc>
        <w:tc>
          <w:tcPr>
            <w:tcW w:w="1812" w:type="dxa"/>
            <w:tcBorders>
              <w:top w:val="single" w:sz="4" w:space="0" w:color="auto"/>
              <w:left w:val="single" w:sz="4" w:space="0" w:color="auto"/>
              <w:bottom w:val="single" w:sz="4" w:space="0" w:color="auto"/>
            </w:tcBorders>
          </w:tcPr>
          <w:p w:rsidR="008713D7" w:rsidRPr="003449C0" w:rsidRDefault="008713D7" w:rsidP="00067864">
            <w:pPr>
              <w:pStyle w:val="Default0"/>
              <w:spacing w:before="60" w:after="60" w:line="256" w:lineRule="auto"/>
              <w:jc w:val="right"/>
              <w:rPr>
                <w:rFonts w:ascii="Calibri" w:hAnsi="Calibri"/>
                <w:b/>
                <w:color w:val="auto"/>
                <w:sz w:val="22"/>
                <w:szCs w:val="22"/>
              </w:rPr>
            </w:pPr>
            <w:r w:rsidRPr="005D6529">
              <w:rPr>
                <w:rFonts w:ascii="Calibri" w:hAnsi="Calibri"/>
                <w:b/>
                <w:color w:val="auto"/>
                <w:sz w:val="22"/>
                <w:szCs w:val="22"/>
              </w:rPr>
              <w:t>2018-19 Target</w:t>
            </w:r>
          </w:p>
        </w:tc>
      </w:tr>
      <w:tr w:rsidR="008713D7" w:rsidTr="00067864">
        <w:trPr>
          <w:trHeight w:hRule="exact" w:val="397"/>
        </w:trPr>
        <w:tc>
          <w:tcPr>
            <w:tcW w:w="7366" w:type="dxa"/>
            <w:gridSpan w:val="2"/>
            <w:tcBorders>
              <w:top w:val="single" w:sz="4" w:space="0" w:color="auto"/>
              <w:bottom w:val="single" w:sz="4" w:space="0" w:color="auto"/>
              <w:right w:val="single" w:sz="4" w:space="0" w:color="auto"/>
            </w:tcBorders>
            <w:vAlign w:val="center"/>
            <w:hideMark/>
          </w:tcPr>
          <w:p w:rsidR="008713D7" w:rsidRPr="003449C0" w:rsidRDefault="008713D7" w:rsidP="00862CB5">
            <w:pPr>
              <w:pStyle w:val="Default0"/>
              <w:numPr>
                <w:ilvl w:val="1"/>
                <w:numId w:val="60"/>
              </w:numPr>
              <w:tabs>
                <w:tab w:val="clear" w:pos="1800"/>
              </w:tabs>
              <w:spacing w:before="60" w:after="60" w:line="256" w:lineRule="auto"/>
              <w:ind w:left="360"/>
              <w:rPr>
                <w:rFonts w:ascii="Calibri" w:hAnsi="Calibri"/>
                <w:color w:val="auto"/>
                <w:sz w:val="22"/>
                <w:szCs w:val="22"/>
              </w:rPr>
            </w:pPr>
            <w:bookmarkStart w:id="190" w:name="_Ref498340094"/>
            <w:r w:rsidRPr="00FC0041">
              <w:rPr>
                <w:rFonts w:ascii="Calibri" w:hAnsi="Calibri"/>
                <w:color w:val="auto"/>
                <w:sz w:val="22"/>
                <w:szCs w:val="22"/>
              </w:rPr>
              <w:t>Residential</w:t>
            </w:r>
            <w:bookmarkEnd w:id="190"/>
            <w:r w:rsidRPr="00FC0041">
              <w:rPr>
                <w:rFonts w:ascii="Calibri" w:hAnsi="Calibri"/>
                <w:color w:val="auto"/>
                <w:sz w:val="22"/>
                <w:szCs w:val="22"/>
              </w:rPr>
              <w:t>, comprising:</w:t>
            </w:r>
          </w:p>
          <w:p w:rsidR="008713D7" w:rsidRPr="00FC0041" w:rsidRDefault="008713D7" w:rsidP="00067864">
            <w:pPr>
              <w:pStyle w:val="Default0"/>
              <w:spacing w:before="60" w:after="60" w:line="256" w:lineRule="auto"/>
              <w:jc w:val="right"/>
              <w:rPr>
                <w:rFonts w:ascii="Calibri" w:hAnsi="Calibri"/>
                <w:color w:val="auto"/>
                <w:sz w:val="22"/>
                <w:szCs w:val="22"/>
              </w:rPr>
            </w:pPr>
          </w:p>
        </w:tc>
        <w:tc>
          <w:tcPr>
            <w:tcW w:w="1812" w:type="dxa"/>
            <w:tcBorders>
              <w:top w:val="single" w:sz="4" w:space="0" w:color="auto"/>
              <w:left w:val="single" w:sz="4" w:space="0" w:color="auto"/>
              <w:bottom w:val="single" w:sz="4" w:space="0" w:color="auto"/>
            </w:tcBorders>
          </w:tcPr>
          <w:p w:rsidR="008713D7" w:rsidRPr="003449C0" w:rsidRDefault="008713D7" w:rsidP="00067864">
            <w:pPr>
              <w:pStyle w:val="Default0"/>
              <w:spacing w:before="60" w:after="60" w:line="256" w:lineRule="auto"/>
              <w:jc w:val="right"/>
              <w:rPr>
                <w:rFonts w:ascii="Calibri" w:hAnsi="Calibri"/>
                <w:color w:val="auto"/>
                <w:sz w:val="22"/>
                <w:szCs w:val="22"/>
              </w:rPr>
            </w:pPr>
            <w:r w:rsidRPr="005D6529">
              <w:rPr>
                <w:rFonts w:ascii="Calibri" w:hAnsi="Calibri"/>
                <w:color w:val="auto"/>
                <w:sz w:val="22"/>
                <w:szCs w:val="22"/>
              </w:rPr>
              <w:t>4,060 dwellings</w:t>
            </w:r>
          </w:p>
        </w:tc>
      </w:tr>
      <w:tr w:rsidR="008713D7" w:rsidTr="00067864">
        <w:trPr>
          <w:cantSplit/>
          <w:trHeight w:val="397"/>
        </w:trPr>
        <w:tc>
          <w:tcPr>
            <w:tcW w:w="5807" w:type="dxa"/>
            <w:tcBorders>
              <w:top w:val="single" w:sz="4" w:space="0" w:color="auto"/>
              <w:bottom w:val="nil"/>
            </w:tcBorders>
            <w:vAlign w:val="center"/>
            <w:hideMark/>
          </w:tcPr>
          <w:p w:rsidR="008713D7" w:rsidRDefault="008713D7" w:rsidP="00067864">
            <w:pPr>
              <w:pStyle w:val="Default0"/>
              <w:spacing w:line="256" w:lineRule="auto"/>
              <w:ind w:left="596" w:hanging="142"/>
              <w:rPr>
                <w:rFonts w:ascii="Calibri" w:hAnsi="Calibri"/>
                <w:color w:val="auto"/>
                <w:sz w:val="20"/>
                <w:szCs w:val="20"/>
              </w:rPr>
            </w:pPr>
            <w:r>
              <w:rPr>
                <w:rFonts w:ascii="Calibri" w:hAnsi="Calibri"/>
                <w:color w:val="auto"/>
                <w:sz w:val="20"/>
                <w:szCs w:val="20"/>
              </w:rPr>
              <w:t xml:space="preserve">Detached blocks </w:t>
            </w:r>
            <w:r w:rsidRPr="00FC0041">
              <w:rPr>
                <w:rFonts w:ascii="Calibri" w:hAnsi="Calibri"/>
                <w:color w:val="auto"/>
                <w:sz w:val="20"/>
                <w:szCs w:val="20"/>
              </w:rPr>
              <w:t>(includes compact &amp; townhouse blocks)</w:t>
            </w:r>
          </w:p>
        </w:tc>
        <w:tc>
          <w:tcPr>
            <w:tcW w:w="1559" w:type="dxa"/>
            <w:tcBorders>
              <w:top w:val="single" w:sz="4" w:space="0" w:color="auto"/>
              <w:bottom w:val="nil"/>
              <w:right w:val="single" w:sz="4" w:space="0" w:color="auto"/>
            </w:tcBorders>
            <w:vAlign w:val="center"/>
            <w:hideMark/>
          </w:tcPr>
          <w:p w:rsidR="008713D7" w:rsidRPr="0017616B" w:rsidRDefault="008713D7" w:rsidP="00067864">
            <w:pPr>
              <w:pStyle w:val="Default0"/>
              <w:spacing w:line="256" w:lineRule="auto"/>
              <w:ind w:right="33"/>
              <w:jc w:val="right"/>
              <w:rPr>
                <w:rFonts w:ascii="Calibri" w:hAnsi="Calibri"/>
                <w:color w:val="auto"/>
                <w:sz w:val="20"/>
                <w:szCs w:val="20"/>
                <w:highlight w:val="yellow"/>
              </w:rPr>
            </w:pPr>
            <w:r w:rsidRPr="0017616B">
              <w:rPr>
                <w:rFonts w:ascii="Calibri" w:hAnsi="Calibri"/>
                <w:color w:val="auto"/>
                <w:sz w:val="20"/>
                <w:szCs w:val="20"/>
              </w:rPr>
              <w:t>1,396</w:t>
            </w:r>
            <w:r>
              <w:rPr>
                <w:rFonts w:ascii="Calibri" w:hAnsi="Calibri"/>
                <w:color w:val="auto"/>
                <w:sz w:val="20"/>
                <w:szCs w:val="20"/>
              </w:rPr>
              <w:t xml:space="preserve"> dwellings</w:t>
            </w:r>
          </w:p>
        </w:tc>
        <w:tc>
          <w:tcPr>
            <w:tcW w:w="1812" w:type="dxa"/>
            <w:tcBorders>
              <w:top w:val="single" w:sz="4" w:space="0" w:color="auto"/>
              <w:left w:val="single" w:sz="4" w:space="0" w:color="auto"/>
            </w:tcBorders>
          </w:tcPr>
          <w:p w:rsidR="008713D7" w:rsidRPr="0017616B" w:rsidRDefault="008713D7" w:rsidP="00067864">
            <w:pPr>
              <w:pStyle w:val="Default0"/>
              <w:spacing w:line="256" w:lineRule="auto"/>
              <w:ind w:right="1667"/>
              <w:jc w:val="right"/>
              <w:rPr>
                <w:rFonts w:ascii="Calibri" w:hAnsi="Calibri"/>
                <w:color w:val="auto"/>
                <w:sz w:val="20"/>
                <w:szCs w:val="20"/>
              </w:rPr>
            </w:pPr>
          </w:p>
        </w:tc>
      </w:tr>
      <w:tr w:rsidR="008713D7" w:rsidTr="00067864">
        <w:trPr>
          <w:cantSplit/>
          <w:trHeight w:val="397"/>
        </w:trPr>
        <w:tc>
          <w:tcPr>
            <w:tcW w:w="5807" w:type="dxa"/>
            <w:tcBorders>
              <w:top w:val="nil"/>
              <w:bottom w:val="nil"/>
            </w:tcBorders>
            <w:vAlign w:val="center"/>
            <w:hideMark/>
          </w:tcPr>
          <w:p w:rsidR="008713D7" w:rsidRDefault="008713D7" w:rsidP="00067864">
            <w:pPr>
              <w:pStyle w:val="Default0"/>
              <w:spacing w:line="256" w:lineRule="auto"/>
              <w:ind w:left="596" w:hanging="142"/>
              <w:rPr>
                <w:rFonts w:ascii="Calibri" w:hAnsi="Calibri"/>
                <w:color w:val="auto"/>
                <w:sz w:val="20"/>
                <w:szCs w:val="20"/>
              </w:rPr>
            </w:pPr>
            <w:r>
              <w:rPr>
                <w:rFonts w:ascii="Calibri" w:hAnsi="Calibri"/>
                <w:color w:val="auto"/>
                <w:sz w:val="20"/>
                <w:szCs w:val="20"/>
              </w:rPr>
              <w:t>Multi-Unit</w:t>
            </w:r>
          </w:p>
        </w:tc>
        <w:tc>
          <w:tcPr>
            <w:tcW w:w="1559" w:type="dxa"/>
            <w:tcBorders>
              <w:top w:val="nil"/>
              <w:bottom w:val="nil"/>
              <w:right w:val="single" w:sz="4" w:space="0" w:color="auto"/>
            </w:tcBorders>
            <w:vAlign w:val="center"/>
            <w:hideMark/>
          </w:tcPr>
          <w:p w:rsidR="008713D7" w:rsidRPr="00FC0041" w:rsidRDefault="008713D7" w:rsidP="00067864">
            <w:pPr>
              <w:pStyle w:val="Default0"/>
              <w:spacing w:line="256" w:lineRule="auto"/>
              <w:ind w:right="33"/>
              <w:jc w:val="right"/>
              <w:rPr>
                <w:rFonts w:ascii="Calibri" w:hAnsi="Calibri"/>
                <w:color w:val="auto"/>
                <w:sz w:val="20"/>
                <w:szCs w:val="20"/>
              </w:rPr>
            </w:pPr>
            <w:r w:rsidRPr="0017616B">
              <w:rPr>
                <w:rFonts w:ascii="Calibri" w:hAnsi="Calibri"/>
                <w:color w:val="auto"/>
                <w:sz w:val="20"/>
                <w:szCs w:val="20"/>
              </w:rPr>
              <w:t>769</w:t>
            </w:r>
            <w:r>
              <w:rPr>
                <w:rFonts w:ascii="Calibri" w:hAnsi="Calibri"/>
                <w:color w:val="auto"/>
                <w:sz w:val="20"/>
                <w:szCs w:val="20"/>
              </w:rPr>
              <w:t xml:space="preserve"> dwellings</w:t>
            </w:r>
          </w:p>
        </w:tc>
        <w:tc>
          <w:tcPr>
            <w:tcW w:w="1812" w:type="dxa"/>
            <w:tcBorders>
              <w:left w:val="single" w:sz="4" w:space="0" w:color="auto"/>
            </w:tcBorders>
          </w:tcPr>
          <w:p w:rsidR="008713D7" w:rsidRPr="0017616B" w:rsidRDefault="008713D7" w:rsidP="00067864">
            <w:pPr>
              <w:pStyle w:val="Default0"/>
              <w:spacing w:line="256" w:lineRule="auto"/>
              <w:ind w:right="1667"/>
              <w:jc w:val="right"/>
              <w:rPr>
                <w:rFonts w:ascii="Calibri" w:hAnsi="Calibri"/>
                <w:color w:val="auto"/>
                <w:sz w:val="20"/>
                <w:szCs w:val="20"/>
              </w:rPr>
            </w:pPr>
          </w:p>
        </w:tc>
      </w:tr>
      <w:tr w:rsidR="008713D7" w:rsidTr="00067864">
        <w:trPr>
          <w:cantSplit/>
          <w:trHeight w:val="397"/>
        </w:trPr>
        <w:tc>
          <w:tcPr>
            <w:tcW w:w="5807" w:type="dxa"/>
            <w:tcBorders>
              <w:top w:val="nil"/>
              <w:bottom w:val="nil"/>
            </w:tcBorders>
            <w:vAlign w:val="center"/>
            <w:hideMark/>
          </w:tcPr>
          <w:p w:rsidR="008713D7" w:rsidRDefault="008713D7" w:rsidP="00067864">
            <w:pPr>
              <w:pStyle w:val="Default0"/>
              <w:spacing w:line="256" w:lineRule="auto"/>
              <w:ind w:left="596" w:hanging="142"/>
              <w:rPr>
                <w:rFonts w:ascii="Calibri" w:hAnsi="Calibri"/>
                <w:color w:val="auto"/>
                <w:sz w:val="20"/>
                <w:szCs w:val="20"/>
              </w:rPr>
            </w:pPr>
            <w:r>
              <w:rPr>
                <w:rFonts w:ascii="Calibri" w:hAnsi="Calibri"/>
                <w:color w:val="auto"/>
                <w:sz w:val="20"/>
                <w:szCs w:val="20"/>
              </w:rPr>
              <w:t>ARI Detached blocks</w:t>
            </w:r>
          </w:p>
        </w:tc>
        <w:tc>
          <w:tcPr>
            <w:tcW w:w="1559" w:type="dxa"/>
            <w:tcBorders>
              <w:top w:val="nil"/>
              <w:bottom w:val="nil"/>
              <w:right w:val="single" w:sz="4" w:space="0" w:color="auto"/>
            </w:tcBorders>
            <w:vAlign w:val="center"/>
            <w:hideMark/>
          </w:tcPr>
          <w:p w:rsidR="008713D7" w:rsidRPr="00FC0041" w:rsidRDefault="008713D7" w:rsidP="00067864">
            <w:pPr>
              <w:pStyle w:val="Default0"/>
              <w:spacing w:line="256" w:lineRule="auto"/>
              <w:ind w:right="33"/>
              <w:jc w:val="right"/>
              <w:rPr>
                <w:rFonts w:ascii="Calibri" w:hAnsi="Calibri"/>
                <w:color w:val="auto"/>
                <w:sz w:val="20"/>
                <w:szCs w:val="20"/>
              </w:rPr>
            </w:pPr>
            <w:r w:rsidRPr="0017616B">
              <w:rPr>
                <w:rFonts w:ascii="Calibri" w:hAnsi="Calibri"/>
                <w:color w:val="auto"/>
                <w:sz w:val="20"/>
                <w:szCs w:val="20"/>
              </w:rPr>
              <w:t>0</w:t>
            </w:r>
            <w:r>
              <w:rPr>
                <w:rFonts w:ascii="Calibri" w:hAnsi="Calibri"/>
                <w:color w:val="auto"/>
                <w:sz w:val="20"/>
                <w:szCs w:val="20"/>
              </w:rPr>
              <w:t xml:space="preserve"> dwellings</w:t>
            </w:r>
          </w:p>
        </w:tc>
        <w:tc>
          <w:tcPr>
            <w:tcW w:w="1812" w:type="dxa"/>
            <w:tcBorders>
              <w:left w:val="single" w:sz="4" w:space="0" w:color="auto"/>
            </w:tcBorders>
          </w:tcPr>
          <w:p w:rsidR="008713D7" w:rsidRPr="0017616B" w:rsidRDefault="008713D7" w:rsidP="00067864">
            <w:pPr>
              <w:pStyle w:val="Default0"/>
              <w:spacing w:line="256" w:lineRule="auto"/>
              <w:ind w:right="1667"/>
              <w:jc w:val="right"/>
              <w:rPr>
                <w:rFonts w:ascii="Calibri" w:hAnsi="Calibri"/>
                <w:color w:val="auto"/>
                <w:sz w:val="20"/>
                <w:szCs w:val="20"/>
              </w:rPr>
            </w:pPr>
          </w:p>
        </w:tc>
      </w:tr>
      <w:tr w:rsidR="008713D7" w:rsidTr="00067864">
        <w:trPr>
          <w:cantSplit/>
          <w:trHeight w:val="311"/>
        </w:trPr>
        <w:tc>
          <w:tcPr>
            <w:tcW w:w="5807" w:type="dxa"/>
            <w:tcBorders>
              <w:top w:val="nil"/>
              <w:bottom w:val="single" w:sz="4" w:space="0" w:color="auto"/>
            </w:tcBorders>
            <w:vAlign w:val="center"/>
            <w:hideMark/>
          </w:tcPr>
          <w:p w:rsidR="008713D7" w:rsidRDefault="008713D7" w:rsidP="00067864">
            <w:pPr>
              <w:pStyle w:val="Default0"/>
              <w:spacing w:line="256" w:lineRule="auto"/>
              <w:ind w:left="596" w:hanging="142"/>
              <w:rPr>
                <w:rFonts w:ascii="Calibri" w:hAnsi="Calibri"/>
                <w:color w:val="auto"/>
                <w:sz w:val="20"/>
                <w:szCs w:val="20"/>
              </w:rPr>
            </w:pPr>
            <w:r>
              <w:rPr>
                <w:rFonts w:ascii="Calibri" w:hAnsi="Calibri"/>
                <w:color w:val="auto"/>
                <w:sz w:val="20"/>
                <w:szCs w:val="20"/>
              </w:rPr>
              <w:t>ARI Multi-Unit</w:t>
            </w:r>
          </w:p>
        </w:tc>
        <w:tc>
          <w:tcPr>
            <w:tcW w:w="1559" w:type="dxa"/>
            <w:tcBorders>
              <w:top w:val="nil"/>
              <w:bottom w:val="single" w:sz="4" w:space="0" w:color="auto"/>
              <w:right w:val="single" w:sz="4" w:space="0" w:color="auto"/>
            </w:tcBorders>
            <w:vAlign w:val="center"/>
            <w:hideMark/>
          </w:tcPr>
          <w:p w:rsidR="008713D7" w:rsidRPr="00FC0041" w:rsidRDefault="008713D7" w:rsidP="00067864">
            <w:pPr>
              <w:pStyle w:val="Default0"/>
              <w:spacing w:line="256" w:lineRule="auto"/>
              <w:ind w:right="33"/>
              <w:jc w:val="right"/>
              <w:rPr>
                <w:rFonts w:ascii="Calibri" w:hAnsi="Calibri"/>
                <w:color w:val="auto"/>
                <w:sz w:val="20"/>
                <w:szCs w:val="20"/>
              </w:rPr>
            </w:pPr>
            <w:r w:rsidRPr="0017616B">
              <w:rPr>
                <w:rFonts w:ascii="Calibri" w:hAnsi="Calibri"/>
                <w:color w:val="auto"/>
                <w:sz w:val="20"/>
                <w:szCs w:val="20"/>
              </w:rPr>
              <w:t>1,895</w:t>
            </w:r>
            <w:r>
              <w:rPr>
                <w:rFonts w:ascii="Calibri" w:hAnsi="Calibri"/>
                <w:color w:val="auto"/>
                <w:sz w:val="20"/>
                <w:szCs w:val="20"/>
              </w:rPr>
              <w:t xml:space="preserve"> dwellings</w:t>
            </w:r>
          </w:p>
        </w:tc>
        <w:tc>
          <w:tcPr>
            <w:tcW w:w="1812" w:type="dxa"/>
            <w:tcBorders>
              <w:left w:val="single" w:sz="4" w:space="0" w:color="auto"/>
              <w:bottom w:val="single" w:sz="4" w:space="0" w:color="auto"/>
            </w:tcBorders>
          </w:tcPr>
          <w:p w:rsidR="008713D7" w:rsidRPr="0017616B" w:rsidRDefault="008713D7" w:rsidP="00067864">
            <w:pPr>
              <w:pStyle w:val="Default0"/>
              <w:spacing w:line="256" w:lineRule="auto"/>
              <w:ind w:right="1667"/>
              <w:jc w:val="right"/>
              <w:rPr>
                <w:rFonts w:ascii="Calibri" w:hAnsi="Calibri"/>
                <w:color w:val="auto"/>
                <w:sz w:val="20"/>
                <w:szCs w:val="20"/>
              </w:rPr>
            </w:pPr>
          </w:p>
        </w:tc>
      </w:tr>
      <w:tr w:rsidR="008713D7" w:rsidTr="00067864">
        <w:trPr>
          <w:trHeight w:hRule="exact" w:val="397"/>
        </w:trPr>
        <w:tc>
          <w:tcPr>
            <w:tcW w:w="5807" w:type="dxa"/>
            <w:tcBorders>
              <w:top w:val="single" w:sz="4" w:space="0" w:color="auto"/>
              <w:bottom w:val="single" w:sz="4" w:space="0" w:color="auto"/>
            </w:tcBorders>
            <w:vAlign w:val="center"/>
            <w:hideMark/>
          </w:tcPr>
          <w:p w:rsidR="008713D7" w:rsidRPr="00FC0041" w:rsidRDefault="008713D7" w:rsidP="00862CB5">
            <w:pPr>
              <w:pStyle w:val="Default0"/>
              <w:numPr>
                <w:ilvl w:val="1"/>
                <w:numId w:val="60"/>
              </w:numPr>
              <w:tabs>
                <w:tab w:val="clear" w:pos="1800"/>
              </w:tabs>
              <w:spacing w:before="60" w:after="60" w:line="256" w:lineRule="auto"/>
              <w:ind w:left="360"/>
              <w:rPr>
                <w:rFonts w:ascii="Calibri" w:hAnsi="Calibri"/>
                <w:color w:val="auto"/>
                <w:sz w:val="22"/>
                <w:szCs w:val="22"/>
              </w:rPr>
            </w:pPr>
            <w:r w:rsidRPr="00FC0041">
              <w:rPr>
                <w:rFonts w:ascii="Calibri" w:hAnsi="Calibri"/>
                <w:color w:val="auto"/>
                <w:sz w:val="22"/>
                <w:szCs w:val="22"/>
              </w:rPr>
              <w:t>Mixed Use</w:t>
            </w:r>
          </w:p>
        </w:tc>
        <w:tc>
          <w:tcPr>
            <w:tcW w:w="1559" w:type="dxa"/>
            <w:tcBorders>
              <w:top w:val="single" w:sz="4" w:space="0" w:color="auto"/>
              <w:bottom w:val="single" w:sz="4" w:space="0" w:color="auto"/>
              <w:right w:val="single" w:sz="4" w:space="0" w:color="auto"/>
            </w:tcBorders>
            <w:vAlign w:val="center"/>
          </w:tcPr>
          <w:p w:rsidR="008713D7" w:rsidRPr="00FC0041" w:rsidRDefault="008713D7" w:rsidP="00067864">
            <w:pPr>
              <w:pStyle w:val="Default0"/>
              <w:spacing w:before="60" w:after="60" w:line="256" w:lineRule="auto"/>
              <w:jc w:val="right"/>
              <w:rPr>
                <w:rFonts w:ascii="Calibri" w:hAnsi="Calibri"/>
                <w:color w:val="auto"/>
                <w:sz w:val="22"/>
                <w:szCs w:val="22"/>
                <w:highlight w:val="yellow"/>
              </w:rPr>
            </w:pPr>
          </w:p>
        </w:tc>
        <w:tc>
          <w:tcPr>
            <w:tcW w:w="1812" w:type="dxa"/>
            <w:tcBorders>
              <w:top w:val="single" w:sz="4" w:space="0" w:color="auto"/>
              <w:left w:val="single" w:sz="4" w:space="0" w:color="auto"/>
              <w:bottom w:val="single" w:sz="4" w:space="0" w:color="auto"/>
            </w:tcBorders>
            <w:vAlign w:val="center"/>
          </w:tcPr>
          <w:p w:rsidR="008713D7" w:rsidRPr="003449C0" w:rsidRDefault="008713D7" w:rsidP="00067864">
            <w:pPr>
              <w:pStyle w:val="Default0"/>
              <w:spacing w:before="60" w:after="60" w:line="256" w:lineRule="auto"/>
              <w:jc w:val="right"/>
              <w:rPr>
                <w:rFonts w:ascii="Calibri" w:hAnsi="Calibri"/>
                <w:color w:val="auto"/>
                <w:sz w:val="22"/>
                <w:szCs w:val="22"/>
              </w:rPr>
            </w:pPr>
            <w:r w:rsidRPr="005D6529">
              <w:rPr>
                <w:rFonts w:ascii="Calibri" w:hAnsi="Calibri"/>
                <w:color w:val="auto"/>
                <w:sz w:val="22"/>
                <w:szCs w:val="22"/>
              </w:rPr>
              <w:t>34,346 m</w:t>
            </w:r>
            <w:r w:rsidRPr="005D6529">
              <w:rPr>
                <w:rFonts w:ascii="Calibri" w:hAnsi="Calibri"/>
                <w:color w:val="auto"/>
                <w:sz w:val="22"/>
                <w:szCs w:val="22"/>
                <w:vertAlign w:val="superscript"/>
              </w:rPr>
              <w:t>2</w:t>
            </w:r>
          </w:p>
        </w:tc>
      </w:tr>
      <w:tr w:rsidR="008713D7" w:rsidTr="00067864">
        <w:trPr>
          <w:trHeight w:hRule="exact" w:val="397"/>
        </w:trPr>
        <w:tc>
          <w:tcPr>
            <w:tcW w:w="5807" w:type="dxa"/>
            <w:tcBorders>
              <w:top w:val="single" w:sz="4" w:space="0" w:color="auto"/>
              <w:bottom w:val="single" w:sz="4" w:space="0" w:color="auto"/>
            </w:tcBorders>
            <w:vAlign w:val="center"/>
            <w:hideMark/>
          </w:tcPr>
          <w:p w:rsidR="008713D7" w:rsidRPr="00FC0041" w:rsidRDefault="008713D7" w:rsidP="00862CB5">
            <w:pPr>
              <w:pStyle w:val="Default0"/>
              <w:numPr>
                <w:ilvl w:val="1"/>
                <w:numId w:val="60"/>
              </w:numPr>
              <w:tabs>
                <w:tab w:val="clear" w:pos="1800"/>
              </w:tabs>
              <w:spacing w:before="60" w:after="60" w:line="256" w:lineRule="auto"/>
              <w:ind w:left="360"/>
              <w:rPr>
                <w:rFonts w:ascii="Calibri" w:hAnsi="Calibri"/>
                <w:color w:val="auto"/>
                <w:sz w:val="22"/>
                <w:szCs w:val="22"/>
              </w:rPr>
            </w:pPr>
            <w:r w:rsidRPr="00FC0041">
              <w:rPr>
                <w:rFonts w:ascii="Calibri" w:hAnsi="Calibri"/>
                <w:color w:val="auto"/>
                <w:sz w:val="22"/>
                <w:szCs w:val="22"/>
              </w:rPr>
              <w:t>Commercial</w:t>
            </w:r>
          </w:p>
        </w:tc>
        <w:tc>
          <w:tcPr>
            <w:tcW w:w="1559" w:type="dxa"/>
            <w:tcBorders>
              <w:top w:val="single" w:sz="4" w:space="0" w:color="auto"/>
              <w:bottom w:val="single" w:sz="4" w:space="0" w:color="auto"/>
              <w:right w:val="single" w:sz="4" w:space="0" w:color="auto"/>
            </w:tcBorders>
            <w:vAlign w:val="center"/>
          </w:tcPr>
          <w:p w:rsidR="008713D7" w:rsidRPr="00FC0041" w:rsidRDefault="008713D7" w:rsidP="00067864">
            <w:pPr>
              <w:pStyle w:val="Default0"/>
              <w:spacing w:before="60" w:after="60" w:line="256" w:lineRule="auto"/>
              <w:jc w:val="right"/>
              <w:rPr>
                <w:rFonts w:ascii="Calibri" w:hAnsi="Calibri"/>
                <w:color w:val="auto"/>
                <w:sz w:val="22"/>
                <w:szCs w:val="22"/>
                <w:highlight w:val="yellow"/>
              </w:rPr>
            </w:pPr>
          </w:p>
        </w:tc>
        <w:tc>
          <w:tcPr>
            <w:tcW w:w="1812" w:type="dxa"/>
            <w:tcBorders>
              <w:top w:val="single" w:sz="4" w:space="0" w:color="auto"/>
              <w:left w:val="single" w:sz="4" w:space="0" w:color="auto"/>
              <w:bottom w:val="single" w:sz="4" w:space="0" w:color="auto"/>
            </w:tcBorders>
            <w:vAlign w:val="center"/>
          </w:tcPr>
          <w:p w:rsidR="008713D7" w:rsidRPr="003449C0" w:rsidRDefault="008713D7" w:rsidP="00067864">
            <w:pPr>
              <w:pStyle w:val="Default0"/>
              <w:spacing w:before="60" w:after="60" w:line="256" w:lineRule="auto"/>
              <w:jc w:val="right"/>
              <w:rPr>
                <w:rFonts w:ascii="Calibri" w:hAnsi="Calibri"/>
                <w:color w:val="auto"/>
                <w:sz w:val="22"/>
                <w:szCs w:val="22"/>
              </w:rPr>
            </w:pPr>
            <w:r w:rsidRPr="005D6529">
              <w:rPr>
                <w:rFonts w:ascii="Calibri" w:hAnsi="Calibri"/>
                <w:color w:val="auto"/>
                <w:sz w:val="22"/>
                <w:szCs w:val="22"/>
              </w:rPr>
              <w:t>1,559 m</w:t>
            </w:r>
            <w:r w:rsidRPr="005D6529">
              <w:rPr>
                <w:rFonts w:ascii="Calibri" w:hAnsi="Calibri"/>
                <w:color w:val="auto"/>
                <w:sz w:val="22"/>
                <w:szCs w:val="22"/>
                <w:vertAlign w:val="superscript"/>
              </w:rPr>
              <w:t>2</w:t>
            </w:r>
          </w:p>
        </w:tc>
      </w:tr>
      <w:tr w:rsidR="008713D7" w:rsidTr="00067864">
        <w:trPr>
          <w:trHeight w:hRule="exact" w:val="397"/>
        </w:trPr>
        <w:tc>
          <w:tcPr>
            <w:tcW w:w="5807" w:type="dxa"/>
            <w:tcBorders>
              <w:top w:val="single" w:sz="4" w:space="0" w:color="auto"/>
              <w:bottom w:val="single" w:sz="4" w:space="0" w:color="auto"/>
            </w:tcBorders>
            <w:vAlign w:val="center"/>
            <w:hideMark/>
          </w:tcPr>
          <w:p w:rsidR="008713D7" w:rsidRPr="00FC0041" w:rsidRDefault="008713D7" w:rsidP="00862CB5">
            <w:pPr>
              <w:pStyle w:val="Default0"/>
              <w:numPr>
                <w:ilvl w:val="1"/>
                <w:numId w:val="60"/>
              </w:numPr>
              <w:tabs>
                <w:tab w:val="clear" w:pos="1800"/>
              </w:tabs>
              <w:spacing w:before="60" w:after="60" w:line="256" w:lineRule="auto"/>
              <w:ind w:left="360"/>
              <w:rPr>
                <w:rFonts w:ascii="Calibri" w:hAnsi="Calibri"/>
                <w:color w:val="auto"/>
                <w:sz w:val="22"/>
                <w:szCs w:val="22"/>
              </w:rPr>
            </w:pPr>
            <w:r w:rsidRPr="00FC0041">
              <w:rPr>
                <w:rFonts w:ascii="Calibri" w:hAnsi="Calibri"/>
                <w:color w:val="auto"/>
                <w:sz w:val="22"/>
                <w:szCs w:val="22"/>
              </w:rPr>
              <w:t>Industrial</w:t>
            </w:r>
          </w:p>
        </w:tc>
        <w:tc>
          <w:tcPr>
            <w:tcW w:w="1559" w:type="dxa"/>
            <w:tcBorders>
              <w:top w:val="single" w:sz="4" w:space="0" w:color="auto"/>
              <w:bottom w:val="single" w:sz="4" w:space="0" w:color="auto"/>
              <w:right w:val="single" w:sz="4" w:space="0" w:color="auto"/>
            </w:tcBorders>
            <w:vAlign w:val="center"/>
          </w:tcPr>
          <w:p w:rsidR="008713D7" w:rsidRPr="00FC0041" w:rsidRDefault="008713D7" w:rsidP="00067864">
            <w:pPr>
              <w:pStyle w:val="Default0"/>
              <w:spacing w:before="60" w:after="60" w:line="256" w:lineRule="auto"/>
              <w:jc w:val="right"/>
              <w:rPr>
                <w:rFonts w:ascii="Calibri" w:hAnsi="Calibri"/>
                <w:color w:val="auto"/>
                <w:sz w:val="22"/>
                <w:szCs w:val="22"/>
                <w:highlight w:val="yellow"/>
              </w:rPr>
            </w:pPr>
          </w:p>
        </w:tc>
        <w:tc>
          <w:tcPr>
            <w:tcW w:w="1812" w:type="dxa"/>
            <w:tcBorders>
              <w:top w:val="single" w:sz="4" w:space="0" w:color="auto"/>
              <w:left w:val="single" w:sz="4" w:space="0" w:color="auto"/>
              <w:bottom w:val="single" w:sz="4" w:space="0" w:color="auto"/>
            </w:tcBorders>
            <w:vAlign w:val="center"/>
          </w:tcPr>
          <w:p w:rsidR="008713D7" w:rsidRPr="003449C0" w:rsidRDefault="008713D7" w:rsidP="00067864">
            <w:pPr>
              <w:pStyle w:val="Default0"/>
              <w:spacing w:before="60" w:after="60" w:line="256" w:lineRule="auto"/>
              <w:jc w:val="right"/>
              <w:rPr>
                <w:rFonts w:ascii="Calibri" w:hAnsi="Calibri"/>
                <w:color w:val="auto"/>
                <w:sz w:val="22"/>
                <w:szCs w:val="22"/>
              </w:rPr>
            </w:pPr>
            <w:r w:rsidRPr="005D6529">
              <w:rPr>
                <w:rFonts w:ascii="Calibri" w:hAnsi="Calibri"/>
                <w:color w:val="auto"/>
                <w:sz w:val="22"/>
                <w:szCs w:val="22"/>
              </w:rPr>
              <w:t>20,000 m</w:t>
            </w:r>
            <w:r w:rsidRPr="005D6529">
              <w:rPr>
                <w:rFonts w:ascii="Calibri" w:hAnsi="Calibri"/>
                <w:color w:val="auto"/>
                <w:sz w:val="22"/>
                <w:szCs w:val="22"/>
                <w:vertAlign w:val="superscript"/>
              </w:rPr>
              <w:t>2</w:t>
            </w:r>
          </w:p>
        </w:tc>
      </w:tr>
      <w:tr w:rsidR="008713D7" w:rsidTr="00067864">
        <w:trPr>
          <w:trHeight w:hRule="exact" w:val="397"/>
        </w:trPr>
        <w:tc>
          <w:tcPr>
            <w:tcW w:w="5807" w:type="dxa"/>
            <w:tcBorders>
              <w:top w:val="single" w:sz="4" w:space="0" w:color="auto"/>
              <w:bottom w:val="single" w:sz="4" w:space="0" w:color="auto"/>
            </w:tcBorders>
            <w:vAlign w:val="center"/>
            <w:hideMark/>
          </w:tcPr>
          <w:p w:rsidR="008713D7" w:rsidRPr="00FC0041" w:rsidRDefault="008713D7" w:rsidP="00862CB5">
            <w:pPr>
              <w:pStyle w:val="Default0"/>
              <w:numPr>
                <w:ilvl w:val="1"/>
                <w:numId w:val="60"/>
              </w:numPr>
              <w:tabs>
                <w:tab w:val="clear" w:pos="1800"/>
              </w:tabs>
              <w:spacing w:before="60" w:after="60" w:line="256" w:lineRule="auto"/>
              <w:ind w:left="360"/>
              <w:rPr>
                <w:rFonts w:ascii="Calibri" w:hAnsi="Calibri"/>
                <w:color w:val="auto"/>
                <w:sz w:val="22"/>
                <w:szCs w:val="22"/>
              </w:rPr>
            </w:pPr>
            <w:r w:rsidRPr="00FC0041">
              <w:rPr>
                <w:rFonts w:ascii="Calibri" w:hAnsi="Calibri"/>
                <w:color w:val="auto"/>
                <w:sz w:val="22"/>
                <w:szCs w:val="22"/>
              </w:rPr>
              <w:t>Community</w:t>
            </w:r>
          </w:p>
        </w:tc>
        <w:tc>
          <w:tcPr>
            <w:tcW w:w="1559" w:type="dxa"/>
            <w:tcBorders>
              <w:top w:val="single" w:sz="4" w:space="0" w:color="auto"/>
              <w:bottom w:val="single" w:sz="4" w:space="0" w:color="auto"/>
              <w:right w:val="single" w:sz="4" w:space="0" w:color="auto"/>
            </w:tcBorders>
            <w:vAlign w:val="center"/>
          </w:tcPr>
          <w:p w:rsidR="008713D7" w:rsidRPr="00FC0041" w:rsidRDefault="008713D7" w:rsidP="00067864">
            <w:pPr>
              <w:pStyle w:val="Default0"/>
              <w:spacing w:before="60" w:after="60" w:line="256" w:lineRule="auto"/>
              <w:jc w:val="right"/>
              <w:rPr>
                <w:rFonts w:ascii="Calibri" w:hAnsi="Calibri"/>
                <w:color w:val="auto"/>
                <w:sz w:val="22"/>
                <w:szCs w:val="22"/>
                <w:highlight w:val="yellow"/>
              </w:rPr>
            </w:pPr>
          </w:p>
        </w:tc>
        <w:tc>
          <w:tcPr>
            <w:tcW w:w="1812" w:type="dxa"/>
            <w:tcBorders>
              <w:top w:val="single" w:sz="4" w:space="0" w:color="auto"/>
              <w:left w:val="single" w:sz="4" w:space="0" w:color="auto"/>
              <w:bottom w:val="single" w:sz="4" w:space="0" w:color="auto"/>
            </w:tcBorders>
            <w:vAlign w:val="center"/>
          </w:tcPr>
          <w:p w:rsidR="008713D7" w:rsidRPr="003449C0" w:rsidRDefault="008713D7" w:rsidP="00067864">
            <w:pPr>
              <w:pStyle w:val="Default0"/>
              <w:spacing w:before="60" w:after="60" w:line="256" w:lineRule="auto"/>
              <w:jc w:val="right"/>
              <w:rPr>
                <w:rFonts w:ascii="Calibri" w:hAnsi="Calibri"/>
                <w:color w:val="auto"/>
                <w:sz w:val="22"/>
                <w:szCs w:val="22"/>
              </w:rPr>
            </w:pPr>
            <w:r w:rsidRPr="005D6529">
              <w:rPr>
                <w:rFonts w:ascii="Calibri" w:hAnsi="Calibri"/>
                <w:color w:val="auto"/>
                <w:sz w:val="22"/>
                <w:szCs w:val="22"/>
              </w:rPr>
              <w:t>87,520 m</w:t>
            </w:r>
            <w:r w:rsidRPr="005D6529">
              <w:rPr>
                <w:rFonts w:ascii="Calibri" w:hAnsi="Calibri"/>
                <w:color w:val="auto"/>
                <w:sz w:val="22"/>
                <w:szCs w:val="22"/>
                <w:vertAlign w:val="superscript"/>
              </w:rPr>
              <w:t>2</w:t>
            </w:r>
          </w:p>
        </w:tc>
      </w:tr>
      <w:tr w:rsidR="008713D7" w:rsidTr="00067864">
        <w:trPr>
          <w:trHeight w:hRule="exact" w:val="397"/>
        </w:trPr>
        <w:tc>
          <w:tcPr>
            <w:tcW w:w="7366" w:type="dxa"/>
            <w:gridSpan w:val="2"/>
            <w:tcBorders>
              <w:top w:val="single" w:sz="4" w:space="0" w:color="auto"/>
              <w:bottom w:val="nil"/>
              <w:right w:val="single" w:sz="4" w:space="0" w:color="auto"/>
            </w:tcBorders>
            <w:shd w:val="clear" w:color="auto" w:fill="D9D9D9" w:themeFill="background1" w:themeFillShade="D9"/>
            <w:vAlign w:val="center"/>
          </w:tcPr>
          <w:p w:rsidR="008713D7" w:rsidRPr="003449C0" w:rsidDel="00D46DCB" w:rsidRDefault="008713D7" w:rsidP="00067864">
            <w:pPr>
              <w:pStyle w:val="Default0"/>
              <w:spacing w:before="60" w:after="60" w:line="256" w:lineRule="auto"/>
              <w:rPr>
                <w:rFonts w:ascii="Calibri" w:hAnsi="Calibri"/>
                <w:color w:val="auto"/>
                <w:sz w:val="22"/>
                <w:szCs w:val="22"/>
              </w:rPr>
            </w:pPr>
            <w:r>
              <w:rPr>
                <w:rFonts w:ascii="Calibri" w:hAnsi="Calibri"/>
                <w:b/>
                <w:color w:val="auto"/>
                <w:sz w:val="22"/>
                <w:szCs w:val="22"/>
              </w:rPr>
              <w:t xml:space="preserve">Affordable Housing Land Release </w:t>
            </w:r>
            <w:r w:rsidRPr="005D6529">
              <w:rPr>
                <w:rFonts w:ascii="Calibri" w:hAnsi="Calibri"/>
                <w:b/>
                <w:color w:val="auto"/>
                <w:sz w:val="22"/>
                <w:szCs w:val="22"/>
              </w:rPr>
              <w:t>Type</w:t>
            </w:r>
            <w:r>
              <w:rPr>
                <w:rFonts w:ascii="Calibri" w:hAnsi="Calibri"/>
                <w:b/>
                <w:color w:val="auto"/>
                <w:sz w:val="22"/>
                <w:szCs w:val="22"/>
              </w:rPr>
              <w:t xml:space="preserve"> </w:t>
            </w:r>
            <w:r w:rsidRPr="005D6529">
              <w:rPr>
                <w:rFonts w:ascii="Calibri" w:hAnsi="Calibri"/>
                <w:b/>
                <w:color w:val="auto"/>
                <w:sz w:val="22"/>
                <w:szCs w:val="22"/>
              </w:rPr>
              <w:t>(included in above totals)</w:t>
            </w:r>
          </w:p>
        </w:tc>
        <w:tc>
          <w:tcPr>
            <w:tcW w:w="1812" w:type="dxa"/>
            <w:tcBorders>
              <w:top w:val="single" w:sz="4" w:space="0" w:color="auto"/>
              <w:left w:val="single" w:sz="4" w:space="0" w:color="auto"/>
              <w:bottom w:val="nil"/>
            </w:tcBorders>
            <w:shd w:val="clear" w:color="auto" w:fill="D9D9D9" w:themeFill="background1" w:themeFillShade="D9"/>
            <w:vAlign w:val="center"/>
          </w:tcPr>
          <w:p w:rsidR="008713D7" w:rsidRPr="005D6529" w:rsidRDefault="008713D7" w:rsidP="00067864">
            <w:pPr>
              <w:pStyle w:val="Default0"/>
              <w:spacing w:before="60" w:after="60" w:line="256" w:lineRule="auto"/>
              <w:jc w:val="right"/>
              <w:rPr>
                <w:rFonts w:ascii="Calibri" w:hAnsi="Calibri"/>
                <w:color w:val="auto"/>
                <w:sz w:val="22"/>
                <w:szCs w:val="22"/>
              </w:rPr>
            </w:pPr>
            <w:r w:rsidRPr="005D6529">
              <w:rPr>
                <w:rFonts w:ascii="Calibri" w:hAnsi="Calibri"/>
                <w:bCs/>
                <w:color w:val="auto"/>
                <w:sz w:val="20"/>
                <w:szCs w:val="20"/>
              </w:rPr>
              <w:t>532 dwellings</w:t>
            </w:r>
          </w:p>
        </w:tc>
      </w:tr>
      <w:tr w:rsidR="008713D7" w:rsidTr="00067864">
        <w:trPr>
          <w:trHeight w:hRule="exact" w:val="397"/>
        </w:trPr>
        <w:tc>
          <w:tcPr>
            <w:tcW w:w="5807" w:type="dxa"/>
            <w:tcBorders>
              <w:top w:val="nil"/>
              <w:left w:val="single" w:sz="4" w:space="0" w:color="auto"/>
              <w:bottom w:val="nil"/>
              <w:right w:val="nil"/>
            </w:tcBorders>
            <w:shd w:val="clear" w:color="auto" w:fill="D9D9D9" w:themeFill="background1" w:themeFillShade="D9"/>
          </w:tcPr>
          <w:p w:rsidR="008713D7" w:rsidRPr="00FC0041" w:rsidRDefault="008713D7" w:rsidP="00067864">
            <w:pPr>
              <w:pStyle w:val="Default0"/>
              <w:spacing w:line="256" w:lineRule="auto"/>
              <w:ind w:left="596" w:hanging="142"/>
              <w:rPr>
                <w:rFonts w:ascii="Calibri" w:hAnsi="Calibri"/>
                <w:color w:val="auto"/>
                <w:sz w:val="20"/>
                <w:szCs w:val="20"/>
              </w:rPr>
            </w:pPr>
            <w:r w:rsidRPr="005D6529">
              <w:rPr>
                <w:rFonts w:ascii="Calibri" w:hAnsi="Calibri"/>
                <w:color w:val="auto"/>
                <w:sz w:val="20"/>
                <w:szCs w:val="20"/>
              </w:rPr>
              <w:t>Affordable Purchase and Land Rent</w:t>
            </w:r>
          </w:p>
        </w:tc>
        <w:tc>
          <w:tcPr>
            <w:tcW w:w="1559" w:type="dxa"/>
            <w:tcBorders>
              <w:top w:val="nil"/>
              <w:left w:val="nil"/>
              <w:bottom w:val="nil"/>
              <w:right w:val="single" w:sz="4" w:space="0" w:color="auto"/>
            </w:tcBorders>
            <w:shd w:val="clear" w:color="auto" w:fill="D9D9D9" w:themeFill="background1" w:themeFillShade="D9"/>
          </w:tcPr>
          <w:p w:rsidR="008713D7" w:rsidRPr="003449C0" w:rsidDel="00D46DCB" w:rsidRDefault="008713D7" w:rsidP="00067864">
            <w:pPr>
              <w:pStyle w:val="Default0"/>
              <w:spacing w:line="256" w:lineRule="auto"/>
              <w:jc w:val="right"/>
              <w:rPr>
                <w:rFonts w:ascii="Calibri" w:hAnsi="Calibri"/>
                <w:color w:val="auto"/>
                <w:sz w:val="22"/>
                <w:szCs w:val="22"/>
              </w:rPr>
            </w:pPr>
            <w:r w:rsidRPr="005D6529">
              <w:rPr>
                <w:rFonts w:ascii="Calibri" w:hAnsi="Calibri"/>
                <w:color w:val="auto"/>
                <w:sz w:val="20"/>
                <w:szCs w:val="20"/>
              </w:rPr>
              <w:t>472</w:t>
            </w:r>
            <w:r>
              <w:rPr>
                <w:rFonts w:ascii="Calibri" w:hAnsi="Calibri"/>
                <w:color w:val="auto"/>
                <w:sz w:val="20"/>
                <w:szCs w:val="20"/>
              </w:rPr>
              <w:t xml:space="preserve"> dwellings</w:t>
            </w:r>
          </w:p>
        </w:tc>
        <w:tc>
          <w:tcPr>
            <w:tcW w:w="1812" w:type="dxa"/>
            <w:tcBorders>
              <w:top w:val="nil"/>
              <w:left w:val="single" w:sz="4" w:space="0" w:color="auto"/>
              <w:bottom w:val="nil"/>
              <w:right w:val="single" w:sz="4" w:space="0" w:color="auto"/>
            </w:tcBorders>
            <w:shd w:val="clear" w:color="auto" w:fill="D9D9D9" w:themeFill="background1" w:themeFillShade="D9"/>
            <w:vAlign w:val="center"/>
          </w:tcPr>
          <w:p w:rsidR="008713D7" w:rsidRPr="005D6529" w:rsidRDefault="008713D7" w:rsidP="00067864">
            <w:pPr>
              <w:pStyle w:val="Default0"/>
              <w:spacing w:before="60" w:after="60" w:line="256" w:lineRule="auto"/>
              <w:jc w:val="right"/>
              <w:rPr>
                <w:rFonts w:ascii="Calibri" w:hAnsi="Calibri"/>
                <w:color w:val="auto"/>
                <w:sz w:val="22"/>
                <w:szCs w:val="22"/>
              </w:rPr>
            </w:pPr>
          </w:p>
        </w:tc>
      </w:tr>
      <w:tr w:rsidR="008713D7" w:rsidTr="00067864">
        <w:trPr>
          <w:trHeight w:hRule="exact" w:val="397"/>
        </w:trPr>
        <w:tc>
          <w:tcPr>
            <w:tcW w:w="5807" w:type="dxa"/>
            <w:tcBorders>
              <w:top w:val="nil"/>
              <w:left w:val="single" w:sz="4" w:space="0" w:color="auto"/>
              <w:bottom w:val="nil"/>
              <w:right w:val="nil"/>
            </w:tcBorders>
            <w:shd w:val="clear" w:color="auto" w:fill="D9D9D9" w:themeFill="background1" w:themeFillShade="D9"/>
          </w:tcPr>
          <w:p w:rsidR="008713D7" w:rsidRPr="00FC0041" w:rsidRDefault="008713D7" w:rsidP="00067864">
            <w:pPr>
              <w:pStyle w:val="Default0"/>
              <w:spacing w:line="256" w:lineRule="auto"/>
              <w:ind w:left="596" w:hanging="142"/>
              <w:rPr>
                <w:rFonts w:ascii="Calibri" w:hAnsi="Calibri"/>
                <w:color w:val="auto"/>
                <w:sz w:val="20"/>
                <w:szCs w:val="20"/>
              </w:rPr>
            </w:pPr>
            <w:r w:rsidRPr="005D6529">
              <w:rPr>
                <w:rFonts w:ascii="Calibri" w:hAnsi="Calibri"/>
                <w:color w:val="auto"/>
                <w:sz w:val="20"/>
                <w:szCs w:val="20"/>
              </w:rPr>
              <w:t>Public Housing</w:t>
            </w:r>
          </w:p>
        </w:tc>
        <w:tc>
          <w:tcPr>
            <w:tcW w:w="1559" w:type="dxa"/>
            <w:tcBorders>
              <w:top w:val="nil"/>
              <w:left w:val="nil"/>
              <w:bottom w:val="nil"/>
              <w:right w:val="single" w:sz="4" w:space="0" w:color="auto"/>
            </w:tcBorders>
            <w:shd w:val="clear" w:color="auto" w:fill="D9D9D9" w:themeFill="background1" w:themeFillShade="D9"/>
          </w:tcPr>
          <w:p w:rsidR="008713D7" w:rsidRPr="003449C0" w:rsidDel="00D46DCB" w:rsidRDefault="008713D7" w:rsidP="00067864">
            <w:pPr>
              <w:pStyle w:val="Default0"/>
              <w:spacing w:line="256" w:lineRule="auto"/>
              <w:jc w:val="right"/>
              <w:rPr>
                <w:rFonts w:ascii="Calibri" w:hAnsi="Calibri"/>
                <w:color w:val="auto"/>
                <w:sz w:val="22"/>
                <w:szCs w:val="22"/>
              </w:rPr>
            </w:pPr>
            <w:r w:rsidRPr="005D6529">
              <w:rPr>
                <w:rFonts w:ascii="Calibri" w:hAnsi="Calibri"/>
                <w:color w:val="auto"/>
                <w:sz w:val="20"/>
                <w:szCs w:val="20"/>
              </w:rPr>
              <w:t>60</w:t>
            </w:r>
            <w:r>
              <w:rPr>
                <w:rFonts w:ascii="Calibri" w:hAnsi="Calibri"/>
                <w:color w:val="auto"/>
                <w:sz w:val="20"/>
                <w:szCs w:val="20"/>
              </w:rPr>
              <w:t xml:space="preserve"> dwellings</w:t>
            </w:r>
          </w:p>
        </w:tc>
        <w:tc>
          <w:tcPr>
            <w:tcW w:w="1812" w:type="dxa"/>
            <w:tcBorders>
              <w:top w:val="nil"/>
              <w:left w:val="single" w:sz="4" w:space="0" w:color="auto"/>
              <w:bottom w:val="nil"/>
              <w:right w:val="single" w:sz="4" w:space="0" w:color="auto"/>
            </w:tcBorders>
            <w:shd w:val="clear" w:color="auto" w:fill="D9D9D9" w:themeFill="background1" w:themeFillShade="D9"/>
            <w:vAlign w:val="center"/>
          </w:tcPr>
          <w:p w:rsidR="008713D7" w:rsidRPr="005D6529" w:rsidRDefault="008713D7" w:rsidP="00067864">
            <w:pPr>
              <w:pStyle w:val="Default0"/>
              <w:spacing w:before="60" w:after="60" w:line="256" w:lineRule="auto"/>
              <w:jc w:val="right"/>
              <w:rPr>
                <w:rFonts w:ascii="Calibri" w:hAnsi="Calibri"/>
                <w:color w:val="auto"/>
                <w:sz w:val="22"/>
                <w:szCs w:val="22"/>
              </w:rPr>
            </w:pPr>
          </w:p>
        </w:tc>
      </w:tr>
      <w:tr w:rsidR="008713D7" w:rsidTr="00067864">
        <w:trPr>
          <w:trHeight w:hRule="exact" w:val="397"/>
        </w:trPr>
        <w:tc>
          <w:tcPr>
            <w:tcW w:w="5807" w:type="dxa"/>
            <w:tcBorders>
              <w:top w:val="nil"/>
              <w:left w:val="single" w:sz="4" w:space="0" w:color="auto"/>
              <w:bottom w:val="single" w:sz="4" w:space="0" w:color="auto"/>
              <w:right w:val="nil"/>
            </w:tcBorders>
            <w:shd w:val="clear" w:color="auto" w:fill="D9D9D9" w:themeFill="background1" w:themeFillShade="D9"/>
          </w:tcPr>
          <w:p w:rsidR="008713D7" w:rsidRPr="00FC0041" w:rsidRDefault="008713D7" w:rsidP="00067864">
            <w:pPr>
              <w:pStyle w:val="Default0"/>
              <w:spacing w:line="256" w:lineRule="auto"/>
              <w:ind w:left="596" w:hanging="142"/>
              <w:rPr>
                <w:rFonts w:ascii="Calibri" w:hAnsi="Calibri"/>
                <w:color w:val="auto"/>
                <w:sz w:val="20"/>
                <w:szCs w:val="20"/>
              </w:rPr>
            </w:pPr>
            <w:r w:rsidRPr="005D6529">
              <w:rPr>
                <w:rFonts w:ascii="Calibri" w:hAnsi="Calibri"/>
                <w:color w:val="auto"/>
                <w:sz w:val="20"/>
                <w:szCs w:val="20"/>
              </w:rPr>
              <w:t>Community Housing</w:t>
            </w:r>
          </w:p>
        </w:tc>
        <w:tc>
          <w:tcPr>
            <w:tcW w:w="1559" w:type="dxa"/>
            <w:tcBorders>
              <w:top w:val="nil"/>
              <w:left w:val="nil"/>
              <w:bottom w:val="single" w:sz="4" w:space="0" w:color="auto"/>
              <w:right w:val="single" w:sz="4" w:space="0" w:color="auto"/>
            </w:tcBorders>
            <w:shd w:val="clear" w:color="auto" w:fill="D9D9D9" w:themeFill="background1" w:themeFillShade="D9"/>
          </w:tcPr>
          <w:p w:rsidR="008713D7" w:rsidRPr="003449C0" w:rsidDel="00D46DCB" w:rsidRDefault="008713D7" w:rsidP="00067864">
            <w:pPr>
              <w:pStyle w:val="Default0"/>
              <w:spacing w:line="256" w:lineRule="auto"/>
              <w:jc w:val="right"/>
              <w:rPr>
                <w:rFonts w:ascii="Calibri" w:hAnsi="Calibri"/>
                <w:color w:val="auto"/>
                <w:sz w:val="22"/>
                <w:szCs w:val="22"/>
              </w:rPr>
            </w:pPr>
            <w:r w:rsidRPr="005D6529">
              <w:rPr>
                <w:rFonts w:ascii="Calibri" w:hAnsi="Calibri"/>
                <w:color w:val="auto"/>
                <w:sz w:val="20"/>
                <w:szCs w:val="20"/>
              </w:rPr>
              <w:t>0</w:t>
            </w:r>
            <w:r>
              <w:rPr>
                <w:rFonts w:ascii="Calibri" w:hAnsi="Calibri"/>
                <w:color w:val="auto"/>
                <w:sz w:val="20"/>
                <w:szCs w:val="20"/>
              </w:rPr>
              <w:t xml:space="preserve"> dwellings</w:t>
            </w:r>
            <w:r>
              <w:rPr>
                <w:sz w:val="20"/>
                <w:vertAlign w:val="superscript"/>
                <w:lang w:eastAsia="zh-CN"/>
              </w:rPr>
              <w:t></w:t>
            </w:r>
          </w:p>
        </w:tc>
        <w:tc>
          <w:tcPr>
            <w:tcW w:w="181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8713D7" w:rsidRPr="005D6529" w:rsidRDefault="008713D7" w:rsidP="00067864">
            <w:pPr>
              <w:pStyle w:val="Default0"/>
              <w:spacing w:before="60" w:after="60" w:line="256" w:lineRule="auto"/>
              <w:jc w:val="right"/>
              <w:rPr>
                <w:rFonts w:ascii="Calibri" w:hAnsi="Calibri"/>
                <w:color w:val="auto"/>
                <w:sz w:val="22"/>
                <w:szCs w:val="22"/>
              </w:rPr>
            </w:pPr>
          </w:p>
        </w:tc>
      </w:tr>
    </w:tbl>
    <w:p w:rsidR="008713D7" w:rsidRPr="001E224D" w:rsidRDefault="008713D7" w:rsidP="008713D7">
      <w:pPr>
        <w:pStyle w:val="BSnote"/>
        <w:jc w:val="both"/>
      </w:pPr>
      <w:r>
        <w:t>Note:</w:t>
      </w:r>
    </w:p>
    <w:p w:rsidR="008713D7" w:rsidRPr="002824C0" w:rsidRDefault="008713D7" w:rsidP="00862CB5">
      <w:pPr>
        <w:pStyle w:val="BSnoteslist"/>
        <w:numPr>
          <w:ilvl w:val="0"/>
          <w:numId w:val="69"/>
        </w:numPr>
      </w:pPr>
      <w:r w:rsidRPr="002824C0">
        <w:t xml:space="preserve">Full Indicative Land Release Program is available at </w:t>
      </w:r>
      <w:hyperlink r:id="rId29" w:history="1">
        <w:r w:rsidRPr="00692D0C">
          <w:rPr>
            <w:rStyle w:val="Hyperlink"/>
            <w:szCs w:val="20"/>
          </w:rPr>
          <w:t>https://www.planning.act.gov.au/topics/land-release</w:t>
        </w:r>
      </w:hyperlink>
      <w:r w:rsidRPr="002824C0">
        <w:t>.</w:t>
      </w:r>
    </w:p>
    <w:p w:rsidR="008713D7" w:rsidRPr="002824C0" w:rsidRDefault="008713D7" w:rsidP="00692D0C">
      <w:pPr>
        <w:pStyle w:val="BSnoteslist"/>
      </w:pPr>
      <w:r w:rsidRPr="002824C0">
        <w:t>For 2018-19, two sites have been identified in Scullin and Giralang for the community housing target. Both of these sites are currently ACT Property Group sites identified for disposal and therefore do not appear in the 2018-19 to 2021-22 Indicative Land Release Program for release via the Suburban Land Agency.</w:t>
      </w:r>
    </w:p>
    <w:p w:rsidR="003C0280" w:rsidRDefault="003C0280">
      <w:pPr>
        <w:spacing w:before="0" w:after="0"/>
        <w:rPr>
          <w:b/>
          <w:bCs/>
          <w:color w:val="000000"/>
          <w:sz w:val="22"/>
          <w:szCs w:val="18"/>
        </w:rPr>
      </w:pPr>
      <w:r>
        <w:br w:type="page"/>
      </w:r>
    </w:p>
    <w:p w:rsidR="008713D7" w:rsidRDefault="008713D7" w:rsidP="008713D7">
      <w:pPr>
        <w:pStyle w:val="Caption0"/>
      </w:pPr>
      <w:r>
        <w:t>Table 5: Key Performanc</w:t>
      </w:r>
      <w:r w:rsidR="002467AD">
        <w:t>e Indicators (non-financial) – N</w:t>
      </w:r>
      <w:r>
        <w:t>on-Land Release</w:t>
      </w:r>
    </w:p>
    <w:tbl>
      <w:tblPr>
        <w:tblStyle w:val="TableGrid"/>
        <w:tblW w:w="9209" w:type="dxa"/>
        <w:tblLayout w:type="fixed"/>
        <w:tblLook w:val="04A0" w:firstRow="1" w:lastRow="0" w:firstColumn="1" w:lastColumn="0" w:noHBand="0" w:noVBand="1"/>
      </w:tblPr>
      <w:tblGrid>
        <w:gridCol w:w="421"/>
        <w:gridCol w:w="5354"/>
        <w:gridCol w:w="1166"/>
        <w:gridCol w:w="2268"/>
      </w:tblGrid>
      <w:tr w:rsidR="008713D7" w:rsidTr="003C0280">
        <w:trPr>
          <w:cantSplit/>
        </w:trPr>
        <w:tc>
          <w:tcPr>
            <w:tcW w:w="421" w:type="dxa"/>
            <w:tcBorders>
              <w:top w:val="single" w:sz="4" w:space="0" w:color="auto"/>
              <w:left w:val="single" w:sz="4" w:space="0" w:color="auto"/>
              <w:bottom w:val="single" w:sz="4" w:space="0" w:color="auto"/>
              <w:right w:val="single" w:sz="4" w:space="0" w:color="auto"/>
            </w:tcBorders>
          </w:tcPr>
          <w:p w:rsidR="008713D7" w:rsidRPr="003C0280" w:rsidRDefault="008713D7" w:rsidP="003C0280">
            <w:pPr>
              <w:pStyle w:val="Heading40"/>
              <w:spacing w:before="0" w:after="0"/>
              <w:rPr>
                <w:i w:val="0"/>
                <w:sz w:val="20"/>
                <w:bdr w:val="none" w:sz="0" w:space="0" w:color="auto" w:frame="1"/>
                <w:lang w:eastAsia="en-AU"/>
              </w:rPr>
            </w:pPr>
          </w:p>
        </w:tc>
        <w:tc>
          <w:tcPr>
            <w:tcW w:w="5354" w:type="dxa"/>
            <w:tcBorders>
              <w:top w:val="single" w:sz="4" w:space="0" w:color="auto"/>
              <w:left w:val="single" w:sz="4" w:space="0" w:color="auto"/>
              <w:bottom w:val="single" w:sz="4" w:space="0" w:color="auto"/>
              <w:right w:val="single" w:sz="4" w:space="0" w:color="auto"/>
            </w:tcBorders>
            <w:hideMark/>
          </w:tcPr>
          <w:p w:rsidR="008713D7" w:rsidRPr="003C0280" w:rsidRDefault="008713D7" w:rsidP="003C0280">
            <w:pPr>
              <w:pStyle w:val="Heading40"/>
              <w:spacing w:before="0" w:after="0"/>
              <w:rPr>
                <w:i w:val="0"/>
                <w:sz w:val="20"/>
                <w:bdr w:val="none" w:sz="0" w:space="0" w:color="auto" w:frame="1"/>
                <w:lang w:eastAsia="en-AU"/>
              </w:rPr>
            </w:pPr>
            <w:r w:rsidRPr="003C0280">
              <w:rPr>
                <w:i w:val="0"/>
                <w:sz w:val="20"/>
                <w:bdr w:val="none" w:sz="0" w:space="0" w:color="auto" w:frame="1"/>
                <w:lang w:eastAsia="en-AU"/>
              </w:rPr>
              <w:t>Indicator</w:t>
            </w:r>
          </w:p>
        </w:tc>
        <w:tc>
          <w:tcPr>
            <w:tcW w:w="1166" w:type="dxa"/>
            <w:tcBorders>
              <w:top w:val="single" w:sz="4" w:space="0" w:color="auto"/>
              <w:left w:val="single" w:sz="4" w:space="0" w:color="auto"/>
              <w:bottom w:val="single" w:sz="4" w:space="0" w:color="auto"/>
              <w:right w:val="single" w:sz="4" w:space="0" w:color="auto"/>
            </w:tcBorders>
            <w:hideMark/>
          </w:tcPr>
          <w:p w:rsidR="008713D7" w:rsidRPr="003C0280" w:rsidRDefault="008713D7" w:rsidP="003C0280">
            <w:pPr>
              <w:pStyle w:val="Heading40"/>
              <w:spacing w:before="0" w:after="0"/>
              <w:jc w:val="center"/>
              <w:rPr>
                <w:i w:val="0"/>
                <w:sz w:val="20"/>
                <w:bdr w:val="none" w:sz="0" w:space="0" w:color="auto" w:frame="1"/>
                <w:lang w:eastAsia="en-AU"/>
              </w:rPr>
            </w:pPr>
            <w:r w:rsidRPr="003C0280">
              <w:rPr>
                <w:i w:val="0"/>
                <w:sz w:val="20"/>
                <w:bdr w:val="none" w:sz="0" w:space="0" w:color="auto" w:frame="1"/>
                <w:lang w:eastAsia="en-AU"/>
              </w:rPr>
              <w:t>Strategic Priority Area</w:t>
            </w:r>
            <w:r w:rsidRPr="002467AD">
              <w:rPr>
                <w:i w:val="0"/>
                <w:sz w:val="20"/>
                <w:bdr w:val="none" w:sz="0" w:space="0" w:color="auto" w:frame="1"/>
                <w:vertAlign w:val="superscript"/>
                <w:lang w:eastAsia="en-AU"/>
              </w:rPr>
              <w:t>1</w:t>
            </w:r>
          </w:p>
        </w:tc>
        <w:tc>
          <w:tcPr>
            <w:tcW w:w="2268" w:type="dxa"/>
            <w:tcBorders>
              <w:top w:val="single" w:sz="4" w:space="0" w:color="auto"/>
              <w:left w:val="single" w:sz="4" w:space="0" w:color="auto"/>
              <w:bottom w:val="single" w:sz="4" w:space="0" w:color="auto"/>
              <w:right w:val="single" w:sz="4" w:space="0" w:color="auto"/>
            </w:tcBorders>
            <w:hideMark/>
          </w:tcPr>
          <w:p w:rsidR="008713D7" w:rsidRPr="003C0280" w:rsidRDefault="008713D7" w:rsidP="003C0280">
            <w:pPr>
              <w:pStyle w:val="Default0"/>
              <w:jc w:val="right"/>
              <w:rPr>
                <w:rFonts w:ascii="Calibri" w:eastAsia="Times New Roman" w:hAnsi="Calibri"/>
                <w:b/>
                <w:color w:val="auto"/>
                <w:sz w:val="20"/>
                <w:szCs w:val="20"/>
                <w:bdr w:val="none" w:sz="0" w:space="0" w:color="auto" w:frame="1"/>
                <w:lang w:val="en-AU" w:eastAsia="en-AU"/>
              </w:rPr>
            </w:pPr>
            <w:r w:rsidRPr="003C0280">
              <w:rPr>
                <w:rFonts w:ascii="Calibri" w:eastAsia="Times New Roman" w:hAnsi="Calibri"/>
                <w:b/>
                <w:color w:val="auto"/>
                <w:sz w:val="20"/>
                <w:szCs w:val="20"/>
                <w:bdr w:val="none" w:sz="0" w:space="0" w:color="auto" w:frame="1"/>
                <w:lang w:val="en-AU" w:eastAsia="en-AU"/>
              </w:rPr>
              <w:t>2018-19 Target</w:t>
            </w:r>
          </w:p>
          <w:p w:rsidR="008713D7" w:rsidRPr="003C0280" w:rsidRDefault="008713D7" w:rsidP="003C0280">
            <w:pPr>
              <w:pStyle w:val="Heading40"/>
              <w:spacing w:before="0" w:after="0"/>
              <w:rPr>
                <w:i w:val="0"/>
                <w:sz w:val="20"/>
                <w:bdr w:val="none" w:sz="0" w:space="0" w:color="auto" w:frame="1"/>
                <w:lang w:eastAsia="en-AU"/>
              </w:rPr>
            </w:pP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1</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Deliver stakeholder engagement activities as per the Stakeholder Engagement Plan</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C</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Pr>
                <w:color w:val="000000" w:themeColor="text1"/>
                <w:sz w:val="20"/>
              </w:rPr>
              <w:t>Three activities</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2</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Work Health and Safety (Active Certification) audits completed</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BI</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sidRPr="0075415B">
              <w:rPr>
                <w:color w:val="000000" w:themeColor="text1"/>
                <w:sz w:val="20"/>
              </w:rPr>
              <w:t>35 Audits</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3</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Maintain gender equality in Suburban Land Agency staffing</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BI</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sidRPr="0075415B">
              <w:rPr>
                <w:color w:val="000000" w:themeColor="text1"/>
                <w:sz w:val="20"/>
              </w:rPr>
              <w:t>Gender balance within 10%</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4</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Recruitment panels with 50% or greater female membership</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BI</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sidRPr="0075415B">
              <w:rPr>
                <w:color w:val="000000" w:themeColor="text1"/>
                <w:sz w:val="20"/>
              </w:rPr>
              <w:t>100%</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5</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Maintain cultural diversity in Suburban Land Agency staffing</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BI</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sidRPr="0075415B">
              <w:rPr>
                <w:color w:val="000000" w:themeColor="text1"/>
                <w:sz w:val="20"/>
              </w:rPr>
              <w:t>20% of staff identify as culturally and</w:t>
            </w:r>
            <w:r>
              <w:rPr>
                <w:color w:val="000000" w:themeColor="text1"/>
                <w:sz w:val="20"/>
              </w:rPr>
              <w:t xml:space="preserve"> </w:t>
            </w:r>
            <w:r w:rsidRPr="0075415B">
              <w:rPr>
                <w:color w:val="000000" w:themeColor="text1"/>
                <w:sz w:val="20"/>
              </w:rPr>
              <w:t>linguistically diverse</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6</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Internal Audits engaged</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BI</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sidRPr="0075415B">
              <w:rPr>
                <w:color w:val="000000" w:themeColor="text1"/>
                <w:sz w:val="20"/>
              </w:rPr>
              <w:t>6</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7</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User sessions on Suburban Land Agency Webpage</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CN</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sidRPr="0075415B">
              <w:rPr>
                <w:color w:val="000000" w:themeColor="text1"/>
                <w:sz w:val="20"/>
              </w:rPr>
              <w:t>100,000</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8</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Increase followers of all Mingle social media pages</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CN</w:t>
            </w:r>
          </w:p>
        </w:tc>
        <w:tc>
          <w:tcPr>
            <w:tcW w:w="2268"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right"/>
              <w:rPr>
                <w:color w:val="000000" w:themeColor="text1"/>
                <w:sz w:val="20"/>
              </w:rPr>
            </w:pPr>
            <w:r w:rsidRPr="0075415B">
              <w:rPr>
                <w:color w:val="000000" w:themeColor="text1"/>
                <w:sz w:val="20"/>
              </w:rPr>
              <w:t>Increase by 10%</w:t>
            </w:r>
          </w:p>
        </w:tc>
      </w:tr>
      <w:tr w:rsidR="008713D7" w:rsidRPr="008B37E8" w:rsidTr="003C0280">
        <w:tc>
          <w:tcPr>
            <w:tcW w:w="421"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0"/>
              </w:rPr>
            </w:pPr>
            <w:r w:rsidRPr="0075415B">
              <w:rPr>
                <w:color w:val="000000" w:themeColor="text1"/>
                <w:sz w:val="20"/>
              </w:rPr>
              <w:t>9</w:t>
            </w:r>
          </w:p>
        </w:tc>
        <w:tc>
          <w:tcPr>
            <w:tcW w:w="5354"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rPr>
                <w:color w:val="000000" w:themeColor="text1"/>
                <w:sz w:val="22"/>
              </w:rPr>
            </w:pPr>
            <w:r w:rsidRPr="0075415B">
              <w:rPr>
                <w:color w:val="000000" w:themeColor="text1"/>
                <w:sz w:val="20"/>
              </w:rPr>
              <w:t>Resident satisfaction with communities with an active Mingle program and with more than 200 completed homes:</w:t>
            </w:r>
          </w:p>
          <w:p w:rsidR="008713D7" w:rsidRPr="0075415B" w:rsidRDefault="008713D7" w:rsidP="00862CB5">
            <w:pPr>
              <w:pStyle w:val="Normal5"/>
              <w:numPr>
                <w:ilvl w:val="0"/>
                <w:numId w:val="67"/>
              </w:numPr>
              <w:spacing w:before="60" w:after="60"/>
              <w:ind w:left="541" w:hanging="425"/>
              <w:rPr>
                <w:color w:val="000000" w:themeColor="text1"/>
              </w:rPr>
            </w:pPr>
            <w:r w:rsidRPr="0075415B">
              <w:rPr>
                <w:i/>
                <w:iCs/>
                <w:color w:val="000000" w:themeColor="text1"/>
                <w:sz w:val="20"/>
              </w:rPr>
              <w:t>The Mingle Community Development Program has made me feel more connected in my suburb?</w:t>
            </w:r>
          </w:p>
          <w:p w:rsidR="008713D7" w:rsidRPr="0075415B" w:rsidRDefault="008713D7" w:rsidP="00862CB5">
            <w:pPr>
              <w:pStyle w:val="Normal5"/>
              <w:numPr>
                <w:ilvl w:val="0"/>
                <w:numId w:val="67"/>
              </w:numPr>
              <w:spacing w:before="60" w:after="60"/>
              <w:ind w:left="541" w:hanging="425"/>
              <w:rPr>
                <w:color w:val="000000" w:themeColor="text1"/>
                <w:sz w:val="20"/>
              </w:rPr>
            </w:pPr>
            <w:r w:rsidRPr="0075415B">
              <w:rPr>
                <w:i/>
                <w:iCs/>
                <w:color w:val="000000" w:themeColor="text1"/>
                <w:sz w:val="20"/>
              </w:rPr>
              <w:t>The Mingle Community Development Program has made me feel more informed in my suburb?</w:t>
            </w:r>
          </w:p>
        </w:tc>
        <w:tc>
          <w:tcPr>
            <w:tcW w:w="1166" w:type="dxa"/>
            <w:tcBorders>
              <w:top w:val="single" w:sz="4" w:space="0" w:color="auto"/>
              <w:left w:val="single" w:sz="4" w:space="0" w:color="auto"/>
              <w:bottom w:val="single" w:sz="4" w:space="0" w:color="auto"/>
              <w:right w:val="single" w:sz="4" w:space="0" w:color="auto"/>
            </w:tcBorders>
            <w:hideMark/>
          </w:tcPr>
          <w:p w:rsidR="008713D7" w:rsidRPr="0075415B" w:rsidRDefault="008713D7" w:rsidP="00067864">
            <w:pPr>
              <w:pStyle w:val="Normal5"/>
              <w:spacing w:before="60" w:after="60"/>
              <w:jc w:val="center"/>
              <w:rPr>
                <w:color w:val="000000" w:themeColor="text1"/>
                <w:sz w:val="20"/>
              </w:rPr>
            </w:pPr>
            <w:r w:rsidRPr="0075415B">
              <w:rPr>
                <w:color w:val="000000" w:themeColor="text1"/>
                <w:sz w:val="20"/>
              </w:rPr>
              <w:t>BI</w:t>
            </w:r>
          </w:p>
        </w:tc>
        <w:tc>
          <w:tcPr>
            <w:tcW w:w="2268"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jc w:val="right"/>
              <w:rPr>
                <w:color w:val="000000" w:themeColor="text1"/>
                <w:sz w:val="20"/>
              </w:rPr>
            </w:pPr>
          </w:p>
          <w:p w:rsidR="008713D7" w:rsidRPr="0075415B" w:rsidRDefault="008713D7" w:rsidP="00067864">
            <w:pPr>
              <w:pStyle w:val="Normal5"/>
              <w:spacing w:before="60" w:after="60"/>
              <w:jc w:val="right"/>
              <w:rPr>
                <w:color w:val="000000" w:themeColor="text1"/>
                <w:sz w:val="22"/>
              </w:rPr>
            </w:pPr>
            <w:r w:rsidRPr="0075415B">
              <w:rPr>
                <w:color w:val="000000" w:themeColor="text1"/>
                <w:sz w:val="20"/>
              </w:rPr>
              <w:t>75% of surveyed occupants rated Agreed or above</w:t>
            </w:r>
          </w:p>
          <w:p w:rsidR="008713D7" w:rsidRPr="0075415B" w:rsidRDefault="008713D7" w:rsidP="00067864">
            <w:pPr>
              <w:pStyle w:val="Normal5"/>
              <w:spacing w:before="60" w:after="60"/>
              <w:jc w:val="right"/>
              <w:rPr>
                <w:color w:val="000000" w:themeColor="text1"/>
                <w:sz w:val="20"/>
              </w:rPr>
            </w:pPr>
            <w:r w:rsidRPr="0075415B">
              <w:rPr>
                <w:color w:val="000000" w:themeColor="text1"/>
                <w:sz w:val="20"/>
              </w:rPr>
              <w:t>75% of surveyed occupants rated Agreed or above</w:t>
            </w:r>
          </w:p>
        </w:tc>
      </w:tr>
      <w:tr w:rsidR="008713D7" w:rsidTr="003C0280">
        <w:tc>
          <w:tcPr>
            <w:tcW w:w="421" w:type="dxa"/>
            <w:tcBorders>
              <w:top w:val="single" w:sz="4" w:space="0" w:color="auto"/>
              <w:left w:val="single" w:sz="4" w:space="0" w:color="auto"/>
              <w:bottom w:val="single" w:sz="4" w:space="0" w:color="auto"/>
              <w:right w:val="single" w:sz="4" w:space="0" w:color="auto"/>
            </w:tcBorders>
            <w:hideMark/>
          </w:tcPr>
          <w:p w:rsidR="008713D7" w:rsidRPr="00341538" w:rsidRDefault="008713D7" w:rsidP="00067864">
            <w:pPr>
              <w:pStyle w:val="Normal5"/>
              <w:spacing w:before="60" w:after="60"/>
              <w:rPr>
                <w:sz w:val="20"/>
              </w:rPr>
            </w:pPr>
            <w:r w:rsidRPr="00341538">
              <w:rPr>
                <w:sz w:val="20"/>
              </w:rPr>
              <w:t>10</w:t>
            </w:r>
          </w:p>
        </w:tc>
        <w:tc>
          <w:tcPr>
            <w:tcW w:w="5354" w:type="dxa"/>
            <w:tcBorders>
              <w:top w:val="single" w:sz="4" w:space="0" w:color="auto"/>
              <w:left w:val="single" w:sz="4" w:space="0" w:color="auto"/>
              <w:bottom w:val="single" w:sz="4" w:space="0" w:color="auto"/>
              <w:right w:val="single" w:sz="4" w:space="0" w:color="auto"/>
            </w:tcBorders>
            <w:hideMark/>
          </w:tcPr>
          <w:p w:rsidR="008713D7" w:rsidRPr="00341538" w:rsidRDefault="008713D7" w:rsidP="00067864">
            <w:pPr>
              <w:pStyle w:val="Normal5"/>
              <w:spacing w:before="60" w:after="60"/>
              <w:rPr>
                <w:sz w:val="20"/>
              </w:rPr>
            </w:pPr>
            <w:r w:rsidRPr="00341538">
              <w:rPr>
                <w:sz w:val="20"/>
              </w:rPr>
              <w:t xml:space="preserve">Improvement in staff engagement measured by the </w:t>
            </w:r>
            <w:r>
              <w:rPr>
                <w:sz w:val="20"/>
              </w:rPr>
              <w:t>a</w:t>
            </w:r>
            <w:r w:rsidRPr="00341538">
              <w:rPr>
                <w:sz w:val="20"/>
              </w:rPr>
              <w:t xml:space="preserve">nnual </w:t>
            </w:r>
            <w:r>
              <w:rPr>
                <w:sz w:val="20"/>
              </w:rPr>
              <w:t>s</w:t>
            </w:r>
            <w:r w:rsidRPr="00341538">
              <w:rPr>
                <w:sz w:val="20"/>
              </w:rPr>
              <w:t>taff satisfaction survey</w:t>
            </w:r>
          </w:p>
          <w:p w:rsidR="008713D7" w:rsidRPr="00341538" w:rsidRDefault="008713D7" w:rsidP="00067864">
            <w:pPr>
              <w:pStyle w:val="Normal5"/>
              <w:spacing w:before="60" w:after="60"/>
              <w:rPr>
                <w:sz w:val="20"/>
              </w:rPr>
            </w:pPr>
            <w:r w:rsidRPr="00341538">
              <w:rPr>
                <w:sz w:val="20"/>
              </w:rPr>
              <w:t xml:space="preserve">Improvement in </w:t>
            </w:r>
            <w:r>
              <w:rPr>
                <w:sz w:val="20"/>
              </w:rPr>
              <w:t>l</w:t>
            </w:r>
            <w:r w:rsidRPr="00341538">
              <w:rPr>
                <w:sz w:val="20"/>
              </w:rPr>
              <w:t xml:space="preserve">owest </w:t>
            </w:r>
            <w:r>
              <w:rPr>
                <w:sz w:val="20"/>
              </w:rPr>
              <w:t>three</w:t>
            </w:r>
            <w:r w:rsidRPr="00341538">
              <w:rPr>
                <w:sz w:val="20"/>
              </w:rPr>
              <w:t xml:space="preserve"> indicators from previous year</w:t>
            </w:r>
            <w:r>
              <w:rPr>
                <w:sz w:val="20"/>
              </w:rPr>
              <w:t>’</w:t>
            </w:r>
            <w:r w:rsidRPr="00341538">
              <w:rPr>
                <w:sz w:val="20"/>
              </w:rPr>
              <w:t xml:space="preserve">s </w:t>
            </w:r>
            <w:r>
              <w:rPr>
                <w:sz w:val="20"/>
              </w:rPr>
              <w:t>s</w:t>
            </w:r>
            <w:r w:rsidRPr="00341538">
              <w:rPr>
                <w:sz w:val="20"/>
              </w:rPr>
              <w:t xml:space="preserve">urvey </w:t>
            </w:r>
          </w:p>
        </w:tc>
        <w:tc>
          <w:tcPr>
            <w:tcW w:w="1166" w:type="dxa"/>
            <w:tcBorders>
              <w:top w:val="single" w:sz="4" w:space="0" w:color="auto"/>
              <w:left w:val="single" w:sz="4" w:space="0" w:color="auto"/>
              <w:bottom w:val="single" w:sz="4" w:space="0" w:color="auto"/>
              <w:right w:val="single" w:sz="4" w:space="0" w:color="auto"/>
            </w:tcBorders>
            <w:hideMark/>
          </w:tcPr>
          <w:p w:rsidR="008713D7" w:rsidRPr="00341538" w:rsidRDefault="008713D7" w:rsidP="00067864">
            <w:pPr>
              <w:pStyle w:val="Normal5"/>
              <w:spacing w:before="60" w:after="60"/>
              <w:jc w:val="center"/>
              <w:rPr>
                <w:sz w:val="20"/>
              </w:rPr>
            </w:pPr>
            <w:r w:rsidRPr="00341538">
              <w:rPr>
                <w:sz w:val="20"/>
              </w:rPr>
              <w:t>C</w:t>
            </w:r>
          </w:p>
        </w:tc>
        <w:tc>
          <w:tcPr>
            <w:tcW w:w="2268" w:type="dxa"/>
            <w:tcBorders>
              <w:top w:val="single" w:sz="4" w:space="0" w:color="auto"/>
              <w:left w:val="single" w:sz="4" w:space="0" w:color="auto"/>
              <w:bottom w:val="single" w:sz="4" w:space="0" w:color="auto"/>
              <w:right w:val="single" w:sz="4" w:space="0" w:color="auto"/>
            </w:tcBorders>
            <w:hideMark/>
          </w:tcPr>
          <w:p w:rsidR="008713D7" w:rsidRPr="00341538" w:rsidRDefault="008713D7" w:rsidP="00067864">
            <w:pPr>
              <w:pStyle w:val="Normal5"/>
              <w:spacing w:before="60" w:after="60"/>
              <w:jc w:val="right"/>
              <w:rPr>
                <w:sz w:val="20"/>
              </w:rPr>
            </w:pPr>
            <w:r w:rsidRPr="00341538">
              <w:rPr>
                <w:sz w:val="20"/>
              </w:rPr>
              <w:t>80% participation</w:t>
            </w:r>
          </w:p>
          <w:p w:rsidR="008713D7" w:rsidRDefault="008713D7" w:rsidP="00067864">
            <w:pPr>
              <w:pStyle w:val="Normal5"/>
              <w:spacing w:before="60" w:after="60"/>
              <w:jc w:val="right"/>
              <w:rPr>
                <w:sz w:val="20"/>
              </w:rPr>
            </w:pPr>
            <w:r w:rsidRPr="00341538">
              <w:rPr>
                <w:sz w:val="20"/>
              </w:rPr>
              <w:br/>
              <w:t>20% average improvement</w:t>
            </w:r>
          </w:p>
        </w:tc>
      </w:tr>
      <w:tr w:rsidR="008713D7" w:rsidTr="003C0280">
        <w:tc>
          <w:tcPr>
            <w:tcW w:w="421"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rPr>
                <w:sz w:val="20"/>
              </w:rPr>
            </w:pPr>
            <w:r>
              <w:rPr>
                <w:sz w:val="20"/>
              </w:rPr>
              <w:t>11</w:t>
            </w:r>
          </w:p>
        </w:tc>
        <w:tc>
          <w:tcPr>
            <w:tcW w:w="5354"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rPr>
                <w:sz w:val="20"/>
              </w:rPr>
            </w:pPr>
            <w:r>
              <w:rPr>
                <w:sz w:val="20"/>
              </w:rPr>
              <w:t>Reduction in Freedom of Information requests from members of the public</w:t>
            </w:r>
          </w:p>
        </w:tc>
        <w:tc>
          <w:tcPr>
            <w:tcW w:w="1166"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jc w:val="center"/>
              <w:rPr>
                <w:sz w:val="20"/>
              </w:rPr>
            </w:pPr>
            <w:r>
              <w:rPr>
                <w:sz w:val="20"/>
              </w:rPr>
              <w:t>CN</w:t>
            </w:r>
          </w:p>
        </w:tc>
        <w:tc>
          <w:tcPr>
            <w:tcW w:w="2268"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jc w:val="right"/>
              <w:rPr>
                <w:sz w:val="20"/>
              </w:rPr>
            </w:pPr>
            <w:r>
              <w:rPr>
                <w:sz w:val="20"/>
              </w:rPr>
              <w:t>10% on 2017-18</w:t>
            </w:r>
          </w:p>
        </w:tc>
      </w:tr>
      <w:tr w:rsidR="008713D7" w:rsidTr="003C0280">
        <w:tc>
          <w:tcPr>
            <w:tcW w:w="421"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rPr>
                <w:sz w:val="20"/>
              </w:rPr>
            </w:pPr>
            <w:r>
              <w:rPr>
                <w:sz w:val="20"/>
              </w:rPr>
              <w:t>12</w:t>
            </w:r>
          </w:p>
        </w:tc>
        <w:tc>
          <w:tcPr>
            <w:tcW w:w="5354"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rPr>
                <w:sz w:val="20"/>
              </w:rPr>
            </w:pPr>
            <w:r>
              <w:rPr>
                <w:sz w:val="20"/>
              </w:rPr>
              <w:t>Completion of major organisational activities/projects</w:t>
            </w:r>
          </w:p>
        </w:tc>
        <w:tc>
          <w:tcPr>
            <w:tcW w:w="1166"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jc w:val="center"/>
              <w:rPr>
                <w:sz w:val="20"/>
              </w:rPr>
            </w:pPr>
            <w:r>
              <w:rPr>
                <w:sz w:val="20"/>
              </w:rPr>
              <w:t>BI</w:t>
            </w:r>
          </w:p>
        </w:tc>
        <w:tc>
          <w:tcPr>
            <w:tcW w:w="2268" w:type="dxa"/>
            <w:tcBorders>
              <w:top w:val="single" w:sz="4" w:space="0" w:color="auto"/>
              <w:left w:val="single" w:sz="4" w:space="0" w:color="auto"/>
              <w:bottom w:val="single" w:sz="4" w:space="0" w:color="auto"/>
              <w:right w:val="single" w:sz="4" w:space="0" w:color="auto"/>
            </w:tcBorders>
            <w:hideMark/>
          </w:tcPr>
          <w:p w:rsidR="008713D7" w:rsidRDefault="008713D7" w:rsidP="00067864">
            <w:pPr>
              <w:pStyle w:val="Normal5"/>
              <w:spacing w:before="60" w:after="60"/>
              <w:jc w:val="right"/>
              <w:rPr>
                <w:sz w:val="20"/>
              </w:rPr>
            </w:pPr>
            <w:r>
              <w:rPr>
                <w:sz w:val="20"/>
              </w:rPr>
              <w:t>90%</w:t>
            </w:r>
          </w:p>
        </w:tc>
      </w:tr>
    </w:tbl>
    <w:p w:rsidR="008713D7" w:rsidRDefault="008713D7" w:rsidP="008713D7">
      <w:pPr>
        <w:pStyle w:val="BSnote"/>
      </w:pPr>
      <w:r>
        <w:t>Note:</w:t>
      </w:r>
    </w:p>
    <w:p w:rsidR="008713D7" w:rsidRPr="002824C0" w:rsidRDefault="008713D7" w:rsidP="008713D7">
      <w:pPr>
        <w:pStyle w:val="Normal5"/>
        <w:spacing w:before="0"/>
        <w:ind w:right="-330"/>
        <w:rPr>
          <w:sz w:val="18"/>
        </w:rPr>
      </w:pPr>
      <w:r w:rsidRPr="002824C0">
        <w:rPr>
          <w:sz w:val="18"/>
        </w:rPr>
        <w:t>1.  CN – Community Needs; C – Culture; BI – Business Improvement.</w:t>
      </w:r>
    </w:p>
    <w:p w:rsidR="003C0280" w:rsidRDefault="003C0280">
      <w:pPr>
        <w:spacing w:before="0" w:after="0"/>
        <w:rPr>
          <w:b/>
          <w:bCs/>
          <w:snapToGrid w:val="0"/>
          <w:sz w:val="32"/>
        </w:rPr>
      </w:pPr>
      <w:bookmarkStart w:id="191" w:name="_Toc493064827"/>
      <w:r>
        <w:rPr>
          <w:bCs/>
        </w:rPr>
        <w:br w:type="page"/>
      </w:r>
    </w:p>
    <w:p w:rsidR="008713D7" w:rsidRPr="00FC0041" w:rsidRDefault="008713D7" w:rsidP="00B632C2">
      <w:pPr>
        <w:pStyle w:val="Heading2"/>
      </w:pPr>
      <w:bookmarkStart w:id="192" w:name="_Toc514840985"/>
      <w:bookmarkStart w:id="193" w:name="_Toc514841063"/>
      <w:r w:rsidRPr="003449C0">
        <w:t>Assessment of performance against 2017-18 objectives</w:t>
      </w:r>
      <w:bookmarkEnd w:id="191"/>
      <w:bookmarkEnd w:id="192"/>
      <w:bookmarkEnd w:id="193"/>
    </w:p>
    <w:p w:rsidR="008713D7" w:rsidRPr="009C32BF" w:rsidRDefault="008713D7" w:rsidP="00E671C9">
      <w:pPr>
        <w:pStyle w:val="Normal5"/>
        <w:rPr>
          <w:i/>
        </w:rPr>
      </w:pPr>
      <w:r w:rsidRPr="00EE3410">
        <w:t>The Suburban Land Agency was established by the ACT Government on 1 July 201</w:t>
      </w:r>
      <w:r>
        <w:t>7</w:t>
      </w:r>
      <w:r w:rsidRPr="00EE3410">
        <w:t xml:space="preserve">.  Establishment included formation of a new Board and appointment of a new Chief Executive Officer.  In its first year of operation the Board and </w:t>
      </w:r>
      <w:r>
        <w:t xml:space="preserve">the Suburban Land </w:t>
      </w:r>
      <w:r w:rsidRPr="00EE3410">
        <w:t>Agency ha</w:t>
      </w:r>
      <w:r>
        <w:t>ve</w:t>
      </w:r>
      <w:r w:rsidRPr="00EE3410">
        <w:t xml:space="preserve"> focussed on ensuring that the organisation makes sound decisions, based on good information and communicates these effectively.</w:t>
      </w:r>
      <w:r>
        <w:t xml:space="preserve">  The Suburban Land Agency’s performance against the objectives detailed in the </w:t>
      </w:r>
      <w:r>
        <w:rPr>
          <w:i/>
        </w:rPr>
        <w:t>City Renewal Authority and Suburban Land Agency Act 2017</w:t>
      </w:r>
      <w:r w:rsidRPr="00FC0041">
        <w:t xml:space="preserve"> are as follows:</w:t>
      </w:r>
    </w:p>
    <w:p w:rsidR="008713D7" w:rsidRDefault="008713D7" w:rsidP="00E671C9">
      <w:pPr>
        <w:pStyle w:val="Normal5"/>
        <w:rPr>
          <w:b/>
        </w:rPr>
      </w:pPr>
      <w:r>
        <w:rPr>
          <w:b/>
        </w:rPr>
        <w:t>Encourage and promote inclusive communities through the delivery of people-focussed neighbourhoods</w:t>
      </w:r>
    </w:p>
    <w:p w:rsidR="008713D7" w:rsidRPr="00EE3410" w:rsidRDefault="008713D7" w:rsidP="00E671C9">
      <w:pPr>
        <w:pStyle w:val="Normal5"/>
      </w:pPr>
      <w:r w:rsidRPr="00EE3410">
        <w:t xml:space="preserve">The Suburban Land Agency </w:t>
      </w:r>
      <w:r>
        <w:t>coordinated</w:t>
      </w:r>
      <w:r w:rsidRPr="00EE3410">
        <w:t xml:space="preserve"> a community development program </w:t>
      </w:r>
      <w:r>
        <w:t>known as ‘</w:t>
      </w:r>
      <w:r w:rsidRPr="00EE3410">
        <w:t>Mingle</w:t>
      </w:r>
      <w:r>
        <w:t>’</w:t>
      </w:r>
      <w:r w:rsidRPr="00EE3410">
        <w:t xml:space="preserve"> in new </w:t>
      </w:r>
      <w:r>
        <w:t xml:space="preserve">greenfield </w:t>
      </w:r>
      <w:r w:rsidRPr="00EE3410">
        <w:t>suburbs with an active program of events.  The Mingle program support</w:t>
      </w:r>
      <w:r>
        <w:t>ed</w:t>
      </w:r>
      <w:r w:rsidRPr="00EE3410">
        <w:t xml:space="preserve"> development of new communities through </w:t>
      </w:r>
      <w:r>
        <w:t>the provision of</w:t>
      </w:r>
      <w:r w:rsidRPr="00EE3410">
        <w:t xml:space="preserve"> information, community activities and </w:t>
      </w:r>
      <w:r>
        <w:t>created opportunities</w:t>
      </w:r>
      <w:r w:rsidRPr="00EE3410">
        <w:t xml:space="preserve"> for </w:t>
      </w:r>
      <w:r>
        <w:t>members of the community</w:t>
      </w:r>
      <w:r w:rsidRPr="00EE3410">
        <w:t xml:space="preserve"> to meet</w:t>
      </w:r>
      <w:r>
        <w:t xml:space="preserve"> and socialise</w:t>
      </w:r>
      <w:r w:rsidRPr="00EE3410">
        <w:t xml:space="preserve">.  In the first nine months of </w:t>
      </w:r>
      <w:r>
        <w:t xml:space="preserve">2017-18 </w:t>
      </w:r>
      <w:r w:rsidRPr="00EE3410">
        <w:t>the Mingle program coordinated</w:t>
      </w:r>
      <w:r>
        <w:t xml:space="preserve"> 57 community activities</w:t>
      </w:r>
      <w:r w:rsidRPr="00EE3410">
        <w:t xml:space="preserve">.  </w:t>
      </w:r>
      <w:r>
        <w:t xml:space="preserve">The program also provided information through social media and regular newsletters.  </w:t>
      </w:r>
      <w:r w:rsidRPr="00EE3410">
        <w:t xml:space="preserve">In </w:t>
      </w:r>
      <w:r>
        <w:t xml:space="preserve">May </w:t>
      </w:r>
      <w:r w:rsidRPr="00EE3410">
        <w:t xml:space="preserve">2018 the </w:t>
      </w:r>
      <w:r>
        <w:t xml:space="preserve">Mingle </w:t>
      </w:r>
      <w:r w:rsidRPr="00EE3410">
        <w:t xml:space="preserve">program </w:t>
      </w:r>
      <w:r>
        <w:t>was</w:t>
      </w:r>
      <w:r w:rsidRPr="00EE3410">
        <w:t xml:space="preserve"> </w:t>
      </w:r>
      <w:r>
        <w:t>nominated</w:t>
      </w:r>
      <w:r w:rsidRPr="00EE3410">
        <w:t xml:space="preserve"> </w:t>
      </w:r>
      <w:r>
        <w:t>as</w:t>
      </w:r>
      <w:r w:rsidRPr="00EE3410">
        <w:t xml:space="preserve"> a </w:t>
      </w:r>
      <w:r>
        <w:t xml:space="preserve">finalist for the </w:t>
      </w:r>
      <w:r w:rsidRPr="00EE3410">
        <w:t>Project Innovation award at the Propert</w:t>
      </w:r>
      <w:r>
        <w:t>y Council of Australia awards.</w:t>
      </w:r>
    </w:p>
    <w:p w:rsidR="008713D7" w:rsidRDefault="008713D7" w:rsidP="00E671C9">
      <w:pPr>
        <w:pStyle w:val="Normal5"/>
        <w:rPr>
          <w:color w:val="000000" w:themeColor="text1"/>
        </w:rPr>
      </w:pPr>
      <w:r w:rsidRPr="00B841DC">
        <w:t>The Suburban Land Agency buil</w:t>
      </w:r>
      <w:r>
        <w:t>t</w:t>
      </w:r>
      <w:r w:rsidRPr="00B841DC">
        <w:t xml:space="preserve"> positive and productive relationships with community and stakeholders.  </w:t>
      </w:r>
      <w:r>
        <w:t xml:space="preserve">Through the Mingle program new stakeholder </w:t>
      </w:r>
      <w:r w:rsidRPr="00341538">
        <w:rPr>
          <w:color w:val="000000" w:themeColor="text1"/>
        </w:rPr>
        <w:t xml:space="preserve">relationships </w:t>
      </w:r>
      <w:r>
        <w:rPr>
          <w:color w:val="000000" w:themeColor="text1"/>
        </w:rPr>
        <w:t>were</w:t>
      </w:r>
      <w:r w:rsidRPr="00341538">
        <w:rPr>
          <w:color w:val="000000" w:themeColor="text1"/>
        </w:rPr>
        <w:t xml:space="preserve"> formed </w:t>
      </w:r>
      <w:r>
        <w:rPr>
          <w:color w:val="000000" w:themeColor="text1"/>
        </w:rPr>
        <w:t xml:space="preserve">with a number of organisations and interest groups </w:t>
      </w:r>
      <w:r w:rsidRPr="00341538">
        <w:rPr>
          <w:color w:val="000000" w:themeColor="text1"/>
        </w:rPr>
        <w:t>including Neighbourhood Watch, Molonglo River Catchment Group, University of Canberra, Relationships Austral</w:t>
      </w:r>
      <w:r w:rsidR="00AC356D">
        <w:rPr>
          <w:color w:val="000000" w:themeColor="text1"/>
        </w:rPr>
        <w:t>ia, Conservation Council and Acts</w:t>
      </w:r>
      <w:r>
        <w:rPr>
          <w:color w:val="000000" w:themeColor="text1"/>
        </w:rPr>
        <w:t>mart Sustainability.</w:t>
      </w:r>
    </w:p>
    <w:p w:rsidR="008713D7" w:rsidRPr="00B841DC" w:rsidRDefault="008713D7" w:rsidP="00E671C9">
      <w:pPr>
        <w:pStyle w:val="Normal5"/>
      </w:pPr>
      <w:r w:rsidRPr="00B841DC">
        <w:t xml:space="preserve">The </w:t>
      </w:r>
      <w:r>
        <w:t xml:space="preserve">Suburban Land </w:t>
      </w:r>
      <w:r w:rsidRPr="00B841DC">
        <w:t>Agency has worked closely with industry associations and regulatory bodies to consult, inform and educate the construction industry about land development and working safely.</w:t>
      </w:r>
    </w:p>
    <w:p w:rsidR="008713D7" w:rsidRDefault="008713D7" w:rsidP="00E671C9">
      <w:pPr>
        <w:pStyle w:val="Normal5"/>
        <w:keepNext/>
        <w:rPr>
          <w:b/>
        </w:rPr>
      </w:pPr>
      <w:r>
        <w:rPr>
          <w:b/>
        </w:rPr>
        <w:t>Suburban development that supports:  affordable living; safe and healthy population; social inclusion; and housing choice</w:t>
      </w:r>
    </w:p>
    <w:p w:rsidR="008713D7" w:rsidRPr="00FC0041" w:rsidRDefault="008713D7" w:rsidP="00E671C9">
      <w:pPr>
        <w:pStyle w:val="Normal5"/>
        <w:rPr>
          <w:color w:val="000000" w:themeColor="text1"/>
          <w:sz w:val="22"/>
          <w:szCs w:val="22"/>
        </w:rPr>
      </w:pPr>
      <w:r>
        <w:rPr>
          <w:rFonts w:cs="Calibri"/>
        </w:rPr>
        <w:t xml:space="preserve">The Suburban Land Agency released </w:t>
      </w:r>
      <w:r>
        <w:t xml:space="preserve">residential, mixed use and community sites providing a range of land choices for a variety of housing types consistent with the 2017-18 </w:t>
      </w:r>
      <w:r>
        <w:rPr>
          <w:rFonts w:cs="Calibri"/>
        </w:rPr>
        <w:t xml:space="preserve">Indicative </w:t>
      </w:r>
      <w:r w:rsidRPr="00FC0041">
        <w:rPr>
          <w:rFonts w:cs="Calibri"/>
          <w:color w:val="000000" w:themeColor="text1"/>
        </w:rPr>
        <w:t>Land Release Program</w:t>
      </w:r>
      <w:r w:rsidRPr="00FC0041">
        <w:rPr>
          <w:color w:val="000000" w:themeColor="text1"/>
        </w:rPr>
        <w:t>.</w:t>
      </w:r>
    </w:p>
    <w:p w:rsidR="008713D7" w:rsidRDefault="008713D7" w:rsidP="00E671C9">
      <w:pPr>
        <w:pStyle w:val="Normal5"/>
      </w:pPr>
      <w:r w:rsidRPr="00F20D9E">
        <w:t xml:space="preserve">The Suburban Land Agency has delivered on the </w:t>
      </w:r>
      <w:r>
        <w:t>G</w:t>
      </w:r>
      <w:r w:rsidRPr="00F20D9E">
        <w:t>overnment’s priority of supporting affordable and community housing.</w:t>
      </w:r>
      <w:r w:rsidRPr="00B841DC">
        <w:t xml:space="preserve">  It has worked closely with the Environment</w:t>
      </w:r>
      <w:r>
        <w:t>,</w:t>
      </w:r>
      <w:r w:rsidRPr="00B841DC">
        <w:t xml:space="preserve"> Planning and Sustainable Development Directorate on identifying and delivering sites suitable for affordable, community </w:t>
      </w:r>
      <w:r>
        <w:t xml:space="preserve">and </w:t>
      </w:r>
      <w:r w:rsidRPr="00B841DC">
        <w:t>social housing.</w:t>
      </w:r>
      <w:r>
        <w:t xml:space="preserve">  This included releases in: Wright, Coombs, Taylor, Gungahlin Town Centre and Greenway.</w:t>
      </w:r>
    </w:p>
    <w:p w:rsidR="008713D7" w:rsidRDefault="008713D7" w:rsidP="00E671C9">
      <w:pPr>
        <w:pStyle w:val="Normal5"/>
      </w:pPr>
      <w:r w:rsidRPr="0003288F">
        <w:t>The Suburban Land Agency worked closely with key industry associations to educate and refine the affordable housing requirements to assist in the implementation of the Housing Affordability Policy.</w:t>
      </w:r>
    </w:p>
    <w:p w:rsidR="00F50AA3" w:rsidRDefault="00F50AA3">
      <w:pPr>
        <w:spacing w:before="0" w:after="0"/>
        <w:rPr>
          <w:b/>
        </w:rPr>
      </w:pPr>
      <w:r>
        <w:rPr>
          <w:b/>
        </w:rPr>
        <w:br w:type="page"/>
      </w:r>
    </w:p>
    <w:p w:rsidR="008713D7" w:rsidRDefault="008713D7" w:rsidP="00E671C9">
      <w:pPr>
        <w:pStyle w:val="Normal5"/>
        <w:rPr>
          <w:b/>
        </w:rPr>
      </w:pPr>
      <w:r>
        <w:rPr>
          <w:b/>
        </w:rPr>
        <w:t>Urban renewal, other than in an urban renewal precinct, and contributing to growth and diversification of the Territory’s economy</w:t>
      </w:r>
    </w:p>
    <w:p w:rsidR="008713D7" w:rsidRDefault="008713D7" w:rsidP="00E671C9">
      <w:pPr>
        <w:pStyle w:val="Normal5"/>
      </w:pPr>
      <w:r w:rsidRPr="00EE3410">
        <w:t>The Suburban Land Agency has developed and released land in greenfields and urban renewal locations</w:t>
      </w:r>
      <w:r>
        <w:t xml:space="preserve"> across Canberra</w:t>
      </w:r>
      <w:r w:rsidRPr="00EE3410">
        <w:t xml:space="preserve">.  Major construction works are underway or completed to </w:t>
      </w:r>
      <w:r>
        <w:t>allow</w:t>
      </w:r>
      <w:r w:rsidRPr="00EE3410">
        <w:t xml:space="preserve"> for future land release in Greenway, Taylor, Coombs</w:t>
      </w:r>
      <w:r>
        <w:t>, Throsby and Wright.</w:t>
      </w:r>
    </w:p>
    <w:p w:rsidR="008713D7" w:rsidRDefault="008713D7" w:rsidP="00E671C9">
      <w:pPr>
        <w:pStyle w:val="Normal5"/>
      </w:pPr>
      <w:r w:rsidRPr="00EE3410">
        <w:t>Residential land was released for sale in Greenway, Coombs, Wright,</w:t>
      </w:r>
      <w:r>
        <w:t xml:space="preserve"> Red Hill, Gungahlin Town Centre, </w:t>
      </w:r>
      <w:r w:rsidRPr="00EE3410">
        <w:t>Throsby,</w:t>
      </w:r>
      <w:r>
        <w:t xml:space="preserve"> Moncrieff, Lawson </w:t>
      </w:r>
      <w:r w:rsidRPr="00EE3410">
        <w:t xml:space="preserve">and Taylor.   </w:t>
      </w:r>
    </w:p>
    <w:p w:rsidR="008713D7" w:rsidRPr="009627E3" w:rsidRDefault="008713D7" w:rsidP="00E671C9">
      <w:pPr>
        <w:pStyle w:val="Normal5"/>
      </w:pPr>
      <w:r w:rsidRPr="00EE3410">
        <w:t xml:space="preserve">Commercial, Mixed Use, Industrial or </w:t>
      </w:r>
      <w:r>
        <w:t>C</w:t>
      </w:r>
      <w:r w:rsidRPr="00EE3410">
        <w:t xml:space="preserve">ommunity land was released for sale in Hume, Macgregor, </w:t>
      </w:r>
      <w:r w:rsidRPr="009627E3">
        <w:t>Gungahlin Town Centre, Belconnen, Red Hill, Ngunnawal, Lawson</w:t>
      </w:r>
      <w:r w:rsidRPr="00EE3410">
        <w:t xml:space="preserve"> and Wright.</w:t>
      </w:r>
      <w:r>
        <w:t xml:space="preserve">  </w:t>
      </w:r>
      <w:r w:rsidRPr="009627E3">
        <w:t>In addition</w:t>
      </w:r>
      <w:r>
        <w:t>,</w:t>
      </w:r>
      <w:r w:rsidRPr="009627E3">
        <w:t xml:space="preserve"> the Suburban Land Agency has facilitated land releases in accordance with the ARI in Reid, Braddon and Turner on behalf of the City Renewal Authority.</w:t>
      </w:r>
    </w:p>
    <w:p w:rsidR="008713D7" w:rsidRPr="009627E3" w:rsidRDefault="008713D7" w:rsidP="00E671C9">
      <w:pPr>
        <w:pStyle w:val="Normal5"/>
      </w:pPr>
      <w:r w:rsidRPr="009627E3">
        <w:t>In 2017</w:t>
      </w:r>
      <w:r>
        <w:t>-</w:t>
      </w:r>
      <w:r w:rsidRPr="009627E3">
        <w:t xml:space="preserve">18 the Suburban Land Agency was recognised as an industry leader in marketing through </w:t>
      </w:r>
      <w:r>
        <w:t>receipt of</w:t>
      </w:r>
      <w:r w:rsidRPr="009627E3">
        <w:t xml:space="preserve"> a </w:t>
      </w:r>
      <w:r>
        <w:t>c</w:t>
      </w:r>
      <w:r w:rsidRPr="009627E3">
        <w:t xml:space="preserve">ommendation in the </w:t>
      </w:r>
      <w:r w:rsidRPr="005651C8">
        <w:rPr>
          <w:i/>
        </w:rPr>
        <w:t>UDIA NSW Awards for Excellence</w:t>
      </w:r>
      <w:r w:rsidRPr="009627E3">
        <w:t xml:space="preserve"> for the ‘On Northbourne’ campaign.</w:t>
      </w:r>
    </w:p>
    <w:p w:rsidR="008713D7" w:rsidRDefault="008713D7" w:rsidP="00E671C9">
      <w:pPr>
        <w:pStyle w:val="Normal5"/>
        <w:rPr>
          <w:b/>
        </w:rPr>
      </w:pPr>
      <w:r>
        <w:rPr>
          <w:b/>
        </w:rPr>
        <w:t>Social and environmental sustainability</w:t>
      </w:r>
    </w:p>
    <w:p w:rsidR="008713D7" w:rsidRDefault="008713D7" w:rsidP="00E671C9">
      <w:pPr>
        <w:pStyle w:val="Normal5"/>
      </w:pPr>
      <w:r w:rsidRPr="00300AF8">
        <w:t>The Suburban Land Agency work</w:t>
      </w:r>
      <w:r>
        <w:t>ed</w:t>
      </w:r>
      <w:r w:rsidRPr="00300AF8">
        <w:t xml:space="preserve"> closely with the community, industry associations and government agencies to ensure that Estate Development Plans and construction activities met legislative and community expectations on social an</w:t>
      </w:r>
      <w:r>
        <w:t>d environmental sustainability.</w:t>
      </w:r>
    </w:p>
    <w:p w:rsidR="008713D7" w:rsidRDefault="008713D7" w:rsidP="00E671C9">
      <w:pPr>
        <w:pStyle w:val="Normal5"/>
      </w:pPr>
      <w:r w:rsidRPr="00300AF8">
        <w:t xml:space="preserve">The West Belconnen </w:t>
      </w:r>
      <w:r>
        <w:t>j</w:t>
      </w:r>
      <w:r w:rsidRPr="00300AF8">
        <w:t xml:space="preserve">oint </w:t>
      </w:r>
      <w:r>
        <w:t>v</w:t>
      </w:r>
      <w:r w:rsidRPr="00300AF8">
        <w:t xml:space="preserve">enture (Ginninderry) has a strong focus on achieving positive sustainability outcomes.  </w:t>
      </w:r>
      <w:r>
        <w:t>The development holds a six star rating through the Green Building Council and i</w:t>
      </w:r>
      <w:r w:rsidRPr="00300AF8">
        <w:t>n 2017</w:t>
      </w:r>
      <w:r>
        <w:t>-</w:t>
      </w:r>
      <w:r w:rsidRPr="00300AF8">
        <w:t xml:space="preserve">18 </w:t>
      </w:r>
      <w:r>
        <w:t>its environmental focus</w:t>
      </w:r>
      <w:r w:rsidRPr="00300AF8">
        <w:t xml:space="preserve"> was recognised through industry awards and invitations to speak at industry forums.</w:t>
      </w:r>
    </w:p>
    <w:p w:rsidR="008713D7" w:rsidRDefault="008713D7" w:rsidP="00E671C9">
      <w:pPr>
        <w:pStyle w:val="Normal5"/>
      </w:pPr>
      <w:r w:rsidRPr="009627E3">
        <w:t>The Mingle program promote</w:t>
      </w:r>
      <w:r>
        <w:t>d</w:t>
      </w:r>
      <w:r w:rsidRPr="009627E3">
        <w:t xml:space="preserve"> environmental sustainability in new communities.  A partnership agreemen</w:t>
      </w:r>
      <w:r w:rsidR="00AC356D">
        <w:t>t has been entered into with Acts</w:t>
      </w:r>
      <w:r w:rsidRPr="009627E3">
        <w:t>mart, who provid</w:t>
      </w:r>
      <w:r>
        <w:t>ed</w:t>
      </w:r>
      <w:r w:rsidRPr="009627E3">
        <w:t xml:space="preserve"> a series of workshops and information programs to support new residents when building and moving into their new homes.</w:t>
      </w:r>
      <w:r>
        <w:t xml:space="preserve"> </w:t>
      </w:r>
      <w:r w:rsidRPr="009627E3">
        <w:t xml:space="preserve"> Other activities included a tree plan</w:t>
      </w:r>
      <w:r>
        <w:t>t</w:t>
      </w:r>
      <w:r w:rsidRPr="009627E3">
        <w:t>ing day, ‘Clean up Australia’ Day and promotion of the Molonglo River Corridor Plan of Managem</w:t>
      </w:r>
      <w:r>
        <w:t>ent and Mulligans Flat Reserve.</w:t>
      </w:r>
    </w:p>
    <w:p w:rsidR="008713D7" w:rsidRDefault="008713D7" w:rsidP="00E671C9">
      <w:pPr>
        <w:pStyle w:val="Normal5"/>
        <w:keepNext/>
        <w:rPr>
          <w:b/>
        </w:rPr>
      </w:pPr>
      <w:r>
        <w:rPr>
          <w:b/>
        </w:rPr>
        <w:t>Operate effectively, in a way that delivers value for money, in accordance with sound risk management practices</w:t>
      </w:r>
    </w:p>
    <w:p w:rsidR="008713D7" w:rsidRPr="00EE3410" w:rsidRDefault="008713D7" w:rsidP="00E671C9">
      <w:pPr>
        <w:pStyle w:val="Normal5"/>
      </w:pPr>
      <w:r w:rsidRPr="00EE3410">
        <w:t>To ensure continued delivery of corporate and governance services within the new arrangements</w:t>
      </w:r>
      <w:r>
        <w:t>,</w:t>
      </w:r>
      <w:r w:rsidRPr="00EE3410">
        <w:t xml:space="preserve"> the Suburban Land Agency finalised Service Level Agreements with the Environment, Planning and Sustainable Development Directorate and the City Renewal Authority for the provision of services and support in identified areas.  The </w:t>
      </w:r>
      <w:r>
        <w:t xml:space="preserve">Suburban Land </w:t>
      </w:r>
      <w:r w:rsidRPr="00EE3410">
        <w:t>Agency has work</w:t>
      </w:r>
      <w:r>
        <w:t>ed</w:t>
      </w:r>
      <w:r w:rsidRPr="00EE3410">
        <w:t xml:space="preserve"> closely with the Directorate on reviewing and developing relevant polic</w:t>
      </w:r>
      <w:r>
        <w:t>ies</w:t>
      </w:r>
      <w:r w:rsidRPr="00EE3410">
        <w:t xml:space="preserve">, procedures and frameworks to ensure </w:t>
      </w:r>
      <w:r>
        <w:t>compliance</w:t>
      </w:r>
      <w:r w:rsidRPr="00EE3410">
        <w:t xml:space="preserve"> and buil</w:t>
      </w:r>
      <w:r>
        <w:t>d</w:t>
      </w:r>
      <w:r w:rsidRPr="00EE3410">
        <w:t xml:space="preserve"> on previous governance improvements.</w:t>
      </w:r>
    </w:p>
    <w:p w:rsidR="008713D7" w:rsidRPr="0003288F" w:rsidRDefault="008713D7" w:rsidP="00B632C2">
      <w:pPr>
        <w:pStyle w:val="Heading2"/>
      </w:pPr>
      <w:bookmarkStart w:id="194" w:name="_Toc514840986"/>
      <w:bookmarkStart w:id="195" w:name="_Toc514841064"/>
      <w:r w:rsidRPr="0003288F">
        <w:t>Monitoring and Reporting</w:t>
      </w:r>
      <w:bookmarkEnd w:id="194"/>
      <w:bookmarkEnd w:id="195"/>
    </w:p>
    <w:p w:rsidR="008713D7" w:rsidRDefault="008713D7" w:rsidP="00E671C9">
      <w:pPr>
        <w:pStyle w:val="BodyText3"/>
        <w:keepNext w:val="0"/>
        <w:keepLines w:val="0"/>
        <w:spacing w:before="240" w:after="0"/>
        <w:jc w:val="left"/>
        <w:rPr>
          <w:rFonts w:cs="Calibri"/>
        </w:rPr>
      </w:pPr>
      <w:r>
        <w:rPr>
          <w:rFonts w:cs="Calibri"/>
        </w:rPr>
        <w:t xml:space="preserve">The Suburban Land Agency will report against the requirements of this Statement of Intent as well as the </w:t>
      </w:r>
      <w:r w:rsidRPr="007136AD">
        <w:rPr>
          <w:rFonts w:cs="Calibri"/>
        </w:rPr>
        <w:t>Chief Minister’s Annual Report</w:t>
      </w:r>
      <w:r w:rsidRPr="009C32BF">
        <w:rPr>
          <w:rFonts w:cs="Calibri"/>
        </w:rPr>
        <w:t xml:space="preserve"> Directions in </w:t>
      </w:r>
      <w:r w:rsidRPr="00F20D9E">
        <w:rPr>
          <w:rFonts w:cs="Calibri"/>
        </w:rPr>
        <w:t>the Suburban Land Agency</w:t>
      </w:r>
      <w:r w:rsidRPr="007136AD">
        <w:rPr>
          <w:rFonts w:cs="Calibri"/>
        </w:rPr>
        <w:t xml:space="preserve"> Annual Report</w:t>
      </w:r>
      <w:r w:rsidRPr="009C32BF">
        <w:rPr>
          <w:rFonts w:cs="Calibri"/>
        </w:rPr>
        <w:t>.</w:t>
      </w:r>
    </w:p>
    <w:p w:rsidR="008713D7" w:rsidRDefault="008713D7" w:rsidP="00E671C9">
      <w:pPr>
        <w:pStyle w:val="BodyText3"/>
        <w:keepNext w:val="0"/>
        <w:keepLines w:val="0"/>
        <w:spacing w:before="240" w:after="0"/>
        <w:jc w:val="left"/>
        <w:rPr>
          <w:rFonts w:cs="Calibri"/>
        </w:rPr>
      </w:pPr>
      <w:r>
        <w:rPr>
          <w:rFonts w:cs="Calibri"/>
        </w:rPr>
        <w:t xml:space="preserve">The </w:t>
      </w:r>
      <w:r>
        <w:rPr>
          <w:rFonts w:cs="Calibri"/>
          <w:i/>
        </w:rPr>
        <w:t>Financial Management Act 1996</w:t>
      </w:r>
      <w:r>
        <w:rPr>
          <w:rFonts w:cs="Calibri"/>
        </w:rPr>
        <w:t xml:space="preserve"> allows the Treasurer to receive financial and other statements from the Suburban Land Agency for a specific period, this includes annual and monthly reporting.</w:t>
      </w:r>
    </w:p>
    <w:p w:rsidR="008713D7" w:rsidRPr="00417B1B" w:rsidRDefault="008713D7" w:rsidP="00E671C9">
      <w:pPr>
        <w:pStyle w:val="BodyText0"/>
        <w:keepNext w:val="0"/>
        <w:keepLines w:val="0"/>
        <w:spacing w:before="240" w:after="0"/>
        <w:jc w:val="left"/>
        <w:rPr>
          <w:rFonts w:cs="Calibri"/>
          <w:b/>
        </w:rPr>
      </w:pPr>
      <w:r>
        <w:rPr>
          <w:rFonts w:cs="Calibri"/>
          <w:b/>
        </w:rPr>
        <w:t>Monthly Reporting</w:t>
      </w:r>
    </w:p>
    <w:p w:rsidR="008713D7" w:rsidRDefault="008713D7" w:rsidP="00E671C9">
      <w:pPr>
        <w:pStyle w:val="BodyText3"/>
        <w:keepNext w:val="0"/>
        <w:keepLines w:val="0"/>
        <w:spacing w:before="240" w:after="0"/>
        <w:jc w:val="left"/>
        <w:rPr>
          <w:rFonts w:cs="Calibri"/>
        </w:rPr>
      </w:pPr>
      <w:r>
        <w:rPr>
          <w:rFonts w:cs="Calibri"/>
        </w:rPr>
        <w:t>To meet whole of government reporting requirements on a monthly basis, the Suburban Land Agency will ensure the timely availability of the financial statements to the Treasurer through the Chief Minister, Treasury and Economic Development Directorate. The statements will be in the below prescribed form and required detail, for the previous calendar month.  These will be provided by the due dates set by Treasury.</w:t>
      </w:r>
    </w:p>
    <w:p w:rsidR="008713D7" w:rsidRDefault="008713D7" w:rsidP="00A0099C">
      <w:pPr>
        <w:pStyle w:val="BSbullet1"/>
      </w:pPr>
      <w:r>
        <w:t>Statement of Comprehensive Income;</w:t>
      </w:r>
    </w:p>
    <w:p w:rsidR="008713D7" w:rsidRDefault="008713D7" w:rsidP="00A0099C">
      <w:pPr>
        <w:pStyle w:val="BSbullet1"/>
      </w:pPr>
      <w:r>
        <w:t>Balance Sheet; and</w:t>
      </w:r>
    </w:p>
    <w:p w:rsidR="008713D7" w:rsidRDefault="008713D7" w:rsidP="00A0099C">
      <w:pPr>
        <w:pStyle w:val="BSbullet1"/>
      </w:pPr>
      <w:r>
        <w:t>Cash Flow Statement.</w:t>
      </w:r>
    </w:p>
    <w:p w:rsidR="008713D7" w:rsidRPr="00417B1B" w:rsidRDefault="008713D7" w:rsidP="008713D7">
      <w:pPr>
        <w:pStyle w:val="BodyText0"/>
        <w:keepNext w:val="0"/>
        <w:keepLines w:val="0"/>
        <w:spacing w:before="240" w:after="0"/>
        <w:rPr>
          <w:rFonts w:cs="Calibri"/>
          <w:b/>
        </w:rPr>
      </w:pPr>
      <w:r w:rsidRPr="00417B1B">
        <w:rPr>
          <w:rFonts w:cs="Calibri"/>
          <w:b/>
        </w:rPr>
        <w:t>Annual Reporting</w:t>
      </w:r>
    </w:p>
    <w:p w:rsidR="008713D7" w:rsidRDefault="008713D7" w:rsidP="00A0099C">
      <w:pPr>
        <w:pStyle w:val="BodyText3"/>
        <w:keepNext w:val="0"/>
        <w:keepLines w:val="0"/>
        <w:spacing w:before="240" w:after="0"/>
        <w:jc w:val="left"/>
        <w:rPr>
          <w:rFonts w:cs="Calibri"/>
        </w:rPr>
      </w:pPr>
      <w:r>
        <w:rPr>
          <w:rFonts w:cs="Calibri"/>
        </w:rPr>
        <w:t xml:space="preserve">To comply with the </w:t>
      </w:r>
      <w:r>
        <w:rPr>
          <w:rFonts w:cs="Calibri"/>
          <w:i/>
        </w:rPr>
        <w:t>Financial Management Act 1996</w:t>
      </w:r>
      <w:r>
        <w:rPr>
          <w:rFonts w:cs="Calibri"/>
        </w:rPr>
        <w:t xml:space="preserve"> and to enable whole of government reporting requirements to be met, the Suburban Land Agency will provide the following information to the Auditor-General and </w:t>
      </w:r>
      <w:r w:rsidR="00606024">
        <w:rPr>
          <w:rFonts w:cs="Calibri"/>
        </w:rPr>
        <w:t xml:space="preserve">the </w:t>
      </w:r>
      <w:r w:rsidR="00606024">
        <w:rPr>
          <w:rFonts w:cs="Calibri"/>
        </w:rPr>
        <w:t>Chief Minister, Treasury and Economic Development Directorate</w:t>
      </w:r>
      <w:r>
        <w:rPr>
          <w:rFonts w:cs="Calibri"/>
        </w:rPr>
        <w:t xml:space="preserve"> by the dates set by Treasury:</w:t>
      </w:r>
    </w:p>
    <w:p w:rsidR="008713D7" w:rsidRDefault="008713D7" w:rsidP="00A0099C">
      <w:pPr>
        <w:pStyle w:val="BSbullet1"/>
      </w:pPr>
      <w:r>
        <w:t>certified financial statements;</w:t>
      </w:r>
    </w:p>
    <w:p w:rsidR="008713D7" w:rsidRDefault="008713D7" w:rsidP="00A0099C">
      <w:pPr>
        <w:pStyle w:val="BSbullet1"/>
      </w:pPr>
      <w:r>
        <w:t>Statement of Performance;</w:t>
      </w:r>
    </w:p>
    <w:p w:rsidR="008713D7" w:rsidRDefault="008713D7" w:rsidP="00A0099C">
      <w:pPr>
        <w:pStyle w:val="BSbullet1"/>
      </w:pPr>
      <w:r>
        <w:t>Management Discussion and Analysis;</w:t>
      </w:r>
    </w:p>
    <w:p w:rsidR="008713D7" w:rsidRDefault="008713D7" w:rsidP="00A0099C">
      <w:pPr>
        <w:pStyle w:val="BSbullet1"/>
      </w:pPr>
      <w:r>
        <w:t>a full and accurate set of audited financial records for the preceding financial year in the form requested; and</w:t>
      </w:r>
    </w:p>
    <w:p w:rsidR="008713D7" w:rsidRDefault="008713D7" w:rsidP="00A0099C">
      <w:pPr>
        <w:pStyle w:val="BSbullet1"/>
      </w:pPr>
      <w:r>
        <w:t>consolidation packs relating to the annual financial statements, draft and final.</w:t>
      </w:r>
    </w:p>
    <w:p w:rsidR="008713D7" w:rsidRPr="00417B1B" w:rsidRDefault="008713D7" w:rsidP="008713D7">
      <w:pPr>
        <w:pStyle w:val="BodyText0"/>
        <w:keepNext w:val="0"/>
        <w:keepLines w:val="0"/>
        <w:spacing w:before="240" w:after="0"/>
        <w:rPr>
          <w:rFonts w:cs="Calibri"/>
          <w:b/>
        </w:rPr>
      </w:pPr>
      <w:r w:rsidRPr="00417B1B">
        <w:rPr>
          <w:rFonts w:cs="Calibri"/>
          <w:b/>
        </w:rPr>
        <w:t>Ministerial and Directorate Reporting</w:t>
      </w:r>
    </w:p>
    <w:p w:rsidR="008713D7" w:rsidRDefault="008713D7" w:rsidP="00F50AA3">
      <w:pPr>
        <w:pStyle w:val="BodyText3"/>
        <w:keepNext w:val="0"/>
        <w:keepLines w:val="0"/>
        <w:spacing w:before="240" w:after="0"/>
        <w:jc w:val="left"/>
        <w:rPr>
          <w:rFonts w:cs="Calibri"/>
        </w:rPr>
      </w:pPr>
      <w:r>
        <w:rPr>
          <w:rFonts w:cs="Calibri"/>
        </w:rPr>
        <w:t xml:space="preserve">The Suburban Land Agency will provide timely, accurate and coordinated advice to Government, including the Minister, on its activities, responsibilities, significant issues and decisions of the Suburban Land Agency Board.  This is in accordance with the </w:t>
      </w:r>
      <w:r w:rsidRPr="002467AD">
        <w:rPr>
          <w:rFonts w:cs="Calibri"/>
          <w:i/>
        </w:rPr>
        <w:t>City Renewal Authority and Suburban Land Agency Act 2017</w:t>
      </w:r>
      <w:r>
        <w:rPr>
          <w:rFonts w:cs="Calibri"/>
        </w:rPr>
        <w:t xml:space="preserve"> (‘the Act’).</w:t>
      </w:r>
    </w:p>
    <w:p w:rsidR="008713D7" w:rsidRDefault="008713D7" w:rsidP="00F50AA3">
      <w:pPr>
        <w:pStyle w:val="BodyText3"/>
        <w:keepNext w:val="0"/>
        <w:keepLines w:val="0"/>
        <w:spacing w:before="240" w:after="0"/>
        <w:jc w:val="left"/>
        <w:rPr>
          <w:rFonts w:cs="Calibri"/>
        </w:rPr>
      </w:pPr>
      <w:r>
        <w:rPr>
          <w:rFonts w:cs="Calibri"/>
        </w:rPr>
        <w:t>The Suburban Land Agency will provide a quarterly report to the Minister detailing:</w:t>
      </w:r>
    </w:p>
    <w:p w:rsidR="008713D7" w:rsidRDefault="008713D7" w:rsidP="00F50AA3">
      <w:pPr>
        <w:pStyle w:val="BSbullet1"/>
      </w:pPr>
      <w:r>
        <w:t>its activities, initiatives or business operations undertaken in support of the objects of the Suburban Land Agency contained in Section 38 of the Act;</w:t>
      </w:r>
    </w:p>
    <w:p w:rsidR="008713D7" w:rsidRDefault="008713D7" w:rsidP="00F50AA3">
      <w:pPr>
        <w:pStyle w:val="BSbullet1"/>
      </w:pPr>
      <w:r>
        <w:t>assurance statements that any sale of leases of land was consistent with Section 38 of the Act; and</w:t>
      </w:r>
    </w:p>
    <w:p w:rsidR="008713D7" w:rsidRDefault="008713D7" w:rsidP="00F50AA3">
      <w:pPr>
        <w:pStyle w:val="BSbullet1"/>
      </w:pPr>
      <w:r>
        <w:t>land acquisitions in accordance with Section 43 of the Act.</w:t>
      </w:r>
    </w:p>
    <w:p w:rsidR="008713D7" w:rsidRDefault="008713D7" w:rsidP="00F50AA3">
      <w:pPr>
        <w:pStyle w:val="Normal6"/>
        <w:spacing w:after="120"/>
        <w:rPr>
          <w:i/>
          <w:bdr w:val="none" w:sz="0" w:space="0" w:color="auto" w:frame="1"/>
        </w:rPr>
      </w:pPr>
      <w:r>
        <w:rPr>
          <w:rFonts w:cs="Calibri"/>
        </w:rPr>
        <w:t xml:space="preserve">The Suburban Land Agency will also report annually to the Minister on its achievements and progress with regards to gender diversity and cultural improvement activities. </w:t>
      </w:r>
    </w:p>
    <w:p w:rsidR="008713D7" w:rsidRDefault="008713D7" w:rsidP="004B2074">
      <w:pPr>
        <w:pStyle w:val="Heading2"/>
      </w:pPr>
      <w:bookmarkStart w:id="196" w:name="_Toc514840987"/>
      <w:bookmarkStart w:id="197" w:name="_Toc514841065"/>
      <w:r>
        <w:t>Financial arrangements</w:t>
      </w:r>
      <w:bookmarkEnd w:id="196"/>
      <w:bookmarkEnd w:id="197"/>
    </w:p>
    <w:p w:rsidR="008713D7" w:rsidRDefault="008713D7" w:rsidP="00F50AA3">
      <w:pPr>
        <w:pStyle w:val="Normal7"/>
      </w:pPr>
      <w:bookmarkStart w:id="198" w:name="_Toc382989667"/>
      <w:bookmarkStart w:id="199" w:name="_Toc67730681"/>
      <w:r>
        <w:t>The Suburban Land Agency is a self-funded statutory authority which, in normal circumstances, requires no supplementary funding from the ACT Government.</w:t>
      </w:r>
    </w:p>
    <w:p w:rsidR="008713D7" w:rsidRDefault="008713D7" w:rsidP="008713D7">
      <w:pPr>
        <w:pStyle w:val="Heading31"/>
        <w:jc w:val="both"/>
        <w:rPr>
          <w:lang w:val="en-US"/>
        </w:rPr>
      </w:pPr>
      <w:bookmarkStart w:id="200" w:name="_Toc514763837"/>
      <w:bookmarkStart w:id="201" w:name="_Toc514841066"/>
      <w:bookmarkEnd w:id="198"/>
      <w:bookmarkEnd w:id="199"/>
      <w:r>
        <w:rPr>
          <w:lang w:val="en-US"/>
        </w:rPr>
        <w:t>Joint Venture</w:t>
      </w:r>
      <w:bookmarkEnd w:id="200"/>
      <w:bookmarkEnd w:id="201"/>
    </w:p>
    <w:p w:rsidR="008713D7" w:rsidRDefault="008713D7" w:rsidP="00D437E1">
      <w:pPr>
        <w:pStyle w:val="Normal7"/>
        <w:spacing w:before="240" w:after="0"/>
        <w:rPr>
          <w:rFonts w:cs="Calibri"/>
        </w:rPr>
      </w:pPr>
      <w:r w:rsidRPr="00C502A0">
        <w:rPr>
          <w:rFonts w:cs="Calibri"/>
        </w:rPr>
        <w:t xml:space="preserve">The ACT Government holds 60% equity in the West Belconnen joint arrangement. </w:t>
      </w:r>
      <w:r>
        <w:rPr>
          <w:rFonts w:cs="Calibri"/>
        </w:rPr>
        <w:t xml:space="preserve"> </w:t>
      </w:r>
      <w:r w:rsidRPr="00C502A0">
        <w:rPr>
          <w:rFonts w:cs="Calibri"/>
        </w:rPr>
        <w:t>The Suburban Land Agency acts as the agent o</w:t>
      </w:r>
      <w:r>
        <w:rPr>
          <w:rFonts w:cs="Calibri"/>
        </w:rPr>
        <w:t>n behalf of the ACT Government.</w:t>
      </w:r>
    </w:p>
    <w:p w:rsidR="008713D7" w:rsidRPr="00C502A0" w:rsidRDefault="008713D7" w:rsidP="00D437E1">
      <w:pPr>
        <w:pStyle w:val="Normal7"/>
        <w:spacing w:before="240" w:after="0"/>
        <w:rPr>
          <w:rFonts w:cs="Calibri"/>
        </w:rPr>
      </w:pPr>
      <w:r w:rsidRPr="00C502A0">
        <w:rPr>
          <w:rFonts w:cs="Calibri"/>
        </w:rPr>
        <w:t xml:space="preserve">The West Belconnen joint arrangement was established on </w:t>
      </w:r>
      <w:r>
        <w:rPr>
          <w:rFonts w:cs="Calibri"/>
        </w:rPr>
        <w:t>23 November 2016</w:t>
      </w:r>
      <w:r w:rsidRPr="0075415B">
        <w:rPr>
          <w:rFonts w:cs="Calibri"/>
        </w:rPr>
        <w:t xml:space="preserve"> </w:t>
      </w:r>
      <w:r w:rsidRPr="00C502A0">
        <w:rPr>
          <w:rFonts w:cs="Calibri"/>
        </w:rPr>
        <w:t xml:space="preserve">as a joint venture and was presented in the 2017-18 Budget statements using the equity method. </w:t>
      </w:r>
      <w:r>
        <w:rPr>
          <w:rFonts w:cs="Calibri"/>
        </w:rPr>
        <w:t xml:space="preserve"> </w:t>
      </w:r>
      <w:r w:rsidRPr="00C502A0">
        <w:rPr>
          <w:rFonts w:cs="Calibri"/>
        </w:rPr>
        <w:t xml:space="preserve">This method involved reporting the share of net returns against a single line item in the Statement of Comprehensive Income. </w:t>
      </w:r>
      <w:r>
        <w:rPr>
          <w:rFonts w:cs="Calibri"/>
        </w:rPr>
        <w:t xml:space="preserve"> </w:t>
      </w:r>
      <w:r w:rsidRPr="00C502A0">
        <w:rPr>
          <w:rFonts w:cs="Calibri"/>
        </w:rPr>
        <w:t>The net investment in the joint venture was shown in the Balance Sheet.</w:t>
      </w:r>
    </w:p>
    <w:p w:rsidR="008713D7" w:rsidRPr="00C502A0" w:rsidRDefault="008713D7" w:rsidP="00D437E1">
      <w:pPr>
        <w:pStyle w:val="Normal7"/>
        <w:spacing w:before="240" w:after="0"/>
        <w:rPr>
          <w:rFonts w:cs="Calibri"/>
        </w:rPr>
      </w:pPr>
      <w:r w:rsidRPr="00C502A0">
        <w:rPr>
          <w:rFonts w:cs="Calibri"/>
        </w:rPr>
        <w:t>For the 2018-19 Budget statement</w:t>
      </w:r>
      <w:r>
        <w:rPr>
          <w:rFonts w:cs="Calibri"/>
        </w:rPr>
        <w:t>s</w:t>
      </w:r>
      <w:r w:rsidRPr="00C502A0">
        <w:rPr>
          <w:rFonts w:cs="Calibri"/>
        </w:rPr>
        <w:t xml:space="preserve">, the West Belconnen joint arrangement is classified as a joint operation in accordance with the accounting standards. </w:t>
      </w:r>
      <w:r>
        <w:rPr>
          <w:rFonts w:cs="Calibri"/>
        </w:rPr>
        <w:t xml:space="preserve"> </w:t>
      </w:r>
      <w:r w:rsidRPr="00C502A0">
        <w:rPr>
          <w:rFonts w:cs="Calibri"/>
        </w:rPr>
        <w:t>The assets, liabilities, revenues and expenses of the joint operation are now proportionately consolidated with the Suburban Land Agency in the Statement of Comprehensive Income and the Balance Sheet</w:t>
      </w:r>
      <w:r>
        <w:rPr>
          <w:rFonts w:cs="Calibri"/>
        </w:rPr>
        <w:t>.</w:t>
      </w:r>
    </w:p>
    <w:p w:rsidR="008713D7" w:rsidRDefault="008713D7" w:rsidP="00D437E1">
      <w:pPr>
        <w:pStyle w:val="Normal7"/>
        <w:spacing w:before="240" w:after="0"/>
        <w:rPr>
          <w:rFonts w:cs="Calibri"/>
        </w:rPr>
      </w:pPr>
      <w:r w:rsidRPr="00C502A0">
        <w:rPr>
          <w:rFonts w:cs="Calibri"/>
        </w:rPr>
        <w:t>For consistency, all references outside of this section of the Statement of Intent will apply the original nomenclature of the West Belconnen joint venture.</w:t>
      </w:r>
    </w:p>
    <w:p w:rsidR="008713D7" w:rsidRDefault="008713D7" w:rsidP="008713D7">
      <w:pPr>
        <w:spacing w:before="0" w:after="0"/>
        <w:jc w:val="both"/>
      </w:pPr>
      <w:r>
        <w:br w:type="page"/>
      </w:r>
    </w:p>
    <w:p w:rsidR="008713D7" w:rsidRPr="00270861" w:rsidRDefault="008713D7" w:rsidP="004B2074">
      <w:pPr>
        <w:pStyle w:val="Heading2"/>
        <w:rPr>
          <w:bdr w:val="nil"/>
        </w:rPr>
      </w:pPr>
      <w:bookmarkStart w:id="202" w:name="_Toc514840988"/>
      <w:bookmarkStart w:id="203" w:name="_Toc514841067"/>
      <w:r w:rsidRPr="00270861">
        <w:rPr>
          <w:bdr w:val="nil"/>
        </w:rPr>
        <w:t>Financial Statements</w:t>
      </w:r>
      <w:bookmarkEnd w:id="202"/>
      <w:bookmarkEnd w:id="203"/>
    </w:p>
    <w:p w:rsidR="008713D7" w:rsidRPr="00270861" w:rsidRDefault="008713D7" w:rsidP="008713D7">
      <w:pPr>
        <w:keepNext/>
        <w:pBdr>
          <w:top w:val="nil"/>
          <w:left w:val="nil"/>
          <w:bottom w:val="nil"/>
          <w:right w:val="nil"/>
          <w:between w:val="nil"/>
          <w:bar w:val="nil"/>
        </w:pBdr>
        <w:spacing w:before="240"/>
        <w:rPr>
          <w:b/>
          <w:bCs/>
          <w:color w:val="000000"/>
          <w:sz w:val="22"/>
          <w:szCs w:val="18"/>
          <w:bdr w:val="nil"/>
        </w:rPr>
      </w:pPr>
      <w:r w:rsidRPr="00270861">
        <w:rPr>
          <w:b/>
          <w:bCs/>
          <w:color w:val="000000"/>
          <w:sz w:val="22"/>
          <w:szCs w:val="18"/>
          <w:bdr w:val="nil"/>
        </w:rPr>
        <w:t>Table</w:t>
      </w:r>
      <w:r>
        <w:rPr>
          <w:b/>
          <w:bCs/>
          <w:color w:val="000000"/>
          <w:sz w:val="22"/>
          <w:szCs w:val="18"/>
          <w:bdr w:val="nil"/>
        </w:rPr>
        <w:t xml:space="preserve"> 6</w:t>
      </w:r>
      <w:r w:rsidRPr="00270861">
        <w:rPr>
          <w:b/>
          <w:bCs/>
          <w:color w:val="000000"/>
          <w:sz w:val="22"/>
          <w:szCs w:val="18"/>
          <w:bdr w:val="nil"/>
        </w:rPr>
        <w:t>: Suburban L</w:t>
      </w:r>
      <w:r>
        <w:rPr>
          <w:b/>
          <w:bCs/>
          <w:color w:val="000000"/>
          <w:sz w:val="22"/>
          <w:szCs w:val="18"/>
          <w:bdr w:val="nil"/>
        </w:rPr>
        <w:t>and Agency: Operating Statement</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8713D7" w:rsidRPr="00270861" w:rsidTr="00067864">
        <w:trPr>
          <w:trHeight w:val="960"/>
          <w:tblHeader/>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2017-18 Budget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2018-19 Budget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Var</w:t>
            </w: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2019-20 Estimate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2020-21 Estimate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2021-22 Estimate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575,832</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Land Revenue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445,461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700,646</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57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519,527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638,453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600,936</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392</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1,135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979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1,006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1,023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1,040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6,413</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5,905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2,745</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-54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2,117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968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940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9,120</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13,367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8,626</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-35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8,765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8,906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9,129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484</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262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274</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274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274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274</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592,241</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466,130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713,270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53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531,689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649,624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612,319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592,241</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466,130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713,270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53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531,689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649,624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612,319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12,040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8,463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12,972</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53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13,454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14,182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14,505</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1,534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1,425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1,609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1,654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1,696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1,740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37,586</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28,232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40,355</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43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43,589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44,809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44,167</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113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143</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27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132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63</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974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153</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157</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156,513</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63,803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202,345</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217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236,026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309,030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351,102</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611</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991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2,662</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169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1,744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2,328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2,955</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40,657</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83,063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124,839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50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1,317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1,759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2,232</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249,915</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186,242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385,078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107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298,070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374,049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416,921</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4,222</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color w:val="000000"/>
                <w:sz w:val="18"/>
              </w:rPr>
            </w:pPr>
            <w:r w:rsidRPr="00270861">
              <w:rPr>
                <w:rFonts w:eastAsia="Calibri" w:cs="Calibri"/>
                <w:color w:val="000000"/>
                <w:sz w:val="18"/>
              </w:rPr>
              <w:t>Share of Operating Profit from Joint Venture Accounted for using the Equity Method</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346,548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D437E1">
            <w:pPr>
              <w:spacing w:before="0" w:after="0"/>
              <w:ind w:left="113" w:hanging="113"/>
              <w:rPr>
                <w:rFonts w:eastAsia="Calibri" w:cs="Calibri"/>
                <w:b/>
                <w:color w:val="000000"/>
                <w:sz w:val="18"/>
              </w:rPr>
            </w:pPr>
            <w:r w:rsidRPr="00270861">
              <w:rPr>
                <w:rFonts w:eastAsia="Calibri" w:cs="Calibri"/>
                <w:b/>
                <w:color w:val="000000"/>
                <w:sz w:val="18"/>
              </w:rPr>
              <w:t>Operating Result from Ordinary Activities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279,888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328,192</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233,619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275,575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195,398</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103,964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Income Tax Equivalent</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83,967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98,458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70,085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82,672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58,619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242,584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195,921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229,734</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163,534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192,903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136,779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D437E1">
            <w:pPr>
              <w:spacing w:before="0" w:after="0"/>
              <w:ind w:left="113" w:hanging="113"/>
              <w:rPr>
                <w:rFonts w:eastAsia="Calibri" w:cs="Calibri"/>
                <w:b/>
                <w:color w:val="000000"/>
                <w:sz w:val="18"/>
              </w:rPr>
            </w:pPr>
            <w:r w:rsidRPr="00270861">
              <w:rPr>
                <w:rFonts w:eastAsia="Calibri" w:cs="Calibri"/>
                <w:b/>
                <w:color w:val="000000"/>
                <w:sz w:val="18"/>
              </w:rPr>
              <w:t>Other Comprehensive Income</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r>
              <w:br w:type="page"/>
            </w:r>
          </w:p>
        </w:tc>
        <w:tc>
          <w:tcPr>
            <w:tcW w:w="8160" w:type="dxa"/>
            <w:gridSpan w:val="7"/>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rPr>
                <w:rFonts w:eastAsia="Calibri" w:cs="Calibri"/>
                <w:i/>
                <w:color w:val="000000"/>
                <w:sz w:val="18"/>
              </w:rPr>
            </w:pPr>
            <w:r w:rsidRPr="00270861">
              <w:rPr>
                <w:rFonts w:eastAsia="Calibri" w:cs="Calibri"/>
                <w:i/>
                <w:color w:val="000000"/>
                <w:sz w:val="18"/>
              </w:rPr>
              <w:t>Items that will not be Reclassified Subsequently to Profit or Loss</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-3,362</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Increase/(Decrease) in 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-3,362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-3,362</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B202AF">
            <w:pPr>
              <w:spacing w:before="0" w:after="0"/>
              <w:ind w:left="113" w:hanging="113"/>
              <w:rPr>
                <w:rFonts w:eastAsia="Calibri" w:cs="Calibri"/>
                <w:b/>
                <w:color w:val="000000"/>
                <w:sz w:val="18"/>
              </w:rPr>
            </w:pPr>
            <w:r w:rsidRPr="00270861">
              <w:rPr>
                <w:rFonts w:eastAsia="Calibri" w:cs="Calibri"/>
                <w:b/>
                <w:color w:val="000000"/>
                <w:sz w:val="18"/>
              </w:rPr>
              <w:t>Total Other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-3,362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100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239,222</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192,559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229,734</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163,534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192,903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136,779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bl>
    <w:p w:rsidR="008713D7" w:rsidRPr="0004555B" w:rsidRDefault="008713D7" w:rsidP="008713D7">
      <w:pPr>
        <w:pStyle w:val="Caption"/>
        <w:pageBreakBefore/>
        <w:pBdr>
          <w:top w:val="nil"/>
          <w:left w:val="nil"/>
          <w:bottom w:val="nil"/>
          <w:right w:val="nil"/>
          <w:between w:val="nil"/>
          <w:bar w:val="nil"/>
        </w:pBdr>
        <w:outlineLvl w:val="0"/>
        <w:rPr>
          <w:rFonts w:eastAsia="TimesNewRomanPS-ItalicMT"/>
          <w:bdr w:val="nil"/>
        </w:rPr>
      </w:pPr>
      <w:bookmarkStart w:id="204" w:name="_Toc514763839"/>
      <w:bookmarkStart w:id="205" w:name="_Toc514840989"/>
      <w:bookmarkStart w:id="206" w:name="_Toc514841068"/>
      <w:r>
        <w:rPr>
          <w:bdr w:val="nil"/>
        </w:rPr>
        <w:t>Table 7: Suburban Land Agency: Balance Sheet</w:t>
      </w:r>
      <w:bookmarkEnd w:id="204"/>
      <w:bookmarkEnd w:id="205"/>
      <w:bookmarkEnd w:id="206"/>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8713D7" w:rsidTr="00067864">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Budget</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30/6/18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2017-18 Estimated Outcome</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Budget</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30/6/19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Var</w:t>
            </w:r>
          </w:p>
          <w:p w:rsidR="008713D7" w:rsidRDefault="008713D7" w:rsidP="00067864">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Estimate</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30/6/20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Estimate</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30/6/21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Estimate</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30/6/22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199,859</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143,548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58,989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-59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37,766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121,292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97,550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10,879</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10,841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7,383</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-32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12,578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9,031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9,031</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267,536</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Inventories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218,163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300,939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38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357,652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261,911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137,135</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478,274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372,552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367,311</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407,996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392,234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243,716</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19,685</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41,834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54,911</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31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31,660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25,988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25,988</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47,193</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Investment - Joint Venture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46,844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Inventories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48,837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45,254</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47,742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59,580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36,282</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49,625</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46,475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45,980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45,887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46,403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47,015</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602</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Intangible Assets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65</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-38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163,949</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137,250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146,210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125,315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131,971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109,285</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642,223</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509,802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513,521</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533,311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524,205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353,001</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41,350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107,809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60,016</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-44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60,016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60,016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60,016</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2,523</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3,276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4,280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31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5,302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6,350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7,424</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83,561</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Other Provisions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22,298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18,840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-16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24,035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20,489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20,489</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31,027</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Income Tax Payable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53,503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59,507</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30,013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24,419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4,360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287,518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101,075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147,389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46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194,002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192,988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40,761</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445,979</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287,961</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290,032</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313,368</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304,262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133,050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115</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201</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209</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69,004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Other Provisions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68,906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70,554</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67,008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67,008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67,008</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27,717</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Deferred Tax Liability</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37,291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37,291</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37,291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37,291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37,291</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12,927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12,927</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12,927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12,927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12,927</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96,836</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119,325</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120,973</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117,427</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117,427</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117,435</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542,815</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407,286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411,005</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430,795</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421,689</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250,485</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99,408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REPRESENTED BY FUNDS EMPLOYED</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102,770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color w:val="000000"/>
                <w:sz w:val="18"/>
              </w:rPr>
            </w:pPr>
            <w:r>
              <w:rPr>
                <w:rFonts w:eastAsia="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99,408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bl>
    <w:p w:rsidR="008713D7" w:rsidRDefault="008713D7" w:rsidP="008713D7">
      <w:pPr>
        <w:keepNext/>
        <w:pageBreakBefore/>
        <w:pBdr>
          <w:top w:val="nil"/>
          <w:left w:val="nil"/>
          <w:bottom w:val="nil"/>
          <w:right w:val="nil"/>
          <w:between w:val="nil"/>
          <w:bar w:val="nil"/>
        </w:pBdr>
        <w:spacing w:before="240"/>
        <w:outlineLvl w:val="0"/>
        <w:rPr>
          <w:b/>
          <w:bCs/>
          <w:color w:val="000000"/>
          <w:sz w:val="22"/>
          <w:szCs w:val="18"/>
          <w:bdr w:val="nil"/>
        </w:rPr>
      </w:pPr>
      <w:bookmarkStart w:id="207" w:name="_Toc514763840"/>
      <w:bookmarkStart w:id="208" w:name="_Toc514840990"/>
      <w:bookmarkStart w:id="209" w:name="_Toc514841069"/>
      <w:r w:rsidRPr="00270861">
        <w:rPr>
          <w:b/>
          <w:bCs/>
          <w:color w:val="000000"/>
          <w:sz w:val="22"/>
          <w:szCs w:val="18"/>
          <w:bdr w:val="nil"/>
        </w:rPr>
        <w:t>Table</w:t>
      </w:r>
      <w:r>
        <w:rPr>
          <w:b/>
          <w:bCs/>
          <w:color w:val="000000"/>
          <w:sz w:val="22"/>
          <w:szCs w:val="18"/>
          <w:bdr w:val="nil"/>
        </w:rPr>
        <w:t xml:space="preserve"> 8</w:t>
      </w:r>
      <w:r w:rsidRPr="00270861">
        <w:rPr>
          <w:b/>
          <w:bCs/>
          <w:color w:val="000000"/>
          <w:sz w:val="22"/>
          <w:szCs w:val="18"/>
          <w:bdr w:val="nil"/>
        </w:rPr>
        <w:t>: Suburban Land Agency:</w:t>
      </w:r>
      <w:r>
        <w:rPr>
          <w:b/>
          <w:bCs/>
          <w:color w:val="000000"/>
          <w:sz w:val="22"/>
          <w:szCs w:val="18"/>
          <w:bdr w:val="nil"/>
        </w:rPr>
        <w:t xml:space="preserve"> Statement of Changes in Equity</w:t>
      </w:r>
      <w:bookmarkEnd w:id="207"/>
      <w:bookmarkEnd w:id="208"/>
      <w:bookmarkEnd w:id="209"/>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8713D7" w:rsidTr="00067864">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Budget</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30/6/18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2017-18 Estimated Outcome</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Budget</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30/6/19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Var</w:t>
            </w:r>
          </w:p>
          <w:p w:rsidR="008713D7" w:rsidRDefault="008713D7" w:rsidP="00067864">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Estimate</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30/6/20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Estimate</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30/6/21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Estimate</w:t>
            </w:r>
          </w:p>
          <w:p w:rsidR="008713D7" w:rsidRDefault="008713D7" w:rsidP="00067864">
            <w:pPr>
              <w:spacing w:before="0" w:after="0"/>
              <w:jc w:val="right"/>
              <w:rPr>
                <w:rFonts w:eastAsia="Calibri" w:cs="Calibri"/>
                <w:b/>
                <w:color w:val="000000"/>
                <w:sz w:val="18"/>
              </w:rPr>
            </w:pPr>
            <w:r>
              <w:rPr>
                <w:rFonts w:eastAsia="Calibri" w:cs="Calibri"/>
                <w:b/>
                <w:color w:val="000000"/>
                <w:sz w:val="18"/>
              </w:rPr>
              <w:t>at</w:t>
            </w:r>
          </w:p>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30/6/22 </w:t>
            </w:r>
          </w:p>
          <w:p w:rsidR="008713D7" w:rsidRDefault="008713D7" w:rsidP="00067864">
            <w:pPr>
              <w:spacing w:before="0" w:after="0"/>
              <w:jc w:val="right"/>
              <w:rPr>
                <w:rFonts w:eastAsia="Calibri" w:cs="Calibri"/>
                <w:b/>
                <w:color w:val="000000"/>
                <w:sz w:val="18"/>
              </w:rPr>
            </w:pPr>
            <w:r>
              <w:rPr>
                <w:rFonts w:eastAsia="Calibri" w:cs="Calibri"/>
                <w:b/>
                <w:color w:val="000000"/>
                <w:sz w:val="18"/>
              </w:rPr>
              <w:t>$'000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jc w:val="right"/>
              <w:rPr>
                <w:rFonts w:eastAsia="Calibri" w:cs="Calibri"/>
                <w:b/>
                <w: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-200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b/>
                <w:color w:val="000000"/>
                <w:sz w:val="18"/>
              </w:rPr>
            </w:pPr>
            <w:r>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b/>
                <w: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242,584</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195,921</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229,734</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17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163,534</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192,903</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136,779</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Inc/Dec in Asset Revaluation Reserve Surpluses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auto" w:fill="auto"/>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239,222</w:t>
            </w:r>
          </w:p>
        </w:tc>
        <w:tc>
          <w:tcPr>
            <w:tcW w:w="2385" w:type="dxa"/>
            <w:tcBorders>
              <w:top w:val="nil"/>
              <w:left w:val="nil"/>
              <w:bottom w:val="nil"/>
              <w:right w:val="nil"/>
              <w:tl2br w:val="nil"/>
              <w:tr2bl w:val="nil"/>
            </w:tcBorders>
            <w:shd w:val="clear" w:color="FFFFFF" w:fill="FFFFFF"/>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192,559</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229,734</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19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163,534</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192,903</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136,779</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Transfer to/from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Movement in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2467AD"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2467AD" w:rsidRDefault="002467AD" w:rsidP="00067864">
            <w:pPr>
              <w:spacing w:before="0" w:after="0"/>
              <w:jc w:val="right"/>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2467AD" w:rsidRDefault="002467AD" w:rsidP="00B202AF">
            <w:pPr>
              <w:spacing w:before="0" w:after="0"/>
              <w:ind w:left="113" w:hanging="113"/>
              <w:rPr>
                <w:rFonts w:eastAsia="Calibri" w:cs="Calibri"/>
                <w:color w:val="000000"/>
                <w:sz w:val="18"/>
              </w:rPr>
            </w:pPr>
            <w:r>
              <w:rPr>
                <w:rFonts w:eastAsia="Calibri" w:cs="Calibri"/>
                <w:b/>
                <w:color w:val="000000"/>
                <w:sz w:val="18"/>
              </w:rPr>
              <w:t>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2467AD" w:rsidRDefault="002467AD"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101" w:type="dxa"/>
              <w:right w:w="101" w:type="dxa"/>
            </w:tcMar>
          </w:tcPr>
          <w:p w:rsidR="002467AD" w:rsidRDefault="002467AD" w:rsidP="00067864">
            <w:pPr>
              <w:spacing w:before="0" w:after="0"/>
              <w:jc w:val="right"/>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101" w:type="dxa"/>
              <w:right w:w="101" w:type="dxa"/>
            </w:tcMar>
          </w:tcPr>
          <w:p w:rsidR="002467AD" w:rsidRDefault="002467AD"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101" w:type="dxa"/>
              <w:right w:w="101" w:type="dxa"/>
            </w:tcMar>
          </w:tcPr>
          <w:p w:rsidR="002467AD" w:rsidRDefault="002467AD"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101" w:type="dxa"/>
              <w:right w:w="101" w:type="dxa"/>
            </w:tcMar>
          </w:tcPr>
          <w:p w:rsidR="002467AD" w:rsidRDefault="002467AD"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101" w:type="dxa"/>
              <w:right w:w="101" w:type="dxa"/>
            </w:tcMar>
          </w:tcPr>
          <w:p w:rsidR="002467AD" w:rsidRDefault="002467AD" w:rsidP="00067864">
            <w:pPr>
              <w:spacing w:before="0" w:after="0"/>
              <w:jc w:val="right"/>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-39,549</w:t>
            </w:r>
          </w:p>
        </w:tc>
        <w:tc>
          <w:tcPr>
            <w:tcW w:w="2385" w:type="dxa"/>
            <w:tcBorders>
              <w:top w:val="nil"/>
              <w:left w:val="nil"/>
              <w:bottom w:val="nil"/>
              <w:right w:val="nil"/>
              <w:tl2br w:val="nil"/>
              <w:tr2bl w:val="nil"/>
            </w:tcBorders>
            <w:shd w:val="clear" w:color="FFFFFF" w:fill="FFFFFF"/>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Capital Distributions to Government</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-74,968</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-122,386</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-63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142,319</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Inc/Dec in Net Assets due to Admin Restructure</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143,555</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122,386</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0</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-242,584</w:t>
            </w:r>
          </w:p>
        </w:tc>
        <w:tc>
          <w:tcPr>
            <w:tcW w:w="2385" w:type="dxa"/>
            <w:tcBorders>
              <w:top w:val="nil"/>
              <w:left w:val="nil"/>
              <w:bottom w:val="nil"/>
              <w:right w:val="nil"/>
              <w:tl2br w:val="nil"/>
              <w:tr2bl w:val="nil"/>
            </w:tcBorders>
            <w:shd w:val="clear" w:color="FFFFFF" w:fill="FFFFFF"/>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Dividend Approved</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-158,630</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-229,734</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-45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-163,534</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-192,903</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-136,779</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-139,814</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b/>
                <w:color w:val="000000"/>
                <w:sz w:val="18"/>
              </w:rPr>
            </w:pPr>
            <w:r>
              <w:rPr>
                <w:rFonts w:eastAsia="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-90,043</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-229,734</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-155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-163,534</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-192,903</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-136,779</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067864">
            <w:pPr>
              <w:spacing w:before="0" w:after="0"/>
              <w:rPr>
                <w:rFonts w:eastAsia="Calibri" w:cs="Calibri"/>
                <w:b/>
                <w:color w:val="000000"/>
                <w:sz w:val="18"/>
              </w:rPr>
            </w:pPr>
            <w:r>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102,770</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105,878</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2385" w:type="dxa"/>
            <w:tcBorders>
              <w:top w:val="nil"/>
              <w:left w:val="nil"/>
              <w:bottom w:val="nil"/>
              <w:right w:val="nil"/>
              <w:tl2br w:val="nil"/>
              <w:tr2bl w:val="nil"/>
            </w:tcBorders>
            <w:shd w:val="clear" w:color="auto" w:fill="auto"/>
            <w:tcMar>
              <w:left w:w="101" w:type="dxa"/>
              <w:right w:w="101" w:type="dxa"/>
            </w:tcMar>
          </w:tcPr>
          <w:p w:rsidR="008713D7" w:rsidRDefault="008713D7" w:rsidP="00B202AF">
            <w:pPr>
              <w:spacing w:before="0" w:after="0"/>
              <w:ind w:left="113" w:hanging="113"/>
              <w:rPr>
                <w:rFonts w:eastAsia="Calibri" w:cs="Calibri"/>
                <w:color w:val="000000"/>
                <w:sz w:val="18"/>
              </w:rPr>
            </w:pPr>
            <w:r>
              <w:rPr>
                <w:rFonts w:eastAsia="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color w:val="000000"/>
                <w:sz w:val="18"/>
              </w:rPr>
            </w:pPr>
            <w:r>
              <w:rPr>
                <w:rFonts w:eastAsia="Calibri" w:cs="Calibri"/>
                <w:color w:val="000000"/>
                <w:sz w:val="18"/>
              </w:rPr>
              <w:t>-3,362</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8713D7" w:rsidRDefault="008713D7" w:rsidP="00067864">
            <w:pPr>
              <w:spacing w:before="0" w:after="0"/>
              <w:rPr>
                <w:rFonts w:eastAsia="Calibri" w:cs="Calibri"/>
                <w:color w:val="000000"/>
                <w:sz w:val="18"/>
              </w:rPr>
            </w:pP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99,408</w:t>
            </w:r>
          </w:p>
        </w:tc>
        <w:tc>
          <w:tcPr>
            <w:tcW w:w="2385" w:type="dxa"/>
            <w:tcBorders>
              <w:top w:val="nil"/>
              <w:left w:val="nil"/>
              <w:bottom w:val="nil"/>
              <w:right w:val="nil"/>
              <w:tl2br w:val="nil"/>
              <w:tr2bl w:val="nil"/>
            </w:tcBorders>
            <w:shd w:val="clear" w:color="FFFFFF" w:fill="FFFFFF"/>
            <w:tcMar>
              <w:left w:w="101" w:type="dxa"/>
              <w:right w:w="101" w:type="dxa"/>
            </w:tcMar>
          </w:tcPr>
          <w:p w:rsidR="008713D7" w:rsidRDefault="008713D7" w:rsidP="00B202AF">
            <w:pPr>
              <w:spacing w:before="0" w:after="0"/>
              <w:ind w:left="113" w:hanging="113"/>
              <w:rPr>
                <w:rFonts w:eastAsia="Calibri" w:cs="Calibri"/>
                <w:b/>
                <w:color w:val="000000"/>
                <w:sz w:val="18"/>
              </w:rPr>
            </w:pPr>
            <w:r>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600"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c>
          <w:tcPr>
            <w:tcW w:w="1035" w:type="dxa"/>
            <w:tcBorders>
              <w:top w:val="nil"/>
              <w:left w:val="nil"/>
              <w:bottom w:val="nil"/>
              <w:right w:val="nil"/>
              <w:tl2br w:val="nil"/>
              <w:tr2bl w:val="nil"/>
            </w:tcBorders>
            <w:shd w:val="clear" w:color="FFFFFF" w:fill="FFFFFF"/>
            <w:noWrap/>
            <w:tcMar>
              <w:left w:w="101" w:type="dxa"/>
              <w:right w:w="101" w:type="dxa"/>
            </w:tcMar>
          </w:tcPr>
          <w:p w:rsidR="008713D7" w:rsidRDefault="008713D7" w:rsidP="00067864">
            <w:pPr>
              <w:spacing w:before="0" w:after="0"/>
              <w:jc w:val="right"/>
              <w:rPr>
                <w:rFonts w:eastAsia="Calibri" w:cs="Calibri"/>
                <w:b/>
                <w:color w:val="000000"/>
                <w:sz w:val="18"/>
              </w:rPr>
            </w:pPr>
            <w:r>
              <w:rPr>
                <w:rFonts w:eastAsia="Calibri" w:cs="Calibri"/>
                <w:b/>
                <w:color w:val="000000"/>
                <w:sz w:val="18"/>
              </w:rPr>
              <w:t>102,516</w:t>
            </w:r>
          </w:p>
        </w:tc>
      </w:tr>
      <w:tr w:rsidR="008713D7"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8713D7" w:rsidRDefault="008713D7" w:rsidP="00067864">
            <w:pPr>
              <w:spacing w:before="0" w:after="0"/>
              <w:rPr>
                <w:rFonts w:eastAsia="Calibri" w:cs="Calibri"/>
                <w:color w:val="000000"/>
                <w:sz w:val="18"/>
              </w:rPr>
            </w:pPr>
          </w:p>
        </w:tc>
      </w:tr>
    </w:tbl>
    <w:p w:rsidR="008713D7" w:rsidRDefault="008713D7" w:rsidP="008713D7">
      <w:pPr>
        <w:rPr>
          <w:bdr w:val="nil"/>
        </w:rPr>
      </w:pPr>
    </w:p>
    <w:p w:rsidR="008713D7" w:rsidRPr="00270861" w:rsidRDefault="008713D7" w:rsidP="008713D7">
      <w:pPr>
        <w:keepNext/>
        <w:pageBreakBefore/>
        <w:pBdr>
          <w:top w:val="nil"/>
          <w:left w:val="nil"/>
          <w:bottom w:val="nil"/>
          <w:right w:val="nil"/>
          <w:between w:val="nil"/>
          <w:bar w:val="nil"/>
        </w:pBdr>
        <w:spacing w:before="240"/>
        <w:outlineLvl w:val="0"/>
        <w:rPr>
          <w:rFonts w:eastAsia="TimesNewRomanPS-ItalicMT"/>
          <w:bCs/>
          <w:color w:val="000000"/>
          <w:sz w:val="22"/>
          <w:szCs w:val="18"/>
          <w:bdr w:val="nil"/>
        </w:rPr>
      </w:pPr>
      <w:bookmarkStart w:id="210" w:name="_Toc514763841"/>
      <w:bookmarkStart w:id="211" w:name="_Toc514840991"/>
      <w:bookmarkStart w:id="212" w:name="_Toc514841070"/>
      <w:r w:rsidRPr="00270861">
        <w:rPr>
          <w:b/>
          <w:bCs/>
          <w:color w:val="000000"/>
          <w:sz w:val="22"/>
          <w:szCs w:val="18"/>
          <w:bdr w:val="nil"/>
        </w:rPr>
        <w:t>Table</w:t>
      </w:r>
      <w:r>
        <w:rPr>
          <w:b/>
          <w:bCs/>
          <w:color w:val="000000"/>
          <w:sz w:val="22"/>
          <w:szCs w:val="18"/>
          <w:bdr w:val="nil"/>
        </w:rPr>
        <w:t xml:space="preserve"> 9</w:t>
      </w:r>
      <w:r w:rsidRPr="00270861">
        <w:rPr>
          <w:b/>
          <w:bCs/>
          <w:color w:val="000000"/>
          <w:sz w:val="22"/>
          <w:szCs w:val="18"/>
          <w:bdr w:val="nil"/>
        </w:rPr>
        <w:t>: Suburban L</w:t>
      </w:r>
      <w:r>
        <w:rPr>
          <w:b/>
          <w:bCs/>
          <w:color w:val="000000"/>
          <w:sz w:val="22"/>
          <w:szCs w:val="18"/>
          <w:bdr w:val="nil"/>
        </w:rPr>
        <w:t>and Agency: Cash Flow Statement</w:t>
      </w:r>
      <w:bookmarkEnd w:id="210"/>
      <w:bookmarkEnd w:id="211"/>
      <w:bookmarkEnd w:id="212"/>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8713D7" w:rsidRPr="00270861" w:rsidTr="00067864">
        <w:trPr>
          <w:trHeight w:val="960"/>
          <w:tblHeader/>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2017-18 Budget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2018-19 Budget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Var </w:t>
            </w: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2019-20 Estimate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2020-21 Estimate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2021-22 Estimate            </w:t>
            </w:r>
          </w:p>
          <w:p w:rsidR="008713D7" w:rsidRPr="00270861" w:rsidRDefault="008713D7" w:rsidP="00067864">
            <w:pPr>
              <w:spacing w:before="0" w:after="0"/>
              <w:jc w:val="right"/>
              <w:rPr>
                <w:rFonts w:eastAsia="Calibri" w:cs="Calibri"/>
                <w:b/>
                <w:color w:val="000000"/>
                <w:sz w:val="18"/>
              </w:rPr>
            </w:pPr>
          </w:p>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$'000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b/>
                <w: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8713D7" w:rsidRPr="00270861" w:rsidRDefault="008713D7" w:rsidP="00067864">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CASH FLOWS FROM OPERATING ACTIVITIES</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431</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1,135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979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1,006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1,023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1,040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4,315</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5,432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1,575</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-71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940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940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940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585,949</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Land Sales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444,029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696,646</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57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515,527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634,453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596,936</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39,423</w:t>
            </w:r>
          </w:p>
        </w:tc>
        <w:tc>
          <w:tcPr>
            <w:tcW w:w="2385" w:type="dxa"/>
            <w:tcBorders>
              <w:top w:val="nil"/>
              <w:left w:val="nil"/>
              <w:bottom w:val="nil"/>
              <w:right w:val="nil"/>
              <w:tl2br w:val="nil"/>
              <w:tr2bl w:val="nil"/>
            </w:tcBorders>
            <w:shd w:val="clear" w:color="auto" w:fill="auto"/>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17,650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23,938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36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27,131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17,431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18,672</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630,118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468,246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723,138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54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544,604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653,847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617,588</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12,040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9,119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11,968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31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12,432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13,134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13,431</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1,534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1,425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1,609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1,654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1,696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1,740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29,096</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19,741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31,729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61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34,824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35,903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35,038</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974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153</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157</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611</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991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2,662</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169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1,744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2,328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2,955</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103,647</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Income Tax Equivalent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78,568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92,454</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99,579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88,265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78,676</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187,450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Related to Cost of Goods Sold</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124,794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277,538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122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291,227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221,128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199,022</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39,456</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26,199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25,675</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28,174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18,916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20,630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374,808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260,989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443,788</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70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469,788</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381,525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351,649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255,310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b/>
                <w:color w:val="000000"/>
                <w:sz w:val="18"/>
              </w:rPr>
            </w:pPr>
            <w:r w:rsidRPr="00270861">
              <w:rPr>
                <w:rFonts w:eastAsia="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207,257</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279,350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35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74,816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272,322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265,939</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CASH FLOWS FROM INVESTING ACTIVITIES</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12,868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Proceeds from Sale/Maturity of Investments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Repayment of Loan Principal</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8,563</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29,646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5,700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12,868</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Investing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8,563</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29,646</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5,700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51</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325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579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675</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20,000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Purchase of Land and Intangibles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7,892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34,212</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Purchase of Investments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Loans Provided (Loans Receivable)</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4,105</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18,821</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358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8,764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54,212</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12,009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18,872</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57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8,764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579</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675</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-41,344</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b/>
                <w:color w:val="000000"/>
                <w:sz w:val="18"/>
              </w:rPr>
            </w:pPr>
            <w:r w:rsidRPr="00270861">
              <w:rPr>
                <w:rFonts w:eastAsia="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-11,613</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-10,309</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20,882</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5,121</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-675</w:t>
            </w:r>
          </w:p>
        </w:tc>
      </w:tr>
      <w:tr w:rsidR="005E27E0"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5E27E0" w:rsidRPr="00270861" w:rsidRDefault="005E27E0" w:rsidP="00067864">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5E27E0" w:rsidRPr="00270861" w:rsidRDefault="005E27E0" w:rsidP="00067864">
            <w:pPr>
              <w:spacing w:before="0" w:after="0"/>
              <w:rPr>
                <w:rFonts w:eastAsia="Calibri" w:cs="Calibri"/>
                <w:b/>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CASH FLOWS FROM FINANCING ACTIVITIES</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8713D7" w:rsidRPr="00270861" w:rsidRDefault="008713D7" w:rsidP="00067864">
            <w:pPr>
              <w:spacing w:before="0" w:after="0"/>
              <w:rPr>
                <w:rFonts w:eastAsia="Calibri" w:cs="Calibri"/>
                <w:color w:val="000000"/>
                <w:sz w:val="18"/>
              </w:rPr>
            </w:pP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203,210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B202AF">
            <w:pPr>
              <w:spacing w:before="0" w:after="0"/>
              <w:ind w:left="113" w:hanging="113"/>
              <w:rPr>
                <w:rFonts w:eastAsia="Calibri" w:cs="Calibri"/>
                <w:color w:val="000000"/>
                <w:sz w:val="18"/>
              </w:rPr>
            </w:pPr>
            <w:r w:rsidRPr="00270861">
              <w:rPr>
                <w:rFonts w:eastAsia="Calibri" w:cs="Calibri"/>
                <w:color w:val="000000"/>
                <w:sz w:val="18"/>
              </w:rPr>
              <w:t>Receipts of Transferred Cash Balances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182,654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color w:val="000000"/>
                <w:sz w:val="18"/>
              </w:rPr>
            </w:pPr>
            <w:r w:rsidRPr="00270861">
              <w:rPr>
                <w:rFonts w:eastAsia="Calibri" w:cs="Calibri"/>
                <w:color w:val="000000"/>
                <w:sz w:val="18"/>
              </w:rPr>
              <w:t>0</w:t>
            </w:r>
          </w:p>
        </w:tc>
      </w:tr>
      <w:tr w:rsidR="008713D7" w:rsidRPr="00270861" w:rsidTr="00067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203,210</w:t>
            </w:r>
          </w:p>
        </w:tc>
        <w:tc>
          <w:tcPr>
            <w:tcW w:w="2385" w:type="dxa"/>
            <w:tcBorders>
              <w:top w:val="nil"/>
              <w:left w:val="nil"/>
              <w:bottom w:val="nil"/>
              <w:right w:val="nil"/>
              <w:tl2br w:val="nil"/>
              <w:tr2bl w:val="nil"/>
            </w:tcBorders>
            <w:shd w:val="clear" w:color="FFFFFF" w:fill="FFFFFF"/>
            <w:noWrap/>
            <w:tcMar>
              <w:left w:w="101" w:type="dxa"/>
              <w:right w:w="101" w:type="dxa"/>
            </w:tcMar>
          </w:tcPr>
          <w:p w:rsidR="008713D7" w:rsidRPr="00270861" w:rsidRDefault="008713D7" w:rsidP="00067864">
            <w:pPr>
              <w:spacing w:before="0" w:after="0"/>
              <w:rPr>
                <w:rFonts w:eastAsia="Calibri" w:cs="Calibri"/>
                <w:b/>
                <w:color w:val="000000"/>
                <w:sz w:val="18"/>
              </w:rPr>
            </w:pPr>
            <w:r w:rsidRPr="00270861">
              <w:rPr>
                <w:rFonts w:eastAsia="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182,654</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8713D7" w:rsidRPr="00270861" w:rsidRDefault="008713D7" w:rsidP="00067864">
            <w:pPr>
              <w:spacing w:before="0" w:after="0"/>
              <w:jc w:val="right"/>
              <w:rPr>
                <w:rFonts w:eastAsia="Calibri" w:cs="Calibri"/>
                <w:b/>
                <w:color w:val="000000"/>
                <w:sz w:val="18"/>
              </w:rPr>
            </w:pPr>
            <w:r w:rsidRPr="00270861">
              <w:rPr>
                <w:rFonts w:eastAsia="Calibri" w:cs="Calibri"/>
                <w:b/>
                <w:color w:val="000000"/>
                <w:sz w:val="18"/>
              </w:rPr>
              <w:t>0</w:t>
            </w:r>
          </w:p>
        </w:tc>
      </w:tr>
    </w:tbl>
    <w:p w:rsidR="00FC3B1D" w:rsidRPr="00FC3B1D" w:rsidRDefault="00FC3B1D" w:rsidP="00FC3B1D">
      <w:pPr>
        <w:keepNext/>
        <w:pageBreakBefore/>
        <w:pBdr>
          <w:top w:val="nil"/>
          <w:left w:val="nil"/>
          <w:bottom w:val="nil"/>
          <w:right w:val="nil"/>
          <w:between w:val="nil"/>
          <w:bar w:val="nil"/>
        </w:pBdr>
        <w:spacing w:before="240"/>
        <w:outlineLvl w:val="0"/>
        <w:rPr>
          <w:rFonts w:eastAsia="TimesNewRomanPS-ItalicMT"/>
          <w:bCs/>
          <w:color w:val="000000"/>
          <w:sz w:val="22"/>
          <w:szCs w:val="18"/>
          <w:bdr w:val="nil"/>
        </w:rPr>
      </w:pPr>
      <w:r w:rsidRPr="00270861">
        <w:rPr>
          <w:b/>
          <w:bCs/>
          <w:color w:val="000000"/>
          <w:sz w:val="22"/>
          <w:szCs w:val="18"/>
          <w:bdr w:val="nil"/>
        </w:rPr>
        <w:t>Table</w:t>
      </w:r>
      <w:r>
        <w:rPr>
          <w:b/>
          <w:bCs/>
          <w:color w:val="000000"/>
          <w:sz w:val="22"/>
          <w:szCs w:val="18"/>
          <w:bdr w:val="nil"/>
        </w:rPr>
        <w:t xml:space="preserve"> 9</w:t>
      </w:r>
      <w:r w:rsidRPr="00270861">
        <w:rPr>
          <w:b/>
          <w:bCs/>
          <w:color w:val="000000"/>
          <w:sz w:val="22"/>
          <w:szCs w:val="18"/>
          <w:bdr w:val="nil"/>
        </w:rPr>
        <w:t>: Suburban L</w:t>
      </w:r>
      <w:r>
        <w:rPr>
          <w:b/>
          <w:bCs/>
          <w:color w:val="000000"/>
          <w:sz w:val="22"/>
          <w:szCs w:val="18"/>
          <w:bdr w:val="nil"/>
        </w:rPr>
        <w:t>and Agency: Cash Flow Statement (continued)</w:t>
      </w:r>
    </w:p>
    <w:tbl>
      <w:tblPr>
        <w:tblStyle w:val="CDMRange2"/>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35"/>
        <w:gridCol w:w="2385"/>
        <w:gridCol w:w="1035"/>
        <w:gridCol w:w="1035"/>
        <w:gridCol w:w="600"/>
        <w:gridCol w:w="1035"/>
        <w:gridCol w:w="1035"/>
        <w:gridCol w:w="1035"/>
      </w:tblGrid>
      <w:tr w:rsidR="00FC3B1D" w:rsidRPr="00270861" w:rsidTr="00FC3B1D">
        <w:trPr>
          <w:trHeight w:val="240"/>
        </w:trPr>
        <w:tc>
          <w:tcPr>
            <w:tcW w:w="1035" w:type="dxa"/>
            <w:tcBorders>
              <w:top w:val="single" w:sz="4" w:space="0" w:color="auto"/>
              <w:left w:val="nil"/>
              <w:bottom w:val="single" w:sz="4" w:space="0" w:color="auto"/>
              <w:right w:val="nil"/>
              <w:tl2br w:val="nil"/>
              <w:tr2bl w:val="nil"/>
            </w:tcBorders>
            <w:shd w:val="clear" w:color="FFFFFF" w:fill="FFFFFF"/>
            <w:tcMar>
              <w:left w:w="0" w:type="dxa"/>
              <w:right w:w="0"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2017-18 Budget            </w:t>
            </w:r>
          </w:p>
          <w:p w:rsidR="00FC3B1D" w:rsidRPr="00270861" w:rsidRDefault="00FC3B1D" w:rsidP="00FC3B1D">
            <w:pPr>
              <w:spacing w:before="0" w:after="0"/>
              <w:jc w:val="right"/>
              <w:rPr>
                <w:rFonts w:eastAsia="Calibri" w:cs="Calibri"/>
                <w:b/>
                <w:color w:val="000000"/>
                <w:sz w:val="18"/>
              </w:rPr>
            </w:pPr>
          </w:p>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2385" w:type="dxa"/>
            <w:tcBorders>
              <w:top w:val="single" w:sz="4" w:space="0" w:color="auto"/>
              <w:left w:val="nil"/>
              <w:bottom w:val="single" w:sz="4" w:space="0" w:color="auto"/>
              <w:right w:val="nil"/>
              <w:tl2br w:val="nil"/>
              <w:tr2bl w:val="nil"/>
            </w:tcBorders>
            <w:shd w:val="clear" w:color="FFFFFF" w:fill="FFFFFF"/>
            <w:noWrap/>
            <w:tcMar>
              <w:left w:w="0" w:type="dxa"/>
              <w:right w:w="0" w:type="dxa"/>
            </w:tcMar>
          </w:tcPr>
          <w:p w:rsidR="00FC3B1D" w:rsidRPr="00270861" w:rsidRDefault="00FC3B1D" w:rsidP="00FC3B1D">
            <w:pPr>
              <w:spacing w:before="0" w:after="0"/>
              <w:rPr>
                <w:rFonts w:eastAsia="Calibri" w:cs="Calibri"/>
                <w:b/>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0" w:type="dxa"/>
              <w:right w:w="0"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2017-18 Estimated Outcome $'000</w:t>
            </w:r>
          </w:p>
        </w:tc>
        <w:tc>
          <w:tcPr>
            <w:tcW w:w="1035" w:type="dxa"/>
            <w:tcBorders>
              <w:top w:val="single" w:sz="4" w:space="0" w:color="auto"/>
              <w:left w:val="nil"/>
              <w:bottom w:val="single" w:sz="4" w:space="0" w:color="auto"/>
              <w:right w:val="nil"/>
              <w:tl2br w:val="nil"/>
              <w:tr2bl w:val="nil"/>
            </w:tcBorders>
            <w:shd w:val="clear" w:color="FFFFFF" w:fill="FFFFFF"/>
            <w:tcMar>
              <w:left w:w="0" w:type="dxa"/>
              <w:right w:w="0"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2018-19 Budget            </w:t>
            </w:r>
          </w:p>
          <w:p w:rsidR="00FC3B1D" w:rsidRPr="00270861" w:rsidRDefault="00FC3B1D" w:rsidP="00FC3B1D">
            <w:pPr>
              <w:spacing w:before="0" w:after="0"/>
              <w:jc w:val="right"/>
              <w:rPr>
                <w:rFonts w:eastAsia="Calibri" w:cs="Calibri"/>
                <w:b/>
                <w:color w:val="000000"/>
                <w:sz w:val="18"/>
              </w:rPr>
            </w:pPr>
          </w:p>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600" w:type="dxa"/>
            <w:tcBorders>
              <w:top w:val="single" w:sz="4" w:space="0" w:color="auto"/>
              <w:left w:val="nil"/>
              <w:bottom w:val="single" w:sz="4" w:space="0" w:color="auto"/>
              <w:right w:val="nil"/>
              <w:tl2br w:val="nil"/>
              <w:tr2bl w:val="nil"/>
            </w:tcBorders>
            <w:shd w:val="clear" w:color="FFFFFF" w:fill="FFFFFF"/>
            <w:tcMar>
              <w:left w:w="0" w:type="dxa"/>
              <w:right w:w="0"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Var </w:t>
            </w:r>
          </w:p>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w:t>
            </w:r>
          </w:p>
        </w:tc>
        <w:tc>
          <w:tcPr>
            <w:tcW w:w="1035" w:type="dxa"/>
            <w:tcBorders>
              <w:top w:val="single" w:sz="4" w:space="0" w:color="auto"/>
              <w:left w:val="nil"/>
              <w:bottom w:val="single" w:sz="4" w:space="0" w:color="auto"/>
              <w:right w:val="nil"/>
              <w:tl2br w:val="nil"/>
              <w:tr2bl w:val="nil"/>
            </w:tcBorders>
            <w:shd w:val="clear" w:color="FFFFFF" w:fill="FFFFFF"/>
            <w:tcMar>
              <w:left w:w="0" w:type="dxa"/>
              <w:right w:w="0"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2019-20 Estimate            </w:t>
            </w:r>
          </w:p>
          <w:p w:rsidR="00FC3B1D" w:rsidRPr="00270861" w:rsidRDefault="00FC3B1D" w:rsidP="00FC3B1D">
            <w:pPr>
              <w:spacing w:before="0" w:after="0"/>
              <w:jc w:val="right"/>
              <w:rPr>
                <w:rFonts w:eastAsia="Calibri" w:cs="Calibri"/>
                <w:b/>
                <w:color w:val="000000"/>
                <w:sz w:val="18"/>
              </w:rPr>
            </w:pPr>
          </w:p>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1035" w:type="dxa"/>
            <w:tcBorders>
              <w:top w:val="single" w:sz="4" w:space="0" w:color="auto"/>
              <w:left w:val="nil"/>
              <w:bottom w:val="single" w:sz="4" w:space="0" w:color="auto"/>
              <w:right w:val="nil"/>
              <w:tl2br w:val="nil"/>
              <w:tr2bl w:val="nil"/>
            </w:tcBorders>
            <w:shd w:val="clear" w:color="FFFFFF" w:fill="FFFFFF"/>
            <w:tcMar>
              <w:left w:w="0" w:type="dxa"/>
              <w:right w:w="0"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2020-21 Estimate            </w:t>
            </w:r>
          </w:p>
          <w:p w:rsidR="00FC3B1D" w:rsidRPr="00270861" w:rsidRDefault="00FC3B1D" w:rsidP="00FC3B1D">
            <w:pPr>
              <w:spacing w:before="0" w:after="0"/>
              <w:jc w:val="right"/>
              <w:rPr>
                <w:rFonts w:eastAsia="Calibri" w:cs="Calibri"/>
                <w:b/>
                <w:color w:val="000000"/>
                <w:sz w:val="18"/>
              </w:rPr>
            </w:pPr>
          </w:p>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 $'000</w:t>
            </w:r>
          </w:p>
        </w:tc>
        <w:tc>
          <w:tcPr>
            <w:tcW w:w="1035" w:type="dxa"/>
            <w:tcBorders>
              <w:top w:val="single" w:sz="4" w:space="0" w:color="auto"/>
              <w:left w:val="nil"/>
              <w:bottom w:val="single" w:sz="4" w:space="0" w:color="auto"/>
              <w:right w:val="nil"/>
              <w:tl2br w:val="nil"/>
              <w:tr2bl w:val="nil"/>
            </w:tcBorders>
            <w:shd w:val="clear" w:color="FFFFFF" w:fill="FFFFFF"/>
            <w:tcMar>
              <w:left w:w="0" w:type="dxa"/>
              <w:right w:w="0"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2021-22 Estimate            </w:t>
            </w:r>
          </w:p>
          <w:p w:rsidR="00FC3B1D" w:rsidRPr="00270861" w:rsidRDefault="00FC3B1D" w:rsidP="00FC3B1D">
            <w:pPr>
              <w:spacing w:before="0" w:after="0"/>
              <w:jc w:val="right"/>
              <w:rPr>
                <w:rFonts w:eastAsia="Calibri" w:cs="Calibri"/>
                <w:b/>
                <w:color w:val="000000"/>
                <w:sz w:val="18"/>
              </w:rPr>
            </w:pPr>
          </w:p>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 $'000</w:t>
            </w:r>
          </w:p>
        </w:tc>
      </w:tr>
      <w:tr w:rsidR="00FC3B1D" w:rsidRPr="00270861" w:rsidTr="00FC3B1D">
        <w:trPr>
          <w:trHeight w:val="240"/>
        </w:trPr>
        <w:tc>
          <w:tcPr>
            <w:tcW w:w="1035" w:type="dxa"/>
            <w:tcBorders>
              <w:top w:val="single" w:sz="4" w:space="0" w:color="auto"/>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2385" w:type="dxa"/>
            <w:tcBorders>
              <w:top w:val="single" w:sz="4" w:space="0" w:color="auto"/>
              <w:left w:val="nil"/>
              <w:bottom w:val="nil"/>
              <w:right w:val="nil"/>
              <w:tl2br w:val="nil"/>
              <w:tr2bl w:val="nil"/>
            </w:tcBorders>
            <w:shd w:val="clear" w:color="FFFFFF" w:fill="FFFFFF"/>
            <w:noWrap/>
            <w:tcMar>
              <w:left w:w="101" w:type="dxa"/>
              <w:right w:w="101" w:type="dxa"/>
            </w:tcMar>
          </w:tcPr>
          <w:p w:rsidR="00FC3B1D" w:rsidRPr="00270861" w:rsidRDefault="00FC3B1D" w:rsidP="00FC3B1D">
            <w:pPr>
              <w:spacing w:before="0" w:after="0"/>
              <w:rPr>
                <w:rFonts w:eastAsia="Calibri" w:cs="Calibri"/>
                <w:b/>
                <w:color w:val="000000"/>
                <w:sz w:val="18"/>
              </w:rPr>
            </w:pPr>
          </w:p>
        </w:tc>
        <w:tc>
          <w:tcPr>
            <w:tcW w:w="1035" w:type="dxa"/>
            <w:tcBorders>
              <w:top w:val="single" w:sz="4" w:space="0" w:color="auto"/>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single" w:sz="4" w:space="0" w:color="auto"/>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600" w:type="dxa"/>
            <w:tcBorders>
              <w:top w:val="single" w:sz="4" w:space="0" w:color="auto"/>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single" w:sz="4" w:space="0" w:color="auto"/>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single" w:sz="4" w:space="0" w:color="auto"/>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single" w:sz="4" w:space="0" w:color="auto"/>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r>
      <w:tr w:rsidR="00FC3B1D" w:rsidRPr="00270861" w:rsidTr="00FC3B1D">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FC3B1D" w:rsidRPr="00270861" w:rsidRDefault="00FC3B1D" w:rsidP="00FC3B1D">
            <w:pPr>
              <w:spacing w:before="0" w:after="0"/>
              <w:rPr>
                <w:rFonts w:eastAsia="Calibri" w:cs="Calibri"/>
                <w:b/>
                <w:color w:val="000000"/>
                <w:sz w:val="18"/>
              </w:rPr>
            </w:pPr>
            <w:r w:rsidRPr="00270861">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66,252</w:t>
            </w:r>
          </w:p>
        </w:tc>
        <w:tc>
          <w:tcPr>
            <w:tcW w:w="2385" w:type="dxa"/>
            <w:tcBorders>
              <w:top w:val="nil"/>
              <w:left w:val="nil"/>
              <w:bottom w:val="nil"/>
              <w:right w:val="nil"/>
              <w:tl2br w:val="nil"/>
              <w:tr2bl w:val="nil"/>
            </w:tcBorders>
            <w:shd w:val="clear" w:color="FFFFFF" w:fill="FFFFFF"/>
            <w:noWrap/>
            <w:tcMar>
              <w:left w:w="101" w:type="dxa"/>
              <w:right w:w="101" w:type="dxa"/>
            </w:tcMar>
          </w:tcPr>
          <w:p w:rsidR="00FC3B1D" w:rsidRPr="00270861" w:rsidRDefault="00FC3B1D" w:rsidP="00FC3B1D">
            <w:pPr>
              <w:spacing w:before="0" w:after="0"/>
              <w:ind w:left="113" w:hanging="113"/>
              <w:rPr>
                <w:rFonts w:eastAsia="Calibri" w:cs="Calibri"/>
                <w:color w:val="000000"/>
                <w:sz w:val="18"/>
              </w:rPr>
            </w:pPr>
            <w:r w:rsidRPr="00270861">
              <w:rPr>
                <w:rFonts w:eastAsia="Calibri" w:cs="Calibri"/>
                <w:color w:val="000000"/>
                <w:sz w:val="18"/>
              </w:rPr>
              <w:t>Distributions to Government</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66,680</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170,179</w:t>
            </w:r>
          </w:p>
        </w:tc>
        <w:tc>
          <w:tcPr>
            <w:tcW w:w="600"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 xml:space="preserve">155 </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0</w:t>
            </w: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151,065</w:t>
            </w:r>
          </w:p>
        </w:tc>
        <w:tc>
          <w:tcPr>
            <w:tcW w:w="2385" w:type="dxa"/>
            <w:tcBorders>
              <w:top w:val="nil"/>
              <w:left w:val="nil"/>
              <w:bottom w:val="nil"/>
              <w:right w:val="nil"/>
              <w:tl2br w:val="nil"/>
              <w:tr2bl w:val="nil"/>
            </w:tcBorders>
            <w:shd w:val="clear" w:color="FFFFFF" w:fill="FFFFFF"/>
            <w:noWrap/>
            <w:tcMar>
              <w:left w:w="101" w:type="dxa"/>
              <w:right w:w="101" w:type="dxa"/>
            </w:tcMar>
          </w:tcPr>
          <w:p w:rsidR="00FC3B1D" w:rsidRPr="00270861" w:rsidRDefault="00FC3B1D" w:rsidP="00FC3B1D">
            <w:pPr>
              <w:spacing w:before="0" w:after="0"/>
              <w:ind w:left="113" w:hanging="113"/>
              <w:rPr>
                <w:rFonts w:eastAsia="Calibri" w:cs="Calibri"/>
                <w:color w:val="000000"/>
                <w:sz w:val="18"/>
              </w:rPr>
            </w:pPr>
            <w:r w:rsidRPr="00270861">
              <w:rPr>
                <w:rFonts w:eastAsia="Calibri" w:cs="Calibri"/>
                <w:color w:val="000000"/>
                <w:sz w:val="18"/>
              </w:rPr>
              <w:t>Payment of Dividend</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168,070</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183,421</w:t>
            </w:r>
          </w:p>
        </w:tc>
        <w:tc>
          <w:tcPr>
            <w:tcW w:w="600"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116,921</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193,917</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color w:val="000000"/>
                <w:sz w:val="18"/>
              </w:rPr>
            </w:pPr>
            <w:r w:rsidRPr="00270861">
              <w:rPr>
                <w:rFonts w:eastAsia="Calibri" w:cs="Calibri"/>
                <w:color w:val="000000"/>
                <w:sz w:val="18"/>
              </w:rPr>
              <w:t>289,006</w:t>
            </w: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217,317</w:t>
            </w:r>
          </w:p>
        </w:tc>
        <w:tc>
          <w:tcPr>
            <w:tcW w:w="2385" w:type="dxa"/>
            <w:tcBorders>
              <w:top w:val="nil"/>
              <w:left w:val="nil"/>
              <w:bottom w:val="nil"/>
              <w:right w:val="nil"/>
              <w:tl2br w:val="nil"/>
              <w:tr2bl w:val="nil"/>
            </w:tcBorders>
            <w:shd w:val="clear" w:color="FFFFFF" w:fill="FFFFFF"/>
            <w:noWrap/>
            <w:tcMar>
              <w:left w:w="101" w:type="dxa"/>
              <w:right w:w="101" w:type="dxa"/>
            </w:tcMar>
          </w:tcPr>
          <w:p w:rsidR="00FC3B1D" w:rsidRPr="00270861" w:rsidRDefault="00FC3B1D" w:rsidP="00FC3B1D">
            <w:pPr>
              <w:spacing w:before="0" w:after="0"/>
              <w:rPr>
                <w:rFonts w:eastAsia="Calibri" w:cs="Calibri"/>
                <w:b/>
                <w:color w:val="000000"/>
                <w:sz w:val="18"/>
              </w:rPr>
            </w:pPr>
            <w:r w:rsidRPr="00270861">
              <w:rPr>
                <w:rFonts w:eastAsia="Calibri" w:cs="Calibri"/>
                <w:b/>
                <w:color w:val="000000"/>
                <w:sz w:val="18"/>
              </w:rPr>
              <w:t>Financing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234,750</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353,600</w:t>
            </w:r>
          </w:p>
        </w:tc>
        <w:tc>
          <w:tcPr>
            <w:tcW w:w="600"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51 </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116,921</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193,917</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289,006</w:t>
            </w: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-14,107</w:t>
            </w:r>
          </w:p>
        </w:tc>
        <w:tc>
          <w:tcPr>
            <w:tcW w:w="2385" w:type="dxa"/>
            <w:tcBorders>
              <w:top w:val="nil"/>
              <w:left w:val="nil"/>
              <w:bottom w:val="nil"/>
              <w:right w:val="nil"/>
              <w:tl2br w:val="nil"/>
              <w:tr2bl w:val="nil"/>
            </w:tcBorders>
            <w:shd w:val="clear" w:color="FFFFFF" w:fill="FFFFFF"/>
            <w:noWrap/>
            <w:tcMar>
              <w:left w:w="101" w:type="dxa"/>
              <w:right w:w="101" w:type="dxa"/>
            </w:tcMar>
          </w:tcPr>
          <w:p w:rsidR="00FC3B1D" w:rsidRPr="00270861" w:rsidRDefault="00FC3B1D" w:rsidP="00FC3B1D">
            <w:pPr>
              <w:spacing w:before="0" w:after="0"/>
              <w:ind w:left="113" w:hanging="113"/>
              <w:rPr>
                <w:rFonts w:eastAsia="Calibri" w:cs="Calibri"/>
                <w:b/>
                <w:color w:val="000000"/>
                <w:sz w:val="18"/>
              </w:rPr>
            </w:pPr>
            <w:r w:rsidRPr="00270861">
              <w:rPr>
                <w:rFonts w:eastAsia="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-52,096</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-353,600</w:t>
            </w:r>
          </w:p>
        </w:tc>
        <w:tc>
          <w:tcPr>
            <w:tcW w:w="600"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-579 </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-116,921</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-193,917</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-289,006</w:t>
            </w: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199,859</w:t>
            </w:r>
          </w:p>
        </w:tc>
        <w:tc>
          <w:tcPr>
            <w:tcW w:w="2385" w:type="dxa"/>
            <w:tcBorders>
              <w:top w:val="nil"/>
              <w:left w:val="nil"/>
              <w:bottom w:val="nil"/>
              <w:right w:val="nil"/>
              <w:tl2br w:val="nil"/>
              <w:tr2bl w:val="nil"/>
            </w:tcBorders>
            <w:shd w:val="clear" w:color="FFFFFF" w:fill="FFFFFF"/>
            <w:noWrap/>
            <w:tcMar>
              <w:left w:w="101" w:type="dxa"/>
              <w:right w:w="101" w:type="dxa"/>
            </w:tcMar>
          </w:tcPr>
          <w:p w:rsidR="00FC3B1D" w:rsidRPr="00270861" w:rsidRDefault="00FC3B1D" w:rsidP="00FC3B1D">
            <w:pPr>
              <w:spacing w:before="0" w:after="0"/>
              <w:ind w:left="113" w:hanging="113"/>
              <w:rPr>
                <w:rFonts w:eastAsia="Calibri" w:cs="Calibri"/>
                <w:b/>
                <w:color w:val="000000"/>
                <w:sz w:val="18"/>
              </w:rPr>
            </w:pPr>
            <w:r w:rsidRPr="00270861">
              <w:rPr>
                <w:rFonts w:eastAsia="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143,548</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-84,559</w:t>
            </w:r>
          </w:p>
        </w:tc>
        <w:tc>
          <w:tcPr>
            <w:tcW w:w="600"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-159 </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-21,223</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83,526</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-23,742</w:t>
            </w: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FC3B1D" w:rsidRPr="00270861" w:rsidRDefault="00FC3B1D" w:rsidP="00FC3B1D">
            <w:pPr>
              <w:spacing w:before="0" w:after="0"/>
              <w:ind w:left="113" w:hanging="113"/>
              <w:rPr>
                <w:rFonts w:eastAsia="Calibri" w:cs="Calibri"/>
                <w:b/>
                <w:color w:val="000000"/>
                <w:sz w:val="18"/>
              </w:rPr>
            </w:pPr>
            <w:r w:rsidRPr="00270861">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143,548</w:t>
            </w:r>
          </w:p>
        </w:tc>
        <w:tc>
          <w:tcPr>
            <w:tcW w:w="600"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58,989</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37,766</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121,292</w:t>
            </w: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r>
      <w:tr w:rsidR="00FC3B1D" w:rsidRPr="00270861" w:rsidTr="00067864">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199,859</w:t>
            </w: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FC3B1D" w:rsidRPr="00270861" w:rsidRDefault="00FC3B1D" w:rsidP="00FC3B1D">
            <w:pPr>
              <w:spacing w:before="0" w:after="0"/>
              <w:ind w:left="113" w:hanging="113"/>
              <w:rPr>
                <w:rFonts w:eastAsia="Calibri" w:cs="Calibri"/>
                <w:b/>
                <w:color w:val="000000"/>
                <w:sz w:val="18"/>
              </w:rPr>
            </w:pPr>
            <w:r w:rsidRPr="00270861">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143,548</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58,989</w:t>
            </w:r>
          </w:p>
        </w:tc>
        <w:tc>
          <w:tcPr>
            <w:tcW w:w="600"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 xml:space="preserve">-59 </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37,766</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121,292</w:t>
            </w:r>
          </w:p>
        </w:tc>
        <w:tc>
          <w:tcPr>
            <w:tcW w:w="1035" w:type="dxa"/>
            <w:tcBorders>
              <w:top w:val="nil"/>
              <w:left w:val="nil"/>
              <w:bottom w:val="nil"/>
              <w:right w:val="nil"/>
              <w:tl2br w:val="nil"/>
              <w:tr2bl w:val="nil"/>
            </w:tcBorders>
            <w:shd w:val="clear" w:color="FFFFFF" w:fill="FFFFFF"/>
            <w:tcMar>
              <w:left w:w="101" w:type="dxa"/>
              <w:right w:w="101" w:type="dxa"/>
            </w:tcMar>
          </w:tcPr>
          <w:p w:rsidR="00FC3B1D" w:rsidRPr="00270861" w:rsidRDefault="00FC3B1D" w:rsidP="00FC3B1D">
            <w:pPr>
              <w:spacing w:before="0" w:after="0"/>
              <w:jc w:val="right"/>
              <w:rPr>
                <w:rFonts w:eastAsia="Calibri" w:cs="Calibri"/>
                <w:b/>
                <w:color w:val="000000"/>
                <w:sz w:val="18"/>
              </w:rPr>
            </w:pPr>
            <w:r w:rsidRPr="00270861">
              <w:rPr>
                <w:rFonts w:eastAsia="Calibri" w:cs="Calibri"/>
                <w:b/>
                <w:color w:val="000000"/>
                <w:sz w:val="18"/>
              </w:rPr>
              <w:t>97,550</w:t>
            </w:r>
          </w:p>
        </w:tc>
      </w:tr>
      <w:tr w:rsidR="00FC3B1D" w:rsidRPr="00270861" w:rsidTr="00067864">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FC3B1D" w:rsidRPr="00270861" w:rsidRDefault="00FC3B1D" w:rsidP="00FC3B1D">
            <w:pPr>
              <w:spacing w:before="0" w:after="0"/>
              <w:rPr>
                <w:rFonts w:eastAsia="Calibri" w:cs="Calibri"/>
                <w:color w:val="000000"/>
                <w:sz w:val="18"/>
              </w:rPr>
            </w:pPr>
          </w:p>
        </w:tc>
      </w:tr>
    </w:tbl>
    <w:p w:rsidR="008713D7" w:rsidRDefault="008713D7" w:rsidP="008713D7">
      <w:pPr>
        <w:pStyle w:val="Heading32"/>
        <w:pageBreakBefore/>
      </w:pPr>
      <w:bookmarkStart w:id="213" w:name="_Toc514763842"/>
      <w:bookmarkStart w:id="214" w:name="_Toc514841071"/>
      <w:r>
        <w:t>Notes to the Controlled Budget Statements</w:t>
      </w:r>
      <w:bookmarkEnd w:id="213"/>
      <w:bookmarkEnd w:id="214"/>
    </w:p>
    <w:p w:rsidR="008713D7" w:rsidRDefault="008713D7" w:rsidP="00692D0C">
      <w:pPr>
        <w:pStyle w:val="Normal8"/>
      </w:pPr>
      <w:r>
        <w:t>Significant variances are as follows:</w:t>
      </w:r>
    </w:p>
    <w:p w:rsidR="008713D7" w:rsidRDefault="008713D7" w:rsidP="00692D0C">
      <w:pPr>
        <w:pStyle w:val="Normal8"/>
        <w:rPr>
          <w:b/>
          <w:i/>
        </w:rPr>
      </w:pPr>
      <w:r>
        <w:rPr>
          <w:b/>
          <w:i/>
        </w:rPr>
        <w:t>Statement of Comprehensive Income</w:t>
      </w:r>
    </w:p>
    <w:p w:rsidR="008713D7" w:rsidRDefault="008713D7" w:rsidP="00692D0C">
      <w:pPr>
        <w:pStyle w:val="BSbullet1"/>
      </w:pPr>
      <w:r>
        <w:t>land revenue:</w:t>
      </w:r>
    </w:p>
    <w:p w:rsidR="008713D7" w:rsidRDefault="00692D0C" w:rsidP="00692D0C">
      <w:pPr>
        <w:pStyle w:val="BSbullet20"/>
        <w:jc w:val="left"/>
      </w:pPr>
      <w:r>
        <w:t>the decrease of $130.371 </w:t>
      </w:r>
      <w:r w:rsidR="008713D7">
        <w:t>millio</w:t>
      </w:r>
      <w:r>
        <w:t>n in the 2017</w:t>
      </w:r>
      <w:r>
        <w:noBreakHyphen/>
      </w:r>
      <w:r w:rsidR="008713D7">
        <w:t xml:space="preserve">18 </w:t>
      </w:r>
      <w:r>
        <w:t>estimated outcome from the 2017</w:t>
      </w:r>
      <w:r>
        <w:noBreakHyphen/>
      </w:r>
      <w:r w:rsidR="008713D7">
        <w:t xml:space="preserve">18 Budget is predominantly due to the delayed settlement of the Red Hill Precinct ARI sale and delayed Taylor and Throsby settlements; and </w:t>
      </w:r>
    </w:p>
    <w:p w:rsidR="008713D7" w:rsidRDefault="00692D0C" w:rsidP="00692D0C">
      <w:pPr>
        <w:pStyle w:val="BSbullet20"/>
        <w:jc w:val="left"/>
      </w:pPr>
      <w:r>
        <w:t>the increase of $255.185 million in the 2018</w:t>
      </w:r>
      <w:r>
        <w:noBreakHyphen/>
      </w:r>
      <w:r w:rsidR="008713D7">
        <w:t>19 Budget from the 201</w:t>
      </w:r>
      <w:r>
        <w:t>7</w:t>
      </w:r>
      <w:r>
        <w:noBreakHyphen/>
      </w:r>
      <w:r w:rsidR="008713D7">
        <w:t>18 estimated outcome is predominantly due to the increase in ARI site settlements including the delayed settlement of the Red Hill Precinct from 2017-18 and the inclusion of West Belconnen joint venture sales.  The land revenue attributable to the West Belconnen joint venture was included in the Share of Operating Profit from Joint Venture rathe</w:t>
      </w:r>
      <w:r>
        <w:t>r than Land Revenue in the 2017</w:t>
      </w:r>
      <w:r>
        <w:noBreakHyphen/>
      </w:r>
      <w:r w:rsidR="008713D7">
        <w:t>18 Budget.  This revenue is now proportionally consolidated with the Suburban La</w:t>
      </w:r>
      <w:r>
        <w:t>nd Agency’s revenue in the 2018</w:t>
      </w:r>
      <w:r>
        <w:noBreakHyphen/>
      </w:r>
      <w:r w:rsidR="008713D7">
        <w:t>19 Budget.</w:t>
      </w:r>
    </w:p>
    <w:p w:rsidR="008713D7" w:rsidRDefault="008713D7" w:rsidP="00692D0C">
      <w:pPr>
        <w:pStyle w:val="BSbullet1"/>
      </w:pPr>
      <w:r>
        <w:t>interest</w:t>
      </w:r>
      <w:r w:rsidR="00692D0C">
        <w:t>: the decrease of $3.160 million in the 2018</w:t>
      </w:r>
      <w:r w:rsidR="00692D0C">
        <w:noBreakHyphen/>
        <w:t>19 Budget from the 2017</w:t>
      </w:r>
      <w:r w:rsidR="00692D0C">
        <w:noBreakHyphen/>
      </w:r>
      <w:r>
        <w:t>18 estimated outcome is predominantly due to lower cash balances.</w:t>
      </w:r>
    </w:p>
    <w:p w:rsidR="008713D7" w:rsidRDefault="008713D7" w:rsidP="00692D0C">
      <w:pPr>
        <w:pStyle w:val="BSbullet1"/>
      </w:pPr>
      <w:r>
        <w:t>r</w:t>
      </w:r>
      <w:r w:rsidRPr="00DC4044">
        <w:t>esource</w:t>
      </w:r>
      <w:r>
        <w:t>s</w:t>
      </w:r>
      <w:r w:rsidRPr="00DC4044">
        <w:t xml:space="preserve"> </w:t>
      </w:r>
      <w:r>
        <w:t>r</w:t>
      </w:r>
      <w:r w:rsidRPr="00DC4044">
        <w:t xml:space="preserve">eceived </w:t>
      </w:r>
      <w:r>
        <w:t>f</w:t>
      </w:r>
      <w:r w:rsidRPr="00DC4044">
        <w:t xml:space="preserve">ree of </w:t>
      </w:r>
      <w:r>
        <w:t>c</w:t>
      </w:r>
      <w:r w:rsidRPr="00DC4044">
        <w:t>harge</w:t>
      </w:r>
      <w:r>
        <w:t>:</w:t>
      </w:r>
    </w:p>
    <w:p w:rsidR="008713D7" w:rsidRDefault="00692D0C" w:rsidP="00692D0C">
      <w:pPr>
        <w:pStyle w:val="BSbullet20"/>
        <w:jc w:val="left"/>
      </w:pPr>
      <w:r>
        <w:t>the increase of $4.247 million in the 2017</w:t>
      </w:r>
      <w:r>
        <w:noBreakHyphen/>
      </w:r>
      <w:r w:rsidR="008713D7">
        <w:t xml:space="preserve">18 </w:t>
      </w:r>
      <w:r>
        <w:t>estimated outcome from the 2017</w:t>
      </w:r>
      <w:r>
        <w:noBreakHyphen/>
      </w:r>
      <w:r w:rsidR="008713D7">
        <w:t>18 Budget is predominantly due to higher level of asset transfers from other Government agencies free of charge; and</w:t>
      </w:r>
    </w:p>
    <w:p w:rsidR="008713D7" w:rsidRDefault="008713D7" w:rsidP="00692D0C">
      <w:pPr>
        <w:pStyle w:val="BSbullet20"/>
        <w:jc w:val="left"/>
      </w:pPr>
      <w:r>
        <w:t xml:space="preserve">the </w:t>
      </w:r>
      <w:r w:rsidRPr="00DC4044">
        <w:t>decrease of $</w:t>
      </w:r>
      <w:r>
        <w:t>4.741</w:t>
      </w:r>
      <w:r w:rsidR="00692D0C">
        <w:t> million in the 2018</w:t>
      </w:r>
      <w:r w:rsidR="00692D0C">
        <w:noBreakHyphen/>
      </w:r>
      <w:r w:rsidRPr="00DC4044">
        <w:t xml:space="preserve">19 </w:t>
      </w:r>
      <w:r>
        <w:t>B</w:t>
      </w:r>
      <w:r w:rsidR="00692D0C">
        <w:t>udget from the 2017</w:t>
      </w:r>
      <w:r w:rsidR="00692D0C">
        <w:noBreakHyphen/>
      </w:r>
      <w:r w:rsidRPr="00DC4044">
        <w:t>18 estimated outcome is predominately due to asset transfers from other Government agencies free of charge</w:t>
      </w:r>
      <w:r>
        <w:t xml:space="preserve"> returning to normal levels.</w:t>
      </w:r>
    </w:p>
    <w:p w:rsidR="008713D7" w:rsidRDefault="008713D7" w:rsidP="00692D0C">
      <w:pPr>
        <w:pStyle w:val="BSbullet1"/>
      </w:pPr>
      <w:r>
        <w:t>employee expenses:</w:t>
      </w:r>
    </w:p>
    <w:p w:rsidR="008713D7" w:rsidRPr="00A01A9B" w:rsidRDefault="008713D7" w:rsidP="00692D0C">
      <w:pPr>
        <w:pStyle w:val="BSbullet20"/>
        <w:jc w:val="left"/>
      </w:pPr>
      <w:r w:rsidRPr="00A01A9B">
        <w:t>the decrease of $3.</w:t>
      </w:r>
      <w:r>
        <w:t>577</w:t>
      </w:r>
      <w:r w:rsidR="00692D0C">
        <w:t> million in the 2017</w:t>
      </w:r>
      <w:r w:rsidR="00692D0C">
        <w:noBreakHyphen/>
      </w:r>
      <w:r w:rsidRPr="00A01A9B">
        <w:t xml:space="preserve">18 </w:t>
      </w:r>
      <w:r w:rsidR="00692D0C">
        <w:t>estimated outcome from the 2017</w:t>
      </w:r>
      <w:r w:rsidR="00692D0C">
        <w:noBreakHyphen/>
      </w:r>
      <w:r w:rsidRPr="00A01A9B">
        <w:t xml:space="preserve">18 Budget is due to the capitalisation of project salaries, vacancies throughout the year and a one-off </w:t>
      </w:r>
      <w:r w:rsidR="00692D0C">
        <w:t>reduction (approximately $1.1 </w:t>
      </w:r>
      <w:r w:rsidRPr="00A01A9B">
        <w:t xml:space="preserve">million) in leave provisions as a result of staff transferred to other </w:t>
      </w:r>
      <w:r>
        <w:t>a</w:t>
      </w:r>
      <w:r w:rsidRPr="00A01A9B">
        <w:t>gencies upon discontinuation of the form</w:t>
      </w:r>
      <w:r>
        <w:t>er Land Development Agency; and</w:t>
      </w:r>
    </w:p>
    <w:p w:rsidR="008713D7" w:rsidRPr="00A01A9B" w:rsidRDefault="008713D7" w:rsidP="00692D0C">
      <w:pPr>
        <w:pStyle w:val="BSbullet20"/>
        <w:jc w:val="left"/>
      </w:pPr>
      <w:r w:rsidRPr="00A01A9B">
        <w:t>the increase of $4.</w:t>
      </w:r>
      <w:r>
        <w:t>509</w:t>
      </w:r>
      <w:r w:rsidR="00692D0C">
        <w:t> million in the 2018</w:t>
      </w:r>
      <w:r w:rsidR="00692D0C">
        <w:noBreakHyphen/>
        <w:t>19 Budget from the 2017</w:t>
      </w:r>
      <w:r w:rsidR="00692D0C">
        <w:noBreakHyphen/>
      </w:r>
      <w:r w:rsidRPr="00A01A9B">
        <w:t xml:space="preserve">18 estimated outcome is due to an increase </w:t>
      </w:r>
      <w:r w:rsidR="00692D0C">
        <w:t>in the budgeted FTE in the 2018</w:t>
      </w:r>
      <w:r w:rsidR="00692D0C">
        <w:noBreakHyphen/>
      </w:r>
      <w:r w:rsidRPr="00A01A9B">
        <w:t xml:space="preserve">19 financial year, </w:t>
      </w:r>
      <w:r w:rsidR="00692D0C">
        <w:t>effects of the 2017</w:t>
      </w:r>
      <w:r w:rsidR="00692D0C">
        <w:noBreakHyphen/>
      </w:r>
      <w:r>
        <w:t xml:space="preserve">18 </w:t>
      </w:r>
      <w:r w:rsidRPr="00A01A9B">
        <w:t xml:space="preserve">one-off reduction in leave provisions as a result of staff transferred to other </w:t>
      </w:r>
      <w:r>
        <w:t>a</w:t>
      </w:r>
      <w:r w:rsidRPr="00A01A9B">
        <w:t>gencies and lower capitalisation of salaries</w:t>
      </w:r>
      <w:r w:rsidR="00692D0C">
        <w:t xml:space="preserve"> than 2017</w:t>
      </w:r>
      <w:r w:rsidR="00692D0C">
        <w:noBreakHyphen/>
      </w:r>
      <w:r>
        <w:t>18</w:t>
      </w:r>
      <w:r w:rsidRPr="00A01A9B">
        <w:t>.</w:t>
      </w:r>
    </w:p>
    <w:p w:rsidR="005E27E0" w:rsidRDefault="005E27E0" w:rsidP="00692D0C">
      <w:pPr>
        <w:spacing w:before="0" w:after="0"/>
        <w:rPr>
          <w:szCs w:val="24"/>
        </w:rPr>
      </w:pPr>
      <w:r>
        <w:br w:type="page"/>
      </w:r>
    </w:p>
    <w:p w:rsidR="008713D7" w:rsidRDefault="008713D7" w:rsidP="00692D0C">
      <w:pPr>
        <w:pStyle w:val="BSbullet1"/>
      </w:pPr>
      <w:r>
        <w:t>supplies and services:</w:t>
      </w:r>
    </w:p>
    <w:p w:rsidR="008713D7" w:rsidRDefault="00692D0C" w:rsidP="00692D0C">
      <w:pPr>
        <w:pStyle w:val="BSbullet20"/>
        <w:jc w:val="left"/>
      </w:pPr>
      <w:r>
        <w:t>the decrease of $9.354 million in the 2017</w:t>
      </w:r>
      <w:r>
        <w:noBreakHyphen/>
      </w:r>
      <w:r w:rsidR="008713D7">
        <w:t xml:space="preserve">18 </w:t>
      </w:r>
      <w:r>
        <w:t>estimated outcome from the 2017</w:t>
      </w:r>
      <w:r>
        <w:noBreakHyphen/>
      </w:r>
      <w:r w:rsidR="008713D7">
        <w:t>18 Budget is predominantly due to revisions in the timing of project related expenses, such as professional fees, sales and marketing, based on the outcome of cost estimate revisions and the de</w:t>
      </w:r>
      <w:r>
        <w:t>lay of some settlements in 2017</w:t>
      </w:r>
      <w:r>
        <w:noBreakHyphen/>
      </w:r>
      <w:r w:rsidR="008713D7">
        <w:t>18; and</w:t>
      </w:r>
    </w:p>
    <w:p w:rsidR="008713D7" w:rsidRDefault="00692D0C" w:rsidP="00692D0C">
      <w:pPr>
        <w:pStyle w:val="BSbullet20"/>
        <w:jc w:val="left"/>
      </w:pPr>
      <w:r>
        <w:t>the increase of $12.123 million in the 2018</w:t>
      </w:r>
      <w:r>
        <w:noBreakHyphen/>
        <w:t>19 Budget from the 2017</w:t>
      </w:r>
      <w:r>
        <w:noBreakHyphen/>
      </w:r>
      <w:r w:rsidR="008713D7">
        <w:t xml:space="preserve">18 estimated outcome is predominantly due to increased project related expenses resulting from higher land settlements in </w:t>
      </w:r>
      <w:r>
        <w:t>2018</w:t>
      </w:r>
      <w:r>
        <w:noBreakHyphen/>
      </w:r>
      <w:r w:rsidR="008713D7">
        <w:t>19 in</w:t>
      </w:r>
      <w:r>
        <w:t>cluding those delayed from 2017</w:t>
      </w:r>
      <w:r>
        <w:noBreakHyphen/>
      </w:r>
      <w:r w:rsidR="008713D7">
        <w:t>18.</w:t>
      </w:r>
    </w:p>
    <w:p w:rsidR="008713D7" w:rsidRDefault="008713D7" w:rsidP="00692D0C">
      <w:pPr>
        <w:pStyle w:val="BSbullet1"/>
      </w:pPr>
      <w:r>
        <w:t>cost of goods sold:</w:t>
      </w:r>
    </w:p>
    <w:p w:rsidR="008713D7" w:rsidRDefault="00692D0C" w:rsidP="00692D0C">
      <w:pPr>
        <w:pStyle w:val="BSbullet20"/>
        <w:jc w:val="left"/>
      </w:pPr>
      <w:r>
        <w:t>the decrease of $92.710 million in the 2017</w:t>
      </w:r>
      <w:r>
        <w:noBreakHyphen/>
      </w:r>
      <w:r w:rsidR="008713D7">
        <w:t xml:space="preserve">18 </w:t>
      </w:r>
      <w:r>
        <w:t>estimated outcome from the 2017</w:t>
      </w:r>
      <w:r>
        <w:noBreakHyphen/>
      </w:r>
      <w:r w:rsidR="008713D7">
        <w:t>18 Budget reflects the lower land sales and cost estimate revisions; and</w:t>
      </w:r>
    </w:p>
    <w:p w:rsidR="008713D7" w:rsidRDefault="00692D0C" w:rsidP="00692D0C">
      <w:pPr>
        <w:pStyle w:val="BSbullet20"/>
        <w:jc w:val="left"/>
      </w:pPr>
      <w:r>
        <w:t>the increase of $138.542 </w:t>
      </w:r>
      <w:r w:rsidR="008713D7">
        <w:t>million in th</w:t>
      </w:r>
      <w:r>
        <w:t>e 2018</w:t>
      </w:r>
      <w:r>
        <w:noBreakHyphen/>
        <w:t>19 Budget from the 2017</w:t>
      </w:r>
      <w:r>
        <w:noBreakHyphen/>
      </w:r>
      <w:r w:rsidR="008713D7">
        <w:t>18 estimated outcome is predominantly due to higher land settlements and the proportionate consolidation of the West Belconnen joint venture’s Cost of Goods Sold.</w:t>
      </w:r>
    </w:p>
    <w:p w:rsidR="008713D7" w:rsidRDefault="008713D7" w:rsidP="00692D0C">
      <w:pPr>
        <w:pStyle w:val="BSbullet1"/>
      </w:pPr>
      <w:r>
        <w:t>other expenses:</w:t>
      </w:r>
    </w:p>
    <w:p w:rsidR="008713D7" w:rsidRDefault="00692D0C" w:rsidP="00692D0C">
      <w:pPr>
        <w:pStyle w:val="BSbullet20"/>
        <w:jc w:val="left"/>
      </w:pPr>
      <w:r>
        <w:t>the increase of $42.406 million in the 2017</w:t>
      </w:r>
      <w:r>
        <w:noBreakHyphen/>
      </w:r>
      <w:r w:rsidR="008713D7">
        <w:t xml:space="preserve">18 </w:t>
      </w:r>
      <w:r>
        <w:t>estimated outcome from the 2017</w:t>
      </w:r>
      <w:r>
        <w:noBreakHyphen/>
      </w:r>
      <w:r w:rsidR="008713D7">
        <w:t>18 Budget is predominantly due to the write down of ARI sites transferred from other ACT Government agenci</w:t>
      </w:r>
      <w:r>
        <w:t>es which were delayed from 2016</w:t>
      </w:r>
      <w:r>
        <w:noBreakHyphen/>
      </w:r>
      <w:r w:rsidR="008713D7">
        <w:t>17 and an increased write down of one transferred ARI site; and</w:t>
      </w:r>
    </w:p>
    <w:p w:rsidR="008713D7" w:rsidRDefault="008713D7" w:rsidP="00692D0C">
      <w:pPr>
        <w:pStyle w:val="BSbullet20"/>
        <w:jc w:val="left"/>
      </w:pPr>
      <w:r>
        <w:t>the increase of $41.7</w:t>
      </w:r>
      <w:r w:rsidR="00692D0C">
        <w:t>76 million in the 2018</w:t>
      </w:r>
      <w:r w:rsidR="00692D0C">
        <w:noBreakHyphen/>
        <w:t>19 Budget from the 2017</w:t>
      </w:r>
      <w:r w:rsidR="00692D0C">
        <w:noBreakHyphen/>
      </w:r>
      <w:r>
        <w:t>18 estimated outcome is predominantly due to the increase in the transfer of ARI sites from other ACT Government agencies.</w:t>
      </w:r>
    </w:p>
    <w:p w:rsidR="008713D7" w:rsidRDefault="008713D7" w:rsidP="00692D0C">
      <w:pPr>
        <w:pStyle w:val="BSbullet1"/>
      </w:pPr>
      <w:r>
        <w:t>share of operating result from joint v</w:t>
      </w:r>
      <w:r w:rsidR="00692D0C">
        <w:t>enture:  the decrease of $4.222 </w:t>
      </w:r>
      <w:r>
        <w:t>million in the 2</w:t>
      </w:r>
      <w:r w:rsidR="00692D0C">
        <w:t>017</w:t>
      </w:r>
      <w:r w:rsidR="00692D0C">
        <w:noBreakHyphen/>
      </w:r>
      <w:r>
        <w:t xml:space="preserve">18 </w:t>
      </w:r>
      <w:r w:rsidR="00692D0C">
        <w:t>estimated outcome from the 2017</w:t>
      </w:r>
      <w:r w:rsidR="00692D0C">
        <w:noBreakHyphen/>
      </w:r>
      <w:r>
        <w:t xml:space="preserve">18 Budget is due to the </w:t>
      </w:r>
      <w:r>
        <w:rPr>
          <w:szCs w:val="20"/>
        </w:rPr>
        <w:t>proportionate consolidation of the West Belconnen joint venture financials into the Suburban Land Agency's accounts rather than being accounted for in equity.</w:t>
      </w:r>
    </w:p>
    <w:p w:rsidR="008713D7" w:rsidRDefault="008713D7" w:rsidP="00692D0C">
      <w:pPr>
        <w:pStyle w:val="BSbullet1"/>
      </w:pPr>
      <w:r>
        <w:t>income tax equivalent:</w:t>
      </w:r>
    </w:p>
    <w:p w:rsidR="008713D7" w:rsidRDefault="008713D7" w:rsidP="00692D0C">
      <w:pPr>
        <w:pStyle w:val="BSbullet20"/>
        <w:jc w:val="left"/>
      </w:pPr>
      <w:r>
        <w:t>the decreas</w:t>
      </w:r>
      <w:r w:rsidR="00692D0C">
        <w:t>e of $19.997 million in the 2017</w:t>
      </w:r>
      <w:r w:rsidR="00692D0C">
        <w:noBreakHyphen/>
      </w:r>
      <w:r>
        <w:t xml:space="preserve">18 </w:t>
      </w:r>
      <w:r w:rsidR="00692D0C">
        <w:t>estimated outcome from the 2017</w:t>
      </w:r>
      <w:r w:rsidR="00692D0C">
        <w:noBreakHyphen/>
      </w:r>
      <w:r>
        <w:t>18 Budget is due to the lower operating result; and</w:t>
      </w:r>
    </w:p>
    <w:p w:rsidR="008713D7" w:rsidRDefault="00692D0C" w:rsidP="00692D0C">
      <w:pPr>
        <w:pStyle w:val="BSbullet20"/>
        <w:jc w:val="left"/>
      </w:pPr>
      <w:r>
        <w:t>the increase of $14.491 million in the 2018</w:t>
      </w:r>
      <w:r>
        <w:noBreakHyphen/>
        <w:t>19 Budget from the 2017</w:t>
      </w:r>
      <w:r>
        <w:noBreakHyphen/>
      </w:r>
      <w:r w:rsidR="008713D7">
        <w:t>18 estimated outcome is due to the higher operating result.</w:t>
      </w:r>
    </w:p>
    <w:p w:rsidR="005E27E0" w:rsidRDefault="005E27E0">
      <w:pPr>
        <w:spacing w:before="0" w:after="0"/>
        <w:rPr>
          <w:b/>
          <w:i/>
        </w:rPr>
      </w:pPr>
      <w:r>
        <w:br w:type="page"/>
      </w:r>
    </w:p>
    <w:p w:rsidR="008713D7" w:rsidRDefault="008713D7" w:rsidP="008713D7">
      <w:pPr>
        <w:pStyle w:val="Heading4"/>
      </w:pPr>
      <w:r>
        <w:t>Balance Sheet</w:t>
      </w:r>
    </w:p>
    <w:p w:rsidR="008713D7" w:rsidRDefault="008713D7" w:rsidP="00692D0C">
      <w:pPr>
        <w:pStyle w:val="BSbullet1"/>
      </w:pPr>
      <w:bookmarkStart w:id="215" w:name="OLE_LINK5"/>
      <w:r>
        <w:t>cash and cash equivalents:</w:t>
      </w:r>
    </w:p>
    <w:p w:rsidR="008713D7" w:rsidRDefault="00692D0C" w:rsidP="00692D0C">
      <w:pPr>
        <w:pStyle w:val="BSbullet20"/>
        <w:jc w:val="left"/>
      </w:pPr>
      <w:r>
        <w:t>the decrease of $56.311 million in the 2017</w:t>
      </w:r>
      <w:r>
        <w:noBreakHyphen/>
      </w:r>
      <w:r w:rsidR="008713D7">
        <w:t xml:space="preserve">18 </w:t>
      </w:r>
      <w:r>
        <w:t>estimated outcome from the 2017</w:t>
      </w:r>
      <w:r>
        <w:noBreakHyphen/>
      </w:r>
      <w:r w:rsidR="008713D7">
        <w:t>18 Budget is predominantly due to the</w:t>
      </w:r>
      <w:r>
        <w:t xml:space="preserve"> payment of the balance of 2016</w:t>
      </w:r>
      <w:r>
        <w:noBreakHyphen/>
        <w:t>17 dividends in the 2017</w:t>
      </w:r>
      <w:r>
        <w:noBreakHyphen/>
      </w:r>
      <w:r w:rsidR="008713D7">
        <w:t xml:space="preserve">18 financial year which was not envisaged to be </w:t>
      </w:r>
      <w:r>
        <w:t>paid in the 2017</w:t>
      </w:r>
      <w:r>
        <w:noBreakHyphen/>
      </w:r>
      <w:r w:rsidR="008713D7">
        <w:t>18 Budget; and</w:t>
      </w:r>
    </w:p>
    <w:p w:rsidR="008713D7" w:rsidRDefault="00692D0C" w:rsidP="00692D0C">
      <w:pPr>
        <w:pStyle w:val="BSbullet20"/>
        <w:jc w:val="left"/>
      </w:pPr>
      <w:r>
        <w:t>the decrease of $84.559 million in the 2018</w:t>
      </w:r>
      <w:r>
        <w:noBreakHyphen/>
        <w:t>19 Budget from the 2017</w:t>
      </w:r>
      <w:r>
        <w:noBreakHyphen/>
      </w:r>
      <w:r w:rsidR="008713D7">
        <w:t>18 estimated outcome is predominantly due to increases in capitalised development costs, capital distribution payments and dividend payments.</w:t>
      </w:r>
    </w:p>
    <w:p w:rsidR="008713D7" w:rsidRDefault="008713D7" w:rsidP="00692D0C">
      <w:pPr>
        <w:pStyle w:val="BSbullet1"/>
        <w:rPr>
          <w:rFonts w:cs="Calibri"/>
        </w:rPr>
      </w:pPr>
      <w:r>
        <w:t>current and non current receivables:</w:t>
      </w:r>
    </w:p>
    <w:p w:rsidR="008713D7" w:rsidRDefault="00021C2D" w:rsidP="00692D0C">
      <w:pPr>
        <w:pStyle w:val="BSbullet20"/>
        <w:jc w:val="left"/>
      </w:pPr>
      <w:r>
        <w:t>the increase of $22.111 million in the 2017</w:t>
      </w:r>
      <w:r>
        <w:noBreakHyphen/>
      </w:r>
      <w:r w:rsidR="008713D7">
        <w:t xml:space="preserve">18 </w:t>
      </w:r>
      <w:r>
        <w:t>estimated outcome from the 2017</w:t>
      </w:r>
      <w:r>
        <w:noBreakHyphen/>
      </w:r>
      <w:r w:rsidR="008713D7">
        <w:t>18 Budget is predominantly due to higher infrastructure asset receivables recognised and loan receivable from the joint venture, previously budgeted in Investment - Joint Venture; and</w:t>
      </w:r>
    </w:p>
    <w:p w:rsidR="008713D7" w:rsidRDefault="00021C2D" w:rsidP="00692D0C">
      <w:pPr>
        <w:pStyle w:val="BSbullet20"/>
        <w:jc w:val="left"/>
      </w:pPr>
      <w:r>
        <w:t>the increase of $9.619 million in the 2018</w:t>
      </w:r>
      <w:r>
        <w:noBreakHyphen/>
        <w:t>19 Budget from the 2017</w:t>
      </w:r>
      <w:r>
        <w:noBreakHyphen/>
      </w:r>
      <w:r w:rsidR="008713D7">
        <w:t>18 estimated outcome is predominantly due to the loan receivable from the joint venture.</w:t>
      </w:r>
    </w:p>
    <w:p w:rsidR="008713D7" w:rsidRPr="0083316C" w:rsidRDefault="008713D7" w:rsidP="00692D0C">
      <w:pPr>
        <w:pStyle w:val="BSbullet1"/>
        <w:rPr>
          <w:rFonts w:cs="Calibri"/>
        </w:rPr>
      </w:pPr>
      <w:r>
        <w:t>current and non current inventory:</w:t>
      </w:r>
    </w:p>
    <w:p w:rsidR="008713D7" w:rsidRPr="0083316C" w:rsidRDefault="00021C2D" w:rsidP="00692D0C">
      <w:pPr>
        <w:pStyle w:val="BSbullet20"/>
        <w:jc w:val="left"/>
        <w:rPr>
          <w:rFonts w:cs="Calibri"/>
        </w:rPr>
      </w:pPr>
      <w:r>
        <w:t>the decrease of $47.380 </w:t>
      </w:r>
      <w:r w:rsidR="008713D7">
        <w:t xml:space="preserve">million in </w:t>
      </w:r>
      <w:r>
        <w:t>the 2017</w:t>
      </w:r>
      <w:r>
        <w:noBreakHyphen/>
      </w:r>
      <w:r w:rsidR="008713D7">
        <w:t xml:space="preserve">18 </w:t>
      </w:r>
      <w:r>
        <w:t>estimated outcome from the 2017</w:t>
      </w:r>
      <w:r>
        <w:noBreakHyphen/>
      </w:r>
      <w:r w:rsidR="008713D7">
        <w:t>18 Budget is predominantly due to a decrease in capitalised development expenses; and</w:t>
      </w:r>
    </w:p>
    <w:p w:rsidR="008713D7" w:rsidRDefault="00021C2D" w:rsidP="00692D0C">
      <w:pPr>
        <w:pStyle w:val="BSbullet20"/>
        <w:jc w:val="left"/>
        <w:rPr>
          <w:rFonts w:cs="Calibri"/>
        </w:rPr>
      </w:pPr>
      <w:r>
        <w:t>the increase of $79.193 million in the 2018</w:t>
      </w:r>
      <w:r>
        <w:noBreakHyphen/>
        <w:t>19 Budget from the 2017</w:t>
      </w:r>
      <w:r>
        <w:noBreakHyphen/>
      </w:r>
      <w:r w:rsidR="008713D7">
        <w:t>18 estimated outcome is predominantly due to construction occurring in Taylor, Whitlam, North Wright and Kingston Foreshore with settlements scheduled in future years.</w:t>
      </w:r>
    </w:p>
    <w:p w:rsidR="008713D7" w:rsidRDefault="008713D7" w:rsidP="00692D0C">
      <w:pPr>
        <w:pStyle w:val="BSbullet1"/>
      </w:pPr>
      <w:r>
        <w:t>non current invest</w:t>
      </w:r>
      <w:r w:rsidR="00021C2D">
        <w:t>ments:  the decrease of $47.193 million in the 2017</w:t>
      </w:r>
      <w:r w:rsidR="00021C2D">
        <w:noBreakHyphen/>
      </w:r>
      <w:r>
        <w:t xml:space="preserve">18 estimated </w:t>
      </w:r>
      <w:r w:rsidR="00021C2D">
        <w:t>outcome from the 2017</w:t>
      </w:r>
      <w:r w:rsidR="00021C2D">
        <w:noBreakHyphen/>
      </w:r>
      <w:r w:rsidRPr="006A1301">
        <w:t xml:space="preserve">18 Budget is due to the </w:t>
      </w:r>
      <w:r w:rsidRPr="006A1301">
        <w:rPr>
          <w:szCs w:val="20"/>
        </w:rPr>
        <w:t xml:space="preserve">proportionate consolidation of the West Belconnen joint venture financials into the Suburban Land Agency's accounts rather than being treated as </w:t>
      </w:r>
      <w:r>
        <w:rPr>
          <w:szCs w:val="20"/>
        </w:rPr>
        <w:t>I</w:t>
      </w:r>
      <w:r w:rsidRPr="006A1301">
        <w:rPr>
          <w:szCs w:val="20"/>
        </w:rPr>
        <w:t xml:space="preserve">nvestment </w:t>
      </w:r>
      <w:r>
        <w:rPr>
          <w:szCs w:val="20"/>
        </w:rPr>
        <w:t>- J</w:t>
      </w:r>
      <w:r w:rsidRPr="006A1301">
        <w:rPr>
          <w:szCs w:val="20"/>
        </w:rPr>
        <w:t xml:space="preserve">oint </w:t>
      </w:r>
      <w:r>
        <w:rPr>
          <w:szCs w:val="20"/>
        </w:rPr>
        <w:t>V</w:t>
      </w:r>
      <w:r w:rsidRPr="006A1301">
        <w:rPr>
          <w:szCs w:val="20"/>
        </w:rPr>
        <w:t>enture.</w:t>
      </w:r>
    </w:p>
    <w:p w:rsidR="008713D7" w:rsidRDefault="008713D7" w:rsidP="00692D0C">
      <w:pPr>
        <w:pStyle w:val="BSbullet1"/>
        <w:rPr>
          <w:rFonts w:cs="Arial"/>
          <w:sz w:val="22"/>
          <w:szCs w:val="22"/>
        </w:rPr>
      </w:pPr>
      <w:r>
        <w:t>current payables:</w:t>
      </w:r>
    </w:p>
    <w:p w:rsidR="008713D7" w:rsidRDefault="00021C2D" w:rsidP="00692D0C">
      <w:pPr>
        <w:pStyle w:val="BSbullet20"/>
        <w:jc w:val="left"/>
      </w:pPr>
      <w:r>
        <w:t>the increase of $66.459 million in the 2017</w:t>
      </w:r>
      <w:r>
        <w:noBreakHyphen/>
      </w:r>
      <w:r w:rsidR="008713D7">
        <w:t xml:space="preserve">18 </w:t>
      </w:r>
      <w:r>
        <w:t>estimated outcome from the 2017</w:t>
      </w:r>
      <w:r>
        <w:noBreakHyphen/>
      </w:r>
      <w:r w:rsidR="008713D7">
        <w:t>18 Budget is predominantly due to an increase in capital distributions payable and reclassification and inclusion of the provision for land payment</w:t>
      </w:r>
      <w:r w:rsidR="00606024">
        <w:t>s</w:t>
      </w:r>
      <w:r w:rsidR="008713D7">
        <w:t xml:space="preserve"> to the Environment, Planning and Sustainable Development Directorate which was included in Other Liabilities in</w:t>
      </w:r>
      <w:r>
        <w:t xml:space="preserve"> the 2017</w:t>
      </w:r>
      <w:r>
        <w:noBreakHyphen/>
      </w:r>
      <w:r w:rsidR="008713D7">
        <w:t>18 Budget; and</w:t>
      </w:r>
    </w:p>
    <w:p w:rsidR="008713D7" w:rsidRDefault="00021C2D" w:rsidP="00692D0C">
      <w:pPr>
        <w:pStyle w:val="BSbullet20"/>
        <w:jc w:val="left"/>
      </w:pPr>
      <w:r>
        <w:t>the decrease of $47.793 million in the 2018</w:t>
      </w:r>
      <w:r>
        <w:noBreakHyphen/>
        <w:t>19 Budget from the 2017</w:t>
      </w:r>
      <w:r>
        <w:noBreakHyphen/>
      </w:r>
      <w:r w:rsidR="008713D7">
        <w:t>18 estimated outcome is due to the payment of capital distributions to the Territory upon settlement of ARI sites.</w:t>
      </w:r>
    </w:p>
    <w:p w:rsidR="00F267DE" w:rsidRDefault="00F267DE">
      <w:pPr>
        <w:spacing w:before="0" w:after="0"/>
        <w:rPr>
          <w:szCs w:val="24"/>
        </w:rPr>
      </w:pPr>
      <w:r>
        <w:br w:type="page"/>
      </w:r>
    </w:p>
    <w:p w:rsidR="008713D7" w:rsidRDefault="008713D7" w:rsidP="00692D0C">
      <w:pPr>
        <w:pStyle w:val="BSbullet1"/>
      </w:pPr>
      <w:r>
        <w:t xml:space="preserve">current and non current other provisions: </w:t>
      </w:r>
      <w:bookmarkEnd w:id="215"/>
      <w:r>
        <w:t xml:space="preserve"> the d</w:t>
      </w:r>
      <w:r w:rsidR="00021C2D">
        <w:t>ecrease of $61.361 </w:t>
      </w:r>
      <w:r>
        <w:t xml:space="preserve">million in the </w:t>
      </w:r>
      <w:r w:rsidR="00021C2D">
        <w:t>2017</w:t>
      </w:r>
      <w:r w:rsidR="00021C2D">
        <w:noBreakHyphen/>
      </w:r>
      <w:r w:rsidRPr="006A1301">
        <w:t xml:space="preserve">18 </w:t>
      </w:r>
      <w:r w:rsidR="00021C2D">
        <w:t>estimated outcome from the 2017</w:t>
      </w:r>
      <w:r w:rsidR="00021C2D">
        <w:noBreakHyphen/>
      </w:r>
      <w:r w:rsidRPr="006A1301">
        <w:t>18 Budget is predominantly due to a decrease in the provision for pro</w:t>
      </w:r>
      <w:r>
        <w:t>ject completion resulting from a</w:t>
      </w:r>
      <w:r w:rsidRPr="006A1301">
        <w:t xml:space="preserve"> review of project cost</w:t>
      </w:r>
      <w:r>
        <w:t xml:space="preserve"> estimates</w:t>
      </w:r>
      <w:r w:rsidRPr="006A1301">
        <w:t>.</w:t>
      </w:r>
    </w:p>
    <w:p w:rsidR="008713D7" w:rsidRDefault="008713D7" w:rsidP="00692D0C">
      <w:pPr>
        <w:pStyle w:val="BSbullet1"/>
      </w:pPr>
      <w:r>
        <w:t>income tax payable:</w:t>
      </w:r>
    </w:p>
    <w:p w:rsidR="008713D7" w:rsidRDefault="00021C2D" w:rsidP="00692D0C">
      <w:pPr>
        <w:pStyle w:val="BSbullet20"/>
        <w:jc w:val="left"/>
      </w:pPr>
      <w:r>
        <w:t>the increase of $22.476 </w:t>
      </w:r>
      <w:r w:rsidR="008713D7">
        <w:t>mi</w:t>
      </w:r>
      <w:r>
        <w:t>llion in the 2017</w:t>
      </w:r>
      <w:r>
        <w:noBreakHyphen/>
      </w:r>
      <w:r w:rsidR="008713D7">
        <w:t xml:space="preserve">18 </w:t>
      </w:r>
      <w:r>
        <w:t>estimated outcome from the 2017</w:t>
      </w:r>
      <w:r>
        <w:noBreakHyphen/>
      </w:r>
      <w:r w:rsidR="008713D7">
        <w:t>18 Budget is predominantly due to a lower amount paid in income tax instalments during the year resulting in higher income tax remaining to be paid; and</w:t>
      </w:r>
    </w:p>
    <w:p w:rsidR="008713D7" w:rsidRDefault="00021C2D" w:rsidP="00692D0C">
      <w:pPr>
        <w:pStyle w:val="BSbullet20"/>
        <w:jc w:val="left"/>
      </w:pPr>
      <w:r>
        <w:t>the increase of $6.004 million in the 2018</w:t>
      </w:r>
      <w:r>
        <w:noBreakHyphen/>
      </w:r>
      <w:r w:rsidR="008713D7">
        <w:t>19 Budg</w:t>
      </w:r>
      <w:r>
        <w:t>et from the 2017</w:t>
      </w:r>
      <w:r>
        <w:noBreakHyphen/>
      </w:r>
      <w:r w:rsidR="008713D7">
        <w:t>18 estimated outcome is largely due a higher operating result.</w:t>
      </w:r>
    </w:p>
    <w:p w:rsidR="008713D7" w:rsidRDefault="008713D7" w:rsidP="00692D0C">
      <w:pPr>
        <w:pStyle w:val="BSbullet1"/>
      </w:pPr>
      <w:r>
        <w:t>deferred tax li</w:t>
      </w:r>
      <w:r w:rsidR="00021C2D">
        <w:t>ability: the increase of $9.574 million in the 2017</w:t>
      </w:r>
      <w:r w:rsidR="00021C2D">
        <w:noBreakHyphen/>
      </w:r>
      <w:r>
        <w:t xml:space="preserve">18 </w:t>
      </w:r>
      <w:r w:rsidR="00021C2D">
        <w:t>estimated outcome from the 2017</w:t>
      </w:r>
      <w:r w:rsidR="00021C2D">
        <w:noBreakHyphen/>
      </w:r>
      <w:r>
        <w:t>18 Budget is due to an actual tax liability deferred at the end of the 201</w:t>
      </w:r>
      <w:r w:rsidR="00021C2D">
        <w:t>6</w:t>
      </w:r>
      <w:r w:rsidR="00021C2D">
        <w:noBreakHyphen/>
      </w:r>
      <w:r>
        <w:t xml:space="preserve">17 financial year </w:t>
      </w:r>
      <w:r w:rsidR="00021C2D">
        <w:t>which was unknown when the 2017</w:t>
      </w:r>
      <w:r w:rsidR="00021C2D">
        <w:noBreakHyphen/>
      </w:r>
      <w:r>
        <w:t>18 Budget was developed.</w:t>
      </w:r>
    </w:p>
    <w:p w:rsidR="008713D7" w:rsidRDefault="008713D7" w:rsidP="00692D0C">
      <w:pPr>
        <w:pStyle w:val="BSbullet1"/>
      </w:pPr>
      <w:r>
        <w:t>current and non current other liabilities:</w:t>
      </w:r>
    </w:p>
    <w:p w:rsidR="008713D7" w:rsidRPr="002D29ED" w:rsidRDefault="00021C2D" w:rsidP="00692D0C">
      <w:pPr>
        <w:pStyle w:val="BSbullet20"/>
        <w:jc w:val="left"/>
      </w:pPr>
      <w:r>
        <w:t>the decrease of $173.516 </w:t>
      </w:r>
      <w:r w:rsidR="008713D7">
        <w:t xml:space="preserve">million in the </w:t>
      </w:r>
      <w:r>
        <w:rPr>
          <w:lang w:val="en-US"/>
        </w:rPr>
        <w:t>2017</w:t>
      </w:r>
      <w:r>
        <w:rPr>
          <w:lang w:val="en-US"/>
        </w:rPr>
        <w:noBreakHyphen/>
      </w:r>
      <w:r w:rsidR="008713D7">
        <w:rPr>
          <w:lang w:val="en-US"/>
        </w:rPr>
        <w:t xml:space="preserve">18 </w:t>
      </w:r>
      <w:r>
        <w:rPr>
          <w:lang w:val="en-US"/>
        </w:rPr>
        <w:t>estimated outcome from the 2017</w:t>
      </w:r>
      <w:r>
        <w:rPr>
          <w:lang w:val="en-US"/>
        </w:rPr>
        <w:noBreakHyphen/>
      </w:r>
      <w:r w:rsidR="008713D7">
        <w:rPr>
          <w:lang w:val="en-US"/>
        </w:rPr>
        <w:t>18 Budget is predominantly due to the payment of the bal</w:t>
      </w:r>
      <w:r>
        <w:rPr>
          <w:lang w:val="en-US"/>
        </w:rPr>
        <w:t>ance of 2016</w:t>
      </w:r>
      <w:r>
        <w:rPr>
          <w:lang w:val="en-US"/>
        </w:rPr>
        <w:noBreakHyphen/>
        <w:t>17 dividends in the 2017</w:t>
      </w:r>
      <w:r>
        <w:rPr>
          <w:lang w:val="en-US"/>
        </w:rPr>
        <w:noBreakHyphen/>
      </w:r>
      <w:r w:rsidR="008713D7">
        <w:rPr>
          <w:lang w:val="en-US"/>
        </w:rPr>
        <w:t>18 financial year and a lower operating result; and</w:t>
      </w:r>
    </w:p>
    <w:p w:rsidR="008713D7" w:rsidRDefault="008713D7" w:rsidP="00692D0C">
      <w:pPr>
        <w:pStyle w:val="BSbullet20"/>
        <w:jc w:val="left"/>
      </w:pPr>
      <w:r>
        <w:rPr>
          <w:lang w:val="en-US"/>
        </w:rPr>
        <w:t xml:space="preserve">the </w:t>
      </w:r>
      <w:r w:rsidR="00021C2D">
        <w:t>increase of $46.314 million in the 2018</w:t>
      </w:r>
      <w:r w:rsidR="00021C2D">
        <w:noBreakHyphen/>
        <w:t>19 Budget from the 2017</w:t>
      </w:r>
      <w:r w:rsidR="00021C2D">
        <w:noBreakHyphen/>
      </w:r>
      <w:r>
        <w:t>18 estimated outcome is due to a higher operating result.</w:t>
      </w:r>
    </w:p>
    <w:p w:rsidR="008713D7" w:rsidRDefault="008713D7" w:rsidP="00692D0C">
      <w:pPr>
        <w:pStyle w:val="Heading4"/>
      </w:pPr>
      <w:r>
        <w:t>Statement of Cash Flow</w:t>
      </w:r>
    </w:p>
    <w:p w:rsidR="008713D7" w:rsidRDefault="008713D7" w:rsidP="00692D0C">
      <w:pPr>
        <w:pStyle w:val="Normal8"/>
      </w:pPr>
      <w:r>
        <w:t>Notes are not provided where significant variances</w:t>
      </w:r>
      <w:r w:rsidRPr="00DC4044">
        <w:t xml:space="preserve"> are explained in the notes above.</w:t>
      </w:r>
    </w:p>
    <w:p w:rsidR="008713D7" w:rsidRDefault="008713D7" w:rsidP="00692D0C">
      <w:pPr>
        <w:pStyle w:val="BSbullet1"/>
      </w:pPr>
      <w:r>
        <w:t>interest r</w:t>
      </w:r>
      <w:r w:rsidR="006A1CA9">
        <w:t>eceived: the increase of $1.117 million in the 2017</w:t>
      </w:r>
      <w:r w:rsidR="006A1CA9">
        <w:noBreakHyphen/>
      </w:r>
      <w:r>
        <w:t xml:space="preserve">18 </w:t>
      </w:r>
      <w:r w:rsidR="006A1CA9">
        <w:t>estimated outcome from the 2017</w:t>
      </w:r>
      <w:r w:rsidR="006A1CA9">
        <w:noBreakHyphen/>
      </w:r>
      <w:r>
        <w:t>18 Budget is predominantly due to interest received from purchasers on delayed settlements.</w:t>
      </w:r>
    </w:p>
    <w:p w:rsidR="008713D7" w:rsidRDefault="008713D7" w:rsidP="00692D0C">
      <w:pPr>
        <w:pStyle w:val="BSbullet1"/>
      </w:pPr>
      <w:r>
        <w:t>other receipts:</w:t>
      </w:r>
    </w:p>
    <w:p w:rsidR="008713D7" w:rsidRDefault="006A1CA9" w:rsidP="00692D0C">
      <w:pPr>
        <w:pStyle w:val="BSbullet20"/>
        <w:jc w:val="left"/>
      </w:pPr>
      <w:r>
        <w:t>the decrease of $21.773 million in the 2017</w:t>
      </w:r>
      <w:r>
        <w:noBreakHyphen/>
      </w:r>
      <w:r w:rsidR="008713D7">
        <w:t xml:space="preserve">18 </w:t>
      </w:r>
      <w:r>
        <w:t>estimated outcome from the 2017</w:t>
      </w:r>
      <w:r>
        <w:noBreakHyphen/>
      </w:r>
      <w:r w:rsidR="008713D7">
        <w:t>18 Budget is predominantly due to decreased GST collected on sales as a result of the delay of some settlements; and</w:t>
      </w:r>
    </w:p>
    <w:p w:rsidR="008713D7" w:rsidRDefault="006A1CA9" w:rsidP="00692D0C">
      <w:pPr>
        <w:pStyle w:val="BSbullet20"/>
        <w:jc w:val="left"/>
      </w:pPr>
      <w:r>
        <w:t>the increase of $6.288 million in the 2018</w:t>
      </w:r>
      <w:r>
        <w:noBreakHyphen/>
        <w:t>19 Budget from the 2017</w:t>
      </w:r>
      <w:r>
        <w:noBreakHyphen/>
      </w:r>
      <w:r w:rsidR="008713D7">
        <w:t>18 estimated outcome is due to increased GST collected on sales as a result of higher land settlements.</w:t>
      </w:r>
    </w:p>
    <w:p w:rsidR="008713D7" w:rsidRDefault="008713D7" w:rsidP="00692D0C">
      <w:pPr>
        <w:pStyle w:val="BSbullet1"/>
      </w:pPr>
      <w:r>
        <w:t>other pa</w:t>
      </w:r>
      <w:r w:rsidR="006A1CA9">
        <w:t>yments: the decrease of $13.257 million in the 2017</w:t>
      </w:r>
      <w:r w:rsidR="006A1CA9">
        <w:noBreakHyphen/>
      </w:r>
      <w:r>
        <w:t xml:space="preserve">18 </w:t>
      </w:r>
      <w:r w:rsidR="006A1CA9">
        <w:t>estimated outcome from the 2017</w:t>
      </w:r>
      <w:r w:rsidR="006A1CA9">
        <w:noBreakHyphen/>
      </w:r>
      <w:r>
        <w:t>18 Budget is predominantly due to reduced GST payments as a result of lower taxable expenditure.</w:t>
      </w:r>
    </w:p>
    <w:p w:rsidR="008713D7" w:rsidRDefault="008713D7" w:rsidP="00692D0C">
      <w:pPr>
        <w:pStyle w:val="BSbullet1"/>
      </w:pPr>
      <w:r>
        <w:t>proceeds from sale/maturity of inves</w:t>
      </w:r>
      <w:r w:rsidR="006A1CA9">
        <w:t>tments: the decrease of $12.472 million in the 2017</w:t>
      </w:r>
      <w:r w:rsidR="006A1CA9">
        <w:noBreakHyphen/>
      </w:r>
      <w:r>
        <w:t xml:space="preserve">18 </w:t>
      </w:r>
      <w:r w:rsidR="006A1CA9">
        <w:t>estimated outcome from the 2017</w:t>
      </w:r>
      <w:r w:rsidR="006A1CA9">
        <w:noBreakHyphen/>
      </w:r>
      <w:r>
        <w:t xml:space="preserve">18 Budget is predominantly due to the </w:t>
      </w:r>
      <w:r>
        <w:rPr>
          <w:szCs w:val="20"/>
        </w:rPr>
        <w:t>proportionate consolidation of the West Belconnen joint venture financials into the Suburban Land Agency's accounts rather than being accounted for in equity and recognising a net distribution from the joint venture.</w:t>
      </w:r>
    </w:p>
    <w:p w:rsidR="008713D7" w:rsidRDefault="008713D7" w:rsidP="00692D0C">
      <w:pPr>
        <w:pStyle w:val="BSbullet1"/>
      </w:pPr>
      <w:r>
        <w:t>repayment of loan pr</w:t>
      </w:r>
      <w:r w:rsidR="006A1CA9">
        <w:t>incipal: the increase of $8.563 </w:t>
      </w:r>
      <w:r>
        <w:t>million in the 201</w:t>
      </w:r>
      <w:r w:rsidR="006A1CA9">
        <w:t>8</w:t>
      </w:r>
      <w:r w:rsidR="006A1CA9">
        <w:noBreakHyphen/>
        <w:t>19 Budget from the 2017</w:t>
      </w:r>
      <w:r w:rsidR="006A1CA9">
        <w:noBreakHyphen/>
      </w:r>
      <w:r>
        <w:t>18 estimated outcome is due to the repayment of the loan by the West Belconnen joint venture.</w:t>
      </w:r>
    </w:p>
    <w:p w:rsidR="008713D7" w:rsidRDefault="008713D7" w:rsidP="00692D0C">
      <w:pPr>
        <w:pStyle w:val="BSbullet1"/>
      </w:pPr>
      <w:r>
        <w:t>purchase of land and intangibles:</w:t>
      </w:r>
    </w:p>
    <w:p w:rsidR="008713D7" w:rsidRDefault="006A1CA9" w:rsidP="00692D0C">
      <w:pPr>
        <w:pStyle w:val="BSbullet20"/>
        <w:jc w:val="left"/>
      </w:pPr>
      <w:r>
        <w:t>the decrease of $12.108 million in the 2017</w:t>
      </w:r>
      <w:r>
        <w:noBreakHyphen/>
      </w:r>
      <w:r w:rsidR="008713D7">
        <w:t xml:space="preserve">18 </w:t>
      </w:r>
      <w:r>
        <w:t>estimated outcome from the 2017</w:t>
      </w:r>
      <w:r>
        <w:noBreakHyphen/>
      </w:r>
      <w:r w:rsidR="008713D7">
        <w:t>18 Budget is predominantly due to reduced rural land purchases than budgeted; and</w:t>
      </w:r>
    </w:p>
    <w:p w:rsidR="008713D7" w:rsidRDefault="006A1CA9" w:rsidP="00692D0C">
      <w:pPr>
        <w:pStyle w:val="BSbullet20"/>
        <w:jc w:val="left"/>
      </w:pPr>
      <w:r>
        <w:t>the decrease of $7.892 million in the 2018</w:t>
      </w:r>
      <w:r>
        <w:noBreakHyphen/>
        <w:t>19 Budget from the 2017</w:t>
      </w:r>
      <w:r>
        <w:noBreakHyphen/>
      </w:r>
      <w:r w:rsidR="008713D7">
        <w:t>18 estimated outcome is due to decreased rural land purchases.</w:t>
      </w:r>
    </w:p>
    <w:p w:rsidR="008713D7" w:rsidRDefault="008713D7" w:rsidP="00692D0C">
      <w:pPr>
        <w:pStyle w:val="BSbullet1"/>
      </w:pPr>
      <w:r>
        <w:t>purchase of inves</w:t>
      </w:r>
      <w:r w:rsidR="006A1CA9">
        <w:t>tments: the decrease of $34.212 </w:t>
      </w:r>
      <w:r>
        <w:t>million in the 201</w:t>
      </w:r>
      <w:r w:rsidR="006A1CA9">
        <w:t>7</w:t>
      </w:r>
      <w:r w:rsidR="006A1CA9">
        <w:noBreakHyphen/>
      </w:r>
      <w:r>
        <w:t xml:space="preserve">18 </w:t>
      </w:r>
      <w:r w:rsidR="006A1CA9">
        <w:t>estimated outcome from the 2017</w:t>
      </w:r>
      <w:r w:rsidR="006A1CA9">
        <w:noBreakHyphen/>
      </w:r>
      <w:r>
        <w:t xml:space="preserve">18 Budget is due to the </w:t>
      </w:r>
      <w:r>
        <w:rPr>
          <w:szCs w:val="20"/>
        </w:rPr>
        <w:t>proportionate consolidation of the West Belconnen joint venture financials into the Suburban Land Agency's accounts rather than being accounted for in equity.</w:t>
      </w:r>
    </w:p>
    <w:p w:rsidR="008713D7" w:rsidRPr="00F61272" w:rsidRDefault="008713D7" w:rsidP="00692D0C">
      <w:pPr>
        <w:pStyle w:val="BSbullet1"/>
      </w:pPr>
      <w:r>
        <w:t>loans provided (loans receivable): t</w:t>
      </w:r>
      <w:r w:rsidR="006A1CA9">
        <w:t>he increases of $4.105 million in the 2017</w:t>
      </w:r>
      <w:r w:rsidR="006A1CA9">
        <w:noBreakHyphen/>
      </w:r>
      <w:r>
        <w:t xml:space="preserve">18 </w:t>
      </w:r>
      <w:r w:rsidR="006A1CA9">
        <w:t>estimated outcome from the 2017</w:t>
      </w:r>
      <w:r w:rsidR="006A1CA9">
        <w:noBreakHyphen/>
        <w:t>18 Budget and $14.716 million in the 2018</w:t>
      </w:r>
      <w:r w:rsidR="006A1CA9">
        <w:noBreakHyphen/>
        <w:t>19 Budget from the 2017</w:t>
      </w:r>
      <w:r w:rsidR="006A1CA9">
        <w:noBreakHyphen/>
      </w:r>
      <w:r>
        <w:t>18 estimated outcome are due to the loan provided to the West Belconnen joint venture.</w:t>
      </w:r>
    </w:p>
    <w:p w:rsidR="008713D7" w:rsidRDefault="008713D7" w:rsidP="00692D0C">
      <w:pPr>
        <w:pStyle w:val="BSbullet1"/>
      </w:pPr>
      <w:r>
        <w:t xml:space="preserve">receipts of transferred cash balances: </w:t>
      </w:r>
    </w:p>
    <w:p w:rsidR="008713D7" w:rsidRDefault="006A1CA9" w:rsidP="00692D0C">
      <w:pPr>
        <w:pStyle w:val="BSbullet20"/>
        <w:jc w:val="left"/>
      </w:pPr>
      <w:r>
        <w:t>the decrease of $20.556 million in the 2017</w:t>
      </w:r>
      <w:r>
        <w:noBreakHyphen/>
      </w:r>
      <w:r w:rsidR="008713D7">
        <w:t xml:space="preserve">18 </w:t>
      </w:r>
      <w:r>
        <w:t>estimated outcome from the 2017</w:t>
      </w:r>
      <w:r>
        <w:noBreakHyphen/>
      </w:r>
      <w:r w:rsidR="008713D7">
        <w:t>18 Budget is due to a lower level of cash transferred than budgeted from the former Land Development Agency; and</w:t>
      </w:r>
    </w:p>
    <w:p w:rsidR="008713D7" w:rsidRDefault="006A1CA9" w:rsidP="00692D0C">
      <w:pPr>
        <w:pStyle w:val="BSbullet20"/>
        <w:jc w:val="left"/>
      </w:pPr>
      <w:r>
        <w:t>the decrease of $182.654 million in the 2018</w:t>
      </w:r>
      <w:r>
        <w:noBreakHyphen/>
      </w:r>
      <w:r w:rsidR="008713D7">
        <w:t>19 B</w:t>
      </w:r>
      <w:r>
        <w:t>udget from the 2017</w:t>
      </w:r>
      <w:r>
        <w:noBreakHyphen/>
      </w:r>
      <w:r w:rsidR="008713D7">
        <w:t xml:space="preserve">18 estimated outcome is due to the one off transfer of cash from the former Land Development Agency </w:t>
      </w:r>
      <w:r>
        <w:t>when it ceased operating from 1 </w:t>
      </w:r>
      <w:r w:rsidR="008713D7">
        <w:t>July 2017.</w:t>
      </w:r>
    </w:p>
    <w:p w:rsidR="008713D7" w:rsidRDefault="008713D7" w:rsidP="00692D0C">
      <w:pPr>
        <w:pStyle w:val="BSbullet1"/>
      </w:pPr>
      <w:r>
        <w:t>distributions to gover</w:t>
      </w:r>
      <w:r w:rsidR="006A1CA9">
        <w:t>nment: the increase of $103.499 million in the 2018</w:t>
      </w:r>
      <w:r w:rsidR="006A1CA9">
        <w:noBreakHyphen/>
      </w:r>
      <w:r>
        <w:t xml:space="preserve">19 Budget from the </w:t>
      </w:r>
      <w:r w:rsidR="006A1CA9">
        <w:t>2017</w:t>
      </w:r>
      <w:r w:rsidR="006A1CA9">
        <w:noBreakHyphen/>
      </w:r>
      <w:r>
        <w:t>18 estimated outcome is due to higher level of payments of capital distributions to the Territory on settlement of ARI sites.</w:t>
      </w:r>
    </w:p>
    <w:p w:rsidR="008713D7" w:rsidRDefault="008713D7" w:rsidP="00692D0C">
      <w:pPr>
        <w:pStyle w:val="BSbullet1"/>
      </w:pPr>
      <w:r>
        <w:t>payment of dividend:</w:t>
      </w:r>
    </w:p>
    <w:p w:rsidR="008713D7" w:rsidRDefault="006A1CA9" w:rsidP="00692D0C">
      <w:pPr>
        <w:pStyle w:val="BSbullet20"/>
        <w:jc w:val="left"/>
      </w:pPr>
      <w:r>
        <w:t>the increase</w:t>
      </w:r>
      <w:r w:rsidR="002467AD">
        <w:t xml:space="preserve"> of $17.005 million in the 2017-</w:t>
      </w:r>
      <w:r w:rsidR="008713D7">
        <w:t xml:space="preserve">18 </w:t>
      </w:r>
      <w:r>
        <w:t>estimated outcome from the 2017</w:t>
      </w:r>
      <w:r>
        <w:noBreakHyphen/>
      </w:r>
      <w:r w:rsidR="008713D7">
        <w:t>18 Budget is predominantly due to</w:t>
      </w:r>
      <w:r>
        <w:t xml:space="preserve"> the higher payment of the 2016</w:t>
      </w:r>
      <w:r>
        <w:noBreakHyphen/>
      </w:r>
      <w:r w:rsidR="008713D7">
        <w:t>17 balance of dividends owing; and</w:t>
      </w:r>
    </w:p>
    <w:p w:rsidR="008713D7" w:rsidRDefault="006A1CA9" w:rsidP="00692D0C">
      <w:pPr>
        <w:pStyle w:val="BSbullet20"/>
        <w:jc w:val="left"/>
      </w:pPr>
      <w:r>
        <w:t>the increase of $15.351 million in the 2018</w:t>
      </w:r>
      <w:r>
        <w:noBreakHyphen/>
        <w:t>19 Budget from the 2017</w:t>
      </w:r>
      <w:r>
        <w:noBreakHyphen/>
      </w:r>
      <w:r w:rsidR="008713D7">
        <w:t>18 estimated outcome is due to an increase in the interim dividend payment.</w:t>
      </w:r>
    </w:p>
    <w:p w:rsidR="008713D7" w:rsidRDefault="008713D7" w:rsidP="00692D0C">
      <w:pPr>
        <w:pStyle w:val="Heading4"/>
      </w:pPr>
      <w:r>
        <w:t>Statement of Changes in Equity</w:t>
      </w:r>
    </w:p>
    <w:p w:rsidR="008713D7" w:rsidRDefault="008713D7" w:rsidP="00692D0C">
      <w:pPr>
        <w:pStyle w:val="Normal8"/>
      </w:pPr>
      <w:r>
        <w:t>Significant variances are explained in the notes above.</w:t>
      </w:r>
    </w:p>
    <w:sectPr w:rsidR="008713D7" w:rsidSect="003C4712">
      <w:footerReference w:type="default" r:id="rId30"/>
      <w:type w:val="continuous"/>
      <w:pgSz w:w="11906" w:h="16838"/>
      <w:pgMar w:top="1151" w:right="1440" w:bottom="1134" w:left="1440" w:header="720" w:footer="720" w:gutter="0"/>
      <w:pgBorders>
        <w:top w:val="nil"/>
        <w:left w:val="nil"/>
        <w:bottom w:val="nil"/>
        <w:right w:val="nil"/>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574" w:rsidRDefault="000A0574">
      <w:pPr>
        <w:spacing w:before="0" w:after="0"/>
      </w:pPr>
      <w:r>
        <w:separator/>
      </w:r>
    </w:p>
  </w:endnote>
  <w:endnote w:type="continuationSeparator" w:id="0">
    <w:p w:rsidR="000A0574" w:rsidRDefault="000A05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Pr="0004555B" w:rsidRDefault="002467AD" w:rsidP="007114AE">
    <w:pPr>
      <w:pBdr>
        <w:top w:val="nil"/>
        <w:left w:val="nil"/>
        <w:bottom w:val="nil"/>
        <w:right w:val="nil"/>
        <w:between w:val="nil"/>
        <w:bar w:val="nil"/>
      </w:pBdr>
      <w:rPr>
        <w:rFonts w:eastAsia="TimesNewRomanPS-ItalicMT"/>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pBdr>
        <w:top w:val="nil"/>
        <w:left w:val="nil"/>
        <w:bottom w:val="nil"/>
        <w:right w:val="nil"/>
        <w:between w:val="nil"/>
        <w:bar w:val="nil"/>
      </w:pBdr>
      <w:rPr>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Pr="004B1382" w:rsidRDefault="002467AD" w:rsidP="007114AE">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Pr>
        <w:noProof/>
        <w:bdr w:val="nil"/>
      </w:rPr>
      <w:t>1</w:t>
    </w:r>
    <w:r>
      <w:rPr>
        <w:noProof/>
        <w:bdr w:val="nil"/>
      </w:rPr>
      <w:fldChar w:fldCharType="end"/>
    </w:r>
    <w:r>
      <w:rPr>
        <w:sz w:val="18"/>
        <w:szCs w:val="18"/>
        <w:bdr w:val="nil"/>
      </w:rPr>
      <w:tab/>
    </w:r>
    <w:r>
      <w:rPr>
        <w:bdr w:val="nil"/>
      </w:rPr>
      <w:t>Environment, Planning and Sustainable Development Directorate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Pr="00D444B6" w:rsidRDefault="002467AD" w:rsidP="00D444B6">
    <w:pPr>
      <w:pStyle w:val="FooterBP"/>
      <w:pBdr>
        <w:left w:val="nil"/>
        <w:bottom w:val="nil"/>
        <w:right w:val="nil"/>
        <w:between w:val="nil"/>
        <w:bar w:val="nil"/>
      </w:pBdr>
      <w:rPr>
        <w:sz w:val="17"/>
        <w:szCs w:val="17"/>
        <w:bdr w:val="nil"/>
      </w:rPr>
    </w:pPr>
    <w:r w:rsidRPr="00D444B6">
      <w:rPr>
        <w:sz w:val="17"/>
        <w:szCs w:val="17"/>
        <w:bdr w:val="nil"/>
      </w:rPr>
      <w:t>2018-19 Budget Statements</w:t>
    </w:r>
    <w:r w:rsidRPr="00D444B6">
      <w:rPr>
        <w:sz w:val="17"/>
        <w:szCs w:val="17"/>
        <w:bdr w:val="nil"/>
      </w:rPr>
      <w:tab/>
    </w:r>
    <w:r w:rsidRPr="00D444B6">
      <w:rPr>
        <w:sz w:val="17"/>
        <w:szCs w:val="17"/>
        <w:bdr w:val="nil"/>
      </w:rPr>
      <w:fldChar w:fldCharType="begin"/>
    </w:r>
    <w:r w:rsidRPr="00D444B6">
      <w:rPr>
        <w:sz w:val="17"/>
        <w:szCs w:val="17"/>
        <w:bdr w:val="nil"/>
      </w:rPr>
      <w:instrText xml:space="preserve"> PAGE   \* MERGEFORMAT </w:instrText>
    </w:r>
    <w:r w:rsidRPr="00D444B6">
      <w:rPr>
        <w:sz w:val="17"/>
        <w:szCs w:val="17"/>
        <w:bdr w:val="nil"/>
      </w:rPr>
      <w:fldChar w:fldCharType="separate"/>
    </w:r>
    <w:r w:rsidR="00C54B0D">
      <w:rPr>
        <w:noProof/>
        <w:sz w:val="17"/>
        <w:szCs w:val="17"/>
        <w:bdr w:val="nil"/>
      </w:rPr>
      <w:t>ii</w:t>
    </w:r>
    <w:r w:rsidRPr="00D444B6">
      <w:rPr>
        <w:sz w:val="17"/>
        <w:szCs w:val="17"/>
        <w:bdr w:val="nil"/>
      </w:rPr>
      <w:fldChar w:fldCharType="end"/>
    </w:r>
    <w:r w:rsidRPr="00D444B6">
      <w:rPr>
        <w:sz w:val="17"/>
        <w:szCs w:val="17"/>
        <w:bdr w:val="nil"/>
      </w:rPr>
      <w:tab/>
      <w:t>Environment, Planning and Sustainable Development Directorate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pBdr>
        <w:top w:val="nil"/>
        <w:left w:val="nil"/>
        <w:bottom w:val="nil"/>
        <w:right w:val="nil"/>
        <w:between w:val="nil"/>
        <w:bar w:val="nil"/>
      </w:pBdr>
      <w:rPr>
        <w:bdr w:val="ni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Pr="00D444B6" w:rsidRDefault="002467AD" w:rsidP="00D444B6">
    <w:pPr>
      <w:pStyle w:val="FooterBP"/>
      <w:pBdr>
        <w:left w:val="nil"/>
        <w:bottom w:val="nil"/>
        <w:right w:val="nil"/>
        <w:between w:val="nil"/>
        <w:bar w:val="nil"/>
      </w:pBdr>
      <w:rPr>
        <w:sz w:val="17"/>
        <w:szCs w:val="17"/>
        <w:bdr w:val="nil"/>
      </w:rPr>
    </w:pPr>
    <w:r w:rsidRPr="00D444B6">
      <w:rPr>
        <w:sz w:val="17"/>
        <w:szCs w:val="17"/>
        <w:bdr w:val="nil"/>
      </w:rPr>
      <w:t>2018-19 Budget Statements</w:t>
    </w:r>
    <w:r w:rsidRPr="00D444B6">
      <w:rPr>
        <w:sz w:val="17"/>
        <w:szCs w:val="17"/>
        <w:bdr w:val="nil"/>
      </w:rPr>
      <w:tab/>
    </w:r>
    <w:r w:rsidRPr="00D444B6">
      <w:rPr>
        <w:sz w:val="17"/>
        <w:szCs w:val="17"/>
        <w:bdr w:val="nil"/>
      </w:rPr>
      <w:fldChar w:fldCharType="begin"/>
    </w:r>
    <w:r w:rsidRPr="00D444B6">
      <w:rPr>
        <w:sz w:val="17"/>
        <w:szCs w:val="17"/>
        <w:bdr w:val="nil"/>
      </w:rPr>
      <w:instrText xml:space="preserve"> PAGE   \* MERGEFORMAT </w:instrText>
    </w:r>
    <w:r w:rsidRPr="00D444B6">
      <w:rPr>
        <w:sz w:val="17"/>
        <w:szCs w:val="17"/>
        <w:bdr w:val="nil"/>
      </w:rPr>
      <w:fldChar w:fldCharType="separate"/>
    </w:r>
    <w:r w:rsidR="00C54B0D">
      <w:rPr>
        <w:noProof/>
        <w:sz w:val="17"/>
        <w:szCs w:val="17"/>
        <w:bdr w:val="nil"/>
      </w:rPr>
      <w:t>17</w:t>
    </w:r>
    <w:r w:rsidRPr="00D444B6">
      <w:rPr>
        <w:sz w:val="17"/>
        <w:szCs w:val="17"/>
        <w:bdr w:val="nil"/>
      </w:rPr>
      <w:fldChar w:fldCharType="end"/>
    </w:r>
    <w:r w:rsidRPr="00D444B6">
      <w:rPr>
        <w:sz w:val="17"/>
        <w:szCs w:val="17"/>
        <w:bdr w:val="nil"/>
      </w:rPr>
      <w:tab/>
      <w:t>Environment, Planning and Sustainable Development Directorate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Pr="004B1382" w:rsidRDefault="002467AD" w:rsidP="00F83E2E">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Pr>
        <w:noProof/>
        <w:bdr w:val="nil"/>
      </w:rPr>
      <w:t>1</w:t>
    </w:r>
    <w:r>
      <w:rPr>
        <w:noProof/>
        <w:bdr w:val="nil"/>
      </w:rPr>
      <w:fldChar w:fldCharType="end"/>
    </w:r>
    <w:r>
      <w:rPr>
        <w:sz w:val="18"/>
        <w:szCs w:val="18"/>
        <w:bdr w:val="nil"/>
      </w:rPr>
      <w:tab/>
    </w:r>
    <w:r>
      <w:rPr>
        <w:bdr w:val="nil"/>
      </w:rPr>
      <w:t>City Renewal Authority</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Pr="00F13AD5" w:rsidRDefault="002467AD" w:rsidP="00F83E2E">
    <w:pPr>
      <w:pStyle w:val="FooterBP"/>
      <w:pBdr>
        <w:left w:val="nil"/>
        <w:bottom w:val="nil"/>
        <w:right w:val="nil"/>
        <w:between w:val="nil"/>
        <w:bar w:val="nil"/>
      </w:pBdr>
      <w:rPr>
        <w:sz w:val="17"/>
        <w:szCs w:val="17"/>
        <w:bdr w:val="nil"/>
      </w:rPr>
    </w:pPr>
    <w:r w:rsidRPr="00F13AD5">
      <w:rPr>
        <w:sz w:val="17"/>
        <w:szCs w:val="17"/>
        <w:bdr w:val="nil"/>
      </w:rPr>
      <w:t>2018-19 Budget Statements</w:t>
    </w:r>
    <w:r w:rsidRPr="00F13AD5">
      <w:rPr>
        <w:sz w:val="17"/>
        <w:szCs w:val="17"/>
        <w:bdr w:val="nil"/>
      </w:rPr>
      <w:tab/>
    </w:r>
    <w:r w:rsidRPr="00F13AD5">
      <w:rPr>
        <w:sz w:val="17"/>
        <w:szCs w:val="17"/>
        <w:bdr w:val="nil"/>
      </w:rPr>
      <w:fldChar w:fldCharType="begin"/>
    </w:r>
    <w:r w:rsidRPr="00F13AD5">
      <w:rPr>
        <w:sz w:val="17"/>
        <w:szCs w:val="17"/>
        <w:bdr w:val="nil"/>
      </w:rPr>
      <w:instrText xml:space="preserve"> PAGE   \* MERGEFORMAT </w:instrText>
    </w:r>
    <w:r w:rsidRPr="00F13AD5">
      <w:rPr>
        <w:sz w:val="17"/>
        <w:szCs w:val="17"/>
        <w:bdr w:val="nil"/>
      </w:rPr>
      <w:fldChar w:fldCharType="separate"/>
    </w:r>
    <w:r w:rsidR="00A722E2">
      <w:rPr>
        <w:noProof/>
        <w:sz w:val="17"/>
        <w:szCs w:val="17"/>
        <w:bdr w:val="nil"/>
      </w:rPr>
      <w:t>60</w:t>
    </w:r>
    <w:r w:rsidRPr="00F13AD5">
      <w:rPr>
        <w:noProof/>
        <w:sz w:val="17"/>
        <w:szCs w:val="17"/>
        <w:bdr w:val="nil"/>
      </w:rPr>
      <w:fldChar w:fldCharType="end"/>
    </w:r>
    <w:r w:rsidRPr="00F13AD5">
      <w:rPr>
        <w:sz w:val="17"/>
        <w:szCs w:val="17"/>
        <w:bdr w:val="nil"/>
      </w:rPr>
      <w:tab/>
    </w:r>
    <w:r>
      <w:rPr>
        <w:sz w:val="17"/>
        <w:szCs w:val="17"/>
        <w:bdr w:val="nil"/>
      </w:rPr>
      <w:t xml:space="preserve">City Renewal </w:t>
    </w:r>
    <w:r w:rsidRPr="00F13AD5">
      <w:rPr>
        <w:sz w:val="17"/>
        <w:szCs w:val="17"/>
        <w:bdr w:val="nil"/>
      </w:rPr>
      <w:t>Authority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Pr="00F13AD5" w:rsidRDefault="002467AD" w:rsidP="0044366E">
    <w:pPr>
      <w:pStyle w:val="FooterBP"/>
      <w:pBdr>
        <w:left w:val="nil"/>
        <w:bottom w:val="nil"/>
        <w:right w:val="nil"/>
        <w:between w:val="nil"/>
        <w:bar w:val="nil"/>
      </w:pBdr>
      <w:rPr>
        <w:sz w:val="17"/>
        <w:szCs w:val="17"/>
        <w:bdr w:val="nil"/>
      </w:rPr>
    </w:pPr>
    <w:r w:rsidRPr="00F13AD5">
      <w:rPr>
        <w:sz w:val="17"/>
        <w:szCs w:val="17"/>
        <w:bdr w:val="nil"/>
      </w:rPr>
      <w:t>2018-19 Budget Statements</w:t>
    </w:r>
    <w:r w:rsidRPr="00F13AD5">
      <w:rPr>
        <w:sz w:val="17"/>
        <w:szCs w:val="17"/>
        <w:bdr w:val="nil"/>
      </w:rPr>
      <w:tab/>
    </w:r>
    <w:r w:rsidRPr="00F13AD5">
      <w:rPr>
        <w:sz w:val="17"/>
        <w:szCs w:val="17"/>
        <w:bdr w:val="nil"/>
      </w:rPr>
      <w:fldChar w:fldCharType="begin"/>
    </w:r>
    <w:r w:rsidRPr="00F13AD5">
      <w:rPr>
        <w:sz w:val="17"/>
        <w:szCs w:val="17"/>
        <w:bdr w:val="nil"/>
      </w:rPr>
      <w:instrText xml:space="preserve"> PAGE   \* MERGEFORMAT </w:instrText>
    </w:r>
    <w:r w:rsidRPr="00F13AD5">
      <w:rPr>
        <w:sz w:val="17"/>
        <w:szCs w:val="17"/>
        <w:bdr w:val="nil"/>
      </w:rPr>
      <w:fldChar w:fldCharType="separate"/>
    </w:r>
    <w:r w:rsidR="00A722E2">
      <w:rPr>
        <w:noProof/>
        <w:sz w:val="17"/>
        <w:szCs w:val="17"/>
        <w:bdr w:val="nil"/>
      </w:rPr>
      <w:t>88</w:t>
    </w:r>
    <w:r w:rsidRPr="00F13AD5">
      <w:rPr>
        <w:noProof/>
        <w:sz w:val="17"/>
        <w:szCs w:val="17"/>
        <w:bdr w:val="nil"/>
      </w:rPr>
      <w:fldChar w:fldCharType="end"/>
    </w:r>
    <w:r w:rsidRPr="00F13AD5">
      <w:rPr>
        <w:sz w:val="17"/>
        <w:szCs w:val="17"/>
        <w:bdr w:val="nil"/>
      </w:rPr>
      <w:tab/>
    </w:r>
    <w:r>
      <w:rPr>
        <w:sz w:val="17"/>
        <w:szCs w:val="17"/>
        <w:bdr w:val="nil"/>
      </w:rPr>
      <w:t>Suburban Land Agency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574" w:rsidRDefault="000A0574">
      <w:pPr>
        <w:spacing w:before="0" w:after="0"/>
      </w:pPr>
      <w:r>
        <w:separator/>
      </w:r>
    </w:p>
  </w:footnote>
  <w:footnote w:type="continuationSeparator" w:id="0">
    <w:p w:rsidR="000A0574" w:rsidRDefault="000A057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suppressLineNumbers/>
      <w:pBdr>
        <w:top w:val="nil"/>
        <w:left w:val="nil"/>
        <w:bottom w:val="nil"/>
        <w:right w:val="nil"/>
        <w:between w:val="nil"/>
        <w:bar w:val="nil"/>
      </w:pBdr>
      <w:spacing w:before="0" w:after="0" w:line="14" w:lineRule="exact"/>
      <w:contextualSpacing/>
      <w:rPr>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suppressLineNumbers/>
      <w:pBdr>
        <w:top w:val="nil"/>
        <w:left w:val="nil"/>
        <w:bottom w:val="nil"/>
        <w:right w:val="nil"/>
        <w:between w:val="nil"/>
        <w:bar w:val="nil"/>
      </w:pBdr>
      <w:spacing w:before="0" w:after="0" w:line="14" w:lineRule="exact"/>
      <w:contextualSpacing/>
      <w:rPr>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pBdr>
        <w:top w:val="nil"/>
        <w:left w:val="nil"/>
        <w:bottom w:val="nil"/>
        <w:right w:val="nil"/>
        <w:between w:val="nil"/>
        <w:bar w:val="nil"/>
      </w:pBdr>
      <w:rPr>
        <w:bdr w:val="ni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suppressLineNumbers/>
      <w:pBdr>
        <w:top w:val="nil"/>
        <w:left w:val="nil"/>
        <w:bottom w:val="nil"/>
        <w:right w:val="nil"/>
        <w:between w:val="nil"/>
        <w:bar w:val="nil"/>
      </w:pBdr>
      <w:spacing w:before="0" w:after="0" w:line="14" w:lineRule="exact"/>
      <w:contextualSpacing/>
      <w:rPr>
        <w:bdr w:val="ni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suppressLineNumbers/>
      <w:pBdr>
        <w:top w:val="nil"/>
        <w:left w:val="nil"/>
        <w:bottom w:val="nil"/>
        <w:right w:val="nil"/>
        <w:between w:val="nil"/>
        <w:bar w:val="nil"/>
      </w:pBdr>
      <w:spacing w:before="0" w:after="0" w:line="14" w:lineRule="exact"/>
      <w:contextualSpacing/>
      <w:rPr>
        <w:bdr w:val="ni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pBdr>
        <w:top w:val="nil"/>
        <w:left w:val="nil"/>
        <w:bottom w:val="nil"/>
        <w:right w:val="nil"/>
        <w:between w:val="nil"/>
        <w:bar w:val="nil"/>
      </w:pBdr>
      <w:rPr>
        <w:bdr w:val="ni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pStyle w:val="Normal0"/>
      <w:suppressLineNumbers/>
      <w:spacing w:before="0" w:after="0" w:line="14" w:lineRule="exact"/>
      <w:contextualSpacing/>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AD" w:rsidRDefault="002467AD">
    <w:pPr>
      <w:pStyle w:val="Normal0"/>
      <w:suppressLineNumbers/>
      <w:spacing w:before="0" w:after="0" w:line="14" w:lineRule="exact"/>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7F3E"/>
    <w:multiLevelType w:val="multilevel"/>
    <w:tmpl w:val="E2BE41BA"/>
    <w:lvl w:ilvl="0">
      <w:start w:val="1"/>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6F5312"/>
    <w:multiLevelType w:val="hybridMultilevel"/>
    <w:tmpl w:val="34389A80"/>
    <w:lvl w:ilvl="0" w:tplc="96941440">
      <w:start w:val="1"/>
      <w:numFmt w:val="decimal"/>
      <w:lvlText w:val="%1."/>
      <w:lvlJc w:val="left"/>
      <w:pPr>
        <w:ind w:left="360" w:hanging="360"/>
      </w:pPr>
    </w:lvl>
    <w:lvl w:ilvl="1" w:tplc="580AF6E8">
      <w:start w:val="1"/>
      <w:numFmt w:val="lowerLetter"/>
      <w:lvlText w:val="%2."/>
      <w:lvlJc w:val="left"/>
      <w:pPr>
        <w:ind w:left="1080" w:hanging="360"/>
      </w:pPr>
    </w:lvl>
    <w:lvl w:ilvl="2" w:tplc="B1745D12">
      <w:start w:val="1"/>
      <w:numFmt w:val="lowerRoman"/>
      <w:lvlText w:val="%3."/>
      <w:lvlJc w:val="right"/>
      <w:pPr>
        <w:ind w:left="1800" w:hanging="180"/>
      </w:pPr>
    </w:lvl>
    <w:lvl w:ilvl="3" w:tplc="DF462B26">
      <w:start w:val="1"/>
      <w:numFmt w:val="decimal"/>
      <w:lvlText w:val="%4."/>
      <w:lvlJc w:val="left"/>
      <w:pPr>
        <w:ind w:left="2520" w:hanging="360"/>
      </w:pPr>
    </w:lvl>
    <w:lvl w:ilvl="4" w:tplc="9FE6C67A">
      <w:start w:val="1"/>
      <w:numFmt w:val="lowerLetter"/>
      <w:lvlText w:val="%5."/>
      <w:lvlJc w:val="left"/>
      <w:pPr>
        <w:ind w:left="3240" w:hanging="360"/>
      </w:pPr>
    </w:lvl>
    <w:lvl w:ilvl="5" w:tplc="F09C499E">
      <w:start w:val="1"/>
      <w:numFmt w:val="lowerRoman"/>
      <w:lvlText w:val="%6."/>
      <w:lvlJc w:val="right"/>
      <w:pPr>
        <w:ind w:left="3960" w:hanging="180"/>
      </w:pPr>
    </w:lvl>
    <w:lvl w:ilvl="6" w:tplc="BB3EEEBA">
      <w:start w:val="1"/>
      <w:numFmt w:val="decimal"/>
      <w:lvlText w:val="%7."/>
      <w:lvlJc w:val="left"/>
      <w:pPr>
        <w:ind w:left="4680" w:hanging="360"/>
      </w:pPr>
    </w:lvl>
    <w:lvl w:ilvl="7" w:tplc="10F04BB4">
      <w:start w:val="1"/>
      <w:numFmt w:val="lowerLetter"/>
      <w:lvlText w:val="%8."/>
      <w:lvlJc w:val="left"/>
      <w:pPr>
        <w:ind w:left="5400" w:hanging="360"/>
      </w:pPr>
    </w:lvl>
    <w:lvl w:ilvl="8" w:tplc="9A4CDD36">
      <w:start w:val="1"/>
      <w:numFmt w:val="lowerRoman"/>
      <w:lvlText w:val="%9."/>
      <w:lvlJc w:val="right"/>
      <w:pPr>
        <w:ind w:left="6120" w:hanging="180"/>
      </w:pPr>
    </w:lvl>
  </w:abstractNum>
  <w:abstractNum w:abstractNumId="2" w15:restartNumberingAfterBreak="0">
    <w:nsid w:val="224E3BDC"/>
    <w:multiLevelType w:val="hybridMultilevel"/>
    <w:tmpl w:val="747AF816"/>
    <w:lvl w:ilvl="0" w:tplc="792E560C">
      <w:start w:val="1"/>
      <w:numFmt w:val="bullet"/>
      <w:pStyle w:val="BodyTextIndent"/>
      <w:lvlText w:val=""/>
      <w:lvlJc w:val="left"/>
      <w:pPr>
        <w:tabs>
          <w:tab w:val="num" w:pos="360"/>
        </w:tabs>
        <w:ind w:left="360" w:hanging="360"/>
      </w:pPr>
      <w:rPr>
        <w:rFonts w:ascii="Symbol" w:hAnsi="Symbol" w:cs="Times New Roman" w:hint="default"/>
      </w:rPr>
    </w:lvl>
    <w:lvl w:ilvl="1" w:tplc="7A1846AC">
      <w:start w:val="1"/>
      <w:numFmt w:val="bullet"/>
      <w:lvlText w:val="o"/>
      <w:lvlJc w:val="left"/>
      <w:pPr>
        <w:tabs>
          <w:tab w:val="num" w:pos="360"/>
        </w:tabs>
        <w:ind w:left="360" w:hanging="360"/>
      </w:pPr>
      <w:rPr>
        <w:rFonts w:ascii="Courier New" w:hAnsi="Courier New" w:hint="default"/>
      </w:rPr>
    </w:lvl>
    <w:lvl w:ilvl="2" w:tplc="BE80AFDC" w:tentative="1">
      <w:start w:val="1"/>
      <w:numFmt w:val="bullet"/>
      <w:lvlText w:val=""/>
      <w:lvlJc w:val="left"/>
      <w:pPr>
        <w:tabs>
          <w:tab w:val="num" w:pos="1080"/>
        </w:tabs>
        <w:ind w:left="1080" w:hanging="360"/>
      </w:pPr>
      <w:rPr>
        <w:rFonts w:ascii="Wingdings" w:hAnsi="Wingdings" w:hint="default"/>
      </w:rPr>
    </w:lvl>
    <w:lvl w:ilvl="3" w:tplc="053C2BA2" w:tentative="1">
      <w:start w:val="1"/>
      <w:numFmt w:val="bullet"/>
      <w:lvlText w:val=""/>
      <w:lvlJc w:val="left"/>
      <w:pPr>
        <w:tabs>
          <w:tab w:val="num" w:pos="1800"/>
        </w:tabs>
        <w:ind w:left="1800" w:hanging="360"/>
      </w:pPr>
      <w:rPr>
        <w:rFonts w:ascii="Symbol" w:hAnsi="Symbol" w:hint="default"/>
      </w:rPr>
    </w:lvl>
    <w:lvl w:ilvl="4" w:tplc="482A09E8" w:tentative="1">
      <w:start w:val="1"/>
      <w:numFmt w:val="bullet"/>
      <w:lvlText w:val="o"/>
      <w:lvlJc w:val="left"/>
      <w:pPr>
        <w:tabs>
          <w:tab w:val="num" w:pos="2520"/>
        </w:tabs>
        <w:ind w:left="2520" w:hanging="360"/>
      </w:pPr>
      <w:rPr>
        <w:rFonts w:ascii="Courier New" w:hAnsi="Courier New" w:hint="default"/>
      </w:rPr>
    </w:lvl>
    <w:lvl w:ilvl="5" w:tplc="5C06B7B8" w:tentative="1">
      <w:start w:val="1"/>
      <w:numFmt w:val="bullet"/>
      <w:lvlText w:val=""/>
      <w:lvlJc w:val="left"/>
      <w:pPr>
        <w:tabs>
          <w:tab w:val="num" w:pos="3240"/>
        </w:tabs>
        <w:ind w:left="3240" w:hanging="360"/>
      </w:pPr>
      <w:rPr>
        <w:rFonts w:ascii="Wingdings" w:hAnsi="Wingdings" w:hint="default"/>
      </w:rPr>
    </w:lvl>
    <w:lvl w:ilvl="6" w:tplc="9DD6CB5C" w:tentative="1">
      <w:start w:val="1"/>
      <w:numFmt w:val="bullet"/>
      <w:lvlText w:val=""/>
      <w:lvlJc w:val="left"/>
      <w:pPr>
        <w:tabs>
          <w:tab w:val="num" w:pos="3960"/>
        </w:tabs>
        <w:ind w:left="3960" w:hanging="360"/>
      </w:pPr>
      <w:rPr>
        <w:rFonts w:ascii="Symbol" w:hAnsi="Symbol" w:hint="default"/>
      </w:rPr>
    </w:lvl>
    <w:lvl w:ilvl="7" w:tplc="2C3203AA" w:tentative="1">
      <w:start w:val="1"/>
      <w:numFmt w:val="bullet"/>
      <w:lvlText w:val="o"/>
      <w:lvlJc w:val="left"/>
      <w:pPr>
        <w:tabs>
          <w:tab w:val="num" w:pos="4680"/>
        </w:tabs>
        <w:ind w:left="4680" w:hanging="360"/>
      </w:pPr>
      <w:rPr>
        <w:rFonts w:ascii="Courier New" w:hAnsi="Courier New" w:hint="default"/>
      </w:rPr>
    </w:lvl>
    <w:lvl w:ilvl="8" w:tplc="0742EB34"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6A45D72"/>
    <w:multiLevelType w:val="multilevel"/>
    <w:tmpl w:val="647EA732"/>
    <w:lvl w:ilvl="0">
      <w:start w:val="1"/>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B1137FD"/>
    <w:multiLevelType w:val="hybridMultilevel"/>
    <w:tmpl w:val="34389A80"/>
    <w:lvl w:ilvl="0" w:tplc="96941440">
      <w:start w:val="1"/>
      <w:numFmt w:val="decimal"/>
      <w:lvlText w:val="%1."/>
      <w:lvlJc w:val="left"/>
      <w:pPr>
        <w:ind w:left="360" w:hanging="360"/>
      </w:pPr>
    </w:lvl>
    <w:lvl w:ilvl="1" w:tplc="580AF6E8">
      <w:start w:val="1"/>
      <w:numFmt w:val="lowerLetter"/>
      <w:lvlText w:val="%2."/>
      <w:lvlJc w:val="left"/>
      <w:pPr>
        <w:ind w:left="1080" w:hanging="360"/>
      </w:pPr>
    </w:lvl>
    <w:lvl w:ilvl="2" w:tplc="B1745D12">
      <w:start w:val="1"/>
      <w:numFmt w:val="lowerRoman"/>
      <w:lvlText w:val="%3."/>
      <w:lvlJc w:val="right"/>
      <w:pPr>
        <w:ind w:left="1800" w:hanging="180"/>
      </w:pPr>
    </w:lvl>
    <w:lvl w:ilvl="3" w:tplc="DF462B26">
      <w:start w:val="1"/>
      <w:numFmt w:val="decimal"/>
      <w:lvlText w:val="%4."/>
      <w:lvlJc w:val="left"/>
      <w:pPr>
        <w:ind w:left="2520" w:hanging="360"/>
      </w:pPr>
    </w:lvl>
    <w:lvl w:ilvl="4" w:tplc="9FE6C67A">
      <w:start w:val="1"/>
      <w:numFmt w:val="lowerLetter"/>
      <w:lvlText w:val="%5."/>
      <w:lvlJc w:val="left"/>
      <w:pPr>
        <w:ind w:left="3240" w:hanging="360"/>
      </w:pPr>
    </w:lvl>
    <w:lvl w:ilvl="5" w:tplc="F09C499E">
      <w:start w:val="1"/>
      <w:numFmt w:val="lowerRoman"/>
      <w:lvlText w:val="%6."/>
      <w:lvlJc w:val="right"/>
      <w:pPr>
        <w:ind w:left="3960" w:hanging="180"/>
      </w:pPr>
    </w:lvl>
    <w:lvl w:ilvl="6" w:tplc="BB3EEEBA">
      <w:start w:val="1"/>
      <w:numFmt w:val="decimal"/>
      <w:lvlText w:val="%7."/>
      <w:lvlJc w:val="left"/>
      <w:pPr>
        <w:ind w:left="4680" w:hanging="360"/>
      </w:pPr>
    </w:lvl>
    <w:lvl w:ilvl="7" w:tplc="10F04BB4">
      <w:start w:val="1"/>
      <w:numFmt w:val="lowerLetter"/>
      <w:lvlText w:val="%8."/>
      <w:lvlJc w:val="left"/>
      <w:pPr>
        <w:ind w:left="5400" w:hanging="360"/>
      </w:pPr>
    </w:lvl>
    <w:lvl w:ilvl="8" w:tplc="9A4CDD36">
      <w:start w:val="1"/>
      <w:numFmt w:val="lowerRoman"/>
      <w:lvlText w:val="%9."/>
      <w:lvlJc w:val="right"/>
      <w:pPr>
        <w:ind w:left="6120" w:hanging="180"/>
      </w:pPr>
    </w:lvl>
  </w:abstractNum>
  <w:abstractNum w:abstractNumId="5" w15:restartNumberingAfterBreak="0">
    <w:nsid w:val="4A3D4309"/>
    <w:multiLevelType w:val="multilevel"/>
    <w:tmpl w:val="0C09001D"/>
    <w:lvl w:ilvl="0">
      <w:start w:val="1"/>
      <w:numFmt w:val="decimal"/>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557A1B"/>
    <w:multiLevelType w:val="hybridMultilevel"/>
    <w:tmpl w:val="34389A80"/>
    <w:lvl w:ilvl="0" w:tplc="96941440">
      <w:start w:val="1"/>
      <w:numFmt w:val="decimal"/>
      <w:lvlText w:val="%1."/>
      <w:lvlJc w:val="left"/>
      <w:pPr>
        <w:ind w:left="360" w:hanging="360"/>
      </w:pPr>
    </w:lvl>
    <w:lvl w:ilvl="1" w:tplc="580AF6E8">
      <w:start w:val="1"/>
      <w:numFmt w:val="lowerLetter"/>
      <w:lvlText w:val="%2."/>
      <w:lvlJc w:val="left"/>
      <w:pPr>
        <w:ind w:left="1080" w:hanging="360"/>
      </w:pPr>
    </w:lvl>
    <w:lvl w:ilvl="2" w:tplc="B1745D12">
      <w:start w:val="1"/>
      <w:numFmt w:val="lowerRoman"/>
      <w:lvlText w:val="%3."/>
      <w:lvlJc w:val="right"/>
      <w:pPr>
        <w:ind w:left="1800" w:hanging="180"/>
      </w:pPr>
    </w:lvl>
    <w:lvl w:ilvl="3" w:tplc="DF462B26">
      <w:start w:val="1"/>
      <w:numFmt w:val="decimal"/>
      <w:lvlText w:val="%4."/>
      <w:lvlJc w:val="left"/>
      <w:pPr>
        <w:ind w:left="2520" w:hanging="360"/>
      </w:pPr>
    </w:lvl>
    <w:lvl w:ilvl="4" w:tplc="9FE6C67A">
      <w:start w:val="1"/>
      <w:numFmt w:val="lowerLetter"/>
      <w:lvlText w:val="%5."/>
      <w:lvlJc w:val="left"/>
      <w:pPr>
        <w:ind w:left="3240" w:hanging="360"/>
      </w:pPr>
    </w:lvl>
    <w:lvl w:ilvl="5" w:tplc="F09C499E">
      <w:start w:val="1"/>
      <w:numFmt w:val="lowerRoman"/>
      <w:lvlText w:val="%6."/>
      <w:lvlJc w:val="right"/>
      <w:pPr>
        <w:ind w:left="3960" w:hanging="180"/>
      </w:pPr>
    </w:lvl>
    <w:lvl w:ilvl="6" w:tplc="BB3EEEBA">
      <w:start w:val="1"/>
      <w:numFmt w:val="decimal"/>
      <w:lvlText w:val="%7."/>
      <w:lvlJc w:val="left"/>
      <w:pPr>
        <w:ind w:left="4680" w:hanging="360"/>
      </w:pPr>
    </w:lvl>
    <w:lvl w:ilvl="7" w:tplc="10F04BB4">
      <w:start w:val="1"/>
      <w:numFmt w:val="lowerLetter"/>
      <w:lvlText w:val="%8."/>
      <w:lvlJc w:val="left"/>
      <w:pPr>
        <w:ind w:left="5400" w:hanging="360"/>
      </w:pPr>
    </w:lvl>
    <w:lvl w:ilvl="8" w:tplc="9A4CDD36">
      <w:start w:val="1"/>
      <w:numFmt w:val="lowerRoman"/>
      <w:lvlText w:val="%9."/>
      <w:lvlJc w:val="right"/>
      <w:pPr>
        <w:ind w:left="6120" w:hanging="180"/>
      </w:pPr>
    </w:lvl>
  </w:abstractNum>
  <w:abstractNum w:abstractNumId="7" w15:restartNumberingAfterBreak="0">
    <w:nsid w:val="4DEA4BB0"/>
    <w:multiLevelType w:val="hybridMultilevel"/>
    <w:tmpl w:val="EF82EC46"/>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6216CE1"/>
    <w:multiLevelType w:val="hybridMultilevel"/>
    <w:tmpl w:val="6BD434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8417890"/>
    <w:multiLevelType w:val="hybridMultilevel"/>
    <w:tmpl w:val="EFBE11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541103"/>
    <w:multiLevelType w:val="hybridMultilevel"/>
    <w:tmpl w:val="34389A80"/>
    <w:lvl w:ilvl="0" w:tplc="96941440">
      <w:start w:val="1"/>
      <w:numFmt w:val="decimal"/>
      <w:lvlText w:val="%1."/>
      <w:lvlJc w:val="left"/>
      <w:pPr>
        <w:ind w:left="360" w:hanging="360"/>
      </w:pPr>
    </w:lvl>
    <w:lvl w:ilvl="1" w:tplc="580AF6E8">
      <w:start w:val="1"/>
      <w:numFmt w:val="lowerLetter"/>
      <w:lvlText w:val="%2."/>
      <w:lvlJc w:val="left"/>
      <w:pPr>
        <w:ind w:left="1080" w:hanging="360"/>
      </w:pPr>
    </w:lvl>
    <w:lvl w:ilvl="2" w:tplc="B1745D12">
      <w:start w:val="1"/>
      <w:numFmt w:val="lowerRoman"/>
      <w:lvlText w:val="%3."/>
      <w:lvlJc w:val="right"/>
      <w:pPr>
        <w:ind w:left="1800" w:hanging="180"/>
      </w:pPr>
    </w:lvl>
    <w:lvl w:ilvl="3" w:tplc="DF462B26">
      <w:start w:val="1"/>
      <w:numFmt w:val="decimal"/>
      <w:lvlText w:val="%4."/>
      <w:lvlJc w:val="left"/>
      <w:pPr>
        <w:ind w:left="2520" w:hanging="360"/>
      </w:pPr>
    </w:lvl>
    <w:lvl w:ilvl="4" w:tplc="9FE6C67A">
      <w:start w:val="1"/>
      <w:numFmt w:val="lowerLetter"/>
      <w:lvlText w:val="%5."/>
      <w:lvlJc w:val="left"/>
      <w:pPr>
        <w:ind w:left="3240" w:hanging="360"/>
      </w:pPr>
    </w:lvl>
    <w:lvl w:ilvl="5" w:tplc="F09C499E">
      <w:start w:val="1"/>
      <w:numFmt w:val="lowerRoman"/>
      <w:lvlText w:val="%6."/>
      <w:lvlJc w:val="right"/>
      <w:pPr>
        <w:ind w:left="3960" w:hanging="180"/>
      </w:pPr>
    </w:lvl>
    <w:lvl w:ilvl="6" w:tplc="BB3EEEBA">
      <w:start w:val="1"/>
      <w:numFmt w:val="decimal"/>
      <w:lvlText w:val="%7."/>
      <w:lvlJc w:val="left"/>
      <w:pPr>
        <w:ind w:left="4680" w:hanging="360"/>
      </w:pPr>
    </w:lvl>
    <w:lvl w:ilvl="7" w:tplc="10F04BB4">
      <w:start w:val="1"/>
      <w:numFmt w:val="lowerLetter"/>
      <w:lvlText w:val="%8."/>
      <w:lvlJc w:val="left"/>
      <w:pPr>
        <w:ind w:left="5400" w:hanging="360"/>
      </w:pPr>
    </w:lvl>
    <w:lvl w:ilvl="8" w:tplc="9A4CDD36">
      <w:start w:val="1"/>
      <w:numFmt w:val="lowerRoman"/>
      <w:lvlText w:val="%9."/>
      <w:lvlJc w:val="right"/>
      <w:pPr>
        <w:ind w:left="6120" w:hanging="180"/>
      </w:pPr>
    </w:lvl>
  </w:abstractNum>
  <w:abstractNum w:abstractNumId="11" w15:restartNumberingAfterBreak="0">
    <w:nsid w:val="5B7F535F"/>
    <w:multiLevelType w:val="hybridMultilevel"/>
    <w:tmpl w:val="20026D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4CE4561"/>
    <w:multiLevelType w:val="hybridMultilevel"/>
    <w:tmpl w:val="34389A80"/>
    <w:lvl w:ilvl="0" w:tplc="96941440">
      <w:start w:val="1"/>
      <w:numFmt w:val="decimal"/>
      <w:lvlText w:val="%1."/>
      <w:lvlJc w:val="left"/>
      <w:pPr>
        <w:ind w:left="360" w:hanging="360"/>
      </w:pPr>
    </w:lvl>
    <w:lvl w:ilvl="1" w:tplc="580AF6E8">
      <w:start w:val="1"/>
      <w:numFmt w:val="lowerLetter"/>
      <w:lvlText w:val="%2."/>
      <w:lvlJc w:val="left"/>
      <w:pPr>
        <w:ind w:left="1080" w:hanging="360"/>
      </w:pPr>
    </w:lvl>
    <w:lvl w:ilvl="2" w:tplc="B1745D12">
      <w:start w:val="1"/>
      <w:numFmt w:val="lowerRoman"/>
      <w:lvlText w:val="%3."/>
      <w:lvlJc w:val="right"/>
      <w:pPr>
        <w:ind w:left="1800" w:hanging="180"/>
      </w:pPr>
    </w:lvl>
    <w:lvl w:ilvl="3" w:tplc="DF462B26">
      <w:start w:val="1"/>
      <w:numFmt w:val="decimal"/>
      <w:lvlText w:val="%4."/>
      <w:lvlJc w:val="left"/>
      <w:pPr>
        <w:ind w:left="2520" w:hanging="360"/>
      </w:pPr>
    </w:lvl>
    <w:lvl w:ilvl="4" w:tplc="9FE6C67A">
      <w:start w:val="1"/>
      <w:numFmt w:val="lowerLetter"/>
      <w:lvlText w:val="%5."/>
      <w:lvlJc w:val="left"/>
      <w:pPr>
        <w:ind w:left="3240" w:hanging="360"/>
      </w:pPr>
    </w:lvl>
    <w:lvl w:ilvl="5" w:tplc="F09C499E">
      <w:start w:val="1"/>
      <w:numFmt w:val="lowerRoman"/>
      <w:lvlText w:val="%6."/>
      <w:lvlJc w:val="right"/>
      <w:pPr>
        <w:ind w:left="3960" w:hanging="180"/>
      </w:pPr>
    </w:lvl>
    <w:lvl w:ilvl="6" w:tplc="BB3EEEBA">
      <w:start w:val="1"/>
      <w:numFmt w:val="decimal"/>
      <w:lvlText w:val="%7."/>
      <w:lvlJc w:val="left"/>
      <w:pPr>
        <w:ind w:left="4680" w:hanging="360"/>
      </w:pPr>
    </w:lvl>
    <w:lvl w:ilvl="7" w:tplc="10F04BB4">
      <w:start w:val="1"/>
      <w:numFmt w:val="lowerLetter"/>
      <w:lvlText w:val="%8."/>
      <w:lvlJc w:val="left"/>
      <w:pPr>
        <w:ind w:left="5400" w:hanging="360"/>
      </w:pPr>
    </w:lvl>
    <w:lvl w:ilvl="8" w:tplc="9A4CDD36">
      <w:start w:val="1"/>
      <w:numFmt w:val="lowerRoman"/>
      <w:lvlText w:val="%9."/>
      <w:lvlJc w:val="right"/>
      <w:pPr>
        <w:ind w:left="6120" w:hanging="180"/>
      </w:pPr>
    </w:lvl>
  </w:abstractNum>
  <w:abstractNum w:abstractNumId="13" w15:restartNumberingAfterBreak="0">
    <w:nsid w:val="7A9D1DF5"/>
    <w:multiLevelType w:val="multilevel"/>
    <w:tmpl w:val="0C09001D"/>
    <w:lvl w:ilvl="0">
      <w:start w:val="1"/>
      <w:numFmt w:val="decimal"/>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3730AE"/>
    <w:multiLevelType w:val="hybridMultilevel"/>
    <w:tmpl w:val="ECA61E9E"/>
    <w:lvl w:ilvl="0" w:tplc="50344614">
      <w:start w:val="1"/>
      <w:numFmt w:val="bullet"/>
      <w:pStyle w:val="BSbullet1"/>
      <w:lvlText w:val=""/>
      <w:lvlJc w:val="left"/>
      <w:pPr>
        <w:tabs>
          <w:tab w:val="num" w:pos="360"/>
        </w:tabs>
        <w:ind w:left="357" w:hanging="357"/>
      </w:pPr>
      <w:rPr>
        <w:rFonts w:ascii="Symbol" w:hAnsi="Symbol" w:hint="default"/>
        <w:sz w:val="24"/>
      </w:rPr>
    </w:lvl>
    <w:lvl w:ilvl="1" w:tplc="D2988D4C">
      <w:start w:val="1"/>
      <w:numFmt w:val="bullet"/>
      <w:lvlText w:val="o"/>
      <w:lvlJc w:val="left"/>
      <w:pPr>
        <w:tabs>
          <w:tab w:val="num" w:pos="1800"/>
        </w:tabs>
        <w:ind w:left="1800" w:hanging="360"/>
      </w:pPr>
      <w:rPr>
        <w:rFonts w:ascii="Courier New" w:hAnsi="Courier New" w:hint="default"/>
      </w:rPr>
    </w:lvl>
    <w:lvl w:ilvl="2" w:tplc="477822C4">
      <w:start w:val="1"/>
      <w:numFmt w:val="bullet"/>
      <w:lvlText w:val=""/>
      <w:lvlJc w:val="left"/>
      <w:pPr>
        <w:tabs>
          <w:tab w:val="num" w:pos="2520"/>
        </w:tabs>
        <w:ind w:left="2520" w:hanging="360"/>
      </w:pPr>
      <w:rPr>
        <w:rFonts w:ascii="Wingdings" w:hAnsi="Wingdings" w:hint="default"/>
      </w:rPr>
    </w:lvl>
    <w:lvl w:ilvl="3" w:tplc="1FBE2B82">
      <w:start w:val="1"/>
      <w:numFmt w:val="bullet"/>
      <w:lvlText w:val=""/>
      <w:lvlJc w:val="left"/>
      <w:pPr>
        <w:tabs>
          <w:tab w:val="num" w:pos="3240"/>
        </w:tabs>
        <w:ind w:left="3240" w:hanging="360"/>
      </w:pPr>
      <w:rPr>
        <w:rFonts w:ascii="Symbol" w:hAnsi="Symbol" w:hint="default"/>
      </w:rPr>
    </w:lvl>
    <w:lvl w:ilvl="4" w:tplc="8BDCDA22">
      <w:start w:val="1"/>
      <w:numFmt w:val="bullet"/>
      <w:lvlText w:val="o"/>
      <w:lvlJc w:val="left"/>
      <w:pPr>
        <w:tabs>
          <w:tab w:val="num" w:pos="3960"/>
        </w:tabs>
        <w:ind w:left="3960" w:hanging="360"/>
      </w:pPr>
      <w:rPr>
        <w:rFonts w:ascii="Courier New" w:hAnsi="Courier New" w:hint="default"/>
      </w:rPr>
    </w:lvl>
    <w:lvl w:ilvl="5" w:tplc="C4A0E546">
      <w:start w:val="1"/>
      <w:numFmt w:val="bullet"/>
      <w:lvlText w:val=""/>
      <w:lvlJc w:val="left"/>
      <w:pPr>
        <w:tabs>
          <w:tab w:val="num" w:pos="4680"/>
        </w:tabs>
        <w:ind w:left="4680" w:hanging="360"/>
      </w:pPr>
      <w:rPr>
        <w:rFonts w:ascii="Wingdings" w:hAnsi="Wingdings" w:hint="default"/>
      </w:rPr>
    </w:lvl>
    <w:lvl w:ilvl="6" w:tplc="6EA4E736">
      <w:start w:val="1"/>
      <w:numFmt w:val="bullet"/>
      <w:lvlText w:val=""/>
      <w:lvlJc w:val="left"/>
      <w:pPr>
        <w:tabs>
          <w:tab w:val="num" w:pos="5400"/>
        </w:tabs>
        <w:ind w:left="5400" w:hanging="360"/>
      </w:pPr>
      <w:rPr>
        <w:rFonts w:ascii="Symbol" w:hAnsi="Symbol" w:hint="default"/>
      </w:rPr>
    </w:lvl>
    <w:lvl w:ilvl="7" w:tplc="95127CA2">
      <w:start w:val="1"/>
      <w:numFmt w:val="bullet"/>
      <w:lvlText w:val="o"/>
      <w:lvlJc w:val="left"/>
      <w:pPr>
        <w:tabs>
          <w:tab w:val="num" w:pos="6120"/>
        </w:tabs>
        <w:ind w:left="6120" w:hanging="360"/>
      </w:pPr>
      <w:rPr>
        <w:rFonts w:ascii="Courier New" w:hAnsi="Courier New" w:hint="default"/>
      </w:rPr>
    </w:lvl>
    <w:lvl w:ilvl="8" w:tplc="E2021E0C">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730AF"/>
    <w:multiLevelType w:val="hybridMultilevel"/>
    <w:tmpl w:val="ECA61E9E"/>
    <w:lvl w:ilvl="0" w:tplc="AA2279EA">
      <w:start w:val="1"/>
      <w:numFmt w:val="bullet"/>
      <w:lvlText w:val=""/>
      <w:lvlJc w:val="left"/>
      <w:pPr>
        <w:tabs>
          <w:tab w:val="num" w:pos="360"/>
        </w:tabs>
        <w:ind w:left="357" w:hanging="357"/>
      </w:pPr>
      <w:rPr>
        <w:rFonts w:ascii="Symbol" w:hAnsi="Symbol" w:hint="default"/>
        <w:sz w:val="24"/>
      </w:rPr>
    </w:lvl>
    <w:lvl w:ilvl="1" w:tplc="74D20C08">
      <w:start w:val="1"/>
      <w:numFmt w:val="bullet"/>
      <w:lvlText w:val="o"/>
      <w:lvlJc w:val="left"/>
      <w:pPr>
        <w:tabs>
          <w:tab w:val="num" w:pos="1800"/>
        </w:tabs>
        <w:ind w:left="1800" w:hanging="360"/>
      </w:pPr>
      <w:rPr>
        <w:rFonts w:ascii="Courier New" w:hAnsi="Courier New" w:cs="Times New Roman" w:hint="default"/>
      </w:rPr>
    </w:lvl>
    <w:lvl w:ilvl="2" w:tplc="CA1408EE">
      <w:start w:val="1"/>
      <w:numFmt w:val="bullet"/>
      <w:lvlText w:val=""/>
      <w:lvlJc w:val="left"/>
      <w:pPr>
        <w:tabs>
          <w:tab w:val="num" w:pos="2520"/>
        </w:tabs>
        <w:ind w:left="2520" w:hanging="360"/>
      </w:pPr>
      <w:rPr>
        <w:rFonts w:ascii="Wingdings" w:hAnsi="Wingdings" w:hint="default"/>
      </w:rPr>
    </w:lvl>
    <w:lvl w:ilvl="3" w:tplc="E64441A6">
      <w:start w:val="1"/>
      <w:numFmt w:val="bullet"/>
      <w:lvlText w:val=""/>
      <w:lvlJc w:val="left"/>
      <w:pPr>
        <w:tabs>
          <w:tab w:val="num" w:pos="3240"/>
        </w:tabs>
        <w:ind w:left="3240" w:hanging="360"/>
      </w:pPr>
      <w:rPr>
        <w:rFonts w:ascii="Symbol" w:hAnsi="Symbol" w:hint="default"/>
      </w:rPr>
    </w:lvl>
    <w:lvl w:ilvl="4" w:tplc="F872B3AA">
      <w:start w:val="1"/>
      <w:numFmt w:val="bullet"/>
      <w:lvlText w:val="o"/>
      <w:lvlJc w:val="left"/>
      <w:pPr>
        <w:tabs>
          <w:tab w:val="num" w:pos="3960"/>
        </w:tabs>
        <w:ind w:left="3960" w:hanging="360"/>
      </w:pPr>
      <w:rPr>
        <w:rFonts w:ascii="Courier New" w:hAnsi="Courier New" w:cs="Times New Roman" w:hint="default"/>
      </w:rPr>
    </w:lvl>
    <w:lvl w:ilvl="5" w:tplc="1218682C">
      <w:start w:val="1"/>
      <w:numFmt w:val="bullet"/>
      <w:lvlText w:val=""/>
      <w:lvlJc w:val="left"/>
      <w:pPr>
        <w:tabs>
          <w:tab w:val="num" w:pos="4680"/>
        </w:tabs>
        <w:ind w:left="4680" w:hanging="360"/>
      </w:pPr>
      <w:rPr>
        <w:rFonts w:ascii="Wingdings" w:hAnsi="Wingdings" w:hint="default"/>
      </w:rPr>
    </w:lvl>
    <w:lvl w:ilvl="6" w:tplc="C3AADDAC">
      <w:start w:val="1"/>
      <w:numFmt w:val="bullet"/>
      <w:lvlText w:val=""/>
      <w:lvlJc w:val="left"/>
      <w:pPr>
        <w:tabs>
          <w:tab w:val="num" w:pos="5400"/>
        </w:tabs>
        <w:ind w:left="5400" w:hanging="360"/>
      </w:pPr>
      <w:rPr>
        <w:rFonts w:ascii="Symbol" w:hAnsi="Symbol" w:hint="default"/>
      </w:rPr>
    </w:lvl>
    <w:lvl w:ilvl="7" w:tplc="B512E0DE">
      <w:start w:val="1"/>
      <w:numFmt w:val="bullet"/>
      <w:lvlText w:val="o"/>
      <w:lvlJc w:val="left"/>
      <w:pPr>
        <w:tabs>
          <w:tab w:val="num" w:pos="6120"/>
        </w:tabs>
        <w:ind w:left="6120" w:hanging="360"/>
      </w:pPr>
      <w:rPr>
        <w:rFonts w:ascii="Courier New" w:hAnsi="Courier New" w:cs="Times New Roman" w:hint="default"/>
      </w:rPr>
    </w:lvl>
    <w:lvl w:ilvl="8" w:tplc="47805E0E">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730B0"/>
    <w:multiLevelType w:val="hybridMultilevel"/>
    <w:tmpl w:val="721632FE"/>
    <w:lvl w:ilvl="0" w:tplc="F4064D34">
      <w:start w:val="1"/>
      <w:numFmt w:val="bullet"/>
      <w:pStyle w:val="BSbullet20"/>
      <w:lvlText w:val="-"/>
      <w:lvlJc w:val="left"/>
      <w:pPr>
        <w:ind w:left="1077" w:hanging="360"/>
      </w:pPr>
      <w:rPr>
        <w:rFonts w:ascii="Calibri" w:hAnsi="Calibri" w:hint="default"/>
      </w:rPr>
    </w:lvl>
    <w:lvl w:ilvl="1" w:tplc="41B418EE">
      <w:start w:val="1"/>
      <w:numFmt w:val="bullet"/>
      <w:lvlText w:val="o"/>
      <w:lvlJc w:val="left"/>
      <w:pPr>
        <w:ind w:left="1797" w:hanging="360"/>
      </w:pPr>
      <w:rPr>
        <w:rFonts w:ascii="Courier New" w:hAnsi="Courier New" w:cs="Courier New" w:hint="default"/>
      </w:rPr>
    </w:lvl>
    <w:lvl w:ilvl="2" w:tplc="E3EA29DC">
      <w:start w:val="1"/>
      <w:numFmt w:val="bullet"/>
      <w:lvlText w:val=""/>
      <w:lvlJc w:val="left"/>
      <w:pPr>
        <w:ind w:left="2517" w:hanging="360"/>
      </w:pPr>
      <w:rPr>
        <w:rFonts w:ascii="Wingdings" w:hAnsi="Wingdings" w:hint="default"/>
      </w:rPr>
    </w:lvl>
    <w:lvl w:ilvl="3" w:tplc="49CED976">
      <w:start w:val="1"/>
      <w:numFmt w:val="bullet"/>
      <w:lvlText w:val=""/>
      <w:lvlJc w:val="left"/>
      <w:pPr>
        <w:ind w:left="3237" w:hanging="360"/>
      </w:pPr>
      <w:rPr>
        <w:rFonts w:ascii="Symbol" w:hAnsi="Symbol" w:hint="default"/>
      </w:rPr>
    </w:lvl>
    <w:lvl w:ilvl="4" w:tplc="070A888C">
      <w:start w:val="1"/>
      <w:numFmt w:val="bullet"/>
      <w:lvlText w:val="o"/>
      <w:lvlJc w:val="left"/>
      <w:pPr>
        <w:ind w:left="3957" w:hanging="360"/>
      </w:pPr>
      <w:rPr>
        <w:rFonts w:ascii="Courier New" w:hAnsi="Courier New" w:cs="Courier New" w:hint="default"/>
      </w:rPr>
    </w:lvl>
    <w:lvl w:ilvl="5" w:tplc="FCFAC03E">
      <w:start w:val="1"/>
      <w:numFmt w:val="bullet"/>
      <w:lvlText w:val=""/>
      <w:lvlJc w:val="left"/>
      <w:pPr>
        <w:ind w:left="4677" w:hanging="360"/>
      </w:pPr>
      <w:rPr>
        <w:rFonts w:ascii="Wingdings" w:hAnsi="Wingdings" w:hint="default"/>
      </w:rPr>
    </w:lvl>
    <w:lvl w:ilvl="6" w:tplc="7A4AE044">
      <w:start w:val="1"/>
      <w:numFmt w:val="bullet"/>
      <w:lvlText w:val=""/>
      <w:lvlJc w:val="left"/>
      <w:pPr>
        <w:ind w:left="5397" w:hanging="360"/>
      </w:pPr>
      <w:rPr>
        <w:rFonts w:ascii="Symbol" w:hAnsi="Symbol" w:hint="default"/>
      </w:rPr>
    </w:lvl>
    <w:lvl w:ilvl="7" w:tplc="3F761CE0">
      <w:start w:val="1"/>
      <w:numFmt w:val="bullet"/>
      <w:lvlText w:val="o"/>
      <w:lvlJc w:val="left"/>
      <w:pPr>
        <w:ind w:left="6117" w:hanging="360"/>
      </w:pPr>
      <w:rPr>
        <w:rFonts w:ascii="Courier New" w:hAnsi="Courier New" w:cs="Courier New" w:hint="default"/>
      </w:rPr>
    </w:lvl>
    <w:lvl w:ilvl="8" w:tplc="0166FD56">
      <w:start w:val="1"/>
      <w:numFmt w:val="bullet"/>
      <w:lvlText w:val=""/>
      <w:lvlJc w:val="left"/>
      <w:pPr>
        <w:ind w:left="6837" w:hanging="360"/>
      </w:pPr>
      <w:rPr>
        <w:rFonts w:ascii="Wingdings" w:hAnsi="Wingdings" w:hint="default"/>
      </w:rPr>
    </w:lvl>
  </w:abstractNum>
  <w:abstractNum w:abstractNumId="17" w15:restartNumberingAfterBreak="0">
    <w:nsid w:val="7B3730B1"/>
    <w:multiLevelType w:val="hybridMultilevel"/>
    <w:tmpl w:val="712E73D0"/>
    <w:lvl w:ilvl="0" w:tplc="28F6AF90">
      <w:start w:val="1"/>
      <w:numFmt w:val="decimal"/>
      <w:pStyle w:val="BSnoteslist"/>
      <w:lvlText w:val="%1."/>
      <w:lvlJc w:val="left"/>
      <w:pPr>
        <w:ind w:left="360" w:hanging="360"/>
      </w:pPr>
    </w:lvl>
    <w:lvl w:ilvl="1" w:tplc="B658FEFC">
      <w:start w:val="1"/>
      <w:numFmt w:val="lowerLetter"/>
      <w:lvlText w:val="%2."/>
      <w:lvlJc w:val="left"/>
      <w:pPr>
        <w:ind w:left="1080" w:hanging="360"/>
      </w:pPr>
    </w:lvl>
    <w:lvl w:ilvl="2" w:tplc="C3729A78" w:tentative="1">
      <w:start w:val="1"/>
      <w:numFmt w:val="lowerRoman"/>
      <w:lvlText w:val="%3."/>
      <w:lvlJc w:val="right"/>
      <w:pPr>
        <w:ind w:left="1800" w:hanging="180"/>
      </w:pPr>
    </w:lvl>
    <w:lvl w:ilvl="3" w:tplc="7056EC60" w:tentative="1">
      <w:start w:val="1"/>
      <w:numFmt w:val="decimal"/>
      <w:lvlText w:val="%4."/>
      <w:lvlJc w:val="left"/>
      <w:pPr>
        <w:ind w:left="2520" w:hanging="360"/>
      </w:pPr>
    </w:lvl>
    <w:lvl w:ilvl="4" w:tplc="9CC2387A" w:tentative="1">
      <w:start w:val="1"/>
      <w:numFmt w:val="lowerLetter"/>
      <w:lvlText w:val="%5."/>
      <w:lvlJc w:val="left"/>
      <w:pPr>
        <w:ind w:left="3240" w:hanging="360"/>
      </w:pPr>
    </w:lvl>
    <w:lvl w:ilvl="5" w:tplc="FDF650B4" w:tentative="1">
      <w:start w:val="1"/>
      <w:numFmt w:val="lowerRoman"/>
      <w:lvlText w:val="%6."/>
      <w:lvlJc w:val="right"/>
      <w:pPr>
        <w:ind w:left="3960" w:hanging="180"/>
      </w:pPr>
    </w:lvl>
    <w:lvl w:ilvl="6" w:tplc="92647B16" w:tentative="1">
      <w:start w:val="1"/>
      <w:numFmt w:val="decimal"/>
      <w:lvlText w:val="%7."/>
      <w:lvlJc w:val="left"/>
      <w:pPr>
        <w:ind w:left="4680" w:hanging="360"/>
      </w:pPr>
    </w:lvl>
    <w:lvl w:ilvl="7" w:tplc="7770A6F2" w:tentative="1">
      <w:start w:val="1"/>
      <w:numFmt w:val="lowerLetter"/>
      <w:lvlText w:val="%8."/>
      <w:lvlJc w:val="left"/>
      <w:pPr>
        <w:ind w:left="5400" w:hanging="360"/>
      </w:pPr>
    </w:lvl>
    <w:lvl w:ilvl="8" w:tplc="2B663C82" w:tentative="1">
      <w:start w:val="1"/>
      <w:numFmt w:val="lowerRoman"/>
      <w:lvlText w:val="%9."/>
      <w:lvlJc w:val="right"/>
      <w:pPr>
        <w:ind w:left="6120" w:hanging="180"/>
      </w:pPr>
    </w:lvl>
  </w:abstractNum>
  <w:abstractNum w:abstractNumId="18" w15:restartNumberingAfterBreak="0">
    <w:nsid w:val="7B3730B2"/>
    <w:multiLevelType w:val="hybridMultilevel"/>
    <w:tmpl w:val="63D67E68"/>
    <w:lvl w:ilvl="0" w:tplc="93F47FDC">
      <w:start w:val="1"/>
      <w:numFmt w:val="decimal"/>
      <w:pStyle w:val="Alnotes"/>
      <w:lvlText w:val="%1."/>
      <w:lvlJc w:val="left"/>
      <w:pPr>
        <w:ind w:left="360" w:hanging="360"/>
      </w:pPr>
      <w:rPr>
        <w:rFonts w:hint="default"/>
      </w:rPr>
    </w:lvl>
    <w:lvl w:ilvl="1" w:tplc="A4802C40" w:tentative="1">
      <w:start w:val="1"/>
      <w:numFmt w:val="lowerLetter"/>
      <w:lvlText w:val="%2."/>
      <w:lvlJc w:val="left"/>
      <w:pPr>
        <w:ind w:left="1080" w:hanging="360"/>
      </w:pPr>
    </w:lvl>
    <w:lvl w:ilvl="2" w:tplc="D80015EA" w:tentative="1">
      <w:start w:val="1"/>
      <w:numFmt w:val="lowerRoman"/>
      <w:lvlText w:val="%3."/>
      <w:lvlJc w:val="right"/>
      <w:pPr>
        <w:ind w:left="1800" w:hanging="180"/>
      </w:pPr>
    </w:lvl>
    <w:lvl w:ilvl="3" w:tplc="246EF47A" w:tentative="1">
      <w:start w:val="1"/>
      <w:numFmt w:val="decimal"/>
      <w:lvlText w:val="%4."/>
      <w:lvlJc w:val="left"/>
      <w:pPr>
        <w:ind w:left="2520" w:hanging="360"/>
      </w:pPr>
    </w:lvl>
    <w:lvl w:ilvl="4" w:tplc="A1AEFED6" w:tentative="1">
      <w:start w:val="1"/>
      <w:numFmt w:val="lowerLetter"/>
      <w:lvlText w:val="%5."/>
      <w:lvlJc w:val="left"/>
      <w:pPr>
        <w:ind w:left="3240" w:hanging="360"/>
      </w:pPr>
    </w:lvl>
    <w:lvl w:ilvl="5" w:tplc="1C10F4F8" w:tentative="1">
      <w:start w:val="1"/>
      <w:numFmt w:val="lowerRoman"/>
      <w:lvlText w:val="%6."/>
      <w:lvlJc w:val="right"/>
      <w:pPr>
        <w:ind w:left="3960" w:hanging="180"/>
      </w:pPr>
    </w:lvl>
    <w:lvl w:ilvl="6" w:tplc="9A36868A" w:tentative="1">
      <w:start w:val="1"/>
      <w:numFmt w:val="decimal"/>
      <w:lvlText w:val="%7."/>
      <w:lvlJc w:val="left"/>
      <w:pPr>
        <w:ind w:left="4680" w:hanging="360"/>
      </w:pPr>
    </w:lvl>
    <w:lvl w:ilvl="7" w:tplc="BEF8D61C" w:tentative="1">
      <w:start w:val="1"/>
      <w:numFmt w:val="lowerLetter"/>
      <w:lvlText w:val="%8."/>
      <w:lvlJc w:val="left"/>
      <w:pPr>
        <w:ind w:left="5400" w:hanging="360"/>
      </w:pPr>
    </w:lvl>
    <w:lvl w:ilvl="8" w:tplc="A676AD6C" w:tentative="1">
      <w:start w:val="1"/>
      <w:numFmt w:val="lowerRoman"/>
      <w:lvlText w:val="%9."/>
      <w:lvlJc w:val="right"/>
      <w:pPr>
        <w:ind w:left="6120" w:hanging="180"/>
      </w:pPr>
    </w:lvl>
  </w:abstractNum>
  <w:abstractNum w:abstractNumId="19" w15:restartNumberingAfterBreak="0">
    <w:nsid w:val="7B3730B3"/>
    <w:multiLevelType w:val="hybridMultilevel"/>
    <w:tmpl w:val="A30A436E"/>
    <w:lvl w:ilvl="0" w:tplc="56DE0F54">
      <w:start w:val="1"/>
      <w:numFmt w:val="bullet"/>
      <w:pStyle w:val="BSbullet21"/>
      <w:lvlText w:val="-"/>
      <w:lvlJc w:val="left"/>
      <w:pPr>
        <w:ind w:left="1077" w:hanging="360"/>
      </w:pPr>
      <w:rPr>
        <w:rFonts w:ascii="Calibri" w:hAnsi="Calibri" w:hint="default"/>
      </w:rPr>
    </w:lvl>
    <w:lvl w:ilvl="1" w:tplc="7BEC7E60">
      <w:start w:val="1"/>
      <w:numFmt w:val="bullet"/>
      <w:lvlText w:val="o"/>
      <w:lvlJc w:val="left"/>
      <w:pPr>
        <w:ind w:left="1797" w:hanging="360"/>
      </w:pPr>
      <w:rPr>
        <w:rFonts w:ascii="Courier New" w:hAnsi="Courier New" w:cs="Courier New" w:hint="default"/>
      </w:rPr>
    </w:lvl>
    <w:lvl w:ilvl="2" w:tplc="A72240BE">
      <w:start w:val="1"/>
      <w:numFmt w:val="bullet"/>
      <w:lvlText w:val=""/>
      <w:lvlJc w:val="left"/>
      <w:pPr>
        <w:ind w:left="2517" w:hanging="360"/>
      </w:pPr>
      <w:rPr>
        <w:rFonts w:ascii="Wingdings" w:hAnsi="Wingdings" w:hint="default"/>
      </w:rPr>
    </w:lvl>
    <w:lvl w:ilvl="3" w:tplc="42DA035A">
      <w:start w:val="1"/>
      <w:numFmt w:val="bullet"/>
      <w:lvlText w:val=""/>
      <w:lvlJc w:val="left"/>
      <w:pPr>
        <w:ind w:left="3237" w:hanging="360"/>
      </w:pPr>
      <w:rPr>
        <w:rFonts w:ascii="Symbol" w:hAnsi="Symbol" w:hint="default"/>
      </w:rPr>
    </w:lvl>
    <w:lvl w:ilvl="4" w:tplc="E44241AA">
      <w:start w:val="1"/>
      <w:numFmt w:val="bullet"/>
      <w:lvlText w:val="o"/>
      <w:lvlJc w:val="left"/>
      <w:pPr>
        <w:ind w:left="3957" w:hanging="360"/>
      </w:pPr>
      <w:rPr>
        <w:rFonts w:ascii="Courier New" w:hAnsi="Courier New" w:cs="Courier New" w:hint="default"/>
      </w:rPr>
    </w:lvl>
    <w:lvl w:ilvl="5" w:tplc="7F987794">
      <w:start w:val="1"/>
      <w:numFmt w:val="bullet"/>
      <w:lvlText w:val=""/>
      <w:lvlJc w:val="left"/>
      <w:pPr>
        <w:ind w:left="4677" w:hanging="360"/>
      </w:pPr>
      <w:rPr>
        <w:rFonts w:ascii="Wingdings" w:hAnsi="Wingdings" w:hint="default"/>
      </w:rPr>
    </w:lvl>
    <w:lvl w:ilvl="6" w:tplc="018CBE00">
      <w:start w:val="1"/>
      <w:numFmt w:val="bullet"/>
      <w:lvlText w:val=""/>
      <w:lvlJc w:val="left"/>
      <w:pPr>
        <w:ind w:left="5397" w:hanging="360"/>
      </w:pPr>
      <w:rPr>
        <w:rFonts w:ascii="Symbol" w:hAnsi="Symbol" w:hint="default"/>
      </w:rPr>
    </w:lvl>
    <w:lvl w:ilvl="7" w:tplc="AE0A6112">
      <w:start w:val="1"/>
      <w:numFmt w:val="bullet"/>
      <w:lvlText w:val="o"/>
      <w:lvlJc w:val="left"/>
      <w:pPr>
        <w:ind w:left="6117" w:hanging="360"/>
      </w:pPr>
      <w:rPr>
        <w:rFonts w:ascii="Courier New" w:hAnsi="Courier New" w:cs="Courier New" w:hint="default"/>
      </w:rPr>
    </w:lvl>
    <w:lvl w:ilvl="8" w:tplc="67080744">
      <w:start w:val="1"/>
      <w:numFmt w:val="bullet"/>
      <w:lvlText w:val=""/>
      <w:lvlJc w:val="left"/>
      <w:pPr>
        <w:ind w:left="6837" w:hanging="360"/>
      </w:pPr>
      <w:rPr>
        <w:rFonts w:ascii="Wingdings" w:hAnsi="Wingdings" w:hint="default"/>
      </w:rPr>
    </w:lvl>
  </w:abstractNum>
  <w:abstractNum w:abstractNumId="20" w15:restartNumberingAfterBreak="0">
    <w:nsid w:val="7B3730B4"/>
    <w:multiLevelType w:val="hybridMultilevel"/>
    <w:tmpl w:val="721632FE"/>
    <w:lvl w:ilvl="0" w:tplc="8D82547E">
      <w:start w:val="1"/>
      <w:numFmt w:val="bullet"/>
      <w:pStyle w:val="BSbullet200"/>
      <w:lvlText w:val="-"/>
      <w:lvlJc w:val="left"/>
      <w:pPr>
        <w:ind w:left="1077" w:hanging="360"/>
      </w:pPr>
      <w:rPr>
        <w:rFonts w:ascii="Calibri" w:hAnsi="Calibri" w:hint="default"/>
      </w:rPr>
    </w:lvl>
    <w:lvl w:ilvl="1" w:tplc="D250E3CA">
      <w:start w:val="1"/>
      <w:numFmt w:val="bullet"/>
      <w:lvlText w:val="o"/>
      <w:lvlJc w:val="left"/>
      <w:pPr>
        <w:ind w:left="1797" w:hanging="360"/>
      </w:pPr>
      <w:rPr>
        <w:rFonts w:ascii="Courier New" w:hAnsi="Courier New" w:cs="Courier New" w:hint="default"/>
      </w:rPr>
    </w:lvl>
    <w:lvl w:ilvl="2" w:tplc="746CEA66">
      <w:start w:val="1"/>
      <w:numFmt w:val="bullet"/>
      <w:lvlText w:val=""/>
      <w:lvlJc w:val="left"/>
      <w:pPr>
        <w:ind w:left="2517" w:hanging="360"/>
      </w:pPr>
      <w:rPr>
        <w:rFonts w:ascii="Wingdings" w:hAnsi="Wingdings" w:hint="default"/>
      </w:rPr>
    </w:lvl>
    <w:lvl w:ilvl="3" w:tplc="F814A742">
      <w:start w:val="1"/>
      <w:numFmt w:val="bullet"/>
      <w:lvlText w:val=""/>
      <w:lvlJc w:val="left"/>
      <w:pPr>
        <w:ind w:left="3237" w:hanging="360"/>
      </w:pPr>
      <w:rPr>
        <w:rFonts w:ascii="Symbol" w:hAnsi="Symbol" w:hint="default"/>
      </w:rPr>
    </w:lvl>
    <w:lvl w:ilvl="4" w:tplc="1AA81918">
      <w:start w:val="1"/>
      <w:numFmt w:val="bullet"/>
      <w:lvlText w:val="o"/>
      <w:lvlJc w:val="left"/>
      <w:pPr>
        <w:ind w:left="3957" w:hanging="360"/>
      </w:pPr>
      <w:rPr>
        <w:rFonts w:ascii="Courier New" w:hAnsi="Courier New" w:cs="Courier New" w:hint="default"/>
      </w:rPr>
    </w:lvl>
    <w:lvl w:ilvl="5" w:tplc="0C9403F8">
      <w:start w:val="1"/>
      <w:numFmt w:val="bullet"/>
      <w:lvlText w:val=""/>
      <w:lvlJc w:val="left"/>
      <w:pPr>
        <w:ind w:left="4677" w:hanging="360"/>
      </w:pPr>
      <w:rPr>
        <w:rFonts w:ascii="Wingdings" w:hAnsi="Wingdings" w:hint="default"/>
      </w:rPr>
    </w:lvl>
    <w:lvl w:ilvl="6" w:tplc="8F3A22C0">
      <w:start w:val="1"/>
      <w:numFmt w:val="bullet"/>
      <w:lvlText w:val=""/>
      <w:lvlJc w:val="left"/>
      <w:pPr>
        <w:ind w:left="5397" w:hanging="360"/>
      </w:pPr>
      <w:rPr>
        <w:rFonts w:ascii="Symbol" w:hAnsi="Symbol" w:hint="default"/>
      </w:rPr>
    </w:lvl>
    <w:lvl w:ilvl="7" w:tplc="6E4A7EEE">
      <w:start w:val="1"/>
      <w:numFmt w:val="bullet"/>
      <w:lvlText w:val="o"/>
      <w:lvlJc w:val="left"/>
      <w:pPr>
        <w:ind w:left="6117" w:hanging="360"/>
      </w:pPr>
      <w:rPr>
        <w:rFonts w:ascii="Courier New" w:hAnsi="Courier New" w:cs="Courier New" w:hint="default"/>
      </w:rPr>
    </w:lvl>
    <w:lvl w:ilvl="8" w:tplc="049C5282">
      <w:start w:val="1"/>
      <w:numFmt w:val="bullet"/>
      <w:lvlText w:val=""/>
      <w:lvlJc w:val="left"/>
      <w:pPr>
        <w:ind w:left="6837" w:hanging="360"/>
      </w:pPr>
      <w:rPr>
        <w:rFonts w:ascii="Wingdings" w:hAnsi="Wingdings" w:hint="default"/>
      </w:rPr>
    </w:lvl>
  </w:abstractNum>
  <w:abstractNum w:abstractNumId="21" w15:restartNumberingAfterBreak="0">
    <w:nsid w:val="7B3730B5"/>
    <w:multiLevelType w:val="hybridMultilevel"/>
    <w:tmpl w:val="D9AC1F04"/>
    <w:lvl w:ilvl="0" w:tplc="533CB5FE">
      <w:start w:val="1"/>
      <w:numFmt w:val="decimal"/>
      <w:pStyle w:val="BSnoteslist0"/>
      <w:lvlText w:val="%1."/>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E9E6BBC" w:tentative="1">
      <w:start w:val="1"/>
      <w:numFmt w:val="lowerLetter"/>
      <w:lvlText w:val="%2."/>
      <w:lvlJc w:val="left"/>
      <w:pPr>
        <w:ind w:left="1080" w:hanging="360"/>
      </w:pPr>
    </w:lvl>
    <w:lvl w:ilvl="2" w:tplc="6840E8E2" w:tentative="1">
      <w:start w:val="1"/>
      <w:numFmt w:val="lowerRoman"/>
      <w:lvlText w:val="%3."/>
      <w:lvlJc w:val="right"/>
      <w:pPr>
        <w:ind w:left="1800" w:hanging="180"/>
      </w:pPr>
    </w:lvl>
    <w:lvl w:ilvl="3" w:tplc="CE0C221A" w:tentative="1">
      <w:start w:val="1"/>
      <w:numFmt w:val="decimal"/>
      <w:lvlText w:val="%4."/>
      <w:lvlJc w:val="left"/>
      <w:pPr>
        <w:ind w:left="2520" w:hanging="360"/>
      </w:pPr>
    </w:lvl>
    <w:lvl w:ilvl="4" w:tplc="A5AE9DE6" w:tentative="1">
      <w:start w:val="1"/>
      <w:numFmt w:val="lowerLetter"/>
      <w:lvlText w:val="%5."/>
      <w:lvlJc w:val="left"/>
      <w:pPr>
        <w:ind w:left="3240" w:hanging="360"/>
      </w:pPr>
    </w:lvl>
    <w:lvl w:ilvl="5" w:tplc="0E260810" w:tentative="1">
      <w:start w:val="1"/>
      <w:numFmt w:val="lowerRoman"/>
      <w:lvlText w:val="%6."/>
      <w:lvlJc w:val="right"/>
      <w:pPr>
        <w:ind w:left="3960" w:hanging="180"/>
      </w:pPr>
    </w:lvl>
    <w:lvl w:ilvl="6" w:tplc="9DD43C94" w:tentative="1">
      <w:start w:val="1"/>
      <w:numFmt w:val="decimal"/>
      <w:lvlText w:val="%7."/>
      <w:lvlJc w:val="left"/>
      <w:pPr>
        <w:ind w:left="4680" w:hanging="360"/>
      </w:pPr>
    </w:lvl>
    <w:lvl w:ilvl="7" w:tplc="4A0C0B42" w:tentative="1">
      <w:start w:val="1"/>
      <w:numFmt w:val="lowerLetter"/>
      <w:lvlText w:val="%8."/>
      <w:lvlJc w:val="left"/>
      <w:pPr>
        <w:ind w:left="5400" w:hanging="360"/>
      </w:pPr>
    </w:lvl>
    <w:lvl w:ilvl="8" w:tplc="56D0E71A" w:tentative="1">
      <w:start w:val="1"/>
      <w:numFmt w:val="lowerRoman"/>
      <w:lvlText w:val="%9."/>
      <w:lvlJc w:val="right"/>
      <w:pPr>
        <w:ind w:left="6120" w:hanging="180"/>
      </w:pPr>
    </w:lvl>
  </w:abstractNum>
  <w:abstractNum w:abstractNumId="22" w15:restartNumberingAfterBreak="0">
    <w:nsid w:val="7B3730B6"/>
    <w:multiLevelType w:val="hybridMultilevel"/>
    <w:tmpl w:val="42147106"/>
    <w:lvl w:ilvl="0" w:tplc="63004DB0">
      <w:start w:val="1"/>
      <w:numFmt w:val="decimal"/>
      <w:pStyle w:val="Alnotes0"/>
      <w:lvlText w:val="%1."/>
      <w:lvlJc w:val="left"/>
      <w:pPr>
        <w:ind w:left="360" w:hanging="360"/>
      </w:pPr>
      <w:rPr>
        <w:rFonts w:hint="default"/>
      </w:rPr>
    </w:lvl>
    <w:lvl w:ilvl="1" w:tplc="3698CCD4">
      <w:start w:val="1"/>
      <w:numFmt w:val="lowerLetter"/>
      <w:lvlText w:val="%2."/>
      <w:lvlJc w:val="left"/>
      <w:pPr>
        <w:ind w:left="1080" w:hanging="360"/>
      </w:pPr>
    </w:lvl>
    <w:lvl w:ilvl="2" w:tplc="61FC9A18" w:tentative="1">
      <w:start w:val="1"/>
      <w:numFmt w:val="lowerRoman"/>
      <w:lvlText w:val="%3."/>
      <w:lvlJc w:val="right"/>
      <w:pPr>
        <w:ind w:left="1800" w:hanging="180"/>
      </w:pPr>
    </w:lvl>
    <w:lvl w:ilvl="3" w:tplc="FD3CA7B4" w:tentative="1">
      <w:start w:val="1"/>
      <w:numFmt w:val="decimal"/>
      <w:lvlText w:val="%4."/>
      <w:lvlJc w:val="left"/>
      <w:pPr>
        <w:ind w:left="2520" w:hanging="360"/>
      </w:pPr>
    </w:lvl>
    <w:lvl w:ilvl="4" w:tplc="1388D0AE" w:tentative="1">
      <w:start w:val="1"/>
      <w:numFmt w:val="lowerLetter"/>
      <w:lvlText w:val="%5."/>
      <w:lvlJc w:val="left"/>
      <w:pPr>
        <w:ind w:left="3240" w:hanging="360"/>
      </w:pPr>
    </w:lvl>
    <w:lvl w:ilvl="5" w:tplc="3AEE410E" w:tentative="1">
      <w:start w:val="1"/>
      <w:numFmt w:val="lowerRoman"/>
      <w:lvlText w:val="%6."/>
      <w:lvlJc w:val="right"/>
      <w:pPr>
        <w:ind w:left="3960" w:hanging="180"/>
      </w:pPr>
    </w:lvl>
    <w:lvl w:ilvl="6" w:tplc="021AF5C2" w:tentative="1">
      <w:start w:val="1"/>
      <w:numFmt w:val="decimal"/>
      <w:lvlText w:val="%7."/>
      <w:lvlJc w:val="left"/>
      <w:pPr>
        <w:ind w:left="4680" w:hanging="360"/>
      </w:pPr>
    </w:lvl>
    <w:lvl w:ilvl="7" w:tplc="9418CEE0" w:tentative="1">
      <w:start w:val="1"/>
      <w:numFmt w:val="lowerLetter"/>
      <w:lvlText w:val="%8."/>
      <w:lvlJc w:val="left"/>
      <w:pPr>
        <w:ind w:left="5400" w:hanging="360"/>
      </w:pPr>
    </w:lvl>
    <w:lvl w:ilvl="8" w:tplc="EB40A9F2" w:tentative="1">
      <w:start w:val="1"/>
      <w:numFmt w:val="lowerRoman"/>
      <w:lvlText w:val="%9."/>
      <w:lvlJc w:val="right"/>
      <w:pPr>
        <w:ind w:left="6120" w:hanging="180"/>
      </w:pPr>
    </w:lvl>
  </w:abstractNum>
  <w:abstractNum w:abstractNumId="23" w15:restartNumberingAfterBreak="0">
    <w:nsid w:val="7B3730B7"/>
    <w:multiLevelType w:val="hybridMultilevel"/>
    <w:tmpl w:val="D0A27896"/>
    <w:lvl w:ilvl="0" w:tplc="7D62987A">
      <w:start w:val="1"/>
      <w:numFmt w:val="bullet"/>
      <w:pStyle w:val="BSnoteslist10"/>
      <w:lvlText w:val=""/>
      <w:lvlJc w:val="left"/>
      <w:pPr>
        <w:ind w:left="360" w:hanging="360"/>
      </w:pPr>
      <w:rPr>
        <w:rFonts w:ascii="Symbol" w:hAnsi="Symbol" w:hint="default"/>
      </w:rPr>
    </w:lvl>
    <w:lvl w:ilvl="1" w:tplc="EA704D0A">
      <w:start w:val="1"/>
      <w:numFmt w:val="decimal"/>
      <w:lvlText w:val="%2."/>
      <w:lvlJc w:val="left"/>
      <w:pPr>
        <w:tabs>
          <w:tab w:val="num" w:pos="1440"/>
        </w:tabs>
        <w:ind w:left="1440" w:hanging="360"/>
      </w:pPr>
    </w:lvl>
    <w:lvl w:ilvl="2" w:tplc="D2D82850">
      <w:start w:val="1"/>
      <w:numFmt w:val="decimal"/>
      <w:lvlText w:val="%3."/>
      <w:lvlJc w:val="left"/>
      <w:pPr>
        <w:tabs>
          <w:tab w:val="num" w:pos="2160"/>
        </w:tabs>
        <w:ind w:left="2160" w:hanging="360"/>
      </w:pPr>
    </w:lvl>
    <w:lvl w:ilvl="3" w:tplc="DA207696">
      <w:start w:val="1"/>
      <w:numFmt w:val="decimal"/>
      <w:lvlText w:val="%4."/>
      <w:lvlJc w:val="left"/>
      <w:pPr>
        <w:tabs>
          <w:tab w:val="num" w:pos="2880"/>
        </w:tabs>
        <w:ind w:left="2880" w:hanging="360"/>
      </w:pPr>
    </w:lvl>
    <w:lvl w:ilvl="4" w:tplc="C74EAF90">
      <w:start w:val="1"/>
      <w:numFmt w:val="decimal"/>
      <w:lvlText w:val="%5."/>
      <w:lvlJc w:val="left"/>
      <w:pPr>
        <w:tabs>
          <w:tab w:val="num" w:pos="3600"/>
        </w:tabs>
        <w:ind w:left="3600" w:hanging="360"/>
      </w:pPr>
    </w:lvl>
    <w:lvl w:ilvl="5" w:tplc="BF441BC0">
      <w:start w:val="1"/>
      <w:numFmt w:val="decimal"/>
      <w:lvlText w:val="%6."/>
      <w:lvlJc w:val="left"/>
      <w:pPr>
        <w:tabs>
          <w:tab w:val="num" w:pos="4320"/>
        </w:tabs>
        <w:ind w:left="4320" w:hanging="360"/>
      </w:pPr>
    </w:lvl>
    <w:lvl w:ilvl="6" w:tplc="120CD324">
      <w:start w:val="1"/>
      <w:numFmt w:val="decimal"/>
      <w:lvlText w:val="%7."/>
      <w:lvlJc w:val="left"/>
      <w:pPr>
        <w:tabs>
          <w:tab w:val="num" w:pos="5040"/>
        </w:tabs>
        <w:ind w:left="5040" w:hanging="360"/>
      </w:pPr>
    </w:lvl>
    <w:lvl w:ilvl="7" w:tplc="91004D5C">
      <w:start w:val="1"/>
      <w:numFmt w:val="decimal"/>
      <w:lvlText w:val="%8."/>
      <w:lvlJc w:val="left"/>
      <w:pPr>
        <w:tabs>
          <w:tab w:val="num" w:pos="5760"/>
        </w:tabs>
        <w:ind w:left="5760" w:hanging="360"/>
      </w:pPr>
    </w:lvl>
    <w:lvl w:ilvl="8" w:tplc="17A6C010">
      <w:start w:val="1"/>
      <w:numFmt w:val="decimal"/>
      <w:lvlText w:val="%9."/>
      <w:lvlJc w:val="left"/>
      <w:pPr>
        <w:tabs>
          <w:tab w:val="num" w:pos="6480"/>
        </w:tabs>
        <w:ind w:left="6480" w:hanging="360"/>
      </w:pPr>
    </w:lvl>
  </w:abstractNum>
  <w:abstractNum w:abstractNumId="24" w15:restartNumberingAfterBreak="0">
    <w:nsid w:val="7B3730B8"/>
    <w:multiLevelType w:val="hybridMultilevel"/>
    <w:tmpl w:val="10BAFEE0"/>
    <w:lvl w:ilvl="0" w:tplc="74E626D6">
      <w:start w:val="1"/>
      <w:numFmt w:val="decimal"/>
      <w:pStyle w:val="BSnoteslist1"/>
      <w:lvlText w:val="%1."/>
      <w:lvlJc w:val="left"/>
      <w:pPr>
        <w:ind w:left="360" w:hanging="360"/>
      </w:pPr>
    </w:lvl>
    <w:lvl w:ilvl="1" w:tplc="60B0BB40" w:tentative="1">
      <w:start w:val="1"/>
      <w:numFmt w:val="lowerLetter"/>
      <w:lvlText w:val="%2."/>
      <w:lvlJc w:val="left"/>
      <w:pPr>
        <w:ind w:left="1080" w:hanging="360"/>
      </w:pPr>
    </w:lvl>
    <w:lvl w:ilvl="2" w:tplc="144027D4" w:tentative="1">
      <w:start w:val="1"/>
      <w:numFmt w:val="lowerRoman"/>
      <w:lvlText w:val="%3."/>
      <w:lvlJc w:val="right"/>
      <w:pPr>
        <w:ind w:left="1800" w:hanging="180"/>
      </w:pPr>
    </w:lvl>
    <w:lvl w:ilvl="3" w:tplc="642C4A9E" w:tentative="1">
      <w:start w:val="1"/>
      <w:numFmt w:val="decimal"/>
      <w:lvlText w:val="%4."/>
      <w:lvlJc w:val="left"/>
      <w:pPr>
        <w:ind w:left="2520" w:hanging="360"/>
      </w:pPr>
    </w:lvl>
    <w:lvl w:ilvl="4" w:tplc="FEAA719C" w:tentative="1">
      <w:start w:val="1"/>
      <w:numFmt w:val="lowerLetter"/>
      <w:lvlText w:val="%5."/>
      <w:lvlJc w:val="left"/>
      <w:pPr>
        <w:ind w:left="3240" w:hanging="360"/>
      </w:pPr>
    </w:lvl>
    <w:lvl w:ilvl="5" w:tplc="F7DEA568" w:tentative="1">
      <w:start w:val="1"/>
      <w:numFmt w:val="lowerRoman"/>
      <w:lvlText w:val="%6."/>
      <w:lvlJc w:val="right"/>
      <w:pPr>
        <w:ind w:left="3960" w:hanging="180"/>
      </w:pPr>
    </w:lvl>
    <w:lvl w:ilvl="6" w:tplc="2EFE35A2" w:tentative="1">
      <w:start w:val="1"/>
      <w:numFmt w:val="decimal"/>
      <w:lvlText w:val="%7."/>
      <w:lvlJc w:val="left"/>
      <w:pPr>
        <w:ind w:left="4680" w:hanging="360"/>
      </w:pPr>
    </w:lvl>
    <w:lvl w:ilvl="7" w:tplc="05DAC95E" w:tentative="1">
      <w:start w:val="1"/>
      <w:numFmt w:val="lowerLetter"/>
      <w:lvlText w:val="%8."/>
      <w:lvlJc w:val="left"/>
      <w:pPr>
        <w:ind w:left="5400" w:hanging="360"/>
      </w:pPr>
    </w:lvl>
    <w:lvl w:ilvl="8" w:tplc="9EA6C01A" w:tentative="1">
      <w:start w:val="1"/>
      <w:numFmt w:val="lowerRoman"/>
      <w:lvlText w:val="%9."/>
      <w:lvlJc w:val="right"/>
      <w:pPr>
        <w:ind w:left="6120" w:hanging="180"/>
      </w:pPr>
    </w:lvl>
  </w:abstractNum>
  <w:abstractNum w:abstractNumId="25" w15:restartNumberingAfterBreak="0">
    <w:nsid w:val="7B3730B9"/>
    <w:multiLevelType w:val="hybridMultilevel"/>
    <w:tmpl w:val="63D67E68"/>
    <w:lvl w:ilvl="0" w:tplc="22F20662">
      <w:start w:val="1"/>
      <w:numFmt w:val="decimal"/>
      <w:pStyle w:val="Alnotes1"/>
      <w:lvlText w:val="%1."/>
      <w:lvlJc w:val="left"/>
      <w:pPr>
        <w:ind w:left="360" w:hanging="360"/>
      </w:pPr>
      <w:rPr>
        <w:rFonts w:hint="default"/>
      </w:rPr>
    </w:lvl>
    <w:lvl w:ilvl="1" w:tplc="4AA28FB0" w:tentative="1">
      <w:start w:val="1"/>
      <w:numFmt w:val="lowerLetter"/>
      <w:lvlText w:val="%2."/>
      <w:lvlJc w:val="left"/>
      <w:pPr>
        <w:ind w:left="1080" w:hanging="360"/>
      </w:pPr>
    </w:lvl>
    <w:lvl w:ilvl="2" w:tplc="F5DA2EB6" w:tentative="1">
      <w:start w:val="1"/>
      <w:numFmt w:val="lowerRoman"/>
      <w:lvlText w:val="%3."/>
      <w:lvlJc w:val="right"/>
      <w:pPr>
        <w:ind w:left="1800" w:hanging="180"/>
      </w:pPr>
    </w:lvl>
    <w:lvl w:ilvl="3" w:tplc="7D7A4DCE" w:tentative="1">
      <w:start w:val="1"/>
      <w:numFmt w:val="decimal"/>
      <w:lvlText w:val="%4."/>
      <w:lvlJc w:val="left"/>
      <w:pPr>
        <w:ind w:left="2520" w:hanging="360"/>
      </w:pPr>
    </w:lvl>
    <w:lvl w:ilvl="4" w:tplc="716A8BBE" w:tentative="1">
      <w:start w:val="1"/>
      <w:numFmt w:val="lowerLetter"/>
      <w:lvlText w:val="%5."/>
      <w:lvlJc w:val="left"/>
      <w:pPr>
        <w:ind w:left="3240" w:hanging="360"/>
      </w:pPr>
    </w:lvl>
    <w:lvl w:ilvl="5" w:tplc="9EA8175A" w:tentative="1">
      <w:start w:val="1"/>
      <w:numFmt w:val="lowerRoman"/>
      <w:lvlText w:val="%6."/>
      <w:lvlJc w:val="right"/>
      <w:pPr>
        <w:ind w:left="3960" w:hanging="180"/>
      </w:pPr>
    </w:lvl>
    <w:lvl w:ilvl="6" w:tplc="3D1CB846" w:tentative="1">
      <w:start w:val="1"/>
      <w:numFmt w:val="decimal"/>
      <w:lvlText w:val="%7."/>
      <w:lvlJc w:val="left"/>
      <w:pPr>
        <w:ind w:left="4680" w:hanging="360"/>
      </w:pPr>
    </w:lvl>
    <w:lvl w:ilvl="7" w:tplc="CD56F90C" w:tentative="1">
      <w:start w:val="1"/>
      <w:numFmt w:val="lowerLetter"/>
      <w:lvlText w:val="%8."/>
      <w:lvlJc w:val="left"/>
      <w:pPr>
        <w:ind w:left="5400" w:hanging="360"/>
      </w:pPr>
    </w:lvl>
    <w:lvl w:ilvl="8" w:tplc="FD3CA686" w:tentative="1">
      <w:start w:val="1"/>
      <w:numFmt w:val="lowerRoman"/>
      <w:lvlText w:val="%9."/>
      <w:lvlJc w:val="right"/>
      <w:pPr>
        <w:ind w:left="6120" w:hanging="180"/>
      </w:pPr>
    </w:lvl>
  </w:abstractNum>
  <w:abstractNum w:abstractNumId="26" w15:restartNumberingAfterBreak="0">
    <w:nsid w:val="7B3730BA"/>
    <w:multiLevelType w:val="hybridMultilevel"/>
    <w:tmpl w:val="A03A5F40"/>
    <w:lvl w:ilvl="0" w:tplc="19C059D4">
      <w:start w:val="1"/>
      <w:numFmt w:val="bullet"/>
      <w:pStyle w:val="BSbullet11"/>
      <w:lvlText w:val=""/>
      <w:lvlJc w:val="left"/>
      <w:pPr>
        <w:tabs>
          <w:tab w:val="num" w:pos="360"/>
        </w:tabs>
        <w:ind w:left="357" w:hanging="357"/>
      </w:pPr>
      <w:rPr>
        <w:rFonts w:ascii="Symbol" w:hAnsi="Symbol" w:hint="default"/>
        <w:sz w:val="24"/>
      </w:rPr>
    </w:lvl>
    <w:lvl w:ilvl="1" w:tplc="B658FEFC">
      <w:start w:val="1"/>
      <w:numFmt w:val="lowerLetter"/>
      <w:lvlText w:val="%2."/>
      <w:lvlJc w:val="left"/>
      <w:pPr>
        <w:tabs>
          <w:tab w:val="num" w:pos="1800"/>
        </w:tabs>
        <w:ind w:left="1800" w:hanging="360"/>
      </w:pPr>
      <w:rPr>
        <w:rFonts w:hint="default"/>
      </w:rPr>
    </w:lvl>
    <w:lvl w:ilvl="2" w:tplc="ECD8A2C0">
      <w:start w:val="1"/>
      <w:numFmt w:val="bullet"/>
      <w:lvlText w:val=""/>
      <w:lvlJc w:val="left"/>
      <w:pPr>
        <w:tabs>
          <w:tab w:val="num" w:pos="2520"/>
        </w:tabs>
        <w:ind w:left="2520" w:hanging="360"/>
      </w:pPr>
      <w:rPr>
        <w:rFonts w:ascii="Wingdings" w:hAnsi="Wingdings" w:hint="default"/>
      </w:rPr>
    </w:lvl>
    <w:lvl w:ilvl="3" w:tplc="433A6714">
      <w:start w:val="1"/>
      <w:numFmt w:val="bullet"/>
      <w:lvlText w:val=""/>
      <w:lvlJc w:val="left"/>
      <w:pPr>
        <w:tabs>
          <w:tab w:val="num" w:pos="3240"/>
        </w:tabs>
        <w:ind w:left="3240" w:hanging="360"/>
      </w:pPr>
      <w:rPr>
        <w:rFonts w:ascii="Symbol" w:hAnsi="Symbol" w:hint="default"/>
      </w:rPr>
    </w:lvl>
    <w:lvl w:ilvl="4" w:tplc="DA86F8E8">
      <w:start w:val="1"/>
      <w:numFmt w:val="bullet"/>
      <w:lvlText w:val="o"/>
      <w:lvlJc w:val="left"/>
      <w:pPr>
        <w:tabs>
          <w:tab w:val="num" w:pos="3960"/>
        </w:tabs>
        <w:ind w:left="3960" w:hanging="360"/>
      </w:pPr>
      <w:rPr>
        <w:rFonts w:ascii="Courier New" w:hAnsi="Courier New" w:hint="default"/>
      </w:rPr>
    </w:lvl>
    <w:lvl w:ilvl="5" w:tplc="73260AC4">
      <w:start w:val="1"/>
      <w:numFmt w:val="bullet"/>
      <w:lvlText w:val=""/>
      <w:lvlJc w:val="left"/>
      <w:pPr>
        <w:tabs>
          <w:tab w:val="num" w:pos="4680"/>
        </w:tabs>
        <w:ind w:left="4680" w:hanging="360"/>
      </w:pPr>
      <w:rPr>
        <w:rFonts w:ascii="Wingdings" w:hAnsi="Wingdings" w:hint="default"/>
      </w:rPr>
    </w:lvl>
    <w:lvl w:ilvl="6" w:tplc="79F2B10C">
      <w:start w:val="1"/>
      <w:numFmt w:val="bullet"/>
      <w:lvlText w:val=""/>
      <w:lvlJc w:val="left"/>
      <w:pPr>
        <w:tabs>
          <w:tab w:val="num" w:pos="5400"/>
        </w:tabs>
        <w:ind w:left="5400" w:hanging="360"/>
      </w:pPr>
      <w:rPr>
        <w:rFonts w:ascii="Symbol" w:hAnsi="Symbol" w:hint="default"/>
      </w:rPr>
    </w:lvl>
    <w:lvl w:ilvl="7" w:tplc="9D1E3156">
      <w:start w:val="1"/>
      <w:numFmt w:val="bullet"/>
      <w:lvlText w:val="o"/>
      <w:lvlJc w:val="left"/>
      <w:pPr>
        <w:tabs>
          <w:tab w:val="num" w:pos="6120"/>
        </w:tabs>
        <w:ind w:left="6120" w:hanging="360"/>
      </w:pPr>
      <w:rPr>
        <w:rFonts w:ascii="Courier New" w:hAnsi="Courier New" w:hint="default"/>
      </w:rPr>
    </w:lvl>
    <w:lvl w:ilvl="8" w:tplc="330CB13C">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3730BB"/>
    <w:multiLevelType w:val="hybridMultilevel"/>
    <w:tmpl w:val="3B50FD64"/>
    <w:lvl w:ilvl="0" w:tplc="0486E1BE">
      <w:start w:val="1"/>
      <w:numFmt w:val="decimal"/>
      <w:lvlText w:val="%1."/>
      <w:lvlJc w:val="left"/>
      <w:pPr>
        <w:ind w:left="360" w:hanging="360"/>
      </w:pPr>
    </w:lvl>
    <w:lvl w:ilvl="1" w:tplc="F5DEE9D8">
      <w:start w:val="1"/>
      <w:numFmt w:val="lowerLetter"/>
      <w:lvlText w:val="%2."/>
      <w:lvlJc w:val="left"/>
      <w:pPr>
        <w:ind w:left="1080" w:hanging="360"/>
      </w:pPr>
    </w:lvl>
    <w:lvl w:ilvl="2" w:tplc="B29EE6CC">
      <w:start w:val="1"/>
      <w:numFmt w:val="lowerRoman"/>
      <w:lvlText w:val="%3."/>
      <w:lvlJc w:val="right"/>
      <w:pPr>
        <w:ind w:left="1800" w:hanging="180"/>
      </w:pPr>
    </w:lvl>
    <w:lvl w:ilvl="3" w:tplc="CBCE1476">
      <w:start w:val="1"/>
      <w:numFmt w:val="decimal"/>
      <w:lvlText w:val="%4."/>
      <w:lvlJc w:val="left"/>
      <w:pPr>
        <w:ind w:left="2520" w:hanging="360"/>
      </w:pPr>
    </w:lvl>
    <w:lvl w:ilvl="4" w:tplc="310E63F6">
      <w:start w:val="1"/>
      <w:numFmt w:val="lowerLetter"/>
      <w:lvlText w:val="%5."/>
      <w:lvlJc w:val="left"/>
      <w:pPr>
        <w:ind w:left="3240" w:hanging="360"/>
      </w:pPr>
    </w:lvl>
    <w:lvl w:ilvl="5" w:tplc="418E6016">
      <w:start w:val="1"/>
      <w:numFmt w:val="lowerRoman"/>
      <w:lvlText w:val="%6."/>
      <w:lvlJc w:val="right"/>
      <w:pPr>
        <w:ind w:left="3960" w:hanging="180"/>
      </w:pPr>
    </w:lvl>
    <w:lvl w:ilvl="6" w:tplc="A9B87986">
      <w:start w:val="1"/>
      <w:numFmt w:val="decimal"/>
      <w:lvlText w:val="%7."/>
      <w:lvlJc w:val="left"/>
      <w:pPr>
        <w:ind w:left="4680" w:hanging="360"/>
      </w:pPr>
    </w:lvl>
    <w:lvl w:ilvl="7" w:tplc="6EC626D2">
      <w:start w:val="1"/>
      <w:numFmt w:val="lowerLetter"/>
      <w:lvlText w:val="%8."/>
      <w:lvlJc w:val="left"/>
      <w:pPr>
        <w:ind w:left="5400" w:hanging="360"/>
      </w:pPr>
    </w:lvl>
    <w:lvl w:ilvl="8" w:tplc="9784197C">
      <w:start w:val="1"/>
      <w:numFmt w:val="lowerRoman"/>
      <w:lvlText w:val="%9."/>
      <w:lvlJc w:val="right"/>
      <w:pPr>
        <w:ind w:left="6120" w:hanging="180"/>
      </w:pPr>
    </w:lvl>
  </w:abstractNum>
  <w:abstractNum w:abstractNumId="28" w15:restartNumberingAfterBreak="0">
    <w:nsid w:val="7B3730BC"/>
    <w:multiLevelType w:val="hybridMultilevel"/>
    <w:tmpl w:val="4E7EACC2"/>
    <w:lvl w:ilvl="0" w:tplc="CD62D072">
      <w:start w:val="1"/>
      <w:numFmt w:val="bullet"/>
      <w:pStyle w:val="BSbullet12"/>
      <w:lvlText w:val=""/>
      <w:lvlJc w:val="left"/>
      <w:pPr>
        <w:tabs>
          <w:tab w:val="num" w:pos="360"/>
        </w:tabs>
        <w:ind w:left="357" w:hanging="357"/>
      </w:pPr>
      <w:rPr>
        <w:rFonts w:ascii="Symbol" w:hAnsi="Symbol" w:hint="default"/>
        <w:sz w:val="24"/>
      </w:rPr>
    </w:lvl>
    <w:lvl w:ilvl="1" w:tplc="3A8EB2E6">
      <w:start w:val="1"/>
      <w:numFmt w:val="bullet"/>
      <w:lvlText w:val="o"/>
      <w:lvlJc w:val="left"/>
      <w:pPr>
        <w:tabs>
          <w:tab w:val="num" w:pos="1800"/>
        </w:tabs>
        <w:ind w:left="1800" w:hanging="360"/>
      </w:pPr>
      <w:rPr>
        <w:rFonts w:ascii="Courier New" w:hAnsi="Courier New" w:hint="default"/>
      </w:rPr>
    </w:lvl>
    <w:lvl w:ilvl="2" w:tplc="C7DCEE3A">
      <w:start w:val="1"/>
      <w:numFmt w:val="bullet"/>
      <w:lvlText w:val=""/>
      <w:lvlJc w:val="left"/>
      <w:pPr>
        <w:tabs>
          <w:tab w:val="num" w:pos="2520"/>
        </w:tabs>
        <w:ind w:left="2520" w:hanging="360"/>
      </w:pPr>
      <w:rPr>
        <w:rFonts w:ascii="Wingdings" w:hAnsi="Wingdings" w:hint="default"/>
      </w:rPr>
    </w:lvl>
    <w:lvl w:ilvl="3" w:tplc="C53C1C5E">
      <w:start w:val="1"/>
      <w:numFmt w:val="bullet"/>
      <w:lvlText w:val=""/>
      <w:lvlJc w:val="left"/>
      <w:pPr>
        <w:tabs>
          <w:tab w:val="num" w:pos="3240"/>
        </w:tabs>
        <w:ind w:left="3240" w:hanging="360"/>
      </w:pPr>
      <w:rPr>
        <w:rFonts w:ascii="Symbol" w:hAnsi="Symbol" w:hint="default"/>
      </w:rPr>
    </w:lvl>
    <w:lvl w:ilvl="4" w:tplc="8C6454B6">
      <w:start w:val="1"/>
      <w:numFmt w:val="bullet"/>
      <w:lvlText w:val="o"/>
      <w:lvlJc w:val="left"/>
      <w:pPr>
        <w:tabs>
          <w:tab w:val="num" w:pos="3960"/>
        </w:tabs>
        <w:ind w:left="3960" w:hanging="360"/>
      </w:pPr>
      <w:rPr>
        <w:rFonts w:ascii="Courier New" w:hAnsi="Courier New" w:hint="default"/>
      </w:rPr>
    </w:lvl>
    <w:lvl w:ilvl="5" w:tplc="50121FF8">
      <w:start w:val="1"/>
      <w:numFmt w:val="bullet"/>
      <w:lvlText w:val=""/>
      <w:lvlJc w:val="left"/>
      <w:pPr>
        <w:tabs>
          <w:tab w:val="num" w:pos="4680"/>
        </w:tabs>
        <w:ind w:left="4680" w:hanging="360"/>
      </w:pPr>
      <w:rPr>
        <w:rFonts w:ascii="Wingdings" w:hAnsi="Wingdings" w:hint="default"/>
      </w:rPr>
    </w:lvl>
    <w:lvl w:ilvl="6" w:tplc="D946E756">
      <w:start w:val="1"/>
      <w:numFmt w:val="bullet"/>
      <w:lvlText w:val=""/>
      <w:lvlJc w:val="left"/>
      <w:pPr>
        <w:tabs>
          <w:tab w:val="num" w:pos="5400"/>
        </w:tabs>
        <w:ind w:left="5400" w:hanging="360"/>
      </w:pPr>
      <w:rPr>
        <w:rFonts w:ascii="Symbol" w:hAnsi="Symbol" w:hint="default"/>
      </w:rPr>
    </w:lvl>
    <w:lvl w:ilvl="7" w:tplc="656E9AC0">
      <w:start w:val="1"/>
      <w:numFmt w:val="bullet"/>
      <w:lvlText w:val="o"/>
      <w:lvlJc w:val="left"/>
      <w:pPr>
        <w:tabs>
          <w:tab w:val="num" w:pos="6120"/>
        </w:tabs>
        <w:ind w:left="6120" w:hanging="360"/>
      </w:pPr>
      <w:rPr>
        <w:rFonts w:ascii="Courier New" w:hAnsi="Courier New" w:hint="default"/>
      </w:rPr>
    </w:lvl>
    <w:lvl w:ilvl="8" w:tplc="47587A56">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3730BD"/>
    <w:multiLevelType w:val="hybridMultilevel"/>
    <w:tmpl w:val="4496A0C8"/>
    <w:lvl w:ilvl="0" w:tplc="6802761A">
      <w:start w:val="1"/>
      <w:numFmt w:val="lowerLetter"/>
      <w:pStyle w:val="BStablelist"/>
      <w:lvlText w:val="%1."/>
      <w:lvlJc w:val="left"/>
      <w:pPr>
        <w:ind w:left="360" w:hanging="360"/>
      </w:pPr>
      <w:rPr>
        <w:rFonts w:hint="default"/>
      </w:rPr>
    </w:lvl>
    <w:lvl w:ilvl="1" w:tplc="3B545614" w:tentative="1">
      <w:start w:val="1"/>
      <w:numFmt w:val="lowerLetter"/>
      <w:lvlText w:val="%2."/>
      <w:lvlJc w:val="left"/>
      <w:pPr>
        <w:tabs>
          <w:tab w:val="num" w:pos="1080"/>
        </w:tabs>
        <w:ind w:left="1080" w:hanging="360"/>
      </w:pPr>
      <w:rPr>
        <w:rFonts w:cs="Times New Roman"/>
      </w:rPr>
    </w:lvl>
    <w:lvl w:ilvl="2" w:tplc="D42C577E" w:tentative="1">
      <w:start w:val="1"/>
      <w:numFmt w:val="lowerRoman"/>
      <w:lvlText w:val="%3."/>
      <w:lvlJc w:val="right"/>
      <w:pPr>
        <w:tabs>
          <w:tab w:val="num" w:pos="1800"/>
        </w:tabs>
        <w:ind w:left="1800" w:hanging="180"/>
      </w:pPr>
      <w:rPr>
        <w:rFonts w:cs="Times New Roman"/>
      </w:rPr>
    </w:lvl>
    <w:lvl w:ilvl="3" w:tplc="E6F26F3A" w:tentative="1">
      <w:start w:val="1"/>
      <w:numFmt w:val="decimal"/>
      <w:lvlText w:val="%4."/>
      <w:lvlJc w:val="left"/>
      <w:pPr>
        <w:tabs>
          <w:tab w:val="num" w:pos="2520"/>
        </w:tabs>
        <w:ind w:left="2520" w:hanging="360"/>
      </w:pPr>
      <w:rPr>
        <w:rFonts w:cs="Times New Roman"/>
      </w:rPr>
    </w:lvl>
    <w:lvl w:ilvl="4" w:tplc="92F2E34A" w:tentative="1">
      <w:start w:val="1"/>
      <w:numFmt w:val="lowerLetter"/>
      <w:lvlText w:val="%5."/>
      <w:lvlJc w:val="left"/>
      <w:pPr>
        <w:tabs>
          <w:tab w:val="num" w:pos="3240"/>
        </w:tabs>
        <w:ind w:left="3240" w:hanging="360"/>
      </w:pPr>
      <w:rPr>
        <w:rFonts w:cs="Times New Roman"/>
      </w:rPr>
    </w:lvl>
    <w:lvl w:ilvl="5" w:tplc="22B616F8" w:tentative="1">
      <w:start w:val="1"/>
      <w:numFmt w:val="lowerRoman"/>
      <w:lvlText w:val="%6."/>
      <w:lvlJc w:val="right"/>
      <w:pPr>
        <w:tabs>
          <w:tab w:val="num" w:pos="3960"/>
        </w:tabs>
        <w:ind w:left="3960" w:hanging="180"/>
      </w:pPr>
      <w:rPr>
        <w:rFonts w:cs="Times New Roman"/>
      </w:rPr>
    </w:lvl>
    <w:lvl w:ilvl="6" w:tplc="81BCA060" w:tentative="1">
      <w:start w:val="1"/>
      <w:numFmt w:val="decimal"/>
      <w:lvlText w:val="%7."/>
      <w:lvlJc w:val="left"/>
      <w:pPr>
        <w:tabs>
          <w:tab w:val="num" w:pos="4680"/>
        </w:tabs>
        <w:ind w:left="4680" w:hanging="360"/>
      </w:pPr>
      <w:rPr>
        <w:rFonts w:cs="Times New Roman"/>
      </w:rPr>
    </w:lvl>
    <w:lvl w:ilvl="7" w:tplc="05F84C1E" w:tentative="1">
      <w:start w:val="1"/>
      <w:numFmt w:val="lowerLetter"/>
      <w:lvlText w:val="%8."/>
      <w:lvlJc w:val="left"/>
      <w:pPr>
        <w:tabs>
          <w:tab w:val="num" w:pos="5400"/>
        </w:tabs>
        <w:ind w:left="5400" w:hanging="360"/>
      </w:pPr>
      <w:rPr>
        <w:rFonts w:cs="Times New Roman"/>
      </w:rPr>
    </w:lvl>
    <w:lvl w:ilvl="8" w:tplc="ACEE973E" w:tentative="1">
      <w:start w:val="1"/>
      <w:numFmt w:val="lowerRoman"/>
      <w:lvlText w:val="%9."/>
      <w:lvlJc w:val="right"/>
      <w:pPr>
        <w:tabs>
          <w:tab w:val="num" w:pos="6120"/>
        </w:tabs>
        <w:ind w:left="6120" w:hanging="180"/>
      </w:pPr>
      <w:rPr>
        <w:rFonts w:cs="Times New Roman"/>
      </w:rPr>
    </w:lvl>
  </w:abstractNum>
  <w:abstractNum w:abstractNumId="30" w15:restartNumberingAfterBreak="0">
    <w:nsid w:val="7B3730BE"/>
    <w:multiLevelType w:val="hybridMultilevel"/>
    <w:tmpl w:val="1CA66058"/>
    <w:lvl w:ilvl="0" w:tplc="0D7CD41A">
      <w:start w:val="1"/>
      <w:numFmt w:val="decimal"/>
      <w:pStyle w:val="BSnoteslist2"/>
      <w:lvlText w:val="%1."/>
      <w:lvlJc w:val="left"/>
      <w:pPr>
        <w:ind w:left="360" w:hanging="360"/>
      </w:pPr>
    </w:lvl>
    <w:lvl w:ilvl="1" w:tplc="9C4ED346" w:tentative="1">
      <w:start w:val="1"/>
      <w:numFmt w:val="lowerLetter"/>
      <w:lvlText w:val="%2."/>
      <w:lvlJc w:val="left"/>
      <w:pPr>
        <w:ind w:left="1080" w:hanging="360"/>
      </w:pPr>
    </w:lvl>
    <w:lvl w:ilvl="2" w:tplc="DFA2DCA8" w:tentative="1">
      <w:start w:val="1"/>
      <w:numFmt w:val="lowerRoman"/>
      <w:lvlText w:val="%3."/>
      <w:lvlJc w:val="right"/>
      <w:pPr>
        <w:ind w:left="1800" w:hanging="180"/>
      </w:pPr>
    </w:lvl>
    <w:lvl w:ilvl="3" w:tplc="C1D49E28" w:tentative="1">
      <w:start w:val="1"/>
      <w:numFmt w:val="decimal"/>
      <w:lvlText w:val="%4."/>
      <w:lvlJc w:val="left"/>
      <w:pPr>
        <w:ind w:left="2520" w:hanging="360"/>
      </w:pPr>
    </w:lvl>
    <w:lvl w:ilvl="4" w:tplc="D4FA1C38" w:tentative="1">
      <w:start w:val="1"/>
      <w:numFmt w:val="lowerLetter"/>
      <w:lvlText w:val="%5."/>
      <w:lvlJc w:val="left"/>
      <w:pPr>
        <w:ind w:left="3240" w:hanging="360"/>
      </w:pPr>
    </w:lvl>
    <w:lvl w:ilvl="5" w:tplc="1A268C8C" w:tentative="1">
      <w:start w:val="1"/>
      <w:numFmt w:val="lowerRoman"/>
      <w:lvlText w:val="%6."/>
      <w:lvlJc w:val="right"/>
      <w:pPr>
        <w:ind w:left="3960" w:hanging="180"/>
      </w:pPr>
    </w:lvl>
    <w:lvl w:ilvl="6" w:tplc="82B494A4" w:tentative="1">
      <w:start w:val="1"/>
      <w:numFmt w:val="decimal"/>
      <w:lvlText w:val="%7."/>
      <w:lvlJc w:val="left"/>
      <w:pPr>
        <w:ind w:left="4680" w:hanging="360"/>
      </w:pPr>
    </w:lvl>
    <w:lvl w:ilvl="7" w:tplc="F0C65BCA" w:tentative="1">
      <w:start w:val="1"/>
      <w:numFmt w:val="lowerLetter"/>
      <w:lvlText w:val="%8."/>
      <w:lvlJc w:val="left"/>
      <w:pPr>
        <w:ind w:left="5400" w:hanging="360"/>
      </w:pPr>
    </w:lvl>
    <w:lvl w:ilvl="8" w:tplc="EE84D342" w:tentative="1">
      <w:start w:val="1"/>
      <w:numFmt w:val="lowerRoman"/>
      <w:lvlText w:val="%9."/>
      <w:lvlJc w:val="right"/>
      <w:pPr>
        <w:ind w:left="6120" w:hanging="180"/>
      </w:pPr>
    </w:lvl>
  </w:abstractNum>
  <w:abstractNum w:abstractNumId="31" w15:restartNumberingAfterBreak="0">
    <w:nsid w:val="7B3730BF"/>
    <w:multiLevelType w:val="hybridMultilevel"/>
    <w:tmpl w:val="63D67E68"/>
    <w:lvl w:ilvl="0" w:tplc="8E54D4A6">
      <w:start w:val="1"/>
      <w:numFmt w:val="decimal"/>
      <w:pStyle w:val="Alnotes2"/>
      <w:lvlText w:val="%1."/>
      <w:lvlJc w:val="left"/>
      <w:pPr>
        <w:ind w:left="360" w:hanging="360"/>
      </w:pPr>
      <w:rPr>
        <w:rFonts w:hint="default"/>
      </w:rPr>
    </w:lvl>
    <w:lvl w:ilvl="1" w:tplc="90E87FA8" w:tentative="1">
      <w:start w:val="1"/>
      <w:numFmt w:val="lowerLetter"/>
      <w:lvlText w:val="%2."/>
      <w:lvlJc w:val="left"/>
      <w:pPr>
        <w:ind w:left="1080" w:hanging="360"/>
      </w:pPr>
    </w:lvl>
    <w:lvl w:ilvl="2" w:tplc="D42E8BC0" w:tentative="1">
      <w:start w:val="1"/>
      <w:numFmt w:val="lowerRoman"/>
      <w:lvlText w:val="%3."/>
      <w:lvlJc w:val="right"/>
      <w:pPr>
        <w:ind w:left="1800" w:hanging="180"/>
      </w:pPr>
    </w:lvl>
    <w:lvl w:ilvl="3" w:tplc="B202771C" w:tentative="1">
      <w:start w:val="1"/>
      <w:numFmt w:val="decimal"/>
      <w:lvlText w:val="%4."/>
      <w:lvlJc w:val="left"/>
      <w:pPr>
        <w:ind w:left="2520" w:hanging="360"/>
      </w:pPr>
    </w:lvl>
    <w:lvl w:ilvl="4" w:tplc="0FD023E4" w:tentative="1">
      <w:start w:val="1"/>
      <w:numFmt w:val="lowerLetter"/>
      <w:lvlText w:val="%5."/>
      <w:lvlJc w:val="left"/>
      <w:pPr>
        <w:ind w:left="3240" w:hanging="360"/>
      </w:pPr>
    </w:lvl>
    <w:lvl w:ilvl="5" w:tplc="3110BD98" w:tentative="1">
      <w:start w:val="1"/>
      <w:numFmt w:val="lowerRoman"/>
      <w:lvlText w:val="%6."/>
      <w:lvlJc w:val="right"/>
      <w:pPr>
        <w:ind w:left="3960" w:hanging="180"/>
      </w:pPr>
    </w:lvl>
    <w:lvl w:ilvl="6" w:tplc="274619E4" w:tentative="1">
      <w:start w:val="1"/>
      <w:numFmt w:val="decimal"/>
      <w:lvlText w:val="%7."/>
      <w:lvlJc w:val="left"/>
      <w:pPr>
        <w:ind w:left="4680" w:hanging="360"/>
      </w:pPr>
    </w:lvl>
    <w:lvl w:ilvl="7" w:tplc="8904DD20" w:tentative="1">
      <w:start w:val="1"/>
      <w:numFmt w:val="lowerLetter"/>
      <w:lvlText w:val="%8."/>
      <w:lvlJc w:val="left"/>
      <w:pPr>
        <w:ind w:left="5400" w:hanging="360"/>
      </w:pPr>
    </w:lvl>
    <w:lvl w:ilvl="8" w:tplc="B41C2068" w:tentative="1">
      <w:start w:val="1"/>
      <w:numFmt w:val="lowerRoman"/>
      <w:lvlText w:val="%9."/>
      <w:lvlJc w:val="right"/>
      <w:pPr>
        <w:ind w:left="6120" w:hanging="180"/>
      </w:pPr>
    </w:lvl>
  </w:abstractNum>
  <w:abstractNum w:abstractNumId="32" w15:restartNumberingAfterBreak="0">
    <w:nsid w:val="7B3730C0"/>
    <w:multiLevelType w:val="hybridMultilevel"/>
    <w:tmpl w:val="66FA1350"/>
    <w:lvl w:ilvl="0" w:tplc="CAE2EE02">
      <w:start w:val="1"/>
      <w:numFmt w:val="decimal"/>
      <w:pStyle w:val="BSnoteslist20"/>
      <w:lvlText w:val="%1."/>
      <w:lvlJc w:val="left"/>
      <w:pPr>
        <w:ind w:left="360" w:hanging="360"/>
      </w:pPr>
    </w:lvl>
    <w:lvl w:ilvl="1" w:tplc="7070D7C0">
      <w:start w:val="1"/>
      <w:numFmt w:val="lowerLetter"/>
      <w:lvlText w:val="%2."/>
      <w:lvlJc w:val="left"/>
      <w:pPr>
        <w:ind w:left="1080" w:hanging="360"/>
      </w:pPr>
    </w:lvl>
    <w:lvl w:ilvl="2" w:tplc="698EE492">
      <w:start w:val="1"/>
      <w:numFmt w:val="lowerRoman"/>
      <w:lvlText w:val="%3."/>
      <w:lvlJc w:val="right"/>
      <w:pPr>
        <w:ind w:left="1800" w:hanging="180"/>
      </w:pPr>
    </w:lvl>
    <w:lvl w:ilvl="3" w:tplc="7A96547C">
      <w:start w:val="1"/>
      <w:numFmt w:val="decimal"/>
      <w:lvlText w:val="%4."/>
      <w:lvlJc w:val="left"/>
      <w:pPr>
        <w:ind w:left="2520" w:hanging="360"/>
      </w:pPr>
    </w:lvl>
    <w:lvl w:ilvl="4" w:tplc="6D8CF3D8">
      <w:start w:val="1"/>
      <w:numFmt w:val="lowerLetter"/>
      <w:lvlText w:val="%5."/>
      <w:lvlJc w:val="left"/>
      <w:pPr>
        <w:ind w:left="3240" w:hanging="360"/>
      </w:pPr>
    </w:lvl>
    <w:lvl w:ilvl="5" w:tplc="70FE64E4">
      <w:start w:val="1"/>
      <w:numFmt w:val="lowerRoman"/>
      <w:lvlText w:val="%6."/>
      <w:lvlJc w:val="right"/>
      <w:pPr>
        <w:ind w:left="3960" w:hanging="180"/>
      </w:pPr>
    </w:lvl>
    <w:lvl w:ilvl="6" w:tplc="E420521C">
      <w:start w:val="1"/>
      <w:numFmt w:val="decimal"/>
      <w:lvlText w:val="%7."/>
      <w:lvlJc w:val="left"/>
      <w:pPr>
        <w:ind w:left="4680" w:hanging="360"/>
      </w:pPr>
    </w:lvl>
    <w:lvl w:ilvl="7" w:tplc="682242F4">
      <w:start w:val="1"/>
      <w:numFmt w:val="lowerLetter"/>
      <w:lvlText w:val="%8."/>
      <w:lvlJc w:val="left"/>
      <w:pPr>
        <w:ind w:left="5400" w:hanging="360"/>
      </w:pPr>
    </w:lvl>
    <w:lvl w:ilvl="8" w:tplc="01F45D66">
      <w:start w:val="1"/>
      <w:numFmt w:val="lowerRoman"/>
      <w:lvlText w:val="%9."/>
      <w:lvlJc w:val="right"/>
      <w:pPr>
        <w:ind w:left="6120" w:hanging="180"/>
      </w:pPr>
    </w:lvl>
  </w:abstractNum>
  <w:abstractNum w:abstractNumId="33" w15:restartNumberingAfterBreak="0">
    <w:nsid w:val="7B3730C1"/>
    <w:multiLevelType w:val="hybridMultilevel"/>
    <w:tmpl w:val="34389A80"/>
    <w:lvl w:ilvl="0" w:tplc="2954D936">
      <w:start w:val="1"/>
      <w:numFmt w:val="decimal"/>
      <w:lvlText w:val="%1."/>
      <w:lvlJc w:val="left"/>
      <w:pPr>
        <w:ind w:left="360" w:hanging="360"/>
      </w:pPr>
    </w:lvl>
    <w:lvl w:ilvl="1" w:tplc="71566978">
      <w:start w:val="1"/>
      <w:numFmt w:val="lowerLetter"/>
      <w:lvlText w:val="%2."/>
      <w:lvlJc w:val="left"/>
      <w:pPr>
        <w:ind w:left="1080" w:hanging="360"/>
      </w:pPr>
    </w:lvl>
    <w:lvl w:ilvl="2" w:tplc="9CAC0B50">
      <w:start w:val="1"/>
      <w:numFmt w:val="lowerRoman"/>
      <w:lvlText w:val="%3."/>
      <w:lvlJc w:val="right"/>
      <w:pPr>
        <w:ind w:left="1800" w:hanging="180"/>
      </w:pPr>
    </w:lvl>
    <w:lvl w:ilvl="3" w:tplc="4768BBDE">
      <w:start w:val="1"/>
      <w:numFmt w:val="decimal"/>
      <w:lvlText w:val="%4."/>
      <w:lvlJc w:val="left"/>
      <w:pPr>
        <w:ind w:left="2520" w:hanging="360"/>
      </w:pPr>
    </w:lvl>
    <w:lvl w:ilvl="4" w:tplc="C3DA1634">
      <w:start w:val="1"/>
      <w:numFmt w:val="lowerLetter"/>
      <w:lvlText w:val="%5."/>
      <w:lvlJc w:val="left"/>
      <w:pPr>
        <w:ind w:left="3240" w:hanging="360"/>
      </w:pPr>
    </w:lvl>
    <w:lvl w:ilvl="5" w:tplc="3654C32A">
      <w:start w:val="1"/>
      <w:numFmt w:val="lowerRoman"/>
      <w:lvlText w:val="%6."/>
      <w:lvlJc w:val="right"/>
      <w:pPr>
        <w:ind w:left="3960" w:hanging="180"/>
      </w:pPr>
    </w:lvl>
    <w:lvl w:ilvl="6" w:tplc="B9DEFB92">
      <w:start w:val="1"/>
      <w:numFmt w:val="decimal"/>
      <w:lvlText w:val="%7."/>
      <w:lvlJc w:val="left"/>
      <w:pPr>
        <w:ind w:left="4680" w:hanging="360"/>
      </w:pPr>
    </w:lvl>
    <w:lvl w:ilvl="7" w:tplc="B05C4ABA">
      <w:start w:val="1"/>
      <w:numFmt w:val="lowerLetter"/>
      <w:lvlText w:val="%8."/>
      <w:lvlJc w:val="left"/>
      <w:pPr>
        <w:ind w:left="5400" w:hanging="360"/>
      </w:pPr>
    </w:lvl>
    <w:lvl w:ilvl="8" w:tplc="0EFC2820">
      <w:start w:val="1"/>
      <w:numFmt w:val="lowerRoman"/>
      <w:lvlText w:val="%9."/>
      <w:lvlJc w:val="right"/>
      <w:pPr>
        <w:ind w:left="6120" w:hanging="180"/>
      </w:pPr>
    </w:lvl>
  </w:abstractNum>
  <w:abstractNum w:abstractNumId="34" w15:restartNumberingAfterBreak="0">
    <w:nsid w:val="7B3730C2"/>
    <w:multiLevelType w:val="hybridMultilevel"/>
    <w:tmpl w:val="D00E54F2"/>
    <w:lvl w:ilvl="0" w:tplc="A3128204">
      <w:start w:val="1"/>
      <w:numFmt w:val="decimal"/>
      <w:lvlText w:val="%1."/>
      <w:lvlJc w:val="left"/>
      <w:pPr>
        <w:ind w:left="360" w:hanging="360"/>
      </w:pPr>
    </w:lvl>
    <w:lvl w:ilvl="1" w:tplc="3F340B56">
      <w:start w:val="1"/>
      <w:numFmt w:val="lowerLetter"/>
      <w:lvlText w:val="%2."/>
      <w:lvlJc w:val="left"/>
      <w:pPr>
        <w:ind w:left="1080" w:hanging="360"/>
      </w:pPr>
    </w:lvl>
    <w:lvl w:ilvl="2" w:tplc="30BCFEA2">
      <w:start w:val="1"/>
      <w:numFmt w:val="lowerRoman"/>
      <w:lvlText w:val="%3."/>
      <w:lvlJc w:val="right"/>
      <w:pPr>
        <w:ind w:left="1800" w:hanging="180"/>
      </w:pPr>
    </w:lvl>
    <w:lvl w:ilvl="3" w:tplc="4DD4562E">
      <w:start w:val="1"/>
      <w:numFmt w:val="decimal"/>
      <w:lvlText w:val="%4."/>
      <w:lvlJc w:val="left"/>
      <w:pPr>
        <w:ind w:left="2520" w:hanging="360"/>
      </w:pPr>
    </w:lvl>
    <w:lvl w:ilvl="4" w:tplc="87F2C6F0">
      <w:start w:val="1"/>
      <w:numFmt w:val="lowerLetter"/>
      <w:lvlText w:val="%5."/>
      <w:lvlJc w:val="left"/>
      <w:pPr>
        <w:ind w:left="3240" w:hanging="360"/>
      </w:pPr>
    </w:lvl>
    <w:lvl w:ilvl="5" w:tplc="5A96AE92">
      <w:start w:val="1"/>
      <w:numFmt w:val="lowerRoman"/>
      <w:lvlText w:val="%6."/>
      <w:lvlJc w:val="right"/>
      <w:pPr>
        <w:ind w:left="3960" w:hanging="180"/>
      </w:pPr>
    </w:lvl>
    <w:lvl w:ilvl="6" w:tplc="AE269AA6">
      <w:start w:val="1"/>
      <w:numFmt w:val="decimal"/>
      <w:lvlText w:val="%7."/>
      <w:lvlJc w:val="left"/>
      <w:pPr>
        <w:ind w:left="4680" w:hanging="360"/>
      </w:pPr>
    </w:lvl>
    <w:lvl w:ilvl="7" w:tplc="68224F64">
      <w:start w:val="1"/>
      <w:numFmt w:val="lowerLetter"/>
      <w:lvlText w:val="%8."/>
      <w:lvlJc w:val="left"/>
      <w:pPr>
        <w:ind w:left="5400" w:hanging="360"/>
      </w:pPr>
    </w:lvl>
    <w:lvl w:ilvl="8" w:tplc="126ACC92">
      <w:start w:val="1"/>
      <w:numFmt w:val="lowerRoman"/>
      <w:lvlText w:val="%9."/>
      <w:lvlJc w:val="right"/>
      <w:pPr>
        <w:ind w:left="6120" w:hanging="180"/>
      </w:pPr>
    </w:lvl>
  </w:abstractNum>
  <w:abstractNum w:abstractNumId="35" w15:restartNumberingAfterBreak="0">
    <w:nsid w:val="7B3730C3"/>
    <w:multiLevelType w:val="hybridMultilevel"/>
    <w:tmpl w:val="34389A80"/>
    <w:lvl w:ilvl="0" w:tplc="D8CED232">
      <w:start w:val="1"/>
      <w:numFmt w:val="decimal"/>
      <w:lvlText w:val="%1."/>
      <w:lvlJc w:val="left"/>
      <w:pPr>
        <w:ind w:left="360" w:hanging="360"/>
      </w:pPr>
    </w:lvl>
    <w:lvl w:ilvl="1" w:tplc="49DC102A">
      <w:start w:val="1"/>
      <w:numFmt w:val="lowerLetter"/>
      <w:lvlText w:val="%2."/>
      <w:lvlJc w:val="left"/>
      <w:pPr>
        <w:ind w:left="1080" w:hanging="360"/>
      </w:pPr>
    </w:lvl>
    <w:lvl w:ilvl="2" w:tplc="7A8CBC1E">
      <w:start w:val="1"/>
      <w:numFmt w:val="lowerRoman"/>
      <w:lvlText w:val="%3."/>
      <w:lvlJc w:val="right"/>
      <w:pPr>
        <w:ind w:left="1800" w:hanging="180"/>
      </w:pPr>
    </w:lvl>
    <w:lvl w:ilvl="3" w:tplc="6AD86160">
      <w:start w:val="1"/>
      <w:numFmt w:val="decimal"/>
      <w:lvlText w:val="%4."/>
      <w:lvlJc w:val="left"/>
      <w:pPr>
        <w:ind w:left="2520" w:hanging="360"/>
      </w:pPr>
    </w:lvl>
    <w:lvl w:ilvl="4" w:tplc="F4504294">
      <w:start w:val="1"/>
      <w:numFmt w:val="lowerLetter"/>
      <w:lvlText w:val="%5."/>
      <w:lvlJc w:val="left"/>
      <w:pPr>
        <w:ind w:left="3240" w:hanging="360"/>
      </w:pPr>
    </w:lvl>
    <w:lvl w:ilvl="5" w:tplc="B69890E8">
      <w:start w:val="1"/>
      <w:numFmt w:val="lowerRoman"/>
      <w:lvlText w:val="%6."/>
      <w:lvlJc w:val="right"/>
      <w:pPr>
        <w:ind w:left="3960" w:hanging="180"/>
      </w:pPr>
    </w:lvl>
    <w:lvl w:ilvl="6" w:tplc="B1164004">
      <w:start w:val="1"/>
      <w:numFmt w:val="decimal"/>
      <w:lvlText w:val="%7."/>
      <w:lvlJc w:val="left"/>
      <w:pPr>
        <w:ind w:left="4680" w:hanging="360"/>
      </w:pPr>
    </w:lvl>
    <w:lvl w:ilvl="7" w:tplc="2D5687F2">
      <w:start w:val="1"/>
      <w:numFmt w:val="lowerLetter"/>
      <w:lvlText w:val="%8."/>
      <w:lvlJc w:val="left"/>
      <w:pPr>
        <w:ind w:left="5400" w:hanging="360"/>
      </w:pPr>
    </w:lvl>
    <w:lvl w:ilvl="8" w:tplc="B58E79AA">
      <w:start w:val="1"/>
      <w:numFmt w:val="lowerRoman"/>
      <w:lvlText w:val="%9."/>
      <w:lvlJc w:val="right"/>
      <w:pPr>
        <w:ind w:left="6120" w:hanging="180"/>
      </w:pPr>
    </w:lvl>
  </w:abstractNum>
  <w:abstractNum w:abstractNumId="36" w15:restartNumberingAfterBreak="0">
    <w:nsid w:val="7B3730C4"/>
    <w:multiLevelType w:val="hybridMultilevel"/>
    <w:tmpl w:val="D00E54F2"/>
    <w:lvl w:ilvl="0" w:tplc="E95CEC2E">
      <w:start w:val="1"/>
      <w:numFmt w:val="decimal"/>
      <w:lvlText w:val="%1."/>
      <w:lvlJc w:val="left"/>
      <w:pPr>
        <w:ind w:left="360" w:hanging="360"/>
      </w:pPr>
    </w:lvl>
    <w:lvl w:ilvl="1" w:tplc="53568220">
      <w:start w:val="1"/>
      <w:numFmt w:val="lowerLetter"/>
      <w:lvlText w:val="%2."/>
      <w:lvlJc w:val="left"/>
      <w:pPr>
        <w:ind w:left="1080" w:hanging="360"/>
      </w:pPr>
    </w:lvl>
    <w:lvl w:ilvl="2" w:tplc="AE548184">
      <w:start w:val="1"/>
      <w:numFmt w:val="lowerRoman"/>
      <w:lvlText w:val="%3."/>
      <w:lvlJc w:val="right"/>
      <w:pPr>
        <w:ind w:left="1800" w:hanging="180"/>
      </w:pPr>
    </w:lvl>
    <w:lvl w:ilvl="3" w:tplc="3B8E078C">
      <w:start w:val="1"/>
      <w:numFmt w:val="decimal"/>
      <w:lvlText w:val="%4."/>
      <w:lvlJc w:val="left"/>
      <w:pPr>
        <w:ind w:left="2520" w:hanging="360"/>
      </w:pPr>
    </w:lvl>
    <w:lvl w:ilvl="4" w:tplc="D9D6672A">
      <w:start w:val="1"/>
      <w:numFmt w:val="lowerLetter"/>
      <w:lvlText w:val="%5."/>
      <w:lvlJc w:val="left"/>
      <w:pPr>
        <w:ind w:left="3240" w:hanging="360"/>
      </w:pPr>
    </w:lvl>
    <w:lvl w:ilvl="5" w:tplc="54AEFD18">
      <w:start w:val="1"/>
      <w:numFmt w:val="lowerRoman"/>
      <w:lvlText w:val="%6."/>
      <w:lvlJc w:val="right"/>
      <w:pPr>
        <w:ind w:left="3960" w:hanging="180"/>
      </w:pPr>
    </w:lvl>
    <w:lvl w:ilvl="6" w:tplc="30743542">
      <w:start w:val="1"/>
      <w:numFmt w:val="decimal"/>
      <w:lvlText w:val="%7."/>
      <w:lvlJc w:val="left"/>
      <w:pPr>
        <w:ind w:left="4680" w:hanging="360"/>
      </w:pPr>
    </w:lvl>
    <w:lvl w:ilvl="7" w:tplc="81F4F48A">
      <w:start w:val="1"/>
      <w:numFmt w:val="lowerLetter"/>
      <w:lvlText w:val="%8."/>
      <w:lvlJc w:val="left"/>
      <w:pPr>
        <w:ind w:left="5400" w:hanging="360"/>
      </w:pPr>
    </w:lvl>
    <w:lvl w:ilvl="8" w:tplc="F12488CA">
      <w:start w:val="1"/>
      <w:numFmt w:val="lowerRoman"/>
      <w:lvlText w:val="%9."/>
      <w:lvlJc w:val="right"/>
      <w:pPr>
        <w:ind w:left="6120" w:hanging="180"/>
      </w:pPr>
    </w:lvl>
  </w:abstractNum>
  <w:abstractNum w:abstractNumId="37" w15:restartNumberingAfterBreak="0">
    <w:nsid w:val="7B3730C5"/>
    <w:multiLevelType w:val="hybridMultilevel"/>
    <w:tmpl w:val="34389A80"/>
    <w:lvl w:ilvl="0" w:tplc="96941440">
      <w:start w:val="1"/>
      <w:numFmt w:val="decimal"/>
      <w:lvlText w:val="%1."/>
      <w:lvlJc w:val="left"/>
      <w:pPr>
        <w:ind w:left="360" w:hanging="360"/>
      </w:pPr>
    </w:lvl>
    <w:lvl w:ilvl="1" w:tplc="580AF6E8">
      <w:start w:val="1"/>
      <w:numFmt w:val="lowerLetter"/>
      <w:lvlText w:val="%2."/>
      <w:lvlJc w:val="left"/>
      <w:pPr>
        <w:ind w:left="1080" w:hanging="360"/>
      </w:pPr>
    </w:lvl>
    <w:lvl w:ilvl="2" w:tplc="B1745D12">
      <w:start w:val="1"/>
      <w:numFmt w:val="lowerRoman"/>
      <w:lvlText w:val="%3."/>
      <w:lvlJc w:val="right"/>
      <w:pPr>
        <w:ind w:left="1800" w:hanging="180"/>
      </w:pPr>
    </w:lvl>
    <w:lvl w:ilvl="3" w:tplc="DF462B26">
      <w:start w:val="1"/>
      <w:numFmt w:val="decimal"/>
      <w:lvlText w:val="%4."/>
      <w:lvlJc w:val="left"/>
      <w:pPr>
        <w:ind w:left="2520" w:hanging="360"/>
      </w:pPr>
    </w:lvl>
    <w:lvl w:ilvl="4" w:tplc="9FE6C67A">
      <w:start w:val="1"/>
      <w:numFmt w:val="lowerLetter"/>
      <w:lvlText w:val="%5."/>
      <w:lvlJc w:val="left"/>
      <w:pPr>
        <w:ind w:left="3240" w:hanging="360"/>
      </w:pPr>
    </w:lvl>
    <w:lvl w:ilvl="5" w:tplc="F09C499E">
      <w:start w:val="1"/>
      <w:numFmt w:val="lowerRoman"/>
      <w:lvlText w:val="%6."/>
      <w:lvlJc w:val="right"/>
      <w:pPr>
        <w:ind w:left="3960" w:hanging="180"/>
      </w:pPr>
    </w:lvl>
    <w:lvl w:ilvl="6" w:tplc="BB3EEEBA">
      <w:start w:val="1"/>
      <w:numFmt w:val="decimal"/>
      <w:lvlText w:val="%7."/>
      <w:lvlJc w:val="left"/>
      <w:pPr>
        <w:ind w:left="4680" w:hanging="360"/>
      </w:pPr>
    </w:lvl>
    <w:lvl w:ilvl="7" w:tplc="10F04BB4">
      <w:start w:val="1"/>
      <w:numFmt w:val="lowerLetter"/>
      <w:lvlText w:val="%8."/>
      <w:lvlJc w:val="left"/>
      <w:pPr>
        <w:ind w:left="5400" w:hanging="360"/>
      </w:pPr>
    </w:lvl>
    <w:lvl w:ilvl="8" w:tplc="9A4CDD36">
      <w:start w:val="1"/>
      <w:numFmt w:val="lowerRoman"/>
      <w:lvlText w:val="%9."/>
      <w:lvlJc w:val="right"/>
      <w:pPr>
        <w:ind w:left="6120" w:hanging="180"/>
      </w:pPr>
    </w:lvl>
  </w:abstractNum>
  <w:abstractNum w:abstractNumId="38" w15:restartNumberingAfterBreak="0">
    <w:nsid w:val="7B3730C6"/>
    <w:multiLevelType w:val="hybridMultilevel"/>
    <w:tmpl w:val="4E7EACC2"/>
    <w:lvl w:ilvl="0" w:tplc="E92A873E">
      <w:start w:val="1"/>
      <w:numFmt w:val="bullet"/>
      <w:pStyle w:val="BSbullet13"/>
      <w:lvlText w:val=""/>
      <w:lvlJc w:val="left"/>
      <w:pPr>
        <w:tabs>
          <w:tab w:val="num" w:pos="360"/>
        </w:tabs>
        <w:ind w:left="357" w:hanging="357"/>
      </w:pPr>
      <w:rPr>
        <w:rFonts w:ascii="Symbol" w:hAnsi="Symbol" w:hint="default"/>
        <w:sz w:val="24"/>
      </w:rPr>
    </w:lvl>
    <w:lvl w:ilvl="1" w:tplc="D3DAFEDE">
      <w:start w:val="1"/>
      <w:numFmt w:val="bullet"/>
      <w:lvlText w:val="o"/>
      <w:lvlJc w:val="left"/>
      <w:pPr>
        <w:tabs>
          <w:tab w:val="num" w:pos="1800"/>
        </w:tabs>
        <w:ind w:left="1800" w:hanging="360"/>
      </w:pPr>
      <w:rPr>
        <w:rFonts w:ascii="Courier New" w:hAnsi="Courier New" w:hint="default"/>
      </w:rPr>
    </w:lvl>
    <w:lvl w:ilvl="2" w:tplc="3CF020AA">
      <w:start w:val="1"/>
      <w:numFmt w:val="bullet"/>
      <w:lvlText w:val=""/>
      <w:lvlJc w:val="left"/>
      <w:pPr>
        <w:tabs>
          <w:tab w:val="num" w:pos="2520"/>
        </w:tabs>
        <w:ind w:left="2520" w:hanging="360"/>
      </w:pPr>
      <w:rPr>
        <w:rFonts w:ascii="Wingdings" w:hAnsi="Wingdings" w:hint="default"/>
      </w:rPr>
    </w:lvl>
    <w:lvl w:ilvl="3" w:tplc="7A7ED44E">
      <w:start w:val="1"/>
      <w:numFmt w:val="bullet"/>
      <w:lvlText w:val=""/>
      <w:lvlJc w:val="left"/>
      <w:pPr>
        <w:tabs>
          <w:tab w:val="num" w:pos="3240"/>
        </w:tabs>
        <w:ind w:left="3240" w:hanging="360"/>
      </w:pPr>
      <w:rPr>
        <w:rFonts w:ascii="Symbol" w:hAnsi="Symbol" w:hint="default"/>
      </w:rPr>
    </w:lvl>
    <w:lvl w:ilvl="4" w:tplc="2AAA1324">
      <w:start w:val="1"/>
      <w:numFmt w:val="bullet"/>
      <w:lvlText w:val="o"/>
      <w:lvlJc w:val="left"/>
      <w:pPr>
        <w:tabs>
          <w:tab w:val="num" w:pos="3960"/>
        </w:tabs>
        <w:ind w:left="3960" w:hanging="360"/>
      </w:pPr>
      <w:rPr>
        <w:rFonts w:ascii="Courier New" w:hAnsi="Courier New" w:hint="default"/>
      </w:rPr>
    </w:lvl>
    <w:lvl w:ilvl="5" w:tplc="AECC5410">
      <w:start w:val="1"/>
      <w:numFmt w:val="bullet"/>
      <w:lvlText w:val=""/>
      <w:lvlJc w:val="left"/>
      <w:pPr>
        <w:tabs>
          <w:tab w:val="num" w:pos="4680"/>
        </w:tabs>
        <w:ind w:left="4680" w:hanging="360"/>
      </w:pPr>
      <w:rPr>
        <w:rFonts w:ascii="Wingdings" w:hAnsi="Wingdings" w:hint="default"/>
      </w:rPr>
    </w:lvl>
    <w:lvl w:ilvl="6" w:tplc="3E640270">
      <w:start w:val="1"/>
      <w:numFmt w:val="bullet"/>
      <w:lvlText w:val=""/>
      <w:lvlJc w:val="left"/>
      <w:pPr>
        <w:tabs>
          <w:tab w:val="num" w:pos="5400"/>
        </w:tabs>
        <w:ind w:left="5400" w:hanging="360"/>
      </w:pPr>
      <w:rPr>
        <w:rFonts w:ascii="Symbol" w:hAnsi="Symbol" w:hint="default"/>
      </w:rPr>
    </w:lvl>
    <w:lvl w:ilvl="7" w:tplc="DC7AC6F6">
      <w:start w:val="1"/>
      <w:numFmt w:val="bullet"/>
      <w:lvlText w:val="o"/>
      <w:lvlJc w:val="left"/>
      <w:pPr>
        <w:tabs>
          <w:tab w:val="num" w:pos="6120"/>
        </w:tabs>
        <w:ind w:left="6120" w:hanging="360"/>
      </w:pPr>
      <w:rPr>
        <w:rFonts w:ascii="Courier New" w:hAnsi="Courier New" w:hint="default"/>
      </w:rPr>
    </w:lvl>
    <w:lvl w:ilvl="8" w:tplc="791A614A">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3730C7"/>
    <w:multiLevelType w:val="hybridMultilevel"/>
    <w:tmpl w:val="A30A436E"/>
    <w:lvl w:ilvl="0" w:tplc="01B25EFC">
      <w:start w:val="1"/>
      <w:numFmt w:val="bullet"/>
      <w:lvlText w:val="-"/>
      <w:lvlJc w:val="left"/>
      <w:pPr>
        <w:ind w:left="1077" w:hanging="360"/>
      </w:pPr>
      <w:rPr>
        <w:rFonts w:ascii="Calibri" w:hAnsi="Calibri" w:hint="default"/>
      </w:rPr>
    </w:lvl>
    <w:lvl w:ilvl="1" w:tplc="831E9C64">
      <w:start w:val="1"/>
      <w:numFmt w:val="bullet"/>
      <w:lvlText w:val="o"/>
      <w:lvlJc w:val="left"/>
      <w:pPr>
        <w:ind w:left="1797" w:hanging="360"/>
      </w:pPr>
      <w:rPr>
        <w:rFonts w:ascii="Courier New" w:hAnsi="Courier New" w:cs="Courier New" w:hint="default"/>
      </w:rPr>
    </w:lvl>
    <w:lvl w:ilvl="2" w:tplc="1FCAE206" w:tentative="1">
      <w:start w:val="1"/>
      <w:numFmt w:val="bullet"/>
      <w:lvlText w:val=""/>
      <w:lvlJc w:val="left"/>
      <w:pPr>
        <w:ind w:left="2517" w:hanging="360"/>
      </w:pPr>
      <w:rPr>
        <w:rFonts w:ascii="Wingdings" w:hAnsi="Wingdings" w:hint="default"/>
      </w:rPr>
    </w:lvl>
    <w:lvl w:ilvl="3" w:tplc="BD6AFCB2" w:tentative="1">
      <w:start w:val="1"/>
      <w:numFmt w:val="bullet"/>
      <w:lvlText w:val=""/>
      <w:lvlJc w:val="left"/>
      <w:pPr>
        <w:ind w:left="3237" w:hanging="360"/>
      </w:pPr>
      <w:rPr>
        <w:rFonts w:ascii="Symbol" w:hAnsi="Symbol" w:hint="default"/>
      </w:rPr>
    </w:lvl>
    <w:lvl w:ilvl="4" w:tplc="C4800A44" w:tentative="1">
      <w:start w:val="1"/>
      <w:numFmt w:val="bullet"/>
      <w:lvlText w:val="o"/>
      <w:lvlJc w:val="left"/>
      <w:pPr>
        <w:ind w:left="3957" w:hanging="360"/>
      </w:pPr>
      <w:rPr>
        <w:rFonts w:ascii="Courier New" w:hAnsi="Courier New" w:cs="Courier New" w:hint="default"/>
      </w:rPr>
    </w:lvl>
    <w:lvl w:ilvl="5" w:tplc="1128A822" w:tentative="1">
      <w:start w:val="1"/>
      <w:numFmt w:val="bullet"/>
      <w:lvlText w:val=""/>
      <w:lvlJc w:val="left"/>
      <w:pPr>
        <w:ind w:left="4677" w:hanging="360"/>
      </w:pPr>
      <w:rPr>
        <w:rFonts w:ascii="Wingdings" w:hAnsi="Wingdings" w:hint="default"/>
      </w:rPr>
    </w:lvl>
    <w:lvl w:ilvl="6" w:tplc="CE589E94" w:tentative="1">
      <w:start w:val="1"/>
      <w:numFmt w:val="bullet"/>
      <w:lvlText w:val=""/>
      <w:lvlJc w:val="left"/>
      <w:pPr>
        <w:ind w:left="5397" w:hanging="360"/>
      </w:pPr>
      <w:rPr>
        <w:rFonts w:ascii="Symbol" w:hAnsi="Symbol" w:hint="default"/>
      </w:rPr>
    </w:lvl>
    <w:lvl w:ilvl="7" w:tplc="FB8CF344" w:tentative="1">
      <w:start w:val="1"/>
      <w:numFmt w:val="bullet"/>
      <w:lvlText w:val="o"/>
      <w:lvlJc w:val="left"/>
      <w:pPr>
        <w:ind w:left="6117" w:hanging="360"/>
      </w:pPr>
      <w:rPr>
        <w:rFonts w:ascii="Courier New" w:hAnsi="Courier New" w:cs="Courier New" w:hint="default"/>
      </w:rPr>
    </w:lvl>
    <w:lvl w:ilvl="8" w:tplc="396A2086" w:tentative="1">
      <w:start w:val="1"/>
      <w:numFmt w:val="bullet"/>
      <w:lvlText w:val=""/>
      <w:lvlJc w:val="left"/>
      <w:pPr>
        <w:ind w:left="6837" w:hanging="360"/>
      </w:pPr>
      <w:rPr>
        <w:rFonts w:ascii="Wingdings" w:hAnsi="Wingdings" w:hint="default"/>
      </w:rPr>
    </w:lvl>
  </w:abstractNum>
  <w:abstractNum w:abstractNumId="40" w15:restartNumberingAfterBreak="0">
    <w:nsid w:val="7B3730C8"/>
    <w:multiLevelType w:val="hybridMultilevel"/>
    <w:tmpl w:val="4E7EACC2"/>
    <w:lvl w:ilvl="0" w:tplc="AE78BC0C">
      <w:start w:val="1"/>
      <w:numFmt w:val="bullet"/>
      <w:pStyle w:val="BSbullet14"/>
      <w:lvlText w:val=""/>
      <w:lvlJc w:val="left"/>
      <w:pPr>
        <w:tabs>
          <w:tab w:val="num" w:pos="360"/>
        </w:tabs>
        <w:ind w:left="357" w:hanging="357"/>
      </w:pPr>
      <w:rPr>
        <w:rFonts w:ascii="Symbol" w:hAnsi="Symbol" w:hint="default"/>
        <w:sz w:val="24"/>
      </w:rPr>
    </w:lvl>
    <w:lvl w:ilvl="1" w:tplc="B4BC38C2">
      <w:start w:val="1"/>
      <w:numFmt w:val="bullet"/>
      <w:lvlText w:val="o"/>
      <w:lvlJc w:val="left"/>
      <w:pPr>
        <w:tabs>
          <w:tab w:val="num" w:pos="1800"/>
        </w:tabs>
        <w:ind w:left="1800" w:hanging="360"/>
      </w:pPr>
      <w:rPr>
        <w:rFonts w:ascii="Courier New" w:hAnsi="Courier New" w:hint="default"/>
      </w:rPr>
    </w:lvl>
    <w:lvl w:ilvl="2" w:tplc="C0120B36">
      <w:start w:val="1"/>
      <w:numFmt w:val="bullet"/>
      <w:lvlText w:val=""/>
      <w:lvlJc w:val="left"/>
      <w:pPr>
        <w:tabs>
          <w:tab w:val="num" w:pos="2520"/>
        </w:tabs>
        <w:ind w:left="2520" w:hanging="360"/>
      </w:pPr>
      <w:rPr>
        <w:rFonts w:ascii="Wingdings" w:hAnsi="Wingdings" w:hint="default"/>
      </w:rPr>
    </w:lvl>
    <w:lvl w:ilvl="3" w:tplc="9BFCA474">
      <w:start w:val="1"/>
      <w:numFmt w:val="bullet"/>
      <w:lvlText w:val=""/>
      <w:lvlJc w:val="left"/>
      <w:pPr>
        <w:tabs>
          <w:tab w:val="num" w:pos="3240"/>
        </w:tabs>
        <w:ind w:left="3240" w:hanging="360"/>
      </w:pPr>
      <w:rPr>
        <w:rFonts w:ascii="Symbol" w:hAnsi="Symbol" w:hint="default"/>
      </w:rPr>
    </w:lvl>
    <w:lvl w:ilvl="4" w:tplc="9D541A80">
      <w:start w:val="1"/>
      <w:numFmt w:val="bullet"/>
      <w:lvlText w:val="o"/>
      <w:lvlJc w:val="left"/>
      <w:pPr>
        <w:tabs>
          <w:tab w:val="num" w:pos="3960"/>
        </w:tabs>
        <w:ind w:left="3960" w:hanging="360"/>
      </w:pPr>
      <w:rPr>
        <w:rFonts w:ascii="Courier New" w:hAnsi="Courier New" w:hint="default"/>
      </w:rPr>
    </w:lvl>
    <w:lvl w:ilvl="5" w:tplc="1C1CC9DA">
      <w:start w:val="1"/>
      <w:numFmt w:val="bullet"/>
      <w:lvlText w:val=""/>
      <w:lvlJc w:val="left"/>
      <w:pPr>
        <w:tabs>
          <w:tab w:val="num" w:pos="4680"/>
        </w:tabs>
        <w:ind w:left="4680" w:hanging="360"/>
      </w:pPr>
      <w:rPr>
        <w:rFonts w:ascii="Wingdings" w:hAnsi="Wingdings" w:hint="default"/>
      </w:rPr>
    </w:lvl>
    <w:lvl w:ilvl="6" w:tplc="6136AEEC">
      <w:start w:val="1"/>
      <w:numFmt w:val="bullet"/>
      <w:lvlText w:val=""/>
      <w:lvlJc w:val="left"/>
      <w:pPr>
        <w:tabs>
          <w:tab w:val="num" w:pos="5400"/>
        </w:tabs>
        <w:ind w:left="5400" w:hanging="360"/>
      </w:pPr>
      <w:rPr>
        <w:rFonts w:ascii="Symbol" w:hAnsi="Symbol" w:hint="default"/>
      </w:rPr>
    </w:lvl>
    <w:lvl w:ilvl="7" w:tplc="0A36FB68">
      <w:start w:val="1"/>
      <w:numFmt w:val="bullet"/>
      <w:lvlText w:val="o"/>
      <w:lvlJc w:val="left"/>
      <w:pPr>
        <w:tabs>
          <w:tab w:val="num" w:pos="6120"/>
        </w:tabs>
        <w:ind w:left="6120" w:hanging="360"/>
      </w:pPr>
      <w:rPr>
        <w:rFonts w:ascii="Courier New" w:hAnsi="Courier New" w:hint="default"/>
      </w:rPr>
    </w:lvl>
    <w:lvl w:ilvl="8" w:tplc="49663E46">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C5C2A79"/>
    <w:multiLevelType w:val="hybridMultilevel"/>
    <w:tmpl w:val="FB98C23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4"/>
  </w:num>
  <w:num w:numId="3">
    <w:abstractNumId w:val="15"/>
  </w:num>
  <w:num w:numId="4">
    <w:abstractNumId w:val="16"/>
  </w:num>
  <w:num w:numId="5">
    <w:abstractNumId w:val="17"/>
  </w:num>
  <w:num w:numId="6">
    <w:abstractNumId w:val="18"/>
  </w:num>
  <w:num w:numId="7">
    <w:abstractNumId w:val="19"/>
  </w:num>
  <w:num w:numId="8">
    <w:abstractNumId w:val="20"/>
  </w:num>
  <w:num w:numId="9">
    <w:abstractNumId w:val="21"/>
  </w:num>
  <w:num w:numId="10">
    <w:abstractNumId w:val="22"/>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lvlOverride w:ilvl="0">
      <w:startOverride w:val="1"/>
    </w:lvlOverride>
  </w:num>
  <w:num w:numId="25">
    <w:abstractNumId w:val="28"/>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1"/>
  </w:num>
  <w:num w:numId="30">
    <w:abstractNumId w:val="30"/>
    <w:lvlOverride w:ilvl="0">
      <w:startOverride w:val="1"/>
    </w:lvlOverride>
  </w:num>
  <w:num w:numId="31">
    <w:abstractNumId w:val="29"/>
    <w:lvlOverride w:ilvl="0">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30"/>
    <w:lvlOverride w:ilvl="0">
      <w:startOverride w:val="1"/>
    </w:lvlOverride>
  </w:num>
  <w:num w:numId="36">
    <w:abstractNumId w:val="29"/>
    <w:lvlOverride w:ilvl="0">
      <w:startOverride w:val="1"/>
    </w:lvlOverride>
  </w:num>
  <w:num w:numId="37">
    <w:abstractNumId w:val="30"/>
    <w:lvlOverride w:ilvl="0">
      <w:startOverride w:val="1"/>
    </w:lvlOverride>
  </w:num>
  <w:num w:numId="38">
    <w:abstractNumId w:val="29"/>
    <w:lvlOverride w:ilvl="0">
      <w:startOverride w:val="1"/>
    </w:lvlOverride>
  </w:num>
  <w:num w:numId="39">
    <w:abstractNumId w:val="29"/>
    <w:lvlOverride w:ilvl="0">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num>
  <w:num w:numId="42">
    <w:abstractNumId w:val="35"/>
  </w:num>
  <w:num w:numId="43">
    <w:abstractNumId w:val="29"/>
    <w:lvlOverride w:ilvl="0">
      <w:startOverride w:val="1"/>
    </w:lvlOverride>
  </w:num>
  <w:num w:numId="44">
    <w:abstractNumId w:val="36"/>
  </w:num>
  <w:num w:numId="45">
    <w:abstractNumId w:val="29"/>
    <w:lvlOverride w:ilvl="0">
      <w:startOverride w:val="1"/>
    </w:lvlOverride>
  </w:num>
  <w:num w:numId="46">
    <w:abstractNumId w:val="37"/>
  </w:num>
  <w:num w:numId="47">
    <w:abstractNumId w:val="29"/>
    <w:lvlOverride w:ilvl="0">
      <w:startOverride w:val="1"/>
    </w:lvlOverride>
  </w:num>
  <w:num w:numId="48">
    <w:abstractNumId w:val="32"/>
    <w:lvlOverride w:ilvl="0">
      <w:startOverride w:val="1"/>
    </w:lvlOverride>
  </w:num>
  <w:num w:numId="49">
    <w:abstractNumId w:val="29"/>
    <w:lvlOverride w:ilvl="0">
      <w:startOverride w:val="1"/>
    </w:lvlOverride>
  </w:num>
  <w:num w:numId="50">
    <w:abstractNumId w:val="29"/>
    <w:lvlOverride w:ilvl="0">
      <w:startOverride w:val="1"/>
    </w:lvlOverride>
  </w:num>
  <w:num w:numId="51">
    <w:abstractNumId w:val="38"/>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24"/>
    <w:lvlOverride w:ilvl="0">
      <w:startOverride w:val="1"/>
    </w:lvlOverride>
  </w:num>
  <w:num w:numId="55">
    <w:abstractNumId w:val="24"/>
    <w:lvlOverride w:ilvl="0">
      <w:startOverride w:val="1"/>
    </w:lvlOverride>
  </w:num>
  <w:num w:numId="56">
    <w:abstractNumId w:val="10"/>
  </w:num>
  <w:num w:numId="57">
    <w:abstractNumId w:val="1"/>
  </w:num>
  <w:num w:numId="58">
    <w:abstractNumId w:val="4"/>
  </w:num>
  <w:num w:numId="59">
    <w:abstractNumId w:val="6"/>
  </w:num>
  <w:num w:numId="60">
    <w:abstractNumId w:val="26"/>
  </w:num>
  <w:num w:numId="61">
    <w:abstractNumId w:val="7"/>
  </w:num>
  <w:num w:numId="62">
    <w:abstractNumId w:val="41"/>
  </w:num>
  <w:num w:numId="63">
    <w:abstractNumId w:val="11"/>
  </w:num>
  <w:num w:numId="64">
    <w:abstractNumId w:val="5"/>
  </w:num>
  <w:num w:numId="65">
    <w:abstractNumId w:val="13"/>
  </w:num>
  <w:num w:numId="66">
    <w:abstractNumId w:val="3"/>
  </w:num>
  <w:num w:numId="67">
    <w:abstractNumId w:val="8"/>
  </w:num>
  <w:num w:numId="68">
    <w:abstractNumId w:val="12"/>
  </w:num>
  <w:num w:numId="69">
    <w:abstractNumId w:val="17"/>
    <w:lvlOverride w:ilvl="0">
      <w:startOverride w:val="1"/>
    </w:lvlOverride>
  </w:num>
  <w:num w:numId="70">
    <w:abstractNumId w:val="17"/>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17"/>
    <w:lvlOverride w:ilvl="0">
      <w:startOverride w:val="1"/>
    </w:lvlOverride>
  </w:num>
  <w:num w:numId="78">
    <w:abstractNumId w:val="9"/>
  </w:num>
  <w:num w:numId="79">
    <w:abstractNumId w:val="0"/>
  </w:num>
  <w:num w:numId="80">
    <w:abstractNumId w:val="14"/>
  </w:num>
  <w:num w:numId="81">
    <w:abstractNumId w:val="14"/>
  </w:num>
  <w:num w:numId="82">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C2"/>
    <w:rsid w:val="0000297C"/>
    <w:rsid w:val="00021C2D"/>
    <w:rsid w:val="0002262C"/>
    <w:rsid w:val="00043D3C"/>
    <w:rsid w:val="00046A97"/>
    <w:rsid w:val="000529E7"/>
    <w:rsid w:val="000537B4"/>
    <w:rsid w:val="00067864"/>
    <w:rsid w:val="000873B5"/>
    <w:rsid w:val="00092731"/>
    <w:rsid w:val="000A0574"/>
    <w:rsid w:val="000C5F1E"/>
    <w:rsid w:val="000D6549"/>
    <w:rsid w:val="000E47F6"/>
    <w:rsid w:val="000F2761"/>
    <w:rsid w:val="000F7964"/>
    <w:rsid w:val="00104EDC"/>
    <w:rsid w:val="00110768"/>
    <w:rsid w:val="00141D5E"/>
    <w:rsid w:val="00144E18"/>
    <w:rsid w:val="00167950"/>
    <w:rsid w:val="00174972"/>
    <w:rsid w:val="00184B7C"/>
    <w:rsid w:val="00186F9A"/>
    <w:rsid w:val="001A3784"/>
    <w:rsid w:val="001A57CC"/>
    <w:rsid w:val="001A636C"/>
    <w:rsid w:val="001A782A"/>
    <w:rsid w:val="001C7181"/>
    <w:rsid w:val="001F1A0D"/>
    <w:rsid w:val="00207EA5"/>
    <w:rsid w:val="00213FE2"/>
    <w:rsid w:val="00236900"/>
    <w:rsid w:val="00242803"/>
    <w:rsid w:val="002435BD"/>
    <w:rsid w:val="002467AD"/>
    <w:rsid w:val="00247E1C"/>
    <w:rsid w:val="00250BBC"/>
    <w:rsid w:val="00253A83"/>
    <w:rsid w:val="00254C4C"/>
    <w:rsid w:val="00257EDA"/>
    <w:rsid w:val="0026138B"/>
    <w:rsid w:val="00262E60"/>
    <w:rsid w:val="0028277F"/>
    <w:rsid w:val="00291B21"/>
    <w:rsid w:val="00293F1C"/>
    <w:rsid w:val="002A4ED4"/>
    <w:rsid w:val="002A5CF3"/>
    <w:rsid w:val="002C0164"/>
    <w:rsid w:val="002D6EE9"/>
    <w:rsid w:val="002E015E"/>
    <w:rsid w:val="002F6A75"/>
    <w:rsid w:val="00307081"/>
    <w:rsid w:val="003165D3"/>
    <w:rsid w:val="0036401F"/>
    <w:rsid w:val="00390DB5"/>
    <w:rsid w:val="003A41BB"/>
    <w:rsid w:val="003C0280"/>
    <w:rsid w:val="003C4712"/>
    <w:rsid w:val="003D030B"/>
    <w:rsid w:val="003E6C40"/>
    <w:rsid w:val="003F622F"/>
    <w:rsid w:val="00411902"/>
    <w:rsid w:val="004204E5"/>
    <w:rsid w:val="0042686D"/>
    <w:rsid w:val="00433BA2"/>
    <w:rsid w:val="0044366E"/>
    <w:rsid w:val="00444E98"/>
    <w:rsid w:val="00447EED"/>
    <w:rsid w:val="00455337"/>
    <w:rsid w:val="00460B5D"/>
    <w:rsid w:val="004676B1"/>
    <w:rsid w:val="00485BCC"/>
    <w:rsid w:val="0048737F"/>
    <w:rsid w:val="004908CF"/>
    <w:rsid w:val="00492A15"/>
    <w:rsid w:val="004A1F5A"/>
    <w:rsid w:val="004B2074"/>
    <w:rsid w:val="004C04A4"/>
    <w:rsid w:val="004C162A"/>
    <w:rsid w:val="004D0578"/>
    <w:rsid w:val="004D5CFE"/>
    <w:rsid w:val="004E06E6"/>
    <w:rsid w:val="004E590D"/>
    <w:rsid w:val="004F7BA2"/>
    <w:rsid w:val="0050747D"/>
    <w:rsid w:val="0054018C"/>
    <w:rsid w:val="005576C2"/>
    <w:rsid w:val="00566147"/>
    <w:rsid w:val="0057468E"/>
    <w:rsid w:val="0058341A"/>
    <w:rsid w:val="005A110D"/>
    <w:rsid w:val="005A7EB8"/>
    <w:rsid w:val="005B0B29"/>
    <w:rsid w:val="005B2A73"/>
    <w:rsid w:val="005B37C2"/>
    <w:rsid w:val="005E27E0"/>
    <w:rsid w:val="005F7A3D"/>
    <w:rsid w:val="00606024"/>
    <w:rsid w:val="006117C0"/>
    <w:rsid w:val="00664A66"/>
    <w:rsid w:val="00692D0C"/>
    <w:rsid w:val="0069774E"/>
    <w:rsid w:val="006A09D9"/>
    <w:rsid w:val="006A1CA9"/>
    <w:rsid w:val="006A31A4"/>
    <w:rsid w:val="006D1C0E"/>
    <w:rsid w:val="006E1A2D"/>
    <w:rsid w:val="006E3506"/>
    <w:rsid w:val="006F1911"/>
    <w:rsid w:val="006F3E26"/>
    <w:rsid w:val="007040D1"/>
    <w:rsid w:val="007114AE"/>
    <w:rsid w:val="007119BF"/>
    <w:rsid w:val="007530E4"/>
    <w:rsid w:val="00770E0E"/>
    <w:rsid w:val="00775EDF"/>
    <w:rsid w:val="00784054"/>
    <w:rsid w:val="00786268"/>
    <w:rsid w:val="007960FB"/>
    <w:rsid w:val="007B7F1B"/>
    <w:rsid w:val="007C7EB0"/>
    <w:rsid w:val="007D181B"/>
    <w:rsid w:val="007D229C"/>
    <w:rsid w:val="007E071D"/>
    <w:rsid w:val="008007DA"/>
    <w:rsid w:val="008339A7"/>
    <w:rsid w:val="008407BB"/>
    <w:rsid w:val="00841DC6"/>
    <w:rsid w:val="00852AB5"/>
    <w:rsid w:val="00862CB5"/>
    <w:rsid w:val="008713D7"/>
    <w:rsid w:val="0088134A"/>
    <w:rsid w:val="00882417"/>
    <w:rsid w:val="00885E9C"/>
    <w:rsid w:val="009207F6"/>
    <w:rsid w:val="009209C2"/>
    <w:rsid w:val="009329A6"/>
    <w:rsid w:val="00933FA6"/>
    <w:rsid w:val="00960417"/>
    <w:rsid w:val="00974B62"/>
    <w:rsid w:val="00984220"/>
    <w:rsid w:val="00986A18"/>
    <w:rsid w:val="00991D1B"/>
    <w:rsid w:val="00992F88"/>
    <w:rsid w:val="009A1C99"/>
    <w:rsid w:val="009C06F7"/>
    <w:rsid w:val="009F6008"/>
    <w:rsid w:val="00A0099C"/>
    <w:rsid w:val="00A07327"/>
    <w:rsid w:val="00A13278"/>
    <w:rsid w:val="00A13E09"/>
    <w:rsid w:val="00A20D74"/>
    <w:rsid w:val="00A53301"/>
    <w:rsid w:val="00A71B8C"/>
    <w:rsid w:val="00A722E2"/>
    <w:rsid w:val="00A82598"/>
    <w:rsid w:val="00AC356D"/>
    <w:rsid w:val="00AC3D04"/>
    <w:rsid w:val="00AC6FB9"/>
    <w:rsid w:val="00AD622F"/>
    <w:rsid w:val="00AE1D57"/>
    <w:rsid w:val="00AE3D1E"/>
    <w:rsid w:val="00B202AF"/>
    <w:rsid w:val="00B32309"/>
    <w:rsid w:val="00B36B9E"/>
    <w:rsid w:val="00B632C2"/>
    <w:rsid w:val="00B64095"/>
    <w:rsid w:val="00B83B5A"/>
    <w:rsid w:val="00B8623A"/>
    <w:rsid w:val="00BA4809"/>
    <w:rsid w:val="00BB6FC5"/>
    <w:rsid w:val="00BF0ECF"/>
    <w:rsid w:val="00BF701E"/>
    <w:rsid w:val="00C20288"/>
    <w:rsid w:val="00C215C1"/>
    <w:rsid w:val="00C22BC2"/>
    <w:rsid w:val="00C51FE9"/>
    <w:rsid w:val="00C54B0D"/>
    <w:rsid w:val="00C62311"/>
    <w:rsid w:val="00C8528D"/>
    <w:rsid w:val="00C8791A"/>
    <w:rsid w:val="00CA2286"/>
    <w:rsid w:val="00CA72BA"/>
    <w:rsid w:val="00CB271B"/>
    <w:rsid w:val="00CD3025"/>
    <w:rsid w:val="00CD3512"/>
    <w:rsid w:val="00CD7F45"/>
    <w:rsid w:val="00CE69BD"/>
    <w:rsid w:val="00D07869"/>
    <w:rsid w:val="00D219CD"/>
    <w:rsid w:val="00D24BB7"/>
    <w:rsid w:val="00D3170B"/>
    <w:rsid w:val="00D437E1"/>
    <w:rsid w:val="00D444B6"/>
    <w:rsid w:val="00D5137A"/>
    <w:rsid w:val="00D53B83"/>
    <w:rsid w:val="00D55240"/>
    <w:rsid w:val="00D718B6"/>
    <w:rsid w:val="00DA357C"/>
    <w:rsid w:val="00DC0A59"/>
    <w:rsid w:val="00DC58C5"/>
    <w:rsid w:val="00DD2E0A"/>
    <w:rsid w:val="00DE11BB"/>
    <w:rsid w:val="00DE5DB3"/>
    <w:rsid w:val="00E00C45"/>
    <w:rsid w:val="00E11498"/>
    <w:rsid w:val="00E411B7"/>
    <w:rsid w:val="00E427DD"/>
    <w:rsid w:val="00E671C9"/>
    <w:rsid w:val="00E71CF2"/>
    <w:rsid w:val="00E75788"/>
    <w:rsid w:val="00E802CF"/>
    <w:rsid w:val="00E968C4"/>
    <w:rsid w:val="00EC14E6"/>
    <w:rsid w:val="00EC6DFD"/>
    <w:rsid w:val="00EC7061"/>
    <w:rsid w:val="00ED042E"/>
    <w:rsid w:val="00EF4A35"/>
    <w:rsid w:val="00EF7379"/>
    <w:rsid w:val="00F02430"/>
    <w:rsid w:val="00F13AD5"/>
    <w:rsid w:val="00F22A09"/>
    <w:rsid w:val="00F267DE"/>
    <w:rsid w:val="00F50AA3"/>
    <w:rsid w:val="00F5298A"/>
    <w:rsid w:val="00F61ABE"/>
    <w:rsid w:val="00F83E2E"/>
    <w:rsid w:val="00F94910"/>
    <w:rsid w:val="00FB0CA7"/>
    <w:rsid w:val="00FB193F"/>
    <w:rsid w:val="00FB585B"/>
    <w:rsid w:val="00FC3B1D"/>
    <w:rsid w:val="00FD2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63397C-DECE-4004-85D6-1360B085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uiPriority="9"/>
    <w:lsdException w:name="heading 7" w:locked="1" w:semiHidden="1" w:uiPriority="9"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A4C"/>
    <w:pPr>
      <w:spacing w:before="200" w:after="200"/>
    </w:pPr>
    <w:rPr>
      <w:rFonts w:ascii="Calibri" w:hAnsi="Calibri"/>
      <w:sz w:val="24"/>
      <w:lang w:eastAsia="en-US"/>
    </w:rPr>
  </w:style>
  <w:style w:type="paragraph" w:styleId="Heading1">
    <w:name w:val="heading 1"/>
    <w:basedOn w:val="Normal"/>
    <w:next w:val="Normal"/>
    <w:link w:val="Heading1Char"/>
    <w:qFormat/>
    <w:rsid w:val="00EE4D16"/>
    <w:pPr>
      <w:keepNext/>
      <w:pBdr>
        <w:bottom w:val="single" w:sz="18" w:space="2" w:color="auto"/>
      </w:pBdr>
      <w:spacing w:after="480"/>
      <w:outlineLvl w:val="0"/>
    </w:pPr>
    <w:rPr>
      <w:b/>
      <w:kern w:val="28"/>
      <w:sz w:val="48"/>
    </w:rPr>
  </w:style>
  <w:style w:type="paragraph" w:styleId="Heading2">
    <w:name w:val="heading 2"/>
    <w:basedOn w:val="Normal"/>
    <w:next w:val="Normal"/>
    <w:link w:val="Heading2Char"/>
    <w:qFormat/>
    <w:rsid w:val="00EE4D16"/>
    <w:pPr>
      <w:keepNext/>
      <w:spacing w:before="360"/>
      <w:outlineLvl w:val="1"/>
    </w:pPr>
    <w:rPr>
      <w:b/>
      <w:snapToGrid w:val="0"/>
      <w:sz w:val="32"/>
    </w:rPr>
  </w:style>
  <w:style w:type="paragraph" w:styleId="Heading3">
    <w:name w:val="heading 3"/>
    <w:basedOn w:val="Normal2"/>
    <w:next w:val="Normal2"/>
    <w:link w:val="Heading3Char"/>
    <w:autoRedefine/>
    <w:qFormat/>
    <w:rsid w:val="002A5CF3"/>
    <w:pPr>
      <w:keepNext/>
      <w:keepLines/>
      <w:spacing w:before="360"/>
      <w:contextualSpacing/>
      <w:outlineLvl w:val="2"/>
    </w:pPr>
    <w:rPr>
      <w:b/>
      <w:bCs/>
      <w:sz w:val="28"/>
      <w:szCs w:val="26"/>
    </w:rPr>
  </w:style>
  <w:style w:type="paragraph" w:styleId="Heading4">
    <w:name w:val="heading 4"/>
    <w:basedOn w:val="Normal2"/>
    <w:next w:val="Normal2"/>
    <w:link w:val="Heading4Char"/>
    <w:autoRedefine/>
    <w:qFormat/>
    <w:rsid w:val="00EE4D16"/>
    <w:pPr>
      <w:keepNext/>
      <w:keepLines/>
      <w:spacing w:before="240" w:after="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qFormat/>
    <w:tblPr/>
  </w:style>
  <w:style w:type="table" w:customStyle="1" w:styleId="CDMRange2">
    <w:name w:val="CDM Range 2"/>
    <w:basedOn w:val="TableNormal"/>
    <w:next w:val="TableNormal"/>
    <w:uiPriority w:val="99"/>
    <w:semiHidden/>
    <w:unhideWhenUsed/>
    <w:qFormat/>
    <w:tblPr/>
  </w:style>
  <w:style w:type="paragraph" w:styleId="TOCHeading">
    <w:name w:val="TOC Heading"/>
    <w:basedOn w:val="Heading1"/>
    <w:next w:val="Normal"/>
    <w:uiPriority w:val="39"/>
    <w:unhideWhenUsed/>
    <w:qFormat/>
    <w:rsid w:val="00863652"/>
    <w:pPr>
      <w:keepLines/>
      <w:pBdr>
        <w:bottom w:val="none" w:sz="0" w:space="0" w:color="auto"/>
      </w:pBdr>
      <w:spacing w:before="480" w:after="0" w:line="276" w:lineRule="auto"/>
      <w:outlineLvl w:val="9"/>
    </w:pPr>
    <w:rPr>
      <w:bCs/>
      <w:kern w:val="0"/>
      <w:sz w:val="40"/>
      <w:szCs w:val="28"/>
      <w:lang w:val="en-US"/>
    </w:rPr>
  </w:style>
  <w:style w:type="character" w:customStyle="1" w:styleId="Heading1Char">
    <w:name w:val="Heading 1 Char"/>
    <w:link w:val="Heading1"/>
    <w:locked/>
    <w:rsid w:val="00EE4D16"/>
    <w:rPr>
      <w:rFonts w:ascii="Calibri" w:hAnsi="Calibri"/>
      <w:b/>
      <w:kern w:val="28"/>
      <w:sz w:val="48"/>
      <w:lang w:eastAsia="en-US"/>
    </w:rPr>
  </w:style>
  <w:style w:type="character" w:customStyle="1" w:styleId="Heading2Char">
    <w:name w:val="Heading 2 Char"/>
    <w:link w:val="Heading2"/>
    <w:locked/>
    <w:rsid w:val="00EE4D16"/>
    <w:rPr>
      <w:rFonts w:ascii="Calibri" w:hAnsi="Calibri"/>
      <w:b/>
      <w:snapToGrid w:val="0"/>
      <w:sz w:val="32"/>
      <w:lang w:eastAsia="en-US"/>
    </w:rPr>
  </w:style>
  <w:style w:type="paragraph" w:customStyle="1" w:styleId="FooterBP">
    <w:name w:val="Footer BP"/>
    <w:basedOn w:val="Normal"/>
    <w:next w:val="Normal"/>
    <w:rsid w:val="00FB4CEC"/>
    <w:pPr>
      <w:pBdr>
        <w:top w:val="single" w:sz="4" w:space="1" w:color="auto"/>
      </w:pBdr>
      <w:tabs>
        <w:tab w:val="center" w:pos="4536"/>
        <w:tab w:val="right" w:pos="9356"/>
      </w:tabs>
      <w:ind w:left="-284" w:right="-329"/>
    </w:pPr>
    <w:rPr>
      <w:i/>
      <w:sz w:val="20"/>
    </w:rPr>
  </w:style>
  <w:style w:type="paragraph" w:customStyle="1" w:styleId="Heading20">
    <w:name w:val="Heading 2_0"/>
    <w:basedOn w:val="Normal0"/>
    <w:next w:val="Normal0"/>
    <w:link w:val="Heading2Char0"/>
    <w:qFormat/>
    <w:rsid w:val="00EE4D16"/>
    <w:pPr>
      <w:keepNext/>
      <w:spacing w:before="360"/>
      <w:outlineLvl w:val="1"/>
    </w:pPr>
    <w:rPr>
      <w:b/>
      <w:snapToGrid w:val="0"/>
      <w:sz w:val="32"/>
    </w:rPr>
  </w:style>
  <w:style w:type="paragraph" w:customStyle="1" w:styleId="Normal0">
    <w:name w:val="Normal_0"/>
    <w:qFormat/>
    <w:rsid w:val="00530EF5"/>
    <w:pPr>
      <w:spacing w:before="200" w:after="200"/>
    </w:pPr>
    <w:rPr>
      <w:rFonts w:ascii="Calibri" w:hAnsi="Calibri"/>
      <w:sz w:val="24"/>
      <w:lang w:eastAsia="en-US"/>
    </w:rPr>
  </w:style>
  <w:style w:type="character" w:customStyle="1" w:styleId="Heading2Char0">
    <w:name w:val="Heading 2 Char_0"/>
    <w:link w:val="Heading20"/>
    <w:locked/>
    <w:rsid w:val="00EE4D16"/>
    <w:rPr>
      <w:rFonts w:ascii="Calibri" w:hAnsi="Calibri"/>
      <w:b/>
      <w:snapToGrid w:val="0"/>
      <w:sz w:val="32"/>
      <w:lang w:eastAsia="en-US"/>
    </w:rPr>
  </w:style>
  <w:style w:type="paragraph" w:customStyle="1" w:styleId="BStabletextbolditalics">
    <w:name w:val="BS_table text bold italics"/>
    <w:basedOn w:val="BStabletext"/>
    <w:link w:val="BStabletextbolditalicsChar"/>
    <w:qFormat/>
    <w:rsid w:val="006E57FD"/>
    <w:rPr>
      <w:b/>
      <w:i/>
    </w:rPr>
  </w:style>
  <w:style w:type="paragraph" w:customStyle="1" w:styleId="BStabletext">
    <w:name w:val="BS_table text"/>
    <w:basedOn w:val="BStableheading1"/>
    <w:link w:val="BStabletextChar"/>
    <w:autoRedefine/>
    <w:qFormat/>
    <w:rsid w:val="00F80175"/>
    <w:pPr>
      <w:framePr w:wrap="auto" w:vAnchor="margin" w:yAlign="inline"/>
      <w:ind w:left="227" w:hanging="227"/>
      <w:jc w:val="left"/>
    </w:pPr>
    <w:rPr>
      <w:b w:val="0"/>
      <w:lang w:eastAsia="en-AU"/>
    </w:rPr>
  </w:style>
  <w:style w:type="paragraph" w:customStyle="1" w:styleId="BStableheading1">
    <w:name w:val="BS_table heading 1"/>
    <w:basedOn w:val="NoSpacing"/>
    <w:link w:val="BStableheading1Char"/>
    <w:rsid w:val="007D71D2"/>
    <w:pPr>
      <w:framePr w:wrap="around" w:vAnchor="text" w:hAnchor="text" w:y="1"/>
      <w:jc w:val="right"/>
    </w:pPr>
    <w:rPr>
      <w:b/>
      <w:bCs/>
    </w:rPr>
  </w:style>
  <w:style w:type="paragraph" w:styleId="NoSpacing">
    <w:name w:val="No Spacing"/>
    <w:link w:val="NoSpacingChar"/>
    <w:uiPriority w:val="1"/>
    <w:qFormat/>
    <w:rsid w:val="007A4C99"/>
    <w:rPr>
      <w:rFonts w:ascii="Calibri" w:hAnsi="Calibri"/>
      <w:lang w:eastAsia="en-US"/>
    </w:rPr>
  </w:style>
  <w:style w:type="character" w:customStyle="1" w:styleId="NoSpacingChar">
    <w:name w:val="No Spacing Char"/>
    <w:link w:val="NoSpacing"/>
    <w:uiPriority w:val="1"/>
    <w:rsid w:val="007A4C99"/>
    <w:rPr>
      <w:rFonts w:ascii="Calibri" w:hAnsi="Calibri"/>
      <w:lang w:eastAsia="en-US" w:bidi="ar-SA"/>
    </w:rPr>
  </w:style>
  <w:style w:type="character" w:customStyle="1" w:styleId="BStableheading1Char">
    <w:name w:val="BS_table heading 1 Char"/>
    <w:basedOn w:val="NoSpacingChar"/>
    <w:link w:val="BStableheading1"/>
    <w:rsid w:val="007D71D2"/>
    <w:rPr>
      <w:rFonts w:ascii="Calibri" w:hAnsi="Calibri"/>
      <w:b/>
      <w:bCs/>
      <w:lang w:eastAsia="en-US" w:bidi="ar-SA"/>
    </w:rPr>
  </w:style>
  <w:style w:type="character" w:customStyle="1" w:styleId="BStabletextChar">
    <w:name w:val="BS_table text Char"/>
    <w:basedOn w:val="BStableheading1Char"/>
    <w:link w:val="BStabletext"/>
    <w:rsid w:val="00F80175"/>
    <w:rPr>
      <w:rFonts w:ascii="Calibri" w:hAnsi="Calibri"/>
      <w:b/>
      <w:bCs/>
      <w:lang w:eastAsia="en-US" w:bidi="ar-SA"/>
    </w:rPr>
  </w:style>
  <w:style w:type="character" w:customStyle="1" w:styleId="BStabletextbolditalicsChar">
    <w:name w:val="BS_table text bold italics Char"/>
    <w:link w:val="BStabletextbolditalics"/>
    <w:locked/>
    <w:rsid w:val="00904659"/>
    <w:rPr>
      <w:rFonts w:ascii="Calibri" w:hAnsi="Calibri"/>
      <w:b/>
      <w:bCs/>
      <w:i/>
    </w:rPr>
  </w:style>
  <w:style w:type="paragraph" w:customStyle="1" w:styleId="BSbullet1">
    <w:name w:val="BS_bullet 1"/>
    <w:basedOn w:val="BodyTextIndent"/>
    <w:link w:val="BSbullet1Char"/>
    <w:qFormat/>
    <w:rsid w:val="009E4D5F"/>
    <w:pPr>
      <w:keepNext w:val="0"/>
      <w:keepLines w:val="0"/>
      <w:numPr>
        <w:numId w:val="2"/>
      </w:numPr>
      <w:jc w:val="left"/>
    </w:pPr>
  </w:style>
  <w:style w:type="paragraph" w:styleId="BodyTextIndent">
    <w:name w:val="Body Text Indent"/>
    <w:basedOn w:val="Normal0"/>
    <w:next w:val="BodyText"/>
    <w:link w:val="BodyTextIndentChar"/>
    <w:rsid w:val="00FB4CEC"/>
    <w:pPr>
      <w:keepNext/>
      <w:keepLines/>
      <w:numPr>
        <w:numId w:val="1"/>
      </w:numPr>
      <w:spacing w:after="120"/>
      <w:jc w:val="both"/>
    </w:pPr>
    <w:rPr>
      <w:szCs w:val="24"/>
    </w:rPr>
  </w:style>
  <w:style w:type="paragraph" w:styleId="BodyText">
    <w:name w:val="Body Text"/>
    <w:basedOn w:val="Normal0"/>
    <w:link w:val="BodyTextChar"/>
    <w:uiPriority w:val="99"/>
    <w:rsid w:val="00FB4CEC"/>
    <w:pPr>
      <w:keepNext/>
      <w:keepLines/>
      <w:spacing w:before="120" w:after="120"/>
      <w:jc w:val="both"/>
    </w:pPr>
  </w:style>
  <w:style w:type="character" w:customStyle="1" w:styleId="BodyTextChar">
    <w:name w:val="Body Text Char"/>
    <w:link w:val="BodyText"/>
    <w:uiPriority w:val="99"/>
    <w:locked/>
    <w:rsid w:val="007316E2"/>
    <w:rPr>
      <w:rFonts w:ascii="Calibri" w:hAnsi="Calibri"/>
      <w:sz w:val="24"/>
      <w:szCs w:val="20"/>
      <w:lang w:eastAsia="en-US"/>
    </w:rPr>
  </w:style>
  <w:style w:type="character" w:customStyle="1" w:styleId="BodyTextIndentChar">
    <w:name w:val="Body Text Indent Char"/>
    <w:link w:val="BodyTextIndent"/>
    <w:locked/>
    <w:rsid w:val="00BF50D3"/>
    <w:rPr>
      <w:rFonts w:ascii="Calibri" w:hAnsi="Calibri"/>
      <w:sz w:val="24"/>
      <w:szCs w:val="24"/>
      <w:lang w:eastAsia="en-US"/>
    </w:rPr>
  </w:style>
  <w:style w:type="character" w:customStyle="1" w:styleId="BSbullet1Char">
    <w:name w:val="BS_bullet 1 Char"/>
    <w:basedOn w:val="BodyTextIndentChar"/>
    <w:link w:val="BSbullet1"/>
    <w:rsid w:val="009E4D5F"/>
    <w:rPr>
      <w:rFonts w:ascii="Calibri" w:hAnsi="Calibri"/>
      <w:sz w:val="24"/>
      <w:szCs w:val="24"/>
      <w:lang w:eastAsia="en-US"/>
    </w:rPr>
  </w:style>
  <w:style w:type="paragraph" w:customStyle="1" w:styleId="BSbullet20">
    <w:name w:val="BS_bullet 2_0"/>
    <w:basedOn w:val="Normal0"/>
    <w:link w:val="BSbullet2Char0"/>
    <w:qFormat/>
    <w:rsid w:val="00CA5FB4"/>
    <w:pPr>
      <w:numPr>
        <w:numId w:val="4"/>
      </w:numPr>
      <w:spacing w:after="120"/>
      <w:jc w:val="both"/>
    </w:pPr>
    <w:rPr>
      <w:szCs w:val="24"/>
    </w:rPr>
  </w:style>
  <w:style w:type="character" w:customStyle="1" w:styleId="BSbullet2Char0">
    <w:name w:val="BS_bullet 2 Char_0"/>
    <w:basedOn w:val="DefaultParagraphFont"/>
    <w:link w:val="BSbullet20"/>
    <w:locked/>
    <w:rsid w:val="00CA5FB4"/>
    <w:rPr>
      <w:rFonts w:ascii="Calibri" w:hAnsi="Calibri"/>
      <w:sz w:val="24"/>
      <w:szCs w:val="24"/>
      <w:lang w:eastAsia="en-US"/>
    </w:rPr>
  </w:style>
  <w:style w:type="paragraph" w:customStyle="1" w:styleId="Heading21">
    <w:name w:val="Heading 2_1"/>
    <w:basedOn w:val="Normal1"/>
    <w:next w:val="Normal1"/>
    <w:link w:val="Heading2Char1"/>
    <w:qFormat/>
    <w:rsid w:val="00EE4D16"/>
    <w:pPr>
      <w:keepNext/>
      <w:spacing w:before="360"/>
      <w:outlineLvl w:val="1"/>
    </w:pPr>
    <w:rPr>
      <w:b/>
      <w:snapToGrid w:val="0"/>
      <w:sz w:val="32"/>
    </w:rPr>
  </w:style>
  <w:style w:type="paragraph" w:customStyle="1" w:styleId="Normal1">
    <w:name w:val="Normal_1"/>
    <w:qFormat/>
    <w:rsid w:val="00530EF5"/>
    <w:pPr>
      <w:spacing w:before="200" w:after="200"/>
    </w:pPr>
    <w:rPr>
      <w:rFonts w:ascii="Calibri" w:hAnsi="Calibri"/>
      <w:sz w:val="24"/>
      <w:lang w:eastAsia="en-US"/>
    </w:rPr>
  </w:style>
  <w:style w:type="character" w:customStyle="1" w:styleId="Heading2Char1">
    <w:name w:val="Heading 2 Char_1"/>
    <w:link w:val="Heading21"/>
    <w:locked/>
    <w:rsid w:val="00EE4D16"/>
    <w:rPr>
      <w:rFonts w:ascii="Calibri" w:hAnsi="Calibri"/>
      <w:b/>
      <w:snapToGrid w:val="0"/>
      <w:sz w:val="32"/>
      <w:lang w:eastAsia="en-US"/>
    </w:rPr>
  </w:style>
  <w:style w:type="paragraph" w:styleId="Caption">
    <w:name w:val="caption"/>
    <w:basedOn w:val="Normal1"/>
    <w:next w:val="Normal1"/>
    <w:unhideWhenUsed/>
    <w:qFormat/>
    <w:locked/>
    <w:rsid w:val="00F31EEF"/>
    <w:pPr>
      <w:keepNext/>
      <w:spacing w:before="240"/>
    </w:pPr>
    <w:rPr>
      <w:b/>
      <w:bCs/>
      <w:color w:val="000000"/>
      <w:sz w:val="22"/>
      <w:szCs w:val="18"/>
    </w:rPr>
  </w:style>
  <w:style w:type="paragraph" w:customStyle="1" w:styleId="BStabletext0">
    <w:name w:val="BS_table text_0"/>
    <w:basedOn w:val="BStableheading10"/>
    <w:link w:val="BStabletextChar0"/>
    <w:autoRedefine/>
    <w:qFormat/>
    <w:rsid w:val="00F80175"/>
    <w:pPr>
      <w:framePr w:wrap="auto" w:vAnchor="margin" w:yAlign="inline"/>
      <w:ind w:left="227" w:hanging="227"/>
      <w:jc w:val="left"/>
    </w:pPr>
    <w:rPr>
      <w:b w:val="0"/>
      <w:lang w:eastAsia="en-AU"/>
    </w:rPr>
  </w:style>
  <w:style w:type="paragraph" w:customStyle="1" w:styleId="BStableheading10">
    <w:name w:val="BS_table heading 1_0"/>
    <w:basedOn w:val="NoSpacing0"/>
    <w:link w:val="BStableheading1Char0"/>
    <w:rsid w:val="007D71D2"/>
    <w:pPr>
      <w:framePr w:wrap="around" w:vAnchor="text" w:hAnchor="text" w:y="1"/>
      <w:jc w:val="right"/>
    </w:pPr>
    <w:rPr>
      <w:b/>
      <w:bCs/>
    </w:rPr>
  </w:style>
  <w:style w:type="paragraph" w:customStyle="1" w:styleId="NoSpacing0">
    <w:name w:val="No Spacing_0"/>
    <w:link w:val="NoSpacingChar0"/>
    <w:uiPriority w:val="1"/>
    <w:qFormat/>
    <w:rsid w:val="007A4C99"/>
    <w:rPr>
      <w:rFonts w:ascii="Calibri" w:hAnsi="Calibri"/>
      <w:lang w:eastAsia="en-US"/>
    </w:rPr>
  </w:style>
  <w:style w:type="character" w:customStyle="1" w:styleId="NoSpacingChar0">
    <w:name w:val="No Spacing Char_0"/>
    <w:link w:val="NoSpacing0"/>
    <w:uiPriority w:val="1"/>
    <w:rsid w:val="007A4C99"/>
    <w:rPr>
      <w:rFonts w:ascii="Calibri" w:hAnsi="Calibri"/>
      <w:lang w:eastAsia="en-US" w:bidi="ar-SA"/>
    </w:rPr>
  </w:style>
  <w:style w:type="character" w:customStyle="1" w:styleId="BStableheading1Char0">
    <w:name w:val="BS_table heading 1 Char_0"/>
    <w:basedOn w:val="NoSpacingChar0"/>
    <w:link w:val="BStableheading10"/>
    <w:rsid w:val="007D71D2"/>
    <w:rPr>
      <w:rFonts w:ascii="Calibri" w:hAnsi="Calibri"/>
      <w:b/>
      <w:bCs/>
      <w:lang w:eastAsia="en-US" w:bidi="ar-SA"/>
    </w:rPr>
  </w:style>
  <w:style w:type="character" w:customStyle="1" w:styleId="BStabletextChar0">
    <w:name w:val="BS_table text Char_0"/>
    <w:basedOn w:val="BStableheading1Char0"/>
    <w:link w:val="BStabletext0"/>
    <w:rsid w:val="00F80175"/>
    <w:rPr>
      <w:rFonts w:ascii="Calibri" w:hAnsi="Calibri"/>
      <w:b/>
      <w:bCs/>
      <w:lang w:eastAsia="en-US" w:bidi="ar-SA"/>
    </w:rPr>
  </w:style>
  <w:style w:type="character" w:styleId="Strong">
    <w:name w:val="Strong"/>
    <w:qFormat/>
    <w:rsid w:val="00D746DB"/>
    <w:rPr>
      <w:rFonts w:ascii="Calibri" w:hAnsi="Calibri"/>
      <w:b/>
      <w:bCs/>
      <w:lang w:eastAsia="en-US"/>
    </w:rPr>
  </w:style>
  <w:style w:type="paragraph" w:customStyle="1" w:styleId="BStablefigures">
    <w:name w:val="BS_table figures"/>
    <w:basedOn w:val="BStabletext0"/>
    <w:link w:val="BStablefiguresChar"/>
    <w:autoRedefine/>
    <w:qFormat/>
    <w:rsid w:val="006E57FD"/>
    <w:pPr>
      <w:jc w:val="right"/>
    </w:pPr>
    <w:rPr>
      <w:bCs w:val="0"/>
    </w:rPr>
  </w:style>
  <w:style w:type="character" w:customStyle="1" w:styleId="BStablefiguresChar">
    <w:name w:val="BS_table figures Char"/>
    <w:basedOn w:val="AITableTextChar"/>
    <w:link w:val="BStablefigures"/>
    <w:rsid w:val="006E57FD"/>
    <w:rPr>
      <w:rFonts w:ascii="Calibri" w:hAnsi="Calibri"/>
      <w:sz w:val="20"/>
      <w:szCs w:val="24"/>
      <w:lang w:eastAsia="en-US"/>
    </w:rPr>
  </w:style>
  <w:style w:type="character" w:customStyle="1" w:styleId="AITableTextChar">
    <w:name w:val="AI Table Text Char"/>
    <w:link w:val="AITableText"/>
    <w:locked/>
    <w:rsid w:val="007316E2"/>
    <w:rPr>
      <w:rFonts w:ascii="Calibri" w:hAnsi="Calibri"/>
      <w:sz w:val="20"/>
      <w:szCs w:val="24"/>
      <w:lang w:eastAsia="en-US"/>
    </w:rPr>
  </w:style>
  <w:style w:type="paragraph" w:customStyle="1" w:styleId="AITableText">
    <w:name w:val="AI Table Text"/>
    <w:basedOn w:val="Normal1"/>
    <w:link w:val="AITableTextChar"/>
    <w:rsid w:val="00FB4CEC"/>
    <w:pPr>
      <w:jc w:val="right"/>
    </w:pPr>
    <w:rPr>
      <w:sz w:val="20"/>
      <w:szCs w:val="24"/>
    </w:rPr>
  </w:style>
  <w:style w:type="paragraph" w:customStyle="1" w:styleId="BSnote">
    <w:name w:val="BS_note"/>
    <w:basedOn w:val="NoteHeading2"/>
    <w:link w:val="BSnoteChar"/>
    <w:qFormat/>
    <w:rsid w:val="00EE4D16"/>
    <w:pPr>
      <w:keepNext/>
      <w:spacing w:after="0"/>
    </w:pPr>
    <w:rPr>
      <w:sz w:val="18"/>
      <w:szCs w:val="16"/>
    </w:rPr>
  </w:style>
  <w:style w:type="paragraph" w:customStyle="1" w:styleId="NoteHeading2">
    <w:name w:val="Note Heading2"/>
    <w:basedOn w:val="Normal1"/>
    <w:next w:val="Normal1"/>
    <w:link w:val="NoteHeadingChar"/>
    <w:rsid w:val="00FB4CEC"/>
    <w:pPr>
      <w:spacing w:before="120"/>
    </w:pPr>
    <w:rPr>
      <w:b/>
      <w:sz w:val="16"/>
    </w:rPr>
  </w:style>
  <w:style w:type="character" w:customStyle="1" w:styleId="NoteHeadingChar">
    <w:name w:val="Note Heading Char"/>
    <w:link w:val="NoteHeading2"/>
    <w:locked/>
    <w:rsid w:val="007316E2"/>
    <w:rPr>
      <w:rFonts w:ascii="Calibri" w:hAnsi="Calibri"/>
      <w:b/>
      <w:sz w:val="16"/>
      <w:szCs w:val="20"/>
      <w:lang w:eastAsia="en-US"/>
    </w:rPr>
  </w:style>
  <w:style w:type="character" w:customStyle="1" w:styleId="BSnoteChar">
    <w:name w:val="BS_note Char"/>
    <w:link w:val="BSnote"/>
    <w:rsid w:val="00EE4D16"/>
    <w:rPr>
      <w:rFonts w:ascii="Calibri" w:hAnsi="Calibri"/>
      <w:b/>
      <w:sz w:val="18"/>
      <w:szCs w:val="16"/>
      <w:lang w:eastAsia="en-US"/>
    </w:rPr>
  </w:style>
  <w:style w:type="paragraph" w:customStyle="1" w:styleId="BSnoteslist">
    <w:name w:val="BS_notes list"/>
    <w:basedOn w:val="Alnotes"/>
    <w:link w:val="BSnoteslistChar"/>
    <w:qFormat/>
    <w:rsid w:val="00833051"/>
    <w:pPr>
      <w:numPr>
        <w:numId w:val="5"/>
      </w:numPr>
    </w:pPr>
  </w:style>
  <w:style w:type="paragraph" w:customStyle="1" w:styleId="Alnotes">
    <w:name w:val="Al notes"/>
    <w:basedOn w:val="ListParagraph"/>
    <w:next w:val="Normal1"/>
    <w:link w:val="AlnotesChar"/>
    <w:autoRedefine/>
    <w:rsid w:val="00C0540A"/>
    <w:pPr>
      <w:numPr>
        <w:numId w:val="6"/>
      </w:numPr>
      <w:spacing w:before="0"/>
    </w:pPr>
    <w:rPr>
      <w:sz w:val="18"/>
    </w:rPr>
  </w:style>
  <w:style w:type="paragraph" w:styleId="ListParagraph">
    <w:name w:val="List Paragraph"/>
    <w:basedOn w:val="Normal1"/>
    <w:link w:val="ListParagraphChar"/>
    <w:qFormat/>
    <w:rsid w:val="009E567D"/>
    <w:pPr>
      <w:spacing w:after="0"/>
      <w:ind w:left="357" w:hanging="357"/>
    </w:pPr>
    <w:rPr>
      <w:sz w:val="16"/>
      <w:szCs w:val="24"/>
    </w:rPr>
  </w:style>
  <w:style w:type="character" w:customStyle="1" w:styleId="ListParagraphChar">
    <w:name w:val="List Paragraph Char"/>
    <w:link w:val="ListParagraph"/>
    <w:rsid w:val="005B5A37"/>
    <w:rPr>
      <w:rFonts w:ascii="Calibri" w:hAnsi="Calibri"/>
      <w:sz w:val="16"/>
      <w:szCs w:val="24"/>
      <w:lang w:eastAsia="en-US"/>
    </w:rPr>
  </w:style>
  <w:style w:type="character" w:customStyle="1" w:styleId="AlnotesChar">
    <w:name w:val="Al notes Char"/>
    <w:link w:val="Alnotes"/>
    <w:rsid w:val="00C0540A"/>
    <w:rPr>
      <w:rFonts w:ascii="Calibri" w:hAnsi="Calibri"/>
      <w:sz w:val="18"/>
      <w:szCs w:val="24"/>
      <w:lang w:eastAsia="en-US"/>
    </w:rPr>
  </w:style>
  <w:style w:type="character" w:customStyle="1" w:styleId="BSnoteslistChar">
    <w:name w:val="BS_notes list Char"/>
    <w:basedOn w:val="AlnotesChar"/>
    <w:link w:val="BSnoteslist"/>
    <w:rsid w:val="00833051"/>
    <w:rPr>
      <w:rFonts w:ascii="Calibri" w:hAnsi="Calibri"/>
      <w:sz w:val="18"/>
      <w:szCs w:val="24"/>
      <w:lang w:eastAsia="en-US"/>
    </w:rPr>
  </w:style>
  <w:style w:type="paragraph" w:customStyle="1" w:styleId="Heading22">
    <w:name w:val="Heading 2_2"/>
    <w:basedOn w:val="Normal2"/>
    <w:next w:val="Normal2"/>
    <w:link w:val="Heading2Char2"/>
    <w:qFormat/>
    <w:rsid w:val="00EE4D16"/>
    <w:pPr>
      <w:keepNext/>
      <w:spacing w:before="360"/>
      <w:outlineLvl w:val="1"/>
    </w:pPr>
    <w:rPr>
      <w:b/>
      <w:snapToGrid w:val="0"/>
      <w:sz w:val="32"/>
    </w:rPr>
  </w:style>
  <w:style w:type="paragraph" w:customStyle="1" w:styleId="Normal2">
    <w:name w:val="Normal_2"/>
    <w:qFormat/>
    <w:rsid w:val="005D4CEA"/>
    <w:pPr>
      <w:spacing w:before="200" w:after="200"/>
    </w:pPr>
    <w:rPr>
      <w:rFonts w:ascii="Calibri" w:hAnsi="Calibri"/>
      <w:sz w:val="24"/>
      <w:lang w:eastAsia="en-US"/>
    </w:rPr>
  </w:style>
  <w:style w:type="character" w:customStyle="1" w:styleId="Heading2Char2">
    <w:name w:val="Heading 2 Char_2"/>
    <w:link w:val="Heading22"/>
    <w:locked/>
    <w:rsid w:val="00EE4D16"/>
    <w:rPr>
      <w:rFonts w:ascii="Calibri" w:hAnsi="Calibri"/>
      <w:b/>
      <w:snapToGrid w:val="0"/>
      <w:sz w:val="32"/>
      <w:lang w:eastAsia="en-US"/>
    </w:rPr>
  </w:style>
  <w:style w:type="paragraph" w:customStyle="1" w:styleId="Heading210">
    <w:name w:val="Heading 2_1_0"/>
    <w:basedOn w:val="Normal2"/>
    <w:next w:val="Normal2"/>
    <w:link w:val="Heading2Char10"/>
    <w:qFormat/>
    <w:rsid w:val="0093230F"/>
    <w:pPr>
      <w:keepNext/>
      <w:snapToGrid w:val="0"/>
      <w:spacing w:before="360"/>
      <w:outlineLvl w:val="1"/>
    </w:pPr>
    <w:rPr>
      <w:b/>
      <w:sz w:val="32"/>
    </w:rPr>
  </w:style>
  <w:style w:type="character" w:customStyle="1" w:styleId="Heading2Char10">
    <w:name w:val="Heading 2 Char_1_0"/>
    <w:link w:val="Heading210"/>
    <w:locked/>
    <w:rsid w:val="0093230F"/>
    <w:rPr>
      <w:rFonts w:ascii="Calibri" w:hAnsi="Calibri"/>
      <w:b/>
      <w:sz w:val="32"/>
      <w:lang w:eastAsia="en-US"/>
    </w:rPr>
  </w:style>
  <w:style w:type="character" w:customStyle="1" w:styleId="Heading3Char">
    <w:name w:val="Heading 3 Char"/>
    <w:link w:val="Heading3"/>
    <w:locked/>
    <w:rsid w:val="002A5CF3"/>
    <w:rPr>
      <w:rFonts w:ascii="Calibri" w:hAnsi="Calibri"/>
      <w:b/>
      <w:bCs/>
      <w:sz w:val="28"/>
      <w:szCs w:val="26"/>
      <w:lang w:eastAsia="en-US"/>
    </w:rPr>
  </w:style>
  <w:style w:type="paragraph" w:customStyle="1" w:styleId="Normal20">
    <w:name w:val="Normal_2_0"/>
    <w:qFormat/>
    <w:rsid w:val="0093230F"/>
    <w:pPr>
      <w:spacing w:before="200" w:after="200"/>
    </w:pPr>
    <w:rPr>
      <w:rFonts w:ascii="Calibri" w:hAnsi="Calibri"/>
      <w:sz w:val="24"/>
      <w:lang w:eastAsia="en-US"/>
    </w:rPr>
  </w:style>
  <w:style w:type="paragraph" w:customStyle="1" w:styleId="BSbullet10">
    <w:name w:val="BS_bullet 1_0"/>
    <w:basedOn w:val="Normal2"/>
    <w:link w:val="BSbullet1Char0"/>
    <w:qFormat/>
    <w:rsid w:val="0093230F"/>
    <w:pPr>
      <w:spacing w:after="120"/>
      <w:ind w:left="360" w:hanging="360"/>
      <w:jc w:val="both"/>
    </w:pPr>
    <w:rPr>
      <w:szCs w:val="24"/>
    </w:rPr>
  </w:style>
  <w:style w:type="character" w:customStyle="1" w:styleId="BSbullet1Char0">
    <w:name w:val="BS_bullet 1 Char_0"/>
    <w:basedOn w:val="DefaultParagraphFont"/>
    <w:link w:val="BSbullet10"/>
    <w:locked/>
    <w:rsid w:val="0093230F"/>
    <w:rPr>
      <w:rFonts w:ascii="Calibri" w:hAnsi="Calibri"/>
      <w:sz w:val="24"/>
      <w:szCs w:val="24"/>
      <w:lang w:eastAsia="en-US"/>
    </w:rPr>
  </w:style>
  <w:style w:type="paragraph" w:customStyle="1" w:styleId="BSbullet21">
    <w:name w:val="BS_bullet 2_1"/>
    <w:basedOn w:val="Normal2"/>
    <w:link w:val="BSbullet2Char1"/>
    <w:qFormat/>
    <w:rsid w:val="0093230F"/>
    <w:pPr>
      <w:numPr>
        <w:numId w:val="7"/>
      </w:numPr>
      <w:spacing w:after="120"/>
      <w:ind w:left="714" w:hanging="357"/>
    </w:pPr>
    <w:rPr>
      <w:szCs w:val="24"/>
    </w:rPr>
  </w:style>
  <w:style w:type="character" w:customStyle="1" w:styleId="BSbullet2Char1">
    <w:name w:val="BS_bullet 2 Char_1"/>
    <w:basedOn w:val="DefaultParagraphFont"/>
    <w:link w:val="BSbullet21"/>
    <w:locked/>
    <w:rsid w:val="0093230F"/>
    <w:rPr>
      <w:rFonts w:ascii="Calibri" w:hAnsi="Calibri"/>
      <w:sz w:val="24"/>
      <w:szCs w:val="24"/>
      <w:lang w:eastAsia="en-US"/>
    </w:rPr>
  </w:style>
  <w:style w:type="paragraph" w:customStyle="1" w:styleId="BSbullet200">
    <w:name w:val="BS_bullet 2_0_0"/>
    <w:basedOn w:val="BSbullet10"/>
    <w:link w:val="BSbullet2Char00"/>
    <w:qFormat/>
    <w:rsid w:val="0093230F"/>
    <w:pPr>
      <w:numPr>
        <w:numId w:val="8"/>
      </w:numPr>
    </w:pPr>
  </w:style>
  <w:style w:type="character" w:customStyle="1" w:styleId="BSbullet2Char00">
    <w:name w:val="BS_bullet 2 Char_0_0"/>
    <w:basedOn w:val="BSbullet1Char0"/>
    <w:link w:val="BSbullet200"/>
    <w:locked/>
    <w:rsid w:val="0093230F"/>
    <w:rPr>
      <w:rFonts w:ascii="Calibri" w:hAnsi="Calibri"/>
      <w:sz w:val="24"/>
      <w:szCs w:val="24"/>
      <w:lang w:eastAsia="en-US"/>
    </w:rPr>
  </w:style>
  <w:style w:type="paragraph" w:customStyle="1" w:styleId="Caption0">
    <w:name w:val="Caption_0"/>
    <w:basedOn w:val="Normal20"/>
    <w:next w:val="Normal20"/>
    <w:qFormat/>
    <w:locked/>
    <w:rsid w:val="0093230F"/>
    <w:pPr>
      <w:keepNext/>
      <w:spacing w:before="240"/>
    </w:pPr>
    <w:rPr>
      <w:b/>
      <w:bCs/>
      <w:color w:val="000000"/>
      <w:sz w:val="22"/>
      <w:szCs w:val="18"/>
    </w:rPr>
  </w:style>
  <w:style w:type="paragraph" w:customStyle="1" w:styleId="BSnote0">
    <w:name w:val="BS_note_0"/>
    <w:basedOn w:val="Normal2"/>
    <w:link w:val="BSnoteChar0"/>
    <w:qFormat/>
    <w:rsid w:val="000F7E83"/>
    <w:pPr>
      <w:keepNext/>
      <w:spacing w:before="120" w:after="0"/>
    </w:pPr>
    <w:rPr>
      <w:b/>
      <w:sz w:val="18"/>
      <w:szCs w:val="16"/>
    </w:rPr>
  </w:style>
  <w:style w:type="character" w:customStyle="1" w:styleId="BSnoteChar0">
    <w:name w:val="BS_note Char_0"/>
    <w:link w:val="BSnote0"/>
    <w:locked/>
    <w:rsid w:val="000F7E83"/>
    <w:rPr>
      <w:rFonts w:ascii="Calibri" w:hAnsi="Calibri"/>
      <w:b/>
      <w:sz w:val="18"/>
      <w:szCs w:val="16"/>
      <w:lang w:eastAsia="en-US"/>
    </w:rPr>
  </w:style>
  <w:style w:type="paragraph" w:customStyle="1" w:styleId="BSnoteslist0">
    <w:name w:val="BS_notes list_0"/>
    <w:basedOn w:val="Alnotes0"/>
    <w:link w:val="BSnoteslistChar0"/>
    <w:qFormat/>
    <w:rsid w:val="00833051"/>
    <w:pPr>
      <w:numPr>
        <w:numId w:val="9"/>
      </w:numPr>
    </w:pPr>
  </w:style>
  <w:style w:type="paragraph" w:customStyle="1" w:styleId="Alnotes0">
    <w:name w:val="Al notes_0"/>
    <w:basedOn w:val="ListParagraph0"/>
    <w:next w:val="Normal2"/>
    <w:link w:val="AlnotesChar0"/>
    <w:autoRedefine/>
    <w:rsid w:val="004908CF"/>
    <w:pPr>
      <w:numPr>
        <w:numId w:val="10"/>
      </w:numPr>
      <w:spacing w:before="0"/>
    </w:pPr>
    <w:rPr>
      <w:i/>
      <w:sz w:val="22"/>
      <w:szCs w:val="22"/>
    </w:rPr>
  </w:style>
  <w:style w:type="paragraph" w:customStyle="1" w:styleId="ListParagraph0">
    <w:name w:val="List Paragraph_0"/>
    <w:basedOn w:val="Normal2"/>
    <w:link w:val="ListParagraphChar0"/>
    <w:qFormat/>
    <w:rsid w:val="009E567D"/>
    <w:pPr>
      <w:spacing w:after="0"/>
      <w:ind w:left="357" w:hanging="357"/>
    </w:pPr>
    <w:rPr>
      <w:sz w:val="16"/>
      <w:szCs w:val="24"/>
    </w:rPr>
  </w:style>
  <w:style w:type="character" w:customStyle="1" w:styleId="ListParagraphChar0">
    <w:name w:val="List Paragraph Char_0"/>
    <w:link w:val="ListParagraph0"/>
    <w:rsid w:val="005B5A37"/>
    <w:rPr>
      <w:rFonts w:ascii="Calibri" w:hAnsi="Calibri"/>
      <w:sz w:val="16"/>
      <w:szCs w:val="24"/>
      <w:lang w:eastAsia="en-US"/>
    </w:rPr>
  </w:style>
  <w:style w:type="character" w:customStyle="1" w:styleId="AlnotesChar0">
    <w:name w:val="Al notes Char_0"/>
    <w:link w:val="Alnotes0"/>
    <w:rsid w:val="004908CF"/>
    <w:rPr>
      <w:rFonts w:ascii="Calibri" w:hAnsi="Calibri"/>
      <w:i/>
      <w:sz w:val="22"/>
      <w:szCs w:val="22"/>
      <w:lang w:eastAsia="en-US"/>
    </w:rPr>
  </w:style>
  <w:style w:type="character" w:customStyle="1" w:styleId="BSnoteslistChar0">
    <w:name w:val="BS_notes list Char_0"/>
    <w:basedOn w:val="AlnotesChar0"/>
    <w:link w:val="BSnoteslist0"/>
    <w:rsid w:val="00833051"/>
    <w:rPr>
      <w:rFonts w:ascii="Calibri" w:hAnsi="Calibri"/>
      <w:i/>
      <w:sz w:val="22"/>
      <w:szCs w:val="22"/>
      <w:lang w:eastAsia="en-US"/>
    </w:rPr>
  </w:style>
  <w:style w:type="character" w:customStyle="1" w:styleId="Heading4Char">
    <w:name w:val="Heading 4 Char"/>
    <w:link w:val="Heading4"/>
    <w:locked/>
    <w:rsid w:val="00EE4D16"/>
    <w:rPr>
      <w:rFonts w:ascii="Calibri" w:hAnsi="Calibri"/>
      <w:b/>
      <w:i/>
      <w:sz w:val="24"/>
      <w:lang w:eastAsia="en-US"/>
    </w:rPr>
  </w:style>
  <w:style w:type="paragraph" w:customStyle="1" w:styleId="Normal10">
    <w:name w:val="Normal_1_0"/>
    <w:qFormat/>
    <w:rsid w:val="0093230F"/>
    <w:pPr>
      <w:spacing w:before="200" w:after="200"/>
    </w:pPr>
    <w:rPr>
      <w:rFonts w:ascii="Calibri" w:hAnsi="Calibri"/>
      <w:sz w:val="24"/>
      <w:lang w:eastAsia="en-US"/>
    </w:rPr>
  </w:style>
  <w:style w:type="paragraph" w:customStyle="1" w:styleId="Heading23">
    <w:name w:val="Heading 2_3"/>
    <w:basedOn w:val="Normal3"/>
    <w:next w:val="Normal3"/>
    <w:link w:val="Heading2Char3"/>
    <w:qFormat/>
    <w:rsid w:val="00EE4D16"/>
    <w:pPr>
      <w:keepNext/>
      <w:spacing w:before="360"/>
      <w:outlineLvl w:val="1"/>
    </w:pPr>
    <w:rPr>
      <w:b/>
      <w:snapToGrid w:val="0"/>
      <w:sz w:val="32"/>
    </w:rPr>
  </w:style>
  <w:style w:type="paragraph" w:customStyle="1" w:styleId="Normal3">
    <w:name w:val="Normal_3"/>
    <w:qFormat/>
    <w:rsid w:val="00127A4C"/>
    <w:pPr>
      <w:spacing w:before="200" w:after="200"/>
    </w:pPr>
    <w:rPr>
      <w:rFonts w:ascii="Calibri" w:hAnsi="Calibri"/>
      <w:sz w:val="24"/>
      <w:lang w:eastAsia="en-US"/>
    </w:rPr>
  </w:style>
  <w:style w:type="character" w:customStyle="1" w:styleId="Heading2Char3">
    <w:name w:val="Heading 2 Char_3"/>
    <w:link w:val="Heading23"/>
    <w:locked/>
    <w:rsid w:val="00EE4D16"/>
    <w:rPr>
      <w:rFonts w:ascii="Calibri" w:hAnsi="Calibri"/>
      <w:b/>
      <w:snapToGrid w:val="0"/>
      <w:sz w:val="32"/>
      <w:lang w:eastAsia="en-US"/>
    </w:rPr>
  </w:style>
  <w:style w:type="paragraph" w:customStyle="1" w:styleId="Heading30">
    <w:name w:val="Heading 3_0"/>
    <w:basedOn w:val="Normal3"/>
    <w:next w:val="Normal3"/>
    <w:link w:val="Heading3Char0"/>
    <w:autoRedefine/>
    <w:qFormat/>
    <w:rsid w:val="00EE4D16"/>
    <w:pPr>
      <w:keepNext/>
      <w:keepLines/>
      <w:spacing w:before="360"/>
      <w:contextualSpacing/>
      <w:outlineLvl w:val="2"/>
    </w:pPr>
    <w:rPr>
      <w:b/>
      <w:bCs/>
      <w:sz w:val="28"/>
      <w:szCs w:val="26"/>
    </w:rPr>
  </w:style>
  <w:style w:type="character" w:customStyle="1" w:styleId="Heading3Char0">
    <w:name w:val="Heading 3 Char_0"/>
    <w:link w:val="Heading30"/>
    <w:locked/>
    <w:rsid w:val="00EE4D16"/>
    <w:rPr>
      <w:rFonts w:ascii="Calibri" w:hAnsi="Calibri" w:cs="Arial"/>
      <w:b/>
      <w:bCs/>
      <w:sz w:val="28"/>
      <w:szCs w:val="26"/>
      <w:lang w:eastAsia="en-US"/>
    </w:rPr>
  </w:style>
  <w:style w:type="paragraph" w:customStyle="1" w:styleId="Caption1">
    <w:name w:val="Caption_1"/>
    <w:basedOn w:val="Normal3"/>
    <w:next w:val="Normal3"/>
    <w:unhideWhenUsed/>
    <w:qFormat/>
    <w:locked/>
    <w:rsid w:val="00F31EEF"/>
    <w:pPr>
      <w:keepNext/>
      <w:spacing w:before="240"/>
    </w:pPr>
    <w:rPr>
      <w:b/>
      <w:bCs/>
      <w:color w:val="000000"/>
      <w:sz w:val="22"/>
      <w:szCs w:val="18"/>
    </w:rPr>
  </w:style>
  <w:style w:type="paragraph" w:customStyle="1" w:styleId="BSnote1">
    <w:name w:val="BS_note_1"/>
    <w:basedOn w:val="NoteHeading20"/>
    <w:link w:val="BSnoteChar1"/>
    <w:qFormat/>
    <w:rsid w:val="00EE4D16"/>
    <w:pPr>
      <w:keepNext/>
      <w:spacing w:after="0"/>
    </w:pPr>
    <w:rPr>
      <w:sz w:val="18"/>
      <w:szCs w:val="16"/>
    </w:rPr>
  </w:style>
  <w:style w:type="paragraph" w:customStyle="1" w:styleId="NoteHeading20">
    <w:name w:val="Note Heading2_0"/>
    <w:basedOn w:val="Normal3"/>
    <w:next w:val="Normal3"/>
    <w:link w:val="NoteHeadingChar0"/>
    <w:rsid w:val="00FB4CEC"/>
    <w:pPr>
      <w:spacing w:before="120"/>
    </w:pPr>
    <w:rPr>
      <w:b/>
      <w:sz w:val="16"/>
    </w:rPr>
  </w:style>
  <w:style w:type="character" w:customStyle="1" w:styleId="NoteHeadingChar0">
    <w:name w:val="Note Heading Char_0"/>
    <w:link w:val="NoteHeading20"/>
    <w:locked/>
    <w:rsid w:val="007316E2"/>
    <w:rPr>
      <w:rFonts w:ascii="Calibri" w:hAnsi="Calibri"/>
      <w:b/>
      <w:sz w:val="16"/>
      <w:szCs w:val="20"/>
      <w:lang w:eastAsia="en-US"/>
    </w:rPr>
  </w:style>
  <w:style w:type="character" w:customStyle="1" w:styleId="BSnoteChar1">
    <w:name w:val="BS_note Char_1"/>
    <w:link w:val="BSnote1"/>
    <w:rsid w:val="00EE4D16"/>
    <w:rPr>
      <w:rFonts w:ascii="Calibri" w:hAnsi="Calibri"/>
      <w:b/>
      <w:sz w:val="18"/>
      <w:szCs w:val="16"/>
      <w:lang w:eastAsia="en-US"/>
    </w:rPr>
  </w:style>
  <w:style w:type="paragraph" w:customStyle="1" w:styleId="BSnoteslist1">
    <w:name w:val="BS_notes list_1"/>
    <w:basedOn w:val="Alnotes1"/>
    <w:link w:val="BSnoteslistChar1"/>
    <w:qFormat/>
    <w:rsid w:val="00833051"/>
    <w:pPr>
      <w:numPr>
        <w:numId w:val="12"/>
      </w:numPr>
    </w:pPr>
  </w:style>
  <w:style w:type="paragraph" w:customStyle="1" w:styleId="Alnotes1">
    <w:name w:val="Al notes_1"/>
    <w:basedOn w:val="ListParagraph1"/>
    <w:next w:val="Normal3"/>
    <w:link w:val="AlnotesChar1"/>
    <w:autoRedefine/>
    <w:rsid w:val="00C0540A"/>
    <w:pPr>
      <w:numPr>
        <w:numId w:val="13"/>
      </w:numPr>
      <w:spacing w:before="0"/>
    </w:pPr>
    <w:rPr>
      <w:sz w:val="18"/>
    </w:rPr>
  </w:style>
  <w:style w:type="paragraph" w:customStyle="1" w:styleId="ListParagraph1">
    <w:name w:val="List Paragraph_1"/>
    <w:basedOn w:val="Normal3"/>
    <w:link w:val="ListParagraphChar1"/>
    <w:uiPriority w:val="34"/>
    <w:qFormat/>
    <w:rsid w:val="009E567D"/>
    <w:pPr>
      <w:spacing w:after="0"/>
      <w:ind w:left="357" w:hanging="357"/>
    </w:pPr>
    <w:rPr>
      <w:sz w:val="16"/>
      <w:szCs w:val="24"/>
    </w:rPr>
  </w:style>
  <w:style w:type="character" w:customStyle="1" w:styleId="ListParagraphChar1">
    <w:name w:val="List Paragraph Char_1"/>
    <w:link w:val="ListParagraph1"/>
    <w:uiPriority w:val="34"/>
    <w:rsid w:val="005B5A37"/>
    <w:rPr>
      <w:rFonts w:ascii="Calibri" w:hAnsi="Calibri"/>
      <w:sz w:val="16"/>
      <w:szCs w:val="24"/>
      <w:lang w:eastAsia="en-US"/>
    </w:rPr>
  </w:style>
  <w:style w:type="character" w:customStyle="1" w:styleId="AlnotesChar1">
    <w:name w:val="Al notes Char_1"/>
    <w:link w:val="Alnotes1"/>
    <w:rsid w:val="00C0540A"/>
    <w:rPr>
      <w:rFonts w:ascii="Calibri" w:hAnsi="Calibri"/>
      <w:sz w:val="18"/>
      <w:szCs w:val="24"/>
      <w:lang w:eastAsia="en-US"/>
    </w:rPr>
  </w:style>
  <w:style w:type="character" w:customStyle="1" w:styleId="BSnoteslistChar1">
    <w:name w:val="BS_notes list Char_1"/>
    <w:basedOn w:val="AlnotesChar1"/>
    <w:link w:val="BSnoteslist1"/>
    <w:rsid w:val="00833051"/>
    <w:rPr>
      <w:rFonts w:ascii="Calibri" w:hAnsi="Calibri"/>
      <w:sz w:val="18"/>
      <w:szCs w:val="24"/>
      <w:lang w:eastAsia="en-US"/>
    </w:rPr>
  </w:style>
  <w:style w:type="paragraph" w:customStyle="1" w:styleId="Heading40">
    <w:name w:val="Heading 4_0"/>
    <w:basedOn w:val="Normal3"/>
    <w:next w:val="Normal3"/>
    <w:link w:val="Heading4Char0"/>
    <w:autoRedefine/>
    <w:qFormat/>
    <w:rsid w:val="007D441E"/>
    <w:pPr>
      <w:keepNext/>
      <w:keepLines/>
      <w:spacing w:before="240" w:after="120"/>
      <w:outlineLvl w:val="3"/>
    </w:pPr>
    <w:rPr>
      <w:b/>
      <w:i/>
    </w:rPr>
  </w:style>
  <w:style w:type="character" w:customStyle="1" w:styleId="Heading4Char0">
    <w:name w:val="Heading 4 Char_0"/>
    <w:link w:val="Heading40"/>
    <w:locked/>
    <w:rsid w:val="007D441E"/>
    <w:rPr>
      <w:rFonts w:ascii="Calibri" w:hAnsi="Calibri"/>
      <w:b/>
      <w:i/>
      <w:sz w:val="24"/>
      <w:lang w:eastAsia="en-US"/>
    </w:rPr>
  </w:style>
  <w:style w:type="paragraph" w:customStyle="1" w:styleId="Normal30">
    <w:name w:val="Normal_3_0"/>
    <w:qFormat/>
    <w:rsid w:val="003259FC"/>
    <w:pPr>
      <w:spacing w:before="200" w:after="200"/>
    </w:pPr>
    <w:rPr>
      <w:rFonts w:ascii="Calibri" w:hAnsi="Calibri"/>
      <w:sz w:val="24"/>
      <w:lang w:eastAsia="en-US"/>
    </w:rPr>
  </w:style>
  <w:style w:type="paragraph" w:customStyle="1" w:styleId="BSbullet11">
    <w:name w:val="BS_bullet 1_1"/>
    <w:basedOn w:val="BodyTextIndent0"/>
    <w:link w:val="BSbullet1Char1"/>
    <w:qFormat/>
    <w:rsid w:val="009E567D"/>
    <w:pPr>
      <w:keepNext w:val="0"/>
      <w:keepLines w:val="0"/>
      <w:numPr>
        <w:numId w:val="15"/>
      </w:numPr>
    </w:pPr>
  </w:style>
  <w:style w:type="paragraph" w:customStyle="1" w:styleId="BodyTextIndent0">
    <w:name w:val="Body Text Indent_0"/>
    <w:basedOn w:val="Normal3"/>
    <w:link w:val="BodyTextIndentChar0"/>
    <w:rsid w:val="00FB4CEC"/>
    <w:pPr>
      <w:keepNext/>
      <w:keepLines/>
      <w:tabs>
        <w:tab w:val="num" w:pos="360"/>
      </w:tabs>
      <w:spacing w:after="120"/>
      <w:ind w:left="360" w:hanging="360"/>
      <w:jc w:val="both"/>
    </w:pPr>
    <w:rPr>
      <w:szCs w:val="24"/>
    </w:rPr>
  </w:style>
  <w:style w:type="character" w:customStyle="1" w:styleId="BodyTextIndentChar0">
    <w:name w:val="Body Text Indent Char_0"/>
    <w:link w:val="BodyTextIndent0"/>
    <w:locked/>
    <w:rsid w:val="00BF50D3"/>
    <w:rPr>
      <w:rFonts w:ascii="Calibri" w:hAnsi="Calibri"/>
      <w:sz w:val="24"/>
      <w:szCs w:val="24"/>
      <w:lang w:eastAsia="en-US"/>
    </w:rPr>
  </w:style>
  <w:style w:type="character" w:customStyle="1" w:styleId="BSbullet1Char1">
    <w:name w:val="BS_bullet 1 Char_1"/>
    <w:basedOn w:val="BodyTextIndentChar0"/>
    <w:link w:val="BSbullet11"/>
    <w:rsid w:val="009E567D"/>
    <w:rPr>
      <w:rFonts w:ascii="Calibri" w:hAnsi="Calibri"/>
      <w:sz w:val="24"/>
      <w:szCs w:val="24"/>
      <w:lang w:eastAsia="en-US"/>
    </w:rPr>
  </w:style>
  <w:style w:type="paragraph" w:customStyle="1" w:styleId="BSnoteslist10">
    <w:name w:val="BS_notes list_1_0"/>
    <w:basedOn w:val="Normal3"/>
    <w:link w:val="BSnoteslistChar10"/>
    <w:qFormat/>
    <w:rsid w:val="003259FC"/>
    <w:pPr>
      <w:numPr>
        <w:numId w:val="11"/>
      </w:numPr>
      <w:spacing w:before="0" w:after="0"/>
    </w:pPr>
    <w:rPr>
      <w:sz w:val="18"/>
      <w:szCs w:val="24"/>
    </w:rPr>
  </w:style>
  <w:style w:type="character" w:customStyle="1" w:styleId="BSnoteslistChar10">
    <w:name w:val="BS_notes list Char_1_0"/>
    <w:basedOn w:val="DefaultParagraphFont"/>
    <w:link w:val="BSnoteslist10"/>
    <w:locked/>
    <w:rsid w:val="003259FC"/>
    <w:rPr>
      <w:rFonts w:ascii="Calibri" w:hAnsi="Calibri"/>
      <w:sz w:val="18"/>
      <w:szCs w:val="24"/>
      <w:lang w:eastAsia="en-US"/>
    </w:rPr>
  </w:style>
  <w:style w:type="paragraph" w:customStyle="1" w:styleId="BSbullet110">
    <w:name w:val="BS_bullet 1_1_0"/>
    <w:basedOn w:val="Normal3"/>
    <w:link w:val="BSbullet1Char10"/>
    <w:qFormat/>
    <w:rsid w:val="00B71FD8"/>
    <w:pPr>
      <w:spacing w:after="120"/>
      <w:ind w:left="360" w:hanging="360"/>
      <w:jc w:val="both"/>
    </w:pPr>
    <w:rPr>
      <w:szCs w:val="24"/>
    </w:rPr>
  </w:style>
  <w:style w:type="character" w:customStyle="1" w:styleId="BSbullet1Char10">
    <w:name w:val="BS_bullet 1 Char_1_0"/>
    <w:basedOn w:val="DefaultParagraphFont"/>
    <w:link w:val="BSbullet110"/>
    <w:locked/>
    <w:rsid w:val="00B71FD8"/>
    <w:rPr>
      <w:rFonts w:ascii="Calibri" w:hAnsi="Calibri"/>
      <w:sz w:val="24"/>
      <w:szCs w:val="24"/>
      <w:lang w:eastAsia="en-US"/>
    </w:rPr>
  </w:style>
  <w:style w:type="paragraph" w:customStyle="1" w:styleId="Normal200">
    <w:name w:val="Normal_2_0_0"/>
    <w:qFormat/>
    <w:rsid w:val="00941F53"/>
    <w:pPr>
      <w:spacing w:before="200" w:after="200"/>
    </w:pPr>
    <w:rPr>
      <w:rFonts w:ascii="Calibri" w:hAnsi="Calibri"/>
      <w:sz w:val="24"/>
      <w:lang w:eastAsia="en-US"/>
    </w:rPr>
  </w:style>
  <w:style w:type="paragraph" w:customStyle="1" w:styleId="Heading31">
    <w:name w:val="Heading 3_1"/>
    <w:basedOn w:val="Normal4"/>
    <w:next w:val="Normal4"/>
    <w:link w:val="Heading3Char1"/>
    <w:autoRedefine/>
    <w:qFormat/>
    <w:rsid w:val="00EE4D16"/>
    <w:pPr>
      <w:keepNext/>
      <w:keepLines/>
      <w:spacing w:before="360"/>
      <w:contextualSpacing/>
      <w:outlineLvl w:val="2"/>
    </w:pPr>
    <w:rPr>
      <w:b/>
      <w:bCs/>
      <w:sz w:val="28"/>
      <w:szCs w:val="26"/>
    </w:rPr>
  </w:style>
  <w:style w:type="paragraph" w:customStyle="1" w:styleId="Normal4">
    <w:name w:val="Normal_4"/>
    <w:qFormat/>
    <w:rsid w:val="00127A4C"/>
    <w:pPr>
      <w:spacing w:before="200" w:after="200"/>
    </w:pPr>
    <w:rPr>
      <w:rFonts w:ascii="Calibri" w:hAnsi="Calibri"/>
      <w:sz w:val="24"/>
      <w:lang w:eastAsia="en-US"/>
    </w:rPr>
  </w:style>
  <w:style w:type="character" w:customStyle="1" w:styleId="Heading3Char1">
    <w:name w:val="Heading 3 Char_1"/>
    <w:link w:val="Heading31"/>
    <w:locked/>
    <w:rsid w:val="00EE4D16"/>
    <w:rPr>
      <w:rFonts w:ascii="Calibri" w:hAnsi="Calibri" w:cs="Arial"/>
      <w:b/>
      <w:bCs/>
      <w:sz w:val="28"/>
      <w:szCs w:val="26"/>
      <w:lang w:eastAsia="en-US"/>
    </w:rPr>
  </w:style>
  <w:style w:type="paragraph" w:customStyle="1" w:styleId="Heading41">
    <w:name w:val="Heading 4_1"/>
    <w:basedOn w:val="Normal4"/>
    <w:next w:val="Normal4"/>
    <w:link w:val="Heading4Char1"/>
    <w:autoRedefine/>
    <w:qFormat/>
    <w:rsid w:val="00EE4D16"/>
    <w:pPr>
      <w:keepNext/>
      <w:keepLines/>
      <w:spacing w:before="240" w:after="120"/>
      <w:outlineLvl w:val="3"/>
    </w:pPr>
    <w:rPr>
      <w:b/>
      <w:i/>
    </w:rPr>
  </w:style>
  <w:style w:type="character" w:customStyle="1" w:styleId="Heading4Char1">
    <w:name w:val="Heading 4 Char_1"/>
    <w:link w:val="Heading41"/>
    <w:locked/>
    <w:rsid w:val="00EE4D16"/>
    <w:rPr>
      <w:rFonts w:ascii="Calibri" w:hAnsi="Calibri"/>
      <w:b/>
      <w:i/>
      <w:sz w:val="24"/>
      <w:lang w:eastAsia="en-US"/>
    </w:rPr>
  </w:style>
  <w:style w:type="paragraph" w:customStyle="1" w:styleId="BSbullet12">
    <w:name w:val="BS_bullet 1_2"/>
    <w:basedOn w:val="BodyTextIndent1"/>
    <w:link w:val="BSbullet1Char2"/>
    <w:qFormat/>
    <w:rsid w:val="009E567D"/>
    <w:pPr>
      <w:keepNext w:val="0"/>
      <w:keepLines w:val="0"/>
      <w:numPr>
        <w:numId w:val="25"/>
      </w:numPr>
    </w:pPr>
  </w:style>
  <w:style w:type="paragraph" w:customStyle="1" w:styleId="BodyTextIndent1">
    <w:name w:val="Body Text Indent_1"/>
    <w:basedOn w:val="Normal4"/>
    <w:link w:val="BodyTextIndentChar1"/>
    <w:rsid w:val="00FB4CEC"/>
    <w:pPr>
      <w:keepNext/>
      <w:keepLines/>
      <w:tabs>
        <w:tab w:val="num" w:pos="360"/>
      </w:tabs>
      <w:spacing w:after="120"/>
      <w:ind w:left="360" w:hanging="360"/>
      <w:jc w:val="both"/>
    </w:pPr>
    <w:rPr>
      <w:szCs w:val="24"/>
    </w:rPr>
  </w:style>
  <w:style w:type="character" w:customStyle="1" w:styleId="BodyTextIndentChar1">
    <w:name w:val="Body Text Indent Char_1"/>
    <w:link w:val="BodyTextIndent1"/>
    <w:locked/>
    <w:rsid w:val="00BF50D3"/>
    <w:rPr>
      <w:rFonts w:ascii="Calibri" w:hAnsi="Calibri"/>
      <w:sz w:val="24"/>
      <w:szCs w:val="24"/>
      <w:lang w:eastAsia="en-US"/>
    </w:rPr>
  </w:style>
  <w:style w:type="character" w:customStyle="1" w:styleId="BSbullet1Char2">
    <w:name w:val="BS_bullet 1 Char_2"/>
    <w:basedOn w:val="BodyTextIndentChar1"/>
    <w:link w:val="BSbullet12"/>
    <w:rsid w:val="009E567D"/>
    <w:rPr>
      <w:rFonts w:ascii="Calibri" w:hAnsi="Calibri"/>
      <w:sz w:val="24"/>
      <w:szCs w:val="24"/>
      <w:lang w:eastAsia="en-US"/>
    </w:rPr>
  </w:style>
  <w:style w:type="paragraph" w:customStyle="1" w:styleId="Heading24">
    <w:name w:val="Heading 2_4"/>
    <w:basedOn w:val="Normal5"/>
    <w:next w:val="Normal5"/>
    <w:link w:val="Heading2Char4"/>
    <w:qFormat/>
    <w:rsid w:val="00EE4D16"/>
    <w:pPr>
      <w:keepNext/>
      <w:spacing w:before="360"/>
      <w:outlineLvl w:val="1"/>
    </w:pPr>
    <w:rPr>
      <w:b/>
      <w:snapToGrid w:val="0"/>
      <w:sz w:val="32"/>
    </w:rPr>
  </w:style>
  <w:style w:type="paragraph" w:customStyle="1" w:styleId="Normal5">
    <w:name w:val="Normal_5"/>
    <w:qFormat/>
    <w:rsid w:val="000106FD"/>
    <w:pPr>
      <w:spacing w:before="200" w:after="200"/>
    </w:pPr>
    <w:rPr>
      <w:rFonts w:ascii="Calibri" w:hAnsi="Calibri"/>
      <w:sz w:val="24"/>
      <w:lang w:eastAsia="en-US"/>
    </w:rPr>
  </w:style>
  <w:style w:type="character" w:customStyle="1" w:styleId="Heading2Char4">
    <w:name w:val="Heading 2 Char_4"/>
    <w:link w:val="Heading24"/>
    <w:locked/>
    <w:rsid w:val="00EE4D16"/>
    <w:rPr>
      <w:rFonts w:ascii="Calibri" w:hAnsi="Calibri"/>
      <w:b/>
      <w:snapToGrid w:val="0"/>
      <w:sz w:val="32"/>
      <w:lang w:eastAsia="en-US"/>
    </w:rPr>
  </w:style>
  <w:style w:type="paragraph" w:customStyle="1" w:styleId="Heading32">
    <w:name w:val="Heading 3_2"/>
    <w:basedOn w:val="Normal5"/>
    <w:next w:val="Normal5"/>
    <w:link w:val="Heading3Char2"/>
    <w:autoRedefine/>
    <w:qFormat/>
    <w:rsid w:val="00EE4D16"/>
    <w:pPr>
      <w:keepNext/>
      <w:keepLines/>
      <w:spacing w:before="360"/>
      <w:contextualSpacing/>
      <w:outlineLvl w:val="2"/>
    </w:pPr>
    <w:rPr>
      <w:b/>
      <w:bCs/>
      <w:sz w:val="28"/>
      <w:szCs w:val="26"/>
    </w:rPr>
  </w:style>
  <w:style w:type="character" w:customStyle="1" w:styleId="Heading3Char2">
    <w:name w:val="Heading 3 Char_2"/>
    <w:link w:val="Heading32"/>
    <w:locked/>
    <w:rsid w:val="00EE4D16"/>
    <w:rPr>
      <w:rFonts w:ascii="Calibri" w:hAnsi="Calibri" w:cs="Arial"/>
      <w:b/>
      <w:bCs/>
      <w:sz w:val="28"/>
      <w:szCs w:val="26"/>
      <w:lang w:eastAsia="en-US"/>
    </w:rPr>
  </w:style>
  <w:style w:type="paragraph" w:customStyle="1" w:styleId="Heading42">
    <w:name w:val="Heading 4_2"/>
    <w:basedOn w:val="Normal5"/>
    <w:next w:val="Normal5"/>
    <w:link w:val="Heading4Char2"/>
    <w:autoRedefine/>
    <w:qFormat/>
    <w:rsid w:val="00EE4D16"/>
    <w:pPr>
      <w:keepNext/>
      <w:keepLines/>
      <w:spacing w:before="240" w:after="120"/>
      <w:outlineLvl w:val="3"/>
    </w:pPr>
    <w:rPr>
      <w:b/>
      <w:i/>
    </w:rPr>
  </w:style>
  <w:style w:type="character" w:customStyle="1" w:styleId="Heading4Char2">
    <w:name w:val="Heading 4 Char_2"/>
    <w:link w:val="Heading42"/>
    <w:locked/>
    <w:rsid w:val="00EE4D16"/>
    <w:rPr>
      <w:rFonts w:ascii="Calibri" w:hAnsi="Calibri"/>
      <w:b/>
      <w:i/>
      <w:sz w:val="24"/>
      <w:lang w:eastAsia="en-US"/>
    </w:rPr>
  </w:style>
  <w:style w:type="paragraph" w:customStyle="1" w:styleId="Caption2">
    <w:name w:val="Caption_2"/>
    <w:basedOn w:val="Normal5"/>
    <w:next w:val="Normal5"/>
    <w:unhideWhenUsed/>
    <w:qFormat/>
    <w:locked/>
    <w:rsid w:val="00F31EEF"/>
    <w:pPr>
      <w:keepNext/>
      <w:spacing w:before="240"/>
    </w:pPr>
    <w:rPr>
      <w:b/>
      <w:bCs/>
      <w:color w:val="000000"/>
      <w:sz w:val="22"/>
      <w:szCs w:val="18"/>
    </w:rPr>
  </w:style>
  <w:style w:type="paragraph" w:customStyle="1" w:styleId="BStabletext1">
    <w:name w:val="BS_table text_1"/>
    <w:basedOn w:val="BStableheading11"/>
    <w:link w:val="BStabletextChar1"/>
    <w:autoRedefine/>
    <w:qFormat/>
    <w:rsid w:val="004B1342"/>
    <w:pPr>
      <w:framePr w:wrap="auto" w:vAnchor="margin" w:yAlign="inline"/>
      <w:ind w:left="426"/>
      <w:jc w:val="left"/>
    </w:pPr>
    <w:rPr>
      <w:lang w:eastAsia="en-AU"/>
    </w:rPr>
  </w:style>
  <w:style w:type="paragraph" w:customStyle="1" w:styleId="BStableheading11">
    <w:name w:val="BS_table heading 1_1"/>
    <w:basedOn w:val="NoSpacing1"/>
    <w:link w:val="BStableheading1Char1"/>
    <w:rsid w:val="007D71D2"/>
    <w:pPr>
      <w:framePr w:wrap="around" w:vAnchor="text" w:hAnchor="text" w:y="1"/>
      <w:jc w:val="right"/>
    </w:pPr>
    <w:rPr>
      <w:b/>
      <w:bCs/>
    </w:rPr>
  </w:style>
  <w:style w:type="paragraph" w:customStyle="1" w:styleId="NoSpacing1">
    <w:name w:val="No Spacing_1"/>
    <w:link w:val="NoSpacingChar1"/>
    <w:uiPriority w:val="1"/>
    <w:qFormat/>
    <w:rsid w:val="007A4C99"/>
    <w:rPr>
      <w:rFonts w:ascii="Calibri" w:hAnsi="Calibri"/>
      <w:lang w:eastAsia="en-US"/>
    </w:rPr>
  </w:style>
  <w:style w:type="character" w:customStyle="1" w:styleId="NoSpacingChar1">
    <w:name w:val="No Spacing Char_1"/>
    <w:link w:val="NoSpacing1"/>
    <w:uiPriority w:val="1"/>
    <w:rsid w:val="007A4C99"/>
    <w:rPr>
      <w:rFonts w:ascii="Calibri" w:hAnsi="Calibri"/>
      <w:lang w:eastAsia="en-US" w:bidi="ar-SA"/>
    </w:rPr>
  </w:style>
  <w:style w:type="character" w:customStyle="1" w:styleId="BStableheading1Char1">
    <w:name w:val="BS_table heading 1 Char_1"/>
    <w:basedOn w:val="NoSpacingChar1"/>
    <w:link w:val="BStableheading11"/>
    <w:rsid w:val="007D71D2"/>
    <w:rPr>
      <w:rFonts w:ascii="Calibri" w:hAnsi="Calibri"/>
      <w:b/>
      <w:bCs/>
      <w:lang w:eastAsia="en-US" w:bidi="ar-SA"/>
    </w:rPr>
  </w:style>
  <w:style w:type="character" w:customStyle="1" w:styleId="BStabletextChar1">
    <w:name w:val="BS_table text Char_1"/>
    <w:basedOn w:val="BStableheading1Char1"/>
    <w:link w:val="BStabletext1"/>
    <w:rsid w:val="004B1342"/>
    <w:rPr>
      <w:rFonts w:ascii="Calibri" w:hAnsi="Calibri"/>
      <w:b/>
      <w:bCs/>
      <w:lang w:eastAsia="en-US" w:bidi="ar-SA"/>
    </w:rPr>
  </w:style>
  <w:style w:type="paragraph" w:customStyle="1" w:styleId="BStablelist">
    <w:name w:val="BS_table list"/>
    <w:basedOn w:val="AIIndent"/>
    <w:link w:val="BStablelistChar"/>
    <w:qFormat/>
    <w:rsid w:val="009D6846"/>
    <w:pPr>
      <w:numPr>
        <w:numId w:val="26"/>
      </w:numPr>
      <w:spacing w:before="0" w:after="0"/>
    </w:pPr>
  </w:style>
  <w:style w:type="paragraph" w:customStyle="1" w:styleId="AIIndent">
    <w:name w:val="AI Indent"/>
    <w:basedOn w:val="Normal5"/>
    <w:link w:val="AIIndentChar"/>
    <w:rsid w:val="00FB4CEC"/>
    <w:pPr>
      <w:tabs>
        <w:tab w:val="num" w:pos="360"/>
      </w:tabs>
      <w:ind w:left="357" w:hanging="357"/>
    </w:pPr>
    <w:rPr>
      <w:sz w:val="20"/>
    </w:rPr>
  </w:style>
  <w:style w:type="character" w:customStyle="1" w:styleId="AIIndentChar">
    <w:name w:val="AI Indent Char"/>
    <w:link w:val="AIIndent"/>
    <w:locked/>
    <w:rsid w:val="007316E2"/>
    <w:rPr>
      <w:rFonts w:ascii="Calibri" w:hAnsi="Calibri"/>
      <w:sz w:val="20"/>
      <w:szCs w:val="20"/>
      <w:lang w:eastAsia="en-US"/>
    </w:rPr>
  </w:style>
  <w:style w:type="character" w:customStyle="1" w:styleId="BStablelistChar">
    <w:name w:val="BS_table list Char"/>
    <w:basedOn w:val="AIIndentChar"/>
    <w:link w:val="BStablelist"/>
    <w:rsid w:val="009D6846"/>
    <w:rPr>
      <w:rFonts w:ascii="Calibri" w:hAnsi="Calibri"/>
      <w:sz w:val="20"/>
      <w:szCs w:val="20"/>
      <w:lang w:eastAsia="en-US"/>
    </w:rPr>
  </w:style>
  <w:style w:type="paragraph" w:customStyle="1" w:styleId="BStablefigures0">
    <w:name w:val="BS_table figures_0"/>
    <w:basedOn w:val="BStabletext1"/>
    <w:link w:val="BStablefiguresChar0"/>
    <w:autoRedefine/>
    <w:qFormat/>
    <w:rsid w:val="006E57FD"/>
    <w:pPr>
      <w:jc w:val="right"/>
    </w:pPr>
    <w:rPr>
      <w:bCs w:val="0"/>
    </w:rPr>
  </w:style>
  <w:style w:type="character" w:customStyle="1" w:styleId="BStablefiguresChar0">
    <w:name w:val="BS_table figures Char_0"/>
    <w:basedOn w:val="AITableTextChar0"/>
    <w:link w:val="BStablefigures0"/>
    <w:rsid w:val="006E57FD"/>
    <w:rPr>
      <w:rFonts w:ascii="Calibri" w:hAnsi="Calibri"/>
      <w:sz w:val="20"/>
      <w:szCs w:val="24"/>
      <w:lang w:eastAsia="en-US"/>
    </w:rPr>
  </w:style>
  <w:style w:type="character" w:customStyle="1" w:styleId="AITableTextChar0">
    <w:name w:val="AI Table Text Char_0"/>
    <w:link w:val="AITableText0"/>
    <w:locked/>
    <w:rsid w:val="007316E2"/>
    <w:rPr>
      <w:rFonts w:ascii="Calibri" w:hAnsi="Calibri"/>
      <w:sz w:val="20"/>
      <w:szCs w:val="24"/>
      <w:lang w:eastAsia="en-US"/>
    </w:rPr>
  </w:style>
  <w:style w:type="paragraph" w:customStyle="1" w:styleId="AITableText0">
    <w:name w:val="AI Table Text_0"/>
    <w:basedOn w:val="Normal5"/>
    <w:link w:val="AITableTextChar0"/>
    <w:rsid w:val="00FB4CEC"/>
    <w:pPr>
      <w:jc w:val="right"/>
    </w:pPr>
    <w:rPr>
      <w:sz w:val="20"/>
      <w:szCs w:val="24"/>
    </w:rPr>
  </w:style>
  <w:style w:type="paragraph" w:customStyle="1" w:styleId="BSnote2">
    <w:name w:val="BS_note_2"/>
    <w:basedOn w:val="NoteHeading21"/>
    <w:link w:val="BSnoteChar2"/>
    <w:qFormat/>
    <w:rsid w:val="00EE4D16"/>
    <w:pPr>
      <w:keepNext/>
      <w:spacing w:after="0"/>
    </w:pPr>
    <w:rPr>
      <w:sz w:val="18"/>
      <w:szCs w:val="16"/>
    </w:rPr>
  </w:style>
  <w:style w:type="paragraph" w:customStyle="1" w:styleId="NoteHeading21">
    <w:name w:val="Note Heading2_1"/>
    <w:basedOn w:val="Normal5"/>
    <w:next w:val="Normal5"/>
    <w:link w:val="NoteHeadingChar1"/>
    <w:rsid w:val="00FB4CEC"/>
    <w:pPr>
      <w:spacing w:before="120"/>
    </w:pPr>
    <w:rPr>
      <w:b/>
      <w:sz w:val="16"/>
    </w:rPr>
  </w:style>
  <w:style w:type="character" w:customStyle="1" w:styleId="NoteHeadingChar1">
    <w:name w:val="Note Heading Char_1"/>
    <w:link w:val="NoteHeading21"/>
    <w:locked/>
    <w:rsid w:val="007316E2"/>
    <w:rPr>
      <w:rFonts w:ascii="Calibri" w:hAnsi="Calibri"/>
      <w:b/>
      <w:sz w:val="16"/>
      <w:szCs w:val="20"/>
      <w:lang w:eastAsia="en-US"/>
    </w:rPr>
  </w:style>
  <w:style w:type="character" w:customStyle="1" w:styleId="BSnoteChar2">
    <w:name w:val="BS_note Char_2"/>
    <w:link w:val="BSnote2"/>
    <w:rsid w:val="00EE4D16"/>
    <w:rPr>
      <w:rFonts w:ascii="Calibri" w:hAnsi="Calibri"/>
      <w:b/>
      <w:sz w:val="18"/>
      <w:szCs w:val="16"/>
      <w:lang w:eastAsia="en-US"/>
    </w:rPr>
  </w:style>
  <w:style w:type="paragraph" w:customStyle="1" w:styleId="BSnoteslist2">
    <w:name w:val="BS_notes list_2"/>
    <w:basedOn w:val="Alnotes2"/>
    <w:link w:val="BSnoteslistChar2"/>
    <w:qFormat/>
    <w:rsid w:val="00833051"/>
    <w:pPr>
      <w:numPr>
        <w:numId w:val="28"/>
      </w:numPr>
    </w:pPr>
  </w:style>
  <w:style w:type="paragraph" w:customStyle="1" w:styleId="Alnotes2">
    <w:name w:val="Al notes_2"/>
    <w:basedOn w:val="ListParagraph2"/>
    <w:next w:val="Normal5"/>
    <w:link w:val="AlnotesChar2"/>
    <w:autoRedefine/>
    <w:rsid w:val="00C0540A"/>
    <w:pPr>
      <w:numPr>
        <w:numId w:val="29"/>
      </w:numPr>
      <w:spacing w:before="0"/>
    </w:pPr>
    <w:rPr>
      <w:sz w:val="18"/>
    </w:rPr>
  </w:style>
  <w:style w:type="paragraph" w:customStyle="1" w:styleId="ListParagraph2">
    <w:name w:val="List Paragraph_2"/>
    <w:basedOn w:val="Normal5"/>
    <w:link w:val="ListParagraphChar2"/>
    <w:uiPriority w:val="34"/>
    <w:qFormat/>
    <w:rsid w:val="009E567D"/>
    <w:pPr>
      <w:spacing w:after="0"/>
      <w:ind w:left="357" w:hanging="357"/>
    </w:pPr>
    <w:rPr>
      <w:sz w:val="16"/>
      <w:szCs w:val="24"/>
    </w:rPr>
  </w:style>
  <w:style w:type="character" w:customStyle="1" w:styleId="ListParagraphChar2">
    <w:name w:val="List Paragraph Char_2"/>
    <w:link w:val="ListParagraph2"/>
    <w:uiPriority w:val="34"/>
    <w:rsid w:val="005B5A37"/>
    <w:rPr>
      <w:rFonts w:ascii="Calibri" w:hAnsi="Calibri"/>
      <w:sz w:val="16"/>
      <w:szCs w:val="24"/>
      <w:lang w:eastAsia="en-US"/>
    </w:rPr>
  </w:style>
  <w:style w:type="character" w:customStyle="1" w:styleId="AlnotesChar2">
    <w:name w:val="Al notes Char_2"/>
    <w:link w:val="Alnotes2"/>
    <w:rsid w:val="00C0540A"/>
    <w:rPr>
      <w:rFonts w:ascii="Calibri" w:hAnsi="Calibri"/>
      <w:sz w:val="18"/>
      <w:szCs w:val="24"/>
      <w:lang w:eastAsia="en-US"/>
    </w:rPr>
  </w:style>
  <w:style w:type="character" w:customStyle="1" w:styleId="BSnoteslistChar2">
    <w:name w:val="BS_notes list Char_2"/>
    <w:basedOn w:val="AlnotesChar2"/>
    <w:link w:val="BSnoteslist2"/>
    <w:rsid w:val="00833051"/>
    <w:rPr>
      <w:rFonts w:ascii="Calibri" w:hAnsi="Calibri"/>
      <w:sz w:val="18"/>
      <w:szCs w:val="24"/>
      <w:lang w:eastAsia="en-US"/>
    </w:rPr>
  </w:style>
  <w:style w:type="paragraph" w:customStyle="1" w:styleId="BSnoteslist20">
    <w:name w:val="BS_notes list_2_0"/>
    <w:basedOn w:val="Normal5"/>
    <w:link w:val="BSnoteslistChar20"/>
    <w:qFormat/>
    <w:rsid w:val="00EE2C16"/>
    <w:pPr>
      <w:numPr>
        <w:numId w:val="32"/>
      </w:numPr>
      <w:spacing w:before="0" w:after="0"/>
    </w:pPr>
    <w:rPr>
      <w:sz w:val="18"/>
      <w:szCs w:val="24"/>
    </w:rPr>
  </w:style>
  <w:style w:type="character" w:customStyle="1" w:styleId="BSnoteslistChar20">
    <w:name w:val="BS_notes list Char_2_0"/>
    <w:basedOn w:val="DefaultParagraphFont"/>
    <w:link w:val="BSnoteslist20"/>
    <w:locked/>
    <w:rsid w:val="00EE2C16"/>
    <w:rPr>
      <w:rFonts w:ascii="Calibri" w:hAnsi="Calibri"/>
      <w:sz w:val="18"/>
      <w:szCs w:val="24"/>
      <w:lang w:eastAsia="en-US"/>
    </w:rPr>
  </w:style>
  <w:style w:type="paragraph" w:customStyle="1" w:styleId="BSnote10">
    <w:name w:val="BS_note_1_0"/>
    <w:basedOn w:val="Normal5"/>
    <w:link w:val="BSnoteChar10"/>
    <w:qFormat/>
    <w:rsid w:val="002458B3"/>
    <w:pPr>
      <w:keepNext/>
      <w:spacing w:before="120" w:after="0"/>
    </w:pPr>
    <w:rPr>
      <w:b/>
      <w:sz w:val="18"/>
      <w:szCs w:val="16"/>
    </w:rPr>
  </w:style>
  <w:style w:type="character" w:customStyle="1" w:styleId="BSnoteChar10">
    <w:name w:val="BS_note Char_1_0"/>
    <w:link w:val="BSnote10"/>
    <w:locked/>
    <w:rsid w:val="002458B3"/>
    <w:rPr>
      <w:rFonts w:ascii="Calibri" w:hAnsi="Calibri"/>
      <w:b/>
      <w:sz w:val="18"/>
      <w:szCs w:val="16"/>
      <w:lang w:eastAsia="en-US"/>
    </w:rPr>
  </w:style>
  <w:style w:type="paragraph" w:customStyle="1" w:styleId="BStablefigures00">
    <w:name w:val="BS_table figures_0_0"/>
    <w:basedOn w:val="Normal5"/>
    <w:link w:val="BStablefiguresChar00"/>
    <w:autoRedefine/>
    <w:qFormat/>
    <w:rsid w:val="004B1342"/>
    <w:pPr>
      <w:keepNext/>
      <w:keepLines/>
      <w:spacing w:before="0" w:after="0"/>
      <w:jc w:val="right"/>
    </w:pPr>
    <w:rPr>
      <w:sz w:val="20"/>
      <w:lang w:eastAsia="en-AU"/>
    </w:rPr>
  </w:style>
  <w:style w:type="character" w:customStyle="1" w:styleId="BStablefiguresChar00">
    <w:name w:val="BS_table figures Char_0_0"/>
    <w:basedOn w:val="DefaultParagraphFont"/>
    <w:link w:val="BStablefigures00"/>
    <w:locked/>
    <w:rsid w:val="004B1342"/>
    <w:rPr>
      <w:rFonts w:ascii="Calibri" w:hAnsi="Calibri"/>
    </w:rPr>
  </w:style>
  <w:style w:type="paragraph" w:customStyle="1" w:styleId="Heading33">
    <w:name w:val="Heading 3_3"/>
    <w:basedOn w:val="Normal6"/>
    <w:next w:val="Normal6"/>
    <w:link w:val="Heading3Char3"/>
    <w:autoRedefine/>
    <w:qFormat/>
    <w:rsid w:val="00EE4D16"/>
    <w:pPr>
      <w:keepNext/>
      <w:keepLines/>
      <w:spacing w:before="360"/>
      <w:contextualSpacing/>
      <w:outlineLvl w:val="2"/>
    </w:pPr>
    <w:rPr>
      <w:b/>
      <w:bCs/>
      <w:sz w:val="28"/>
      <w:szCs w:val="26"/>
    </w:rPr>
  </w:style>
  <w:style w:type="paragraph" w:customStyle="1" w:styleId="Normal6">
    <w:name w:val="Normal_6"/>
    <w:qFormat/>
    <w:rsid w:val="00127A4C"/>
    <w:pPr>
      <w:spacing w:before="200" w:after="200"/>
    </w:pPr>
    <w:rPr>
      <w:rFonts w:ascii="Calibri" w:hAnsi="Calibri"/>
      <w:sz w:val="24"/>
      <w:lang w:eastAsia="en-US"/>
    </w:rPr>
  </w:style>
  <w:style w:type="character" w:customStyle="1" w:styleId="Heading3Char3">
    <w:name w:val="Heading 3 Char_3"/>
    <w:link w:val="Heading33"/>
    <w:locked/>
    <w:rsid w:val="00EE4D16"/>
    <w:rPr>
      <w:rFonts w:ascii="Calibri" w:hAnsi="Calibri" w:cs="Arial"/>
      <w:b/>
      <w:bCs/>
      <w:sz w:val="28"/>
      <w:szCs w:val="26"/>
      <w:lang w:eastAsia="en-US"/>
    </w:rPr>
  </w:style>
  <w:style w:type="paragraph" w:customStyle="1" w:styleId="BSbullet13">
    <w:name w:val="BS_bullet 1_3"/>
    <w:basedOn w:val="BodyTextIndent2"/>
    <w:link w:val="BSbullet1Char3"/>
    <w:qFormat/>
    <w:rsid w:val="009E567D"/>
    <w:pPr>
      <w:keepNext w:val="0"/>
      <w:keepLines w:val="0"/>
      <w:numPr>
        <w:numId w:val="51"/>
      </w:numPr>
    </w:pPr>
  </w:style>
  <w:style w:type="paragraph" w:customStyle="1" w:styleId="BodyTextIndent2">
    <w:name w:val="Body Text Indent_2"/>
    <w:basedOn w:val="Normal6"/>
    <w:link w:val="BodyTextIndentChar2"/>
    <w:rsid w:val="00FB4CEC"/>
    <w:pPr>
      <w:keepNext/>
      <w:keepLines/>
      <w:tabs>
        <w:tab w:val="num" w:pos="360"/>
      </w:tabs>
      <w:spacing w:after="120"/>
      <w:ind w:left="360" w:hanging="360"/>
      <w:jc w:val="both"/>
    </w:pPr>
    <w:rPr>
      <w:szCs w:val="24"/>
    </w:rPr>
  </w:style>
  <w:style w:type="character" w:customStyle="1" w:styleId="BodyTextIndentChar2">
    <w:name w:val="Body Text Indent Char_2"/>
    <w:link w:val="BodyTextIndent2"/>
    <w:locked/>
    <w:rsid w:val="00BF50D3"/>
    <w:rPr>
      <w:rFonts w:ascii="Calibri" w:hAnsi="Calibri"/>
      <w:sz w:val="24"/>
      <w:szCs w:val="24"/>
      <w:lang w:eastAsia="en-US"/>
    </w:rPr>
  </w:style>
  <w:style w:type="character" w:customStyle="1" w:styleId="BSbullet1Char3">
    <w:name w:val="BS_bullet 1 Char_3"/>
    <w:basedOn w:val="BodyTextIndentChar2"/>
    <w:link w:val="BSbullet13"/>
    <w:rsid w:val="009E567D"/>
    <w:rPr>
      <w:rFonts w:ascii="Calibri" w:hAnsi="Calibri"/>
      <w:sz w:val="24"/>
      <w:szCs w:val="24"/>
      <w:lang w:eastAsia="en-US"/>
    </w:rPr>
  </w:style>
  <w:style w:type="paragraph" w:customStyle="1" w:styleId="BSbullet2">
    <w:name w:val="BS_bullet 2"/>
    <w:basedOn w:val="BSbullet13"/>
    <w:link w:val="BSbullet2Char"/>
    <w:qFormat/>
    <w:rsid w:val="009D76F0"/>
    <w:pPr>
      <w:jc w:val="left"/>
    </w:pPr>
  </w:style>
  <w:style w:type="character" w:customStyle="1" w:styleId="BSbullet2Char">
    <w:name w:val="BS_bullet 2 Char"/>
    <w:basedOn w:val="BSbullet1Char3"/>
    <w:link w:val="BSbullet2"/>
    <w:rsid w:val="009D76F0"/>
    <w:rPr>
      <w:rFonts w:ascii="Calibri" w:hAnsi="Calibri"/>
      <w:sz w:val="24"/>
      <w:szCs w:val="24"/>
      <w:lang w:eastAsia="en-US"/>
    </w:rPr>
  </w:style>
  <w:style w:type="paragraph" w:customStyle="1" w:styleId="Heading43">
    <w:name w:val="Heading 4_3"/>
    <w:basedOn w:val="Normal6"/>
    <w:next w:val="Normal6"/>
    <w:link w:val="Heading4Char3"/>
    <w:autoRedefine/>
    <w:qFormat/>
    <w:rsid w:val="00EE4D16"/>
    <w:pPr>
      <w:keepNext/>
      <w:keepLines/>
      <w:spacing w:before="240" w:after="120"/>
      <w:outlineLvl w:val="3"/>
    </w:pPr>
    <w:rPr>
      <w:b/>
      <w:i/>
    </w:rPr>
  </w:style>
  <w:style w:type="character" w:customStyle="1" w:styleId="Heading4Char3">
    <w:name w:val="Heading 4 Char_3"/>
    <w:link w:val="Heading43"/>
    <w:locked/>
    <w:rsid w:val="00EE4D16"/>
    <w:rPr>
      <w:rFonts w:ascii="Calibri" w:hAnsi="Calibri"/>
      <w:b/>
      <w:i/>
      <w:sz w:val="24"/>
      <w:lang w:eastAsia="en-US"/>
    </w:rPr>
  </w:style>
  <w:style w:type="paragraph" w:customStyle="1" w:styleId="Heading34">
    <w:name w:val="Heading 3_4"/>
    <w:basedOn w:val="Normal7"/>
    <w:next w:val="Normal7"/>
    <w:link w:val="Heading3Char4"/>
    <w:autoRedefine/>
    <w:qFormat/>
    <w:rsid w:val="00EE4D16"/>
    <w:pPr>
      <w:keepNext/>
      <w:keepLines/>
      <w:spacing w:before="360"/>
      <w:contextualSpacing/>
      <w:outlineLvl w:val="2"/>
    </w:pPr>
    <w:rPr>
      <w:b/>
      <w:bCs/>
      <w:sz w:val="28"/>
      <w:szCs w:val="26"/>
    </w:rPr>
  </w:style>
  <w:style w:type="paragraph" w:customStyle="1" w:styleId="Normal7">
    <w:name w:val="Normal_7"/>
    <w:qFormat/>
    <w:rsid w:val="00127A4C"/>
    <w:pPr>
      <w:spacing w:before="200" w:after="200"/>
    </w:pPr>
    <w:rPr>
      <w:rFonts w:ascii="Calibri" w:hAnsi="Calibri"/>
      <w:sz w:val="24"/>
      <w:lang w:eastAsia="en-US"/>
    </w:rPr>
  </w:style>
  <w:style w:type="character" w:customStyle="1" w:styleId="Heading3Char4">
    <w:name w:val="Heading 3 Char_4"/>
    <w:link w:val="Heading34"/>
    <w:locked/>
    <w:rsid w:val="00EE4D16"/>
    <w:rPr>
      <w:rFonts w:ascii="Calibri" w:hAnsi="Calibri" w:cs="Arial"/>
      <w:b/>
      <w:bCs/>
      <w:sz w:val="28"/>
      <w:szCs w:val="26"/>
      <w:lang w:eastAsia="en-US"/>
    </w:rPr>
  </w:style>
  <w:style w:type="paragraph" w:customStyle="1" w:styleId="BSbullet14">
    <w:name w:val="BS_bullet 1_4"/>
    <w:basedOn w:val="BodyTextIndent3"/>
    <w:link w:val="BSbullet1Char4"/>
    <w:qFormat/>
    <w:rsid w:val="009E567D"/>
    <w:pPr>
      <w:keepNext w:val="0"/>
      <w:keepLines w:val="0"/>
      <w:numPr>
        <w:numId w:val="53"/>
      </w:numPr>
    </w:pPr>
  </w:style>
  <w:style w:type="paragraph" w:customStyle="1" w:styleId="BodyTextIndent3">
    <w:name w:val="Body Text Indent_3"/>
    <w:basedOn w:val="Normal7"/>
    <w:link w:val="BodyTextIndentChar3"/>
    <w:rsid w:val="00FB4CEC"/>
    <w:pPr>
      <w:keepNext/>
      <w:keepLines/>
      <w:tabs>
        <w:tab w:val="num" w:pos="360"/>
      </w:tabs>
      <w:spacing w:after="120"/>
      <w:ind w:left="360" w:hanging="360"/>
      <w:jc w:val="both"/>
    </w:pPr>
    <w:rPr>
      <w:szCs w:val="24"/>
    </w:rPr>
  </w:style>
  <w:style w:type="character" w:customStyle="1" w:styleId="BodyTextIndentChar3">
    <w:name w:val="Body Text Indent Char_3"/>
    <w:link w:val="BodyTextIndent3"/>
    <w:locked/>
    <w:rsid w:val="00BF50D3"/>
    <w:rPr>
      <w:rFonts w:ascii="Calibri" w:hAnsi="Calibri"/>
      <w:sz w:val="24"/>
      <w:szCs w:val="24"/>
      <w:lang w:eastAsia="en-US"/>
    </w:rPr>
  </w:style>
  <w:style w:type="character" w:customStyle="1" w:styleId="BSbullet1Char4">
    <w:name w:val="BS_bullet 1 Char_4"/>
    <w:basedOn w:val="BodyTextIndentChar3"/>
    <w:link w:val="BSbullet14"/>
    <w:rsid w:val="009E567D"/>
    <w:rPr>
      <w:rFonts w:ascii="Calibri" w:hAnsi="Calibri"/>
      <w:sz w:val="24"/>
      <w:szCs w:val="24"/>
      <w:lang w:eastAsia="en-US"/>
    </w:rPr>
  </w:style>
  <w:style w:type="paragraph" w:customStyle="1" w:styleId="BSbullet22">
    <w:name w:val="BS_bullet 2_2"/>
    <w:basedOn w:val="BSbullet14"/>
    <w:link w:val="BSbullet2Char2"/>
    <w:qFormat/>
    <w:rsid w:val="009D76F0"/>
    <w:pPr>
      <w:numPr>
        <w:numId w:val="0"/>
      </w:numPr>
      <w:jc w:val="left"/>
    </w:pPr>
  </w:style>
  <w:style w:type="character" w:customStyle="1" w:styleId="BSbullet2Char2">
    <w:name w:val="BS_bullet 2 Char_2"/>
    <w:basedOn w:val="BSbullet1Char4"/>
    <w:link w:val="BSbullet22"/>
    <w:rsid w:val="009D76F0"/>
    <w:rPr>
      <w:rFonts w:ascii="Calibri" w:hAnsi="Calibri"/>
      <w:sz w:val="24"/>
      <w:szCs w:val="24"/>
      <w:lang w:eastAsia="en-US"/>
    </w:rPr>
  </w:style>
  <w:style w:type="paragraph" w:customStyle="1" w:styleId="Heading44">
    <w:name w:val="Heading 4_4"/>
    <w:basedOn w:val="Normal7"/>
    <w:next w:val="Normal7"/>
    <w:link w:val="Heading4Char4"/>
    <w:autoRedefine/>
    <w:qFormat/>
    <w:rsid w:val="00EE4D16"/>
    <w:pPr>
      <w:keepNext/>
      <w:keepLines/>
      <w:spacing w:before="240" w:after="120"/>
      <w:outlineLvl w:val="3"/>
    </w:pPr>
    <w:rPr>
      <w:b/>
      <w:i/>
    </w:rPr>
  </w:style>
  <w:style w:type="character" w:customStyle="1" w:styleId="Heading4Char4">
    <w:name w:val="Heading 4 Char_4"/>
    <w:link w:val="Heading44"/>
    <w:locked/>
    <w:rsid w:val="00EE4D16"/>
    <w:rPr>
      <w:rFonts w:ascii="Calibri" w:hAnsi="Calibri"/>
      <w:b/>
      <w:i/>
      <w:sz w:val="24"/>
      <w:lang w:eastAsia="en-US"/>
    </w:rPr>
  </w:style>
  <w:style w:type="paragraph" w:styleId="BalloonText">
    <w:name w:val="Balloon Text"/>
    <w:basedOn w:val="Normal"/>
    <w:link w:val="BalloonTextChar"/>
    <w:semiHidden/>
    <w:unhideWhenUsed/>
    <w:rsid w:val="001F1A0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1F1A0D"/>
    <w:rPr>
      <w:rFonts w:ascii="Segoe UI" w:hAnsi="Segoe UI" w:cs="Segoe UI"/>
      <w:sz w:val="18"/>
      <w:szCs w:val="18"/>
      <w:lang w:eastAsia="en-US"/>
    </w:rPr>
  </w:style>
  <w:style w:type="paragraph" w:customStyle="1" w:styleId="Heading10">
    <w:name w:val="Heading 1_0"/>
    <w:basedOn w:val="Normal1"/>
    <w:next w:val="Normal1"/>
    <w:link w:val="Heading1Char0"/>
    <w:qFormat/>
    <w:rsid w:val="00F13AD5"/>
    <w:pPr>
      <w:keepNext/>
      <w:pBdr>
        <w:bottom w:val="single" w:sz="18" w:space="2" w:color="auto"/>
      </w:pBdr>
      <w:spacing w:after="480"/>
      <w:outlineLvl w:val="0"/>
    </w:pPr>
    <w:rPr>
      <w:b/>
      <w:kern w:val="28"/>
      <w:sz w:val="36"/>
      <w:szCs w:val="36"/>
    </w:rPr>
  </w:style>
  <w:style w:type="character" w:customStyle="1" w:styleId="Heading1Char0">
    <w:name w:val="Heading 1 Char_0"/>
    <w:link w:val="Heading10"/>
    <w:locked/>
    <w:rsid w:val="00F13AD5"/>
    <w:rPr>
      <w:rFonts w:ascii="Calibri" w:hAnsi="Calibri"/>
      <w:b/>
      <w:kern w:val="28"/>
      <w:sz w:val="36"/>
      <w:szCs w:val="36"/>
      <w:lang w:eastAsia="en-US"/>
    </w:rPr>
  </w:style>
  <w:style w:type="paragraph" w:customStyle="1" w:styleId="BodyText0">
    <w:name w:val="Body Text_0"/>
    <w:basedOn w:val="Normal2"/>
    <w:link w:val="BodyTextChar0"/>
    <w:uiPriority w:val="99"/>
    <w:rsid w:val="00F13AD5"/>
    <w:pPr>
      <w:keepNext/>
      <w:keepLines/>
      <w:spacing w:before="120" w:after="120"/>
      <w:jc w:val="both"/>
    </w:pPr>
  </w:style>
  <w:style w:type="character" w:customStyle="1" w:styleId="BodyTextChar0">
    <w:name w:val="Body Text Char_0"/>
    <w:link w:val="BodyText0"/>
    <w:uiPriority w:val="99"/>
    <w:locked/>
    <w:rsid w:val="00F13AD5"/>
    <w:rPr>
      <w:rFonts w:ascii="Calibri" w:hAnsi="Calibri"/>
      <w:sz w:val="24"/>
      <w:lang w:eastAsia="en-US"/>
    </w:rPr>
  </w:style>
  <w:style w:type="paragraph" w:customStyle="1" w:styleId="BodyText1">
    <w:name w:val="Body Text_1"/>
    <w:basedOn w:val="Normal3"/>
    <w:link w:val="BodyTextChar1"/>
    <w:uiPriority w:val="99"/>
    <w:rsid w:val="00F13AD5"/>
    <w:pPr>
      <w:keepNext/>
      <w:keepLines/>
      <w:spacing w:before="120" w:after="120"/>
      <w:jc w:val="both"/>
    </w:pPr>
  </w:style>
  <w:style w:type="character" w:customStyle="1" w:styleId="BodyTextChar1">
    <w:name w:val="Body Text Char_1"/>
    <w:link w:val="BodyText1"/>
    <w:uiPriority w:val="99"/>
    <w:locked/>
    <w:rsid w:val="00F13AD5"/>
    <w:rPr>
      <w:rFonts w:ascii="Calibri" w:hAnsi="Calibri"/>
      <w:sz w:val="24"/>
      <w:lang w:eastAsia="en-US"/>
    </w:rPr>
  </w:style>
  <w:style w:type="character" w:customStyle="1" w:styleId="Strong0">
    <w:name w:val="Strong_0"/>
    <w:qFormat/>
    <w:rsid w:val="00F13AD5"/>
    <w:rPr>
      <w:rFonts w:ascii="Calibri" w:hAnsi="Calibri"/>
      <w:b/>
      <w:bCs/>
      <w:lang w:eastAsia="en-US"/>
    </w:rPr>
  </w:style>
  <w:style w:type="paragraph" w:customStyle="1" w:styleId="BStablefiguresbold">
    <w:name w:val="BS_table figures bold"/>
    <w:basedOn w:val="BStablefigures"/>
    <w:qFormat/>
    <w:rsid w:val="00F13AD5"/>
    <w:rPr>
      <w:b/>
    </w:rPr>
  </w:style>
  <w:style w:type="paragraph" w:styleId="PlainText">
    <w:name w:val="Plain Text"/>
    <w:basedOn w:val="Normal5"/>
    <w:link w:val="PlainTextChar"/>
    <w:uiPriority w:val="99"/>
    <w:rsid w:val="00F13AD5"/>
    <w:rPr>
      <w:sz w:val="20"/>
      <w:lang w:val="en-US"/>
    </w:rPr>
  </w:style>
  <w:style w:type="character" w:customStyle="1" w:styleId="PlainTextChar">
    <w:name w:val="Plain Text Char"/>
    <w:basedOn w:val="DefaultParagraphFont"/>
    <w:link w:val="PlainText"/>
    <w:uiPriority w:val="99"/>
    <w:rsid w:val="00F13AD5"/>
    <w:rPr>
      <w:rFonts w:ascii="Calibri" w:hAnsi="Calibri"/>
      <w:lang w:val="en-US" w:eastAsia="en-US"/>
    </w:rPr>
  </w:style>
  <w:style w:type="paragraph" w:customStyle="1" w:styleId="BodyText2">
    <w:name w:val="Body Text_2"/>
    <w:basedOn w:val="Normal5"/>
    <w:link w:val="BodyTextChar2"/>
    <w:uiPriority w:val="99"/>
    <w:rsid w:val="00F13AD5"/>
    <w:pPr>
      <w:keepNext/>
      <w:keepLines/>
      <w:spacing w:before="120" w:after="120"/>
      <w:jc w:val="both"/>
    </w:pPr>
  </w:style>
  <w:style w:type="character" w:customStyle="1" w:styleId="BodyTextChar2">
    <w:name w:val="Body Text Char_2"/>
    <w:link w:val="BodyText2"/>
    <w:uiPriority w:val="99"/>
    <w:locked/>
    <w:rsid w:val="00F13AD5"/>
    <w:rPr>
      <w:rFonts w:ascii="Calibri" w:hAnsi="Calibri"/>
      <w:sz w:val="24"/>
      <w:lang w:eastAsia="en-US"/>
    </w:rPr>
  </w:style>
  <w:style w:type="paragraph" w:customStyle="1" w:styleId="BodyText3">
    <w:name w:val="Body Text_3"/>
    <w:basedOn w:val="Normal6"/>
    <w:link w:val="BodyTextChar3"/>
    <w:uiPriority w:val="99"/>
    <w:rsid w:val="00F13AD5"/>
    <w:pPr>
      <w:keepNext/>
      <w:keepLines/>
      <w:spacing w:before="120" w:after="120"/>
      <w:jc w:val="both"/>
    </w:pPr>
  </w:style>
  <w:style w:type="character" w:customStyle="1" w:styleId="BodyTextChar3">
    <w:name w:val="Body Text Char_3"/>
    <w:link w:val="BodyText3"/>
    <w:uiPriority w:val="99"/>
    <w:locked/>
    <w:rsid w:val="00F13AD5"/>
    <w:rPr>
      <w:rFonts w:ascii="Calibri" w:hAnsi="Calibri"/>
      <w:sz w:val="24"/>
      <w:lang w:eastAsia="en-US"/>
    </w:rPr>
  </w:style>
  <w:style w:type="paragraph" w:customStyle="1" w:styleId="Heading25">
    <w:name w:val="Heading 2_5"/>
    <w:basedOn w:val="Normal7"/>
    <w:next w:val="Normal7"/>
    <w:link w:val="Heading2Char5"/>
    <w:qFormat/>
    <w:rsid w:val="00F13AD5"/>
    <w:pPr>
      <w:keepNext/>
      <w:spacing w:before="360"/>
      <w:outlineLvl w:val="1"/>
    </w:pPr>
    <w:rPr>
      <w:b/>
      <w:snapToGrid w:val="0"/>
      <w:sz w:val="32"/>
    </w:rPr>
  </w:style>
  <w:style w:type="character" w:customStyle="1" w:styleId="Heading2Char5">
    <w:name w:val="Heading 2 Char_5"/>
    <w:link w:val="Heading25"/>
    <w:locked/>
    <w:rsid w:val="00F13AD5"/>
    <w:rPr>
      <w:rFonts w:ascii="Calibri" w:hAnsi="Calibri"/>
      <w:b/>
      <w:snapToGrid w:val="0"/>
      <w:sz w:val="32"/>
      <w:lang w:eastAsia="en-US"/>
    </w:rPr>
  </w:style>
  <w:style w:type="paragraph" w:customStyle="1" w:styleId="SOInumberpara">
    <w:name w:val="SOI number para"/>
    <w:basedOn w:val="BSbullet1"/>
    <w:link w:val="SOInumberparaChar"/>
    <w:qFormat/>
    <w:rsid w:val="00F13AD5"/>
    <w:pPr>
      <w:numPr>
        <w:numId w:val="0"/>
      </w:numPr>
      <w:spacing w:before="0"/>
      <w:ind w:left="714" w:hanging="357"/>
    </w:pPr>
  </w:style>
  <w:style w:type="character" w:customStyle="1" w:styleId="SOInumberparaChar">
    <w:name w:val="SOI number para Char"/>
    <w:basedOn w:val="BSbullet1Char"/>
    <w:link w:val="SOInumberpara"/>
    <w:locked/>
    <w:rsid w:val="00F13AD5"/>
    <w:rPr>
      <w:rFonts w:ascii="Calibri" w:hAnsi="Calibri"/>
      <w:sz w:val="24"/>
      <w:szCs w:val="24"/>
      <w:lang w:eastAsia="en-US"/>
    </w:rPr>
  </w:style>
  <w:style w:type="paragraph" w:customStyle="1" w:styleId="Normal8">
    <w:name w:val="Normal_8"/>
    <w:qFormat/>
    <w:rsid w:val="00F13AD5"/>
    <w:pPr>
      <w:spacing w:before="200" w:after="200"/>
    </w:pPr>
    <w:rPr>
      <w:rFonts w:ascii="Calibri" w:hAnsi="Calibri"/>
      <w:sz w:val="24"/>
      <w:lang w:eastAsia="en-US"/>
    </w:rPr>
  </w:style>
  <w:style w:type="paragraph" w:styleId="Header">
    <w:name w:val="header"/>
    <w:basedOn w:val="Normal"/>
    <w:link w:val="HeaderChar"/>
    <w:uiPriority w:val="99"/>
    <w:unhideWhenUsed/>
    <w:rsid w:val="00F13AD5"/>
    <w:pPr>
      <w:tabs>
        <w:tab w:val="center" w:pos="4513"/>
        <w:tab w:val="right" w:pos="9026"/>
      </w:tabs>
      <w:spacing w:before="0" w:after="0"/>
    </w:pPr>
  </w:style>
  <w:style w:type="character" w:customStyle="1" w:styleId="HeaderChar">
    <w:name w:val="Header Char"/>
    <w:basedOn w:val="DefaultParagraphFont"/>
    <w:link w:val="Header"/>
    <w:uiPriority w:val="99"/>
    <w:rsid w:val="00F13AD5"/>
    <w:rPr>
      <w:rFonts w:ascii="Calibri" w:hAnsi="Calibri"/>
      <w:sz w:val="24"/>
      <w:lang w:eastAsia="en-US"/>
    </w:rPr>
  </w:style>
  <w:style w:type="paragraph" w:styleId="Footer">
    <w:name w:val="footer"/>
    <w:basedOn w:val="Normal"/>
    <w:link w:val="FooterChar"/>
    <w:uiPriority w:val="99"/>
    <w:unhideWhenUsed/>
    <w:rsid w:val="00F13AD5"/>
    <w:pPr>
      <w:tabs>
        <w:tab w:val="center" w:pos="4513"/>
        <w:tab w:val="right" w:pos="9026"/>
      </w:tabs>
      <w:spacing w:before="0" w:after="0"/>
    </w:pPr>
  </w:style>
  <w:style w:type="character" w:customStyle="1" w:styleId="FooterChar">
    <w:name w:val="Footer Char"/>
    <w:basedOn w:val="DefaultParagraphFont"/>
    <w:link w:val="Footer"/>
    <w:uiPriority w:val="99"/>
    <w:rsid w:val="00F13AD5"/>
    <w:rPr>
      <w:rFonts w:ascii="Calibri" w:hAnsi="Calibri"/>
      <w:sz w:val="24"/>
      <w:lang w:eastAsia="en-US"/>
    </w:rPr>
  </w:style>
  <w:style w:type="paragraph" w:styleId="TOC1">
    <w:name w:val="toc 1"/>
    <w:basedOn w:val="Normal"/>
    <w:next w:val="Normal"/>
    <w:autoRedefine/>
    <w:uiPriority w:val="39"/>
    <w:unhideWhenUsed/>
    <w:qFormat/>
    <w:locked/>
    <w:rsid w:val="00F83E2E"/>
    <w:pPr>
      <w:spacing w:after="100"/>
    </w:pPr>
  </w:style>
  <w:style w:type="paragraph" w:styleId="TOC2">
    <w:name w:val="toc 2"/>
    <w:basedOn w:val="Normal"/>
    <w:next w:val="Normal"/>
    <w:autoRedefine/>
    <w:uiPriority w:val="39"/>
    <w:qFormat/>
    <w:locked/>
    <w:rsid w:val="00EC7061"/>
    <w:pPr>
      <w:tabs>
        <w:tab w:val="right" w:leader="dot" w:pos="9016"/>
      </w:tabs>
      <w:spacing w:after="100"/>
      <w:ind w:left="240"/>
    </w:pPr>
    <w:rPr>
      <w:noProof/>
      <w:snapToGrid w:val="0"/>
      <w:bdr w:val="nil"/>
    </w:rPr>
  </w:style>
  <w:style w:type="character" w:styleId="Hyperlink">
    <w:name w:val="Hyperlink"/>
    <w:basedOn w:val="DefaultParagraphFont"/>
    <w:uiPriority w:val="99"/>
    <w:unhideWhenUsed/>
    <w:rsid w:val="00F83E2E"/>
    <w:rPr>
      <w:color w:val="0000FF" w:themeColor="hyperlink"/>
      <w:u w:val="single"/>
    </w:rPr>
  </w:style>
  <w:style w:type="paragraph" w:customStyle="1" w:styleId="Normal00">
    <w:name w:val="Normal_0_0"/>
    <w:qFormat/>
    <w:rsid w:val="008713D7"/>
    <w:pPr>
      <w:spacing w:before="200" w:after="200"/>
    </w:pPr>
    <w:rPr>
      <w:rFonts w:ascii="Calibri" w:hAnsi="Calibri"/>
      <w:sz w:val="24"/>
      <w:lang w:eastAsia="en-US"/>
    </w:rPr>
  </w:style>
  <w:style w:type="paragraph" w:customStyle="1" w:styleId="Default">
    <w:name w:val="Default"/>
    <w:rsid w:val="008713D7"/>
    <w:pPr>
      <w:autoSpaceDE w:val="0"/>
      <w:autoSpaceDN w:val="0"/>
      <w:adjustRightInd w:val="0"/>
    </w:pPr>
    <w:rPr>
      <w:rFonts w:ascii="Symbol" w:eastAsia="MS Mincho" w:hAnsi="Symbol"/>
      <w:color w:val="000000"/>
      <w:sz w:val="24"/>
      <w:szCs w:val="24"/>
      <w:lang w:val="en-US" w:eastAsia="en-US"/>
    </w:rPr>
  </w:style>
  <w:style w:type="paragraph" w:customStyle="1" w:styleId="Heading11">
    <w:name w:val="Heading 1_1"/>
    <w:basedOn w:val="Normal2"/>
    <w:next w:val="Normal2"/>
    <w:link w:val="Heading1Char1"/>
    <w:qFormat/>
    <w:rsid w:val="008713D7"/>
    <w:pPr>
      <w:keepNext/>
      <w:pBdr>
        <w:bottom w:val="single" w:sz="18" w:space="2" w:color="auto"/>
      </w:pBdr>
      <w:spacing w:after="480"/>
      <w:outlineLvl w:val="0"/>
    </w:pPr>
    <w:rPr>
      <w:b/>
      <w:kern w:val="28"/>
      <w:sz w:val="36"/>
      <w:szCs w:val="36"/>
    </w:rPr>
  </w:style>
  <w:style w:type="character" w:customStyle="1" w:styleId="Heading1Char1">
    <w:name w:val="Heading 1 Char_1"/>
    <w:link w:val="Heading11"/>
    <w:locked/>
    <w:rsid w:val="008713D7"/>
    <w:rPr>
      <w:rFonts w:ascii="Calibri" w:hAnsi="Calibri"/>
      <w:b/>
      <w:kern w:val="28"/>
      <w:sz w:val="36"/>
      <w:szCs w:val="36"/>
      <w:lang w:eastAsia="en-US"/>
    </w:rPr>
  </w:style>
  <w:style w:type="paragraph" w:customStyle="1" w:styleId="Heading12">
    <w:name w:val="Heading 1_2"/>
    <w:basedOn w:val="Normal3"/>
    <w:next w:val="Normal3"/>
    <w:link w:val="Heading1Char2"/>
    <w:qFormat/>
    <w:rsid w:val="008713D7"/>
    <w:pPr>
      <w:keepNext/>
      <w:pBdr>
        <w:bottom w:val="single" w:sz="18" w:space="2" w:color="auto"/>
      </w:pBdr>
      <w:spacing w:after="480"/>
      <w:outlineLvl w:val="0"/>
    </w:pPr>
    <w:rPr>
      <w:b/>
      <w:kern w:val="28"/>
      <w:sz w:val="36"/>
      <w:szCs w:val="36"/>
    </w:rPr>
  </w:style>
  <w:style w:type="character" w:customStyle="1" w:styleId="Heading1Char2">
    <w:name w:val="Heading 1 Char_2"/>
    <w:link w:val="Heading12"/>
    <w:locked/>
    <w:rsid w:val="008713D7"/>
    <w:rPr>
      <w:rFonts w:ascii="Calibri" w:hAnsi="Calibri"/>
      <w:b/>
      <w:kern w:val="28"/>
      <w:sz w:val="36"/>
      <w:szCs w:val="36"/>
      <w:lang w:eastAsia="en-US"/>
    </w:rPr>
  </w:style>
  <w:style w:type="paragraph" w:customStyle="1" w:styleId="Default0">
    <w:name w:val="Default_0"/>
    <w:rsid w:val="008713D7"/>
    <w:pPr>
      <w:autoSpaceDE w:val="0"/>
      <w:autoSpaceDN w:val="0"/>
      <w:adjustRightInd w:val="0"/>
    </w:pPr>
    <w:rPr>
      <w:rFonts w:ascii="Symbol" w:eastAsia="MS Mincho" w:hAnsi="Symbol"/>
      <w:color w:val="000000"/>
      <w:sz w:val="24"/>
      <w:szCs w:val="24"/>
      <w:lang w:val="en-US" w:eastAsia="en-US"/>
    </w:rPr>
  </w:style>
  <w:style w:type="table" w:styleId="TableGrid">
    <w:name w:val="Table Grid"/>
    <w:basedOn w:val="TableNormal"/>
    <w:uiPriority w:val="59"/>
    <w:locked/>
    <w:rsid w:val="008713D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00">
    <w:name w:val="Heading 4_0_0"/>
    <w:basedOn w:val="Normal6"/>
    <w:next w:val="Normal6"/>
    <w:link w:val="Heading4Char00"/>
    <w:autoRedefine/>
    <w:qFormat/>
    <w:rsid w:val="008713D7"/>
    <w:pPr>
      <w:keepNext/>
      <w:keepLines/>
      <w:spacing w:before="240" w:after="0"/>
      <w:outlineLvl w:val="3"/>
    </w:pPr>
    <w:rPr>
      <w:b/>
      <w:i/>
      <w:sz w:val="20"/>
      <w:bdr w:val="none" w:sz="0" w:space="0" w:color="auto" w:frame="1"/>
      <w:lang w:eastAsia="en-AU"/>
    </w:rPr>
  </w:style>
  <w:style w:type="character" w:customStyle="1" w:styleId="Heading4Char00">
    <w:name w:val="Heading 4 Char_0_0"/>
    <w:link w:val="Heading400"/>
    <w:locked/>
    <w:rsid w:val="008713D7"/>
    <w:rPr>
      <w:rFonts w:ascii="Calibri" w:hAnsi="Calibri"/>
      <w:b/>
      <w:i/>
      <w:bdr w:val="none" w:sz="0" w:space="0" w:color="auto" w:frame="1"/>
    </w:rPr>
  </w:style>
  <w:style w:type="paragraph" w:customStyle="1" w:styleId="BodyText4">
    <w:name w:val="Body Text_4"/>
    <w:basedOn w:val="Normal7"/>
    <w:link w:val="BodyTextChar4"/>
    <w:uiPriority w:val="99"/>
    <w:rsid w:val="008713D7"/>
    <w:pPr>
      <w:keepNext/>
      <w:keepLines/>
      <w:spacing w:before="120" w:after="120"/>
      <w:jc w:val="both"/>
    </w:pPr>
  </w:style>
  <w:style w:type="character" w:customStyle="1" w:styleId="BodyTextChar4">
    <w:name w:val="Body Text Char_4"/>
    <w:link w:val="BodyText4"/>
    <w:uiPriority w:val="99"/>
    <w:locked/>
    <w:rsid w:val="008713D7"/>
    <w:rPr>
      <w:rFonts w:ascii="Calibri" w:hAnsi="Calibri"/>
      <w:sz w:val="24"/>
      <w:lang w:eastAsia="en-US"/>
    </w:rPr>
  </w:style>
  <w:style w:type="character" w:styleId="Emphasis">
    <w:name w:val="Emphasis"/>
    <w:basedOn w:val="DefaultParagraphFont"/>
    <w:qFormat/>
    <w:locked/>
    <w:rsid w:val="008713D7"/>
    <w:rPr>
      <w:rFonts w:ascii="Calibri" w:hAnsi="Calibri"/>
      <w:i/>
      <w:iCs/>
    </w:rPr>
  </w:style>
  <w:style w:type="character" w:styleId="CommentReference">
    <w:name w:val="annotation reference"/>
    <w:basedOn w:val="DefaultParagraphFont"/>
    <w:semiHidden/>
    <w:unhideWhenUsed/>
    <w:rsid w:val="008713D7"/>
    <w:rPr>
      <w:sz w:val="16"/>
      <w:szCs w:val="16"/>
    </w:rPr>
  </w:style>
  <w:style w:type="paragraph" w:styleId="CommentText">
    <w:name w:val="annotation text"/>
    <w:basedOn w:val="Normal"/>
    <w:link w:val="CommentTextChar"/>
    <w:semiHidden/>
    <w:unhideWhenUsed/>
    <w:rsid w:val="008713D7"/>
    <w:rPr>
      <w:sz w:val="20"/>
    </w:rPr>
  </w:style>
  <w:style w:type="character" w:customStyle="1" w:styleId="CommentTextChar">
    <w:name w:val="Comment Text Char"/>
    <w:basedOn w:val="DefaultParagraphFont"/>
    <w:link w:val="CommentText"/>
    <w:semiHidden/>
    <w:rsid w:val="008713D7"/>
    <w:rPr>
      <w:rFonts w:ascii="Calibri" w:hAnsi="Calibri"/>
      <w:lang w:eastAsia="en-US"/>
    </w:rPr>
  </w:style>
  <w:style w:type="paragraph" w:styleId="CommentSubject">
    <w:name w:val="annotation subject"/>
    <w:basedOn w:val="CommentText"/>
    <w:next w:val="CommentText"/>
    <w:link w:val="CommentSubjectChar"/>
    <w:semiHidden/>
    <w:unhideWhenUsed/>
    <w:rsid w:val="008713D7"/>
    <w:rPr>
      <w:b/>
      <w:bCs/>
    </w:rPr>
  </w:style>
  <w:style w:type="character" w:customStyle="1" w:styleId="CommentSubjectChar">
    <w:name w:val="Comment Subject Char"/>
    <w:basedOn w:val="CommentTextChar"/>
    <w:link w:val="CommentSubject"/>
    <w:semiHidden/>
    <w:rsid w:val="008713D7"/>
    <w:rPr>
      <w:rFonts w:ascii="Calibri" w:hAnsi="Calibri"/>
      <w:b/>
      <w:bCs/>
      <w:lang w:eastAsia="en-US"/>
    </w:rPr>
  </w:style>
  <w:style w:type="paragraph" w:styleId="Revision">
    <w:name w:val="Revision"/>
    <w:hidden/>
    <w:uiPriority w:val="99"/>
    <w:semiHidden/>
    <w:rsid w:val="008713D7"/>
    <w:rPr>
      <w:rFonts w:ascii="Calibri" w:hAnsi="Calibri"/>
      <w:sz w:val="24"/>
      <w:lang w:eastAsia="en-US"/>
    </w:rPr>
  </w:style>
  <w:style w:type="paragraph" w:styleId="TOC3">
    <w:name w:val="toc 3"/>
    <w:basedOn w:val="Normal"/>
    <w:next w:val="Normal"/>
    <w:autoRedefine/>
    <w:uiPriority w:val="39"/>
    <w:unhideWhenUsed/>
    <w:locked/>
    <w:rsid w:val="003C471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planning.act.gov.au/topics/land-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5EF5F265F7D458D1FEEFD48F7BFA4" ma:contentTypeVersion="0" ma:contentTypeDescription="Create a new document." ma:contentTypeScope="" ma:versionID="dddae15455901e30546d578d0a837a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4EF5B-89DB-42DE-A108-5054DD84C582}">
  <ds:schemaRefs>
    <ds:schemaRef ds:uri="http://schemas.microsoft.com/office/2006/metadata/properties"/>
  </ds:schemaRefs>
</ds:datastoreItem>
</file>

<file path=customXml/itemProps2.xml><?xml version="1.0" encoding="utf-8"?>
<ds:datastoreItem xmlns:ds="http://schemas.openxmlformats.org/officeDocument/2006/customXml" ds:itemID="{1E2E6925-80EF-48A9-AF59-38BCFA3F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773338-2623-4C9A-81A2-2E84E09D9D45}">
  <ds:schemaRefs>
    <ds:schemaRef ds:uri="http://schemas.microsoft.com/sharepoint/v3/contenttype/forms"/>
  </ds:schemaRefs>
</ds:datastoreItem>
</file>

<file path=customXml/itemProps4.xml><?xml version="1.0" encoding="utf-8"?>
<ds:datastoreItem xmlns:ds="http://schemas.openxmlformats.org/officeDocument/2006/customXml" ds:itemID="{408F7D93-8FCC-4734-9619-2C6419DC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28037</Words>
  <Characters>159811</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2018-19 Environment, Planning and Sustainable Development Directorate Budget Paper</vt:lpstr>
    </vt:vector>
  </TitlesOfParts>
  <Company>Environment, Planning and Sustainable Development Directorate, ACT Government</Company>
  <LinksUpToDate>false</LinksUpToDate>
  <CharactersWithSpaces>187474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2018-19. Budget Statements E</dc:title>
  <dc:subject>2018-19 Environment, Planning and Sustainable Development Directorate Budget Paper, including City Renewal Authority and Suburban Land Agency</dc:subject>
  <dc:creator>ACT Government</dc:creator>
  <cp:lastModifiedBy>Munyard, Nicole</cp:lastModifiedBy>
  <cp:revision>3</cp:revision>
  <cp:lastPrinted>2018-05-23T03:07:00Z</cp:lastPrinted>
  <dcterms:created xsi:type="dcterms:W3CDTF">2018-05-31T05:33:00Z</dcterms:created>
  <dcterms:modified xsi:type="dcterms:W3CDTF">2018-05-31T05:33:00Z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Objective-Id">
    <vt:lpwstr>A16190398</vt:lpwstr>
  </property>
  <property fmtid="{D5CDD505-2E9C-101B-9397-08002B2CF9AE}" pid="4" name="Objective-Title">
    <vt:lpwstr>EPSDD inc CRA and SLA Budget Statements for 2018-19</vt:lpwstr>
  </property>
  <property fmtid="{D5CDD505-2E9C-101B-9397-08002B2CF9AE}" pid="5" name="Objective-Comment">
    <vt:lpwstr/>
  </property>
  <property fmtid="{D5CDD505-2E9C-101B-9397-08002B2CF9AE}" pid="6" name="Objective-CreationStamp">
    <vt:filetime>2018-05-22T02:32:58Z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2018-05-25T05:39:24Z</vt:filetime>
  </property>
  <property fmtid="{D5CDD505-2E9C-101B-9397-08002B2CF9AE}" pid="10" name="Objective-ModificationStamp">
    <vt:filetime>2018-05-25T05:39:24Z</vt:filetime>
  </property>
  <property fmtid="{D5CDD505-2E9C-101B-9397-08002B2CF9AE}" pid="11" name="Objective-Owner">
    <vt:lpwstr>Melissa Tetley</vt:lpwstr>
  </property>
  <property fmtid="{D5CDD505-2E9C-101B-9397-08002B2CF9AE}" pid="12" name="Objective-Path">
    <vt:lpwstr>Whole of ACT Government:EPSDD - Environment Planning and Sustainable Development Directorate:DIVISION - Business, Governance and Capability:Finance, Information and Assets:TEAM - Strategic Finance:Budgeting:2018-19 - Environment and Planning Directorate B</vt:lpwstr>
  </property>
  <property fmtid="{D5CDD505-2E9C-101B-9397-08002B2CF9AE}" pid="13" name="Objective-Parent">
    <vt:lpwstr>FINAL BUDGET STATEMENT 2018-19</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1-2017/24314</vt:lpwstr>
  </property>
  <property fmtid="{D5CDD505-2E9C-101B-9397-08002B2CF9AE}" pid="19" name="Objective-Classification">
    <vt:lpwstr>[Inherited - Unclassified (beige file cover)]</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filetime>2011-10-30T14:00:00Z</vt:filetime>
  </property>
  <property fmtid="{D5CDD505-2E9C-101B-9397-08002B2CF9AE}" pid="30" name="Objective-Covers Period From [system]">
    <vt:filetime>2011-10-31T02:35:18Z</vt:filetime>
  </property>
  <property fmtid="{D5CDD505-2E9C-101B-9397-08002B2CF9AE}" pid="31" name="Objective-Covers Period To [system]">
    <vt:filetime>2011-10-31T02:35:18Z</vt:filetime>
  </property>
  <property fmtid="{D5CDD505-2E9C-101B-9397-08002B2CF9AE}" pid="32" name="Description">
    <vt:lpwstr>Environment, Planning and Sustainable Development Directorate Budget Statements includes financial statements, output classes, descriptions of functions, roles and responsibilities, together with major priorities</vt:lpwstr>
  </property>
</Properties>
</file>