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564A" w14:textId="77777777" w:rsidR="0068721D" w:rsidRDefault="0068721D" w:rsidP="0068721D"/>
    <w:p w14:paraId="176FB0AD" w14:textId="77777777" w:rsidR="0068721D" w:rsidRDefault="0068721D" w:rsidP="0068721D"/>
    <w:p w14:paraId="610C601B" w14:textId="77777777" w:rsidR="0068721D" w:rsidRDefault="0068721D" w:rsidP="0068721D"/>
    <w:p w14:paraId="77B34800" w14:textId="77777777" w:rsidR="0068721D" w:rsidRPr="007B137C" w:rsidRDefault="0068721D" w:rsidP="0068721D">
      <w:pPr>
        <w:jc w:val="center"/>
        <w:rPr>
          <w:rFonts w:ascii="Calibri" w:eastAsia="Calibri" w:hAnsi="Calibri" w:cs="Times New Roman"/>
          <w:b/>
          <w:sz w:val="52"/>
          <w:szCs w:val="52"/>
          <w:lang w:val="en-US"/>
        </w:rPr>
      </w:pPr>
      <w:bookmarkStart w:id="0" w:name="_Toc149104839"/>
      <w:r w:rsidRPr="007B137C">
        <w:rPr>
          <w:rFonts w:ascii="Calibri" w:eastAsia="Calibri" w:hAnsi="Calibri" w:cs="Times New Roman"/>
          <w:b/>
          <w:sz w:val="52"/>
          <w:szCs w:val="52"/>
          <w:lang w:val="en-US"/>
        </w:rPr>
        <w:t>ACT ACCOUNTING POLICY</w:t>
      </w:r>
      <w:bookmarkEnd w:id="0"/>
    </w:p>
    <w:p w14:paraId="33DE2FB2" w14:textId="77777777" w:rsidR="0068721D" w:rsidRPr="0068721D" w:rsidRDefault="0068721D" w:rsidP="0068721D">
      <w:pPr>
        <w:jc w:val="center"/>
        <w:rPr>
          <w:rFonts w:ascii="Calibri" w:eastAsia="Calibri" w:hAnsi="Calibri" w:cs="Times New Roman"/>
          <w:b/>
          <w:sz w:val="32"/>
          <w:szCs w:val="32"/>
          <w:lang w:val="en-US"/>
        </w:rPr>
      </w:pPr>
    </w:p>
    <w:p w14:paraId="6DD897B4" w14:textId="77777777" w:rsidR="0068721D" w:rsidRPr="0068721D" w:rsidRDefault="0068721D" w:rsidP="0068721D">
      <w:pPr>
        <w:jc w:val="center"/>
        <w:rPr>
          <w:rFonts w:ascii="Calibri" w:eastAsia="Calibri" w:hAnsi="Calibri" w:cs="Times New Roman"/>
          <w:b/>
          <w:sz w:val="32"/>
          <w:szCs w:val="32"/>
          <w:lang w:val="en-US"/>
        </w:rPr>
      </w:pPr>
    </w:p>
    <w:p w14:paraId="2940BEA4" w14:textId="77777777" w:rsidR="0068721D" w:rsidRPr="0068721D" w:rsidRDefault="0068721D" w:rsidP="0068721D">
      <w:pPr>
        <w:rPr>
          <w:rFonts w:ascii="Calibri" w:eastAsia="Calibri" w:hAnsi="Calibri" w:cs="Times New Roman"/>
          <w:b/>
          <w:bCs/>
          <w:sz w:val="28"/>
          <w:szCs w:val="28"/>
          <w:lang w:val="en-US"/>
        </w:rPr>
      </w:pPr>
    </w:p>
    <w:p w14:paraId="33DE62EF" w14:textId="77777777" w:rsidR="0068721D" w:rsidRPr="0068721D" w:rsidRDefault="0068721D" w:rsidP="0068721D">
      <w:pPr>
        <w:tabs>
          <w:tab w:val="left" w:pos="1418"/>
          <w:tab w:val="left" w:pos="5496"/>
        </w:tabs>
        <w:rPr>
          <w:rFonts w:ascii="Calibri" w:eastAsia="Calibri" w:hAnsi="Calibri" w:cs="Times New Roman"/>
          <w:b/>
          <w:bCs/>
          <w:sz w:val="22"/>
          <w:lang w:val="en-US"/>
        </w:rPr>
      </w:pPr>
      <w:r w:rsidRPr="0068721D">
        <w:rPr>
          <w:rFonts w:ascii="Calibri" w:eastAsia="Calibri" w:hAnsi="Calibri" w:cs="Times New Roman"/>
          <w:b/>
          <w:bCs/>
          <w:sz w:val="22"/>
          <w:lang w:val="en-US"/>
        </w:rPr>
        <w:tab/>
      </w:r>
      <w:r w:rsidRPr="0068721D">
        <w:rPr>
          <w:rFonts w:ascii="Calibri" w:eastAsia="Calibri" w:hAnsi="Calibri" w:cs="Times New Roman"/>
          <w:b/>
          <w:bCs/>
          <w:noProof/>
          <w:sz w:val="22"/>
          <w:lang w:eastAsia="en-AU"/>
        </w:rPr>
        <w:drawing>
          <wp:inline distT="0" distB="0" distL="0" distR="0" wp14:anchorId="01A47AD7" wp14:editId="1E0940A8">
            <wp:extent cx="4282440" cy="1729740"/>
            <wp:effectExtent l="0" t="0" r="381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2440" cy="1729740"/>
                    </a:xfrm>
                    <a:prstGeom prst="rect">
                      <a:avLst/>
                    </a:prstGeom>
                    <a:noFill/>
                  </pic:spPr>
                </pic:pic>
              </a:graphicData>
            </a:graphic>
          </wp:inline>
        </w:drawing>
      </w:r>
    </w:p>
    <w:p w14:paraId="75863DFE" w14:textId="77777777" w:rsidR="0068721D" w:rsidRPr="0068721D" w:rsidRDefault="0068721D" w:rsidP="0068721D">
      <w:pPr>
        <w:rPr>
          <w:rFonts w:ascii="Calibri" w:eastAsia="Calibri" w:hAnsi="Calibri" w:cs="Times New Roman"/>
          <w:sz w:val="22"/>
        </w:rPr>
      </w:pPr>
    </w:p>
    <w:p w14:paraId="3A052AF1" w14:textId="77777777" w:rsidR="0068721D" w:rsidRPr="0068721D" w:rsidRDefault="0068721D" w:rsidP="0068721D">
      <w:pPr>
        <w:rPr>
          <w:rFonts w:ascii="Calibri" w:eastAsia="Calibri" w:hAnsi="Calibri" w:cs="Times New Roman"/>
          <w:sz w:val="22"/>
          <w:lang w:val="en-US"/>
        </w:rPr>
      </w:pPr>
    </w:p>
    <w:p w14:paraId="734D2827" w14:textId="77777777" w:rsidR="0068721D" w:rsidRPr="0068721D" w:rsidRDefault="0068721D" w:rsidP="0068721D">
      <w:pPr>
        <w:rPr>
          <w:rFonts w:ascii="Calibri" w:eastAsia="Calibri" w:hAnsi="Calibri" w:cs="Times New Roman"/>
          <w:sz w:val="22"/>
          <w:lang w:val="en-US"/>
        </w:rPr>
      </w:pPr>
    </w:p>
    <w:p w14:paraId="720A60BE" w14:textId="77777777" w:rsidR="0068721D" w:rsidRPr="0068721D" w:rsidRDefault="0068721D" w:rsidP="0068721D">
      <w:pPr>
        <w:rPr>
          <w:rFonts w:ascii="Calibri" w:eastAsia="Calibri" w:hAnsi="Calibri" w:cs="Times New Roman"/>
          <w:sz w:val="22"/>
          <w:lang w:val="en-US"/>
        </w:rPr>
      </w:pPr>
    </w:p>
    <w:p w14:paraId="132E4D8A" w14:textId="77777777" w:rsidR="0068721D" w:rsidRPr="0068721D" w:rsidRDefault="0068721D" w:rsidP="0068721D">
      <w:pPr>
        <w:rPr>
          <w:rFonts w:ascii="Calibri" w:eastAsia="Calibri" w:hAnsi="Calibri" w:cs="Times New Roman"/>
          <w:sz w:val="22"/>
          <w:lang w:val="en-US"/>
        </w:rPr>
      </w:pPr>
    </w:p>
    <w:p w14:paraId="72616BFD" w14:textId="77777777" w:rsidR="0068721D" w:rsidRPr="0068721D" w:rsidRDefault="0068721D" w:rsidP="0068721D">
      <w:pPr>
        <w:rPr>
          <w:rFonts w:ascii="Calibri" w:eastAsia="Calibri" w:hAnsi="Calibri" w:cs="Times New Roman"/>
          <w:sz w:val="22"/>
          <w:lang w:val="en-US"/>
        </w:rPr>
      </w:pPr>
    </w:p>
    <w:p w14:paraId="1869D0BF" w14:textId="38EC4553" w:rsidR="00E73847" w:rsidRPr="00213DBE" w:rsidRDefault="00E73847" w:rsidP="00E73847">
      <w:pPr>
        <w:pStyle w:val="Title"/>
        <w:rPr>
          <w:rFonts w:ascii="Calibri" w:hAnsi="Calibri" w:cs="Calibri"/>
          <w:sz w:val="52"/>
          <w:szCs w:val="52"/>
        </w:rPr>
      </w:pPr>
      <w:bookmarkStart w:id="1" w:name="_Toc149104840"/>
      <w:r w:rsidRPr="00213DBE">
        <w:rPr>
          <w:rFonts w:ascii="Calibri" w:hAnsi="Calibri" w:cs="Calibri"/>
          <w:sz w:val="52"/>
          <w:szCs w:val="52"/>
        </w:rPr>
        <w:t xml:space="preserve">AAPP 106 - ACT Accounting Policy Paper </w:t>
      </w:r>
    </w:p>
    <w:p w14:paraId="2CEAA0B4" w14:textId="77777777" w:rsidR="00213DBE" w:rsidRDefault="00E73847" w:rsidP="0068721D">
      <w:pPr>
        <w:jc w:val="center"/>
        <w:rPr>
          <w:rFonts w:ascii="Calibri" w:eastAsia="Calibri" w:hAnsi="Calibri" w:cs="Times New Roman"/>
          <w:b/>
          <w:bCs/>
          <w:sz w:val="52"/>
          <w:szCs w:val="52"/>
        </w:rPr>
      </w:pPr>
      <w:r w:rsidRPr="00213DBE">
        <w:rPr>
          <w:rFonts w:ascii="Calibri" w:hAnsi="Calibri" w:cs="Calibri"/>
          <w:b/>
          <w:bCs/>
          <w:sz w:val="52"/>
          <w:szCs w:val="52"/>
        </w:rPr>
        <w:t>on</w:t>
      </w:r>
      <w:r w:rsidRPr="00213DBE">
        <w:rPr>
          <w:rFonts w:ascii="Calibri" w:eastAsia="Calibri" w:hAnsi="Calibri" w:cs="Times New Roman"/>
          <w:b/>
          <w:bCs/>
          <w:sz w:val="52"/>
          <w:szCs w:val="52"/>
        </w:rPr>
        <w:t xml:space="preserve"> </w:t>
      </w:r>
    </w:p>
    <w:p w14:paraId="1A5DD425" w14:textId="3EA65779" w:rsidR="0068721D" w:rsidRPr="00213DBE" w:rsidRDefault="0068721D" w:rsidP="0068721D">
      <w:pPr>
        <w:jc w:val="center"/>
        <w:rPr>
          <w:rFonts w:ascii="Calibri" w:eastAsia="Calibri" w:hAnsi="Calibri" w:cs="Times New Roman"/>
          <w:b/>
          <w:bCs/>
          <w:sz w:val="52"/>
          <w:szCs w:val="52"/>
          <w:lang w:val="en-US"/>
        </w:rPr>
      </w:pPr>
      <w:r w:rsidRPr="00213DBE">
        <w:rPr>
          <w:rFonts w:ascii="Calibri" w:eastAsia="Calibri" w:hAnsi="Calibri" w:cs="Times New Roman"/>
          <w:b/>
          <w:bCs/>
          <w:sz w:val="52"/>
          <w:szCs w:val="52"/>
        </w:rPr>
        <w:t>AASB 15 Revenue</w:t>
      </w:r>
      <w:r w:rsidR="00E73847" w:rsidRPr="00213DBE">
        <w:rPr>
          <w:rFonts w:ascii="Calibri" w:eastAsia="Calibri" w:hAnsi="Calibri" w:cs="Times New Roman"/>
          <w:b/>
          <w:bCs/>
          <w:sz w:val="52"/>
          <w:szCs w:val="52"/>
        </w:rPr>
        <w:t xml:space="preserve"> </w:t>
      </w:r>
      <w:r w:rsidRPr="00213DBE">
        <w:rPr>
          <w:rFonts w:ascii="Calibri" w:eastAsia="Calibri" w:hAnsi="Calibri" w:cs="Times New Roman"/>
          <w:b/>
          <w:bCs/>
          <w:sz w:val="52"/>
          <w:szCs w:val="52"/>
        </w:rPr>
        <w:t>and</w:t>
      </w:r>
      <w:r w:rsidR="00213DBE">
        <w:rPr>
          <w:rFonts w:ascii="Calibri" w:eastAsia="Calibri" w:hAnsi="Calibri" w:cs="Times New Roman"/>
          <w:b/>
          <w:bCs/>
          <w:sz w:val="52"/>
          <w:szCs w:val="52"/>
        </w:rPr>
        <w:t xml:space="preserve"> </w:t>
      </w:r>
      <w:r w:rsidRPr="00213DBE">
        <w:rPr>
          <w:rFonts w:ascii="Calibri" w:eastAsia="Calibri" w:hAnsi="Calibri" w:cs="Times New Roman"/>
          <w:b/>
          <w:bCs/>
          <w:sz w:val="52"/>
          <w:szCs w:val="52"/>
        </w:rPr>
        <w:t>AASB 1058 Income for Not-For-Profit</w:t>
      </w:r>
      <w:r w:rsidR="00213DBE">
        <w:rPr>
          <w:rFonts w:ascii="Calibri" w:eastAsia="Calibri" w:hAnsi="Calibri" w:cs="Times New Roman"/>
          <w:b/>
          <w:bCs/>
          <w:sz w:val="52"/>
          <w:szCs w:val="52"/>
        </w:rPr>
        <w:t xml:space="preserve"> </w:t>
      </w:r>
      <w:r w:rsidR="007B137C">
        <w:rPr>
          <w:rFonts w:ascii="Calibri" w:eastAsia="Calibri" w:hAnsi="Calibri" w:cs="Times New Roman"/>
          <w:b/>
          <w:bCs/>
          <w:sz w:val="52"/>
          <w:szCs w:val="52"/>
        </w:rPr>
        <w:t xml:space="preserve">Entities </w:t>
      </w:r>
      <w:r w:rsidRPr="00213DBE">
        <w:rPr>
          <w:rFonts w:ascii="Calibri" w:eastAsia="Calibri" w:hAnsi="Calibri" w:cs="Times New Roman"/>
          <w:b/>
          <w:bCs/>
          <w:sz w:val="52"/>
          <w:szCs w:val="52"/>
          <w:lang w:val="en-US"/>
        </w:rPr>
        <w:t>(Including Transition)</w:t>
      </w:r>
      <w:bookmarkEnd w:id="1"/>
    </w:p>
    <w:p w14:paraId="1CA04F6F" w14:textId="77777777" w:rsidR="0068721D" w:rsidRPr="0068721D" w:rsidRDefault="0068721D" w:rsidP="0068721D">
      <w:pPr>
        <w:rPr>
          <w:rFonts w:ascii="Calibri" w:eastAsia="Calibri" w:hAnsi="Calibri" w:cs="Times New Roman"/>
          <w:sz w:val="22"/>
          <w:lang w:val="en-US"/>
        </w:rPr>
      </w:pPr>
    </w:p>
    <w:p w14:paraId="4D140D72" w14:textId="77777777" w:rsidR="0068721D" w:rsidRPr="0068721D" w:rsidRDefault="0068721D" w:rsidP="0068721D">
      <w:pPr>
        <w:rPr>
          <w:rFonts w:ascii="Calibri" w:eastAsia="Calibri" w:hAnsi="Calibri" w:cs="Times New Roman"/>
          <w:sz w:val="22"/>
          <w:lang w:val="en-US"/>
        </w:rPr>
      </w:pPr>
    </w:p>
    <w:p w14:paraId="1554AA21" w14:textId="77777777" w:rsidR="0068721D" w:rsidRPr="0068721D" w:rsidRDefault="0068721D" w:rsidP="0068721D">
      <w:pPr>
        <w:rPr>
          <w:rFonts w:ascii="Calibri" w:eastAsia="Calibri" w:hAnsi="Calibri" w:cs="Times New Roman"/>
          <w:sz w:val="22"/>
          <w:lang w:val="en-US"/>
        </w:rPr>
      </w:pPr>
    </w:p>
    <w:p w14:paraId="6C0F740D" w14:textId="77777777" w:rsidR="0068721D" w:rsidRPr="0068721D" w:rsidRDefault="0068721D" w:rsidP="0068721D">
      <w:pPr>
        <w:rPr>
          <w:rFonts w:ascii="Calibri" w:eastAsia="Calibri" w:hAnsi="Calibri" w:cs="Times New Roman"/>
          <w:sz w:val="22"/>
          <w:lang w:val="en-US"/>
        </w:rPr>
      </w:pPr>
    </w:p>
    <w:p w14:paraId="27E3FC2D" w14:textId="77777777" w:rsidR="0068721D" w:rsidRPr="0068721D" w:rsidRDefault="0068721D" w:rsidP="0068721D">
      <w:pPr>
        <w:rPr>
          <w:rFonts w:ascii="Calibri" w:eastAsia="Calibri" w:hAnsi="Calibri" w:cs="Times New Roman"/>
          <w:sz w:val="22"/>
          <w:lang w:val="en-US"/>
        </w:rPr>
      </w:pPr>
    </w:p>
    <w:p w14:paraId="704E2216" w14:textId="77777777" w:rsidR="0068721D" w:rsidRPr="0068721D" w:rsidRDefault="0068721D" w:rsidP="0068721D">
      <w:pPr>
        <w:rPr>
          <w:rFonts w:ascii="Calibri" w:eastAsia="Calibri" w:hAnsi="Calibri" w:cs="Times New Roman"/>
          <w:sz w:val="22"/>
          <w:lang w:val="en-US"/>
        </w:rPr>
      </w:pPr>
    </w:p>
    <w:p w14:paraId="007E9ABC" w14:textId="77777777" w:rsidR="0068721D" w:rsidRPr="0068721D" w:rsidRDefault="0068721D" w:rsidP="0068721D">
      <w:pPr>
        <w:tabs>
          <w:tab w:val="left" w:pos="6732"/>
        </w:tabs>
        <w:rPr>
          <w:rFonts w:ascii="Calibri" w:eastAsia="Calibri" w:hAnsi="Calibri" w:cs="Times New Roman"/>
          <w:sz w:val="22"/>
          <w:lang w:val="en-US"/>
        </w:rPr>
      </w:pPr>
      <w:r w:rsidRPr="0068721D">
        <w:rPr>
          <w:rFonts w:ascii="Calibri" w:eastAsia="Calibri" w:hAnsi="Calibri" w:cs="Times New Roman"/>
          <w:sz w:val="22"/>
          <w:lang w:val="en-US"/>
        </w:rPr>
        <w:tab/>
      </w:r>
    </w:p>
    <w:p w14:paraId="1402D1C7" w14:textId="77777777" w:rsidR="0068721D" w:rsidRPr="0068721D" w:rsidRDefault="0068721D" w:rsidP="0068721D">
      <w:pPr>
        <w:jc w:val="center"/>
        <w:rPr>
          <w:rFonts w:ascii="Calibri" w:eastAsia="Calibri" w:hAnsi="Calibri" w:cs="Times New Roman"/>
          <w:b/>
          <w:sz w:val="36"/>
          <w:szCs w:val="36"/>
        </w:rPr>
      </w:pPr>
      <w:r w:rsidRPr="0068721D">
        <w:rPr>
          <w:rFonts w:ascii="Calibri" w:eastAsia="Calibri" w:hAnsi="Calibri" w:cs="Times New Roman"/>
          <w:b/>
          <w:sz w:val="36"/>
          <w:szCs w:val="36"/>
        </w:rPr>
        <w:t>For reporting periods</w:t>
      </w:r>
    </w:p>
    <w:p w14:paraId="4B366A9A" w14:textId="77777777" w:rsidR="0068721D" w:rsidRPr="0068721D" w:rsidRDefault="0068721D" w:rsidP="0068721D">
      <w:pPr>
        <w:jc w:val="center"/>
        <w:rPr>
          <w:rFonts w:ascii="Calibri" w:eastAsia="Calibri" w:hAnsi="Calibri" w:cs="Times New Roman"/>
          <w:b/>
          <w:sz w:val="36"/>
          <w:szCs w:val="36"/>
        </w:rPr>
      </w:pPr>
      <w:r w:rsidRPr="0068721D">
        <w:rPr>
          <w:rFonts w:ascii="Calibri" w:eastAsia="Calibri" w:hAnsi="Calibri" w:cs="Times New Roman"/>
          <w:b/>
          <w:sz w:val="36"/>
          <w:szCs w:val="36"/>
        </w:rPr>
        <w:t>Ending on or after 30 June 2020</w:t>
      </w:r>
    </w:p>
    <w:p w14:paraId="696DD0FF" w14:textId="627872C3" w:rsidR="0068721D" w:rsidRDefault="0068721D" w:rsidP="0068721D"/>
    <w:p w14:paraId="60E82D0F" w14:textId="46157609" w:rsidR="0068721D" w:rsidRDefault="0068721D" w:rsidP="0068721D"/>
    <w:p w14:paraId="405E0C17" w14:textId="77777777" w:rsidR="0068721D" w:rsidRDefault="0068721D" w:rsidP="0068721D"/>
    <w:p w14:paraId="306602B7" w14:textId="77777777" w:rsidR="00213DBE" w:rsidRDefault="00213DBE" w:rsidP="0068721D">
      <w:pPr>
        <w:sectPr w:rsidR="00213DBE" w:rsidSect="0068721D">
          <w:headerReference w:type="default" r:id="rId12"/>
          <w:footerReference w:type="default" r:id="rId13"/>
          <w:footerReference w:type="first" r:id="rId14"/>
          <w:pgSz w:w="11906" w:h="16838"/>
          <w:pgMar w:top="1440" w:right="1440" w:bottom="1134" w:left="1440" w:header="708" w:footer="708" w:gutter="0"/>
          <w:cols w:space="708"/>
          <w:docGrid w:linePitch="360"/>
        </w:sectPr>
      </w:pPr>
    </w:p>
    <w:bookmarkStart w:id="2" w:name="_Toc45622596" w:displacedByCustomXml="next"/>
    <w:sdt>
      <w:sdtPr>
        <w:rPr>
          <w:rFonts w:asciiTheme="minorHAnsi" w:eastAsiaTheme="minorHAnsi" w:hAnsiTheme="minorHAnsi" w:cstheme="minorBidi"/>
          <w:b w:val="0"/>
          <w:bCs w:val="0"/>
          <w:caps w:val="0"/>
          <w:kern w:val="0"/>
          <w:sz w:val="24"/>
          <w:szCs w:val="22"/>
        </w:rPr>
        <w:id w:val="-293449737"/>
        <w:docPartObj>
          <w:docPartGallery w:val="Table of Contents"/>
          <w:docPartUnique/>
        </w:docPartObj>
      </w:sdtPr>
      <w:sdtEndPr>
        <w:rPr>
          <w:noProof/>
        </w:rPr>
      </w:sdtEndPr>
      <w:sdtContent>
        <w:p w14:paraId="57EE6143" w14:textId="6AE53C27" w:rsidR="00EE2E62" w:rsidRPr="00597E3B" w:rsidRDefault="00EE2E62" w:rsidP="00044B9F">
          <w:pPr>
            <w:pStyle w:val="Heading1"/>
          </w:pPr>
          <w:r w:rsidRPr="00597E3B">
            <w:t>Contents</w:t>
          </w:r>
          <w:bookmarkEnd w:id="2"/>
        </w:p>
        <w:p w14:paraId="0C0F9ABD" w14:textId="185001FA" w:rsidR="00C9021F" w:rsidRDefault="00597E3B" w:rsidP="00044B9F">
          <w:pPr>
            <w:pStyle w:val="TOC1"/>
            <w:rPr>
              <w:rFonts w:eastAsiaTheme="minorEastAsia"/>
              <w:noProof/>
              <w:sz w:val="22"/>
              <w:lang w:eastAsia="en-AU"/>
            </w:rPr>
          </w:pPr>
          <w:r>
            <w:fldChar w:fldCharType="begin"/>
          </w:r>
          <w:r>
            <w:instrText xml:space="preserve"> TOC \o "1-3" \h \z \u </w:instrText>
          </w:r>
          <w:r>
            <w:fldChar w:fldCharType="separate"/>
          </w:r>
          <w:hyperlink w:anchor="_Toc45622596" w:history="1">
            <w:r w:rsidR="00C9021F" w:rsidRPr="00F93FB1">
              <w:rPr>
                <w:rStyle w:val="Hyperlink"/>
                <w:noProof/>
              </w:rPr>
              <w:t>Contents</w:t>
            </w:r>
            <w:r w:rsidR="00C9021F">
              <w:rPr>
                <w:noProof/>
                <w:webHidden/>
              </w:rPr>
              <w:tab/>
            </w:r>
            <w:r w:rsidR="00C9021F">
              <w:rPr>
                <w:noProof/>
                <w:webHidden/>
              </w:rPr>
              <w:fldChar w:fldCharType="begin"/>
            </w:r>
            <w:r w:rsidR="00C9021F">
              <w:rPr>
                <w:noProof/>
                <w:webHidden/>
              </w:rPr>
              <w:instrText xml:space="preserve"> PAGEREF _Toc45622596 \h </w:instrText>
            </w:r>
            <w:r w:rsidR="00C9021F">
              <w:rPr>
                <w:noProof/>
                <w:webHidden/>
              </w:rPr>
            </w:r>
            <w:r w:rsidR="00C9021F">
              <w:rPr>
                <w:noProof/>
                <w:webHidden/>
              </w:rPr>
              <w:fldChar w:fldCharType="separate"/>
            </w:r>
            <w:r w:rsidR="00C9021F">
              <w:rPr>
                <w:noProof/>
                <w:webHidden/>
              </w:rPr>
              <w:t>2</w:t>
            </w:r>
            <w:r w:rsidR="00C9021F">
              <w:rPr>
                <w:noProof/>
                <w:webHidden/>
              </w:rPr>
              <w:fldChar w:fldCharType="end"/>
            </w:r>
          </w:hyperlink>
        </w:p>
        <w:p w14:paraId="4DB00360" w14:textId="66255F79" w:rsidR="00C9021F" w:rsidRDefault="007B137C" w:rsidP="00044B9F">
          <w:pPr>
            <w:pStyle w:val="TOC1"/>
            <w:rPr>
              <w:rFonts w:eastAsiaTheme="minorEastAsia"/>
              <w:noProof/>
              <w:sz w:val="22"/>
              <w:lang w:eastAsia="en-AU"/>
            </w:rPr>
          </w:pPr>
          <w:hyperlink w:anchor="_Toc45622597" w:history="1">
            <w:r w:rsidR="00C9021F" w:rsidRPr="00F93FB1">
              <w:rPr>
                <w:rStyle w:val="Hyperlink"/>
                <w:noProof/>
              </w:rPr>
              <w:t>Background</w:t>
            </w:r>
            <w:r w:rsidR="00C9021F">
              <w:rPr>
                <w:noProof/>
                <w:webHidden/>
              </w:rPr>
              <w:tab/>
            </w:r>
            <w:r w:rsidR="00C9021F">
              <w:rPr>
                <w:noProof/>
                <w:webHidden/>
              </w:rPr>
              <w:fldChar w:fldCharType="begin"/>
            </w:r>
            <w:r w:rsidR="00C9021F">
              <w:rPr>
                <w:noProof/>
                <w:webHidden/>
              </w:rPr>
              <w:instrText xml:space="preserve"> PAGEREF _Toc45622597 \h </w:instrText>
            </w:r>
            <w:r w:rsidR="00C9021F">
              <w:rPr>
                <w:noProof/>
                <w:webHidden/>
              </w:rPr>
            </w:r>
            <w:r w:rsidR="00C9021F">
              <w:rPr>
                <w:noProof/>
                <w:webHidden/>
              </w:rPr>
              <w:fldChar w:fldCharType="separate"/>
            </w:r>
            <w:r w:rsidR="00C9021F">
              <w:rPr>
                <w:noProof/>
                <w:webHidden/>
              </w:rPr>
              <w:t>4</w:t>
            </w:r>
            <w:r w:rsidR="00C9021F">
              <w:rPr>
                <w:noProof/>
                <w:webHidden/>
              </w:rPr>
              <w:fldChar w:fldCharType="end"/>
            </w:r>
          </w:hyperlink>
        </w:p>
        <w:p w14:paraId="747E54FC" w14:textId="1109D8C6" w:rsidR="00C9021F" w:rsidRDefault="007B137C" w:rsidP="00044B9F">
          <w:pPr>
            <w:pStyle w:val="TOC1"/>
            <w:rPr>
              <w:rFonts w:eastAsiaTheme="minorEastAsia"/>
              <w:noProof/>
              <w:sz w:val="22"/>
              <w:lang w:eastAsia="en-AU"/>
            </w:rPr>
          </w:pPr>
          <w:hyperlink w:anchor="_Toc45622598" w:history="1">
            <w:r w:rsidR="00C9021F" w:rsidRPr="00F93FB1">
              <w:rPr>
                <w:rStyle w:val="Hyperlink"/>
                <w:noProof/>
              </w:rPr>
              <w:t>What is changing</w:t>
            </w:r>
            <w:r w:rsidR="00C9021F">
              <w:rPr>
                <w:noProof/>
                <w:webHidden/>
              </w:rPr>
              <w:tab/>
            </w:r>
            <w:r w:rsidR="00C9021F">
              <w:rPr>
                <w:noProof/>
                <w:webHidden/>
              </w:rPr>
              <w:fldChar w:fldCharType="begin"/>
            </w:r>
            <w:r w:rsidR="00C9021F">
              <w:rPr>
                <w:noProof/>
                <w:webHidden/>
              </w:rPr>
              <w:instrText xml:space="preserve"> PAGEREF _Toc45622598 \h </w:instrText>
            </w:r>
            <w:r w:rsidR="00C9021F">
              <w:rPr>
                <w:noProof/>
                <w:webHidden/>
              </w:rPr>
            </w:r>
            <w:r w:rsidR="00C9021F">
              <w:rPr>
                <w:noProof/>
                <w:webHidden/>
              </w:rPr>
              <w:fldChar w:fldCharType="separate"/>
            </w:r>
            <w:r w:rsidR="00C9021F">
              <w:rPr>
                <w:noProof/>
                <w:webHidden/>
              </w:rPr>
              <w:t>4</w:t>
            </w:r>
            <w:r w:rsidR="00C9021F">
              <w:rPr>
                <w:noProof/>
                <w:webHidden/>
              </w:rPr>
              <w:fldChar w:fldCharType="end"/>
            </w:r>
          </w:hyperlink>
        </w:p>
        <w:p w14:paraId="2D8F42F5" w14:textId="46D1FE1F" w:rsidR="00C9021F" w:rsidRDefault="007B137C" w:rsidP="00044B9F">
          <w:pPr>
            <w:pStyle w:val="TOC1"/>
            <w:rPr>
              <w:rFonts w:eastAsiaTheme="minorEastAsia"/>
              <w:noProof/>
              <w:sz w:val="22"/>
              <w:lang w:eastAsia="en-AU"/>
            </w:rPr>
          </w:pPr>
          <w:hyperlink w:anchor="_Toc45622599" w:history="1">
            <w:r w:rsidR="00C9021F" w:rsidRPr="00F93FB1">
              <w:rPr>
                <w:rStyle w:val="Hyperlink"/>
                <w:noProof/>
              </w:rPr>
              <w:t>Transition approach – Both Standards (AASB15.C(b))</w:t>
            </w:r>
            <w:r w:rsidR="00C9021F">
              <w:rPr>
                <w:noProof/>
                <w:webHidden/>
              </w:rPr>
              <w:tab/>
            </w:r>
            <w:r w:rsidR="00C9021F">
              <w:rPr>
                <w:noProof/>
                <w:webHidden/>
              </w:rPr>
              <w:fldChar w:fldCharType="begin"/>
            </w:r>
            <w:r w:rsidR="00C9021F">
              <w:rPr>
                <w:noProof/>
                <w:webHidden/>
              </w:rPr>
              <w:instrText xml:space="preserve"> PAGEREF _Toc45622599 \h </w:instrText>
            </w:r>
            <w:r w:rsidR="00C9021F">
              <w:rPr>
                <w:noProof/>
                <w:webHidden/>
              </w:rPr>
            </w:r>
            <w:r w:rsidR="00C9021F">
              <w:rPr>
                <w:noProof/>
                <w:webHidden/>
              </w:rPr>
              <w:fldChar w:fldCharType="separate"/>
            </w:r>
            <w:r w:rsidR="00C9021F">
              <w:rPr>
                <w:noProof/>
                <w:webHidden/>
              </w:rPr>
              <w:t>5</w:t>
            </w:r>
            <w:r w:rsidR="00C9021F">
              <w:rPr>
                <w:noProof/>
                <w:webHidden/>
              </w:rPr>
              <w:fldChar w:fldCharType="end"/>
            </w:r>
          </w:hyperlink>
        </w:p>
        <w:p w14:paraId="6C086AC5" w14:textId="03D907B4" w:rsidR="00C9021F" w:rsidRDefault="007B137C" w:rsidP="00044B9F">
          <w:pPr>
            <w:pStyle w:val="TOC1"/>
            <w:rPr>
              <w:rFonts w:eastAsiaTheme="minorEastAsia"/>
              <w:noProof/>
              <w:sz w:val="22"/>
              <w:lang w:eastAsia="en-AU"/>
            </w:rPr>
          </w:pPr>
          <w:hyperlink w:anchor="_Toc45622600" w:history="1">
            <w:r w:rsidR="00C9021F" w:rsidRPr="00F93FB1">
              <w:rPr>
                <w:rStyle w:val="Hyperlink"/>
                <w:noProof/>
              </w:rPr>
              <w:t>Impact on existing contracts (AASB15.C2 – Ausc2.1) (AASB1058.C2) – Transition</w:t>
            </w:r>
            <w:r w:rsidR="00C9021F">
              <w:rPr>
                <w:noProof/>
                <w:webHidden/>
              </w:rPr>
              <w:tab/>
            </w:r>
            <w:r w:rsidR="00C9021F">
              <w:rPr>
                <w:noProof/>
                <w:webHidden/>
              </w:rPr>
              <w:fldChar w:fldCharType="begin"/>
            </w:r>
            <w:r w:rsidR="00C9021F">
              <w:rPr>
                <w:noProof/>
                <w:webHidden/>
              </w:rPr>
              <w:instrText xml:space="preserve"> PAGEREF _Toc45622600 \h </w:instrText>
            </w:r>
            <w:r w:rsidR="00C9021F">
              <w:rPr>
                <w:noProof/>
                <w:webHidden/>
              </w:rPr>
            </w:r>
            <w:r w:rsidR="00C9021F">
              <w:rPr>
                <w:noProof/>
                <w:webHidden/>
              </w:rPr>
              <w:fldChar w:fldCharType="separate"/>
            </w:r>
            <w:r w:rsidR="00C9021F">
              <w:rPr>
                <w:noProof/>
                <w:webHidden/>
              </w:rPr>
              <w:t>6</w:t>
            </w:r>
            <w:r w:rsidR="00C9021F">
              <w:rPr>
                <w:noProof/>
                <w:webHidden/>
              </w:rPr>
              <w:fldChar w:fldCharType="end"/>
            </w:r>
          </w:hyperlink>
        </w:p>
        <w:p w14:paraId="19F5097F" w14:textId="0DCCD341" w:rsidR="00C9021F" w:rsidRDefault="007B137C" w:rsidP="00044B9F">
          <w:pPr>
            <w:pStyle w:val="TOC1"/>
            <w:rPr>
              <w:rFonts w:eastAsiaTheme="minorEastAsia"/>
              <w:noProof/>
              <w:sz w:val="22"/>
              <w:lang w:eastAsia="en-AU"/>
            </w:rPr>
          </w:pPr>
          <w:hyperlink w:anchor="_Toc45622601" w:history="1">
            <w:r w:rsidR="00C9021F" w:rsidRPr="00F93FB1">
              <w:rPr>
                <w:rStyle w:val="Hyperlink"/>
                <w:noProof/>
              </w:rPr>
              <w:t>Policy Structure</w:t>
            </w:r>
            <w:r w:rsidR="00C9021F">
              <w:rPr>
                <w:noProof/>
                <w:webHidden/>
              </w:rPr>
              <w:tab/>
            </w:r>
            <w:r w:rsidR="00C9021F">
              <w:rPr>
                <w:noProof/>
                <w:webHidden/>
              </w:rPr>
              <w:fldChar w:fldCharType="begin"/>
            </w:r>
            <w:r w:rsidR="00C9021F">
              <w:rPr>
                <w:noProof/>
                <w:webHidden/>
              </w:rPr>
              <w:instrText xml:space="preserve"> PAGEREF _Toc45622601 \h </w:instrText>
            </w:r>
            <w:r w:rsidR="00C9021F">
              <w:rPr>
                <w:noProof/>
                <w:webHidden/>
              </w:rPr>
            </w:r>
            <w:r w:rsidR="00C9021F">
              <w:rPr>
                <w:noProof/>
                <w:webHidden/>
              </w:rPr>
              <w:fldChar w:fldCharType="separate"/>
            </w:r>
            <w:r w:rsidR="00C9021F">
              <w:rPr>
                <w:noProof/>
                <w:webHidden/>
              </w:rPr>
              <w:t>6</w:t>
            </w:r>
            <w:r w:rsidR="00C9021F">
              <w:rPr>
                <w:noProof/>
                <w:webHidden/>
              </w:rPr>
              <w:fldChar w:fldCharType="end"/>
            </w:r>
          </w:hyperlink>
        </w:p>
        <w:p w14:paraId="6879FF69" w14:textId="5EDF46B0" w:rsidR="00C9021F" w:rsidRDefault="007B137C" w:rsidP="00044B9F">
          <w:pPr>
            <w:pStyle w:val="TOC1"/>
            <w:rPr>
              <w:rFonts w:eastAsiaTheme="minorEastAsia"/>
              <w:noProof/>
              <w:sz w:val="22"/>
              <w:lang w:eastAsia="en-AU"/>
            </w:rPr>
          </w:pPr>
          <w:hyperlink w:anchor="_Toc45622602" w:history="1">
            <w:r w:rsidR="00C9021F" w:rsidRPr="00F93FB1">
              <w:rPr>
                <w:rStyle w:val="Hyperlink"/>
                <w:noProof/>
              </w:rPr>
              <w:t>Relevant Standards</w:t>
            </w:r>
            <w:r w:rsidR="00C9021F">
              <w:rPr>
                <w:noProof/>
                <w:webHidden/>
              </w:rPr>
              <w:tab/>
            </w:r>
            <w:r w:rsidR="00C9021F">
              <w:rPr>
                <w:noProof/>
                <w:webHidden/>
              </w:rPr>
              <w:fldChar w:fldCharType="begin"/>
            </w:r>
            <w:r w:rsidR="00C9021F">
              <w:rPr>
                <w:noProof/>
                <w:webHidden/>
              </w:rPr>
              <w:instrText xml:space="preserve"> PAGEREF _Toc45622602 \h </w:instrText>
            </w:r>
            <w:r w:rsidR="00C9021F">
              <w:rPr>
                <w:noProof/>
                <w:webHidden/>
              </w:rPr>
            </w:r>
            <w:r w:rsidR="00C9021F">
              <w:rPr>
                <w:noProof/>
                <w:webHidden/>
              </w:rPr>
              <w:fldChar w:fldCharType="separate"/>
            </w:r>
            <w:r w:rsidR="00C9021F">
              <w:rPr>
                <w:noProof/>
                <w:webHidden/>
              </w:rPr>
              <w:t>7</w:t>
            </w:r>
            <w:r w:rsidR="00C9021F">
              <w:rPr>
                <w:noProof/>
                <w:webHidden/>
              </w:rPr>
              <w:fldChar w:fldCharType="end"/>
            </w:r>
          </w:hyperlink>
        </w:p>
        <w:p w14:paraId="2B485AC7" w14:textId="3BE88AC2" w:rsidR="00C9021F" w:rsidRDefault="007B137C" w:rsidP="00044B9F">
          <w:pPr>
            <w:pStyle w:val="TOC1"/>
            <w:rPr>
              <w:rFonts w:eastAsiaTheme="minorEastAsia"/>
              <w:noProof/>
              <w:sz w:val="22"/>
              <w:lang w:eastAsia="en-AU"/>
            </w:rPr>
          </w:pPr>
          <w:hyperlink w:anchor="_Toc45622603" w:history="1">
            <w:r w:rsidR="00C9021F" w:rsidRPr="00F93FB1">
              <w:rPr>
                <w:rStyle w:val="Hyperlink"/>
                <w:noProof/>
              </w:rPr>
              <w:t>Part A: AASB 15 Revenue from contracts</w:t>
            </w:r>
            <w:r w:rsidR="00C9021F">
              <w:rPr>
                <w:noProof/>
                <w:webHidden/>
              </w:rPr>
              <w:tab/>
            </w:r>
            <w:r w:rsidR="00C9021F">
              <w:rPr>
                <w:noProof/>
                <w:webHidden/>
              </w:rPr>
              <w:fldChar w:fldCharType="begin"/>
            </w:r>
            <w:r w:rsidR="00C9021F">
              <w:rPr>
                <w:noProof/>
                <w:webHidden/>
              </w:rPr>
              <w:instrText xml:space="preserve"> PAGEREF _Toc45622603 \h </w:instrText>
            </w:r>
            <w:r w:rsidR="00C9021F">
              <w:rPr>
                <w:noProof/>
                <w:webHidden/>
              </w:rPr>
            </w:r>
            <w:r w:rsidR="00C9021F">
              <w:rPr>
                <w:noProof/>
                <w:webHidden/>
              </w:rPr>
              <w:fldChar w:fldCharType="separate"/>
            </w:r>
            <w:r w:rsidR="00C9021F">
              <w:rPr>
                <w:noProof/>
                <w:webHidden/>
              </w:rPr>
              <w:t>7</w:t>
            </w:r>
            <w:r w:rsidR="00C9021F">
              <w:rPr>
                <w:noProof/>
                <w:webHidden/>
              </w:rPr>
              <w:fldChar w:fldCharType="end"/>
            </w:r>
          </w:hyperlink>
        </w:p>
        <w:p w14:paraId="11CF52E5" w14:textId="19478A1C" w:rsidR="00C9021F" w:rsidRDefault="007B137C" w:rsidP="00044B9F">
          <w:pPr>
            <w:pStyle w:val="TOC1"/>
            <w:rPr>
              <w:rFonts w:eastAsiaTheme="minorEastAsia"/>
              <w:noProof/>
              <w:sz w:val="22"/>
              <w:lang w:eastAsia="en-AU"/>
            </w:rPr>
          </w:pPr>
          <w:hyperlink w:anchor="_Toc45622604" w:history="1">
            <w:r w:rsidR="00C9021F" w:rsidRPr="00F93FB1">
              <w:rPr>
                <w:rStyle w:val="Hyperlink"/>
                <w:noProof/>
              </w:rPr>
              <w:t>A1.</w:t>
            </w:r>
            <w:r w:rsidR="00C9021F">
              <w:rPr>
                <w:rFonts w:eastAsiaTheme="minorEastAsia"/>
                <w:noProof/>
                <w:sz w:val="22"/>
                <w:lang w:eastAsia="en-AU"/>
              </w:rPr>
              <w:tab/>
            </w:r>
            <w:r w:rsidR="00C9021F" w:rsidRPr="00F93FB1">
              <w:rPr>
                <w:rStyle w:val="Hyperlink"/>
                <w:noProof/>
              </w:rPr>
              <w:t>Application date</w:t>
            </w:r>
            <w:r w:rsidR="00C9021F">
              <w:rPr>
                <w:noProof/>
                <w:webHidden/>
              </w:rPr>
              <w:tab/>
            </w:r>
            <w:r w:rsidR="00C9021F">
              <w:rPr>
                <w:noProof/>
                <w:webHidden/>
              </w:rPr>
              <w:fldChar w:fldCharType="begin"/>
            </w:r>
            <w:r w:rsidR="00C9021F">
              <w:rPr>
                <w:noProof/>
                <w:webHidden/>
              </w:rPr>
              <w:instrText xml:space="preserve"> PAGEREF _Toc45622604 \h </w:instrText>
            </w:r>
            <w:r w:rsidR="00C9021F">
              <w:rPr>
                <w:noProof/>
                <w:webHidden/>
              </w:rPr>
            </w:r>
            <w:r w:rsidR="00C9021F">
              <w:rPr>
                <w:noProof/>
                <w:webHidden/>
              </w:rPr>
              <w:fldChar w:fldCharType="separate"/>
            </w:r>
            <w:r w:rsidR="00C9021F">
              <w:rPr>
                <w:noProof/>
                <w:webHidden/>
              </w:rPr>
              <w:t>7</w:t>
            </w:r>
            <w:r w:rsidR="00C9021F">
              <w:rPr>
                <w:noProof/>
                <w:webHidden/>
              </w:rPr>
              <w:fldChar w:fldCharType="end"/>
            </w:r>
          </w:hyperlink>
        </w:p>
        <w:p w14:paraId="59ABE36C" w14:textId="56291AA5" w:rsidR="00C9021F" w:rsidRDefault="007B137C" w:rsidP="00044B9F">
          <w:pPr>
            <w:pStyle w:val="TOC1"/>
            <w:rPr>
              <w:rFonts w:eastAsiaTheme="minorEastAsia"/>
              <w:noProof/>
              <w:sz w:val="22"/>
              <w:lang w:eastAsia="en-AU"/>
            </w:rPr>
          </w:pPr>
          <w:hyperlink w:anchor="_Toc45622605" w:history="1">
            <w:r w:rsidR="00C9021F" w:rsidRPr="00F93FB1">
              <w:rPr>
                <w:rStyle w:val="Hyperlink"/>
                <w:noProof/>
              </w:rPr>
              <w:t>A2.</w:t>
            </w:r>
            <w:r w:rsidR="00C9021F">
              <w:rPr>
                <w:rFonts w:eastAsiaTheme="minorEastAsia"/>
                <w:noProof/>
                <w:sz w:val="22"/>
                <w:lang w:eastAsia="en-AU"/>
              </w:rPr>
              <w:tab/>
            </w:r>
            <w:r w:rsidR="00C9021F" w:rsidRPr="00F93FB1">
              <w:rPr>
                <w:rStyle w:val="Hyperlink"/>
                <w:noProof/>
              </w:rPr>
              <w:t>Scope (AASB 15.5–15.8)</w:t>
            </w:r>
            <w:r w:rsidR="00C9021F">
              <w:rPr>
                <w:noProof/>
                <w:webHidden/>
              </w:rPr>
              <w:tab/>
            </w:r>
            <w:r w:rsidR="00C9021F">
              <w:rPr>
                <w:noProof/>
                <w:webHidden/>
              </w:rPr>
              <w:fldChar w:fldCharType="begin"/>
            </w:r>
            <w:r w:rsidR="00C9021F">
              <w:rPr>
                <w:noProof/>
                <w:webHidden/>
              </w:rPr>
              <w:instrText xml:space="preserve"> PAGEREF _Toc45622605 \h </w:instrText>
            </w:r>
            <w:r w:rsidR="00C9021F">
              <w:rPr>
                <w:noProof/>
                <w:webHidden/>
              </w:rPr>
            </w:r>
            <w:r w:rsidR="00C9021F">
              <w:rPr>
                <w:noProof/>
                <w:webHidden/>
              </w:rPr>
              <w:fldChar w:fldCharType="separate"/>
            </w:r>
            <w:r w:rsidR="00C9021F">
              <w:rPr>
                <w:noProof/>
                <w:webHidden/>
              </w:rPr>
              <w:t>7</w:t>
            </w:r>
            <w:r w:rsidR="00C9021F">
              <w:rPr>
                <w:noProof/>
                <w:webHidden/>
              </w:rPr>
              <w:fldChar w:fldCharType="end"/>
            </w:r>
          </w:hyperlink>
        </w:p>
        <w:p w14:paraId="324083F9" w14:textId="2A92A68A" w:rsidR="00C9021F" w:rsidRDefault="007B137C" w:rsidP="00044B9F">
          <w:pPr>
            <w:pStyle w:val="TOC1"/>
            <w:rPr>
              <w:rFonts w:eastAsiaTheme="minorEastAsia"/>
              <w:noProof/>
              <w:sz w:val="22"/>
              <w:lang w:eastAsia="en-AU"/>
            </w:rPr>
          </w:pPr>
          <w:hyperlink w:anchor="_Toc45622606" w:history="1">
            <w:r w:rsidR="00C9021F" w:rsidRPr="00F93FB1">
              <w:rPr>
                <w:rStyle w:val="Hyperlink"/>
                <w:noProof/>
              </w:rPr>
              <w:t>A2.</w:t>
            </w:r>
            <w:r w:rsidR="00C9021F">
              <w:rPr>
                <w:rFonts w:eastAsiaTheme="minorEastAsia"/>
                <w:noProof/>
                <w:sz w:val="22"/>
                <w:lang w:eastAsia="en-AU"/>
              </w:rPr>
              <w:tab/>
            </w:r>
            <w:r w:rsidR="00C9021F" w:rsidRPr="00F93FB1">
              <w:rPr>
                <w:rStyle w:val="Hyperlink"/>
                <w:noProof/>
              </w:rPr>
              <w:t>Exclusions (AASB15.5)</w:t>
            </w:r>
            <w:r w:rsidR="00C9021F">
              <w:rPr>
                <w:noProof/>
                <w:webHidden/>
              </w:rPr>
              <w:tab/>
            </w:r>
            <w:r w:rsidR="00C9021F">
              <w:rPr>
                <w:noProof/>
                <w:webHidden/>
              </w:rPr>
              <w:fldChar w:fldCharType="begin"/>
            </w:r>
            <w:r w:rsidR="00C9021F">
              <w:rPr>
                <w:noProof/>
                <w:webHidden/>
              </w:rPr>
              <w:instrText xml:space="preserve"> PAGEREF _Toc45622606 \h </w:instrText>
            </w:r>
            <w:r w:rsidR="00C9021F">
              <w:rPr>
                <w:noProof/>
                <w:webHidden/>
              </w:rPr>
            </w:r>
            <w:r w:rsidR="00C9021F">
              <w:rPr>
                <w:noProof/>
                <w:webHidden/>
              </w:rPr>
              <w:fldChar w:fldCharType="separate"/>
            </w:r>
            <w:r w:rsidR="00C9021F">
              <w:rPr>
                <w:noProof/>
                <w:webHidden/>
              </w:rPr>
              <w:t>8</w:t>
            </w:r>
            <w:r w:rsidR="00C9021F">
              <w:rPr>
                <w:noProof/>
                <w:webHidden/>
              </w:rPr>
              <w:fldChar w:fldCharType="end"/>
            </w:r>
          </w:hyperlink>
        </w:p>
        <w:p w14:paraId="7013A3D9" w14:textId="4CCE1D51" w:rsidR="00C9021F" w:rsidRDefault="007B137C" w:rsidP="00044B9F">
          <w:pPr>
            <w:pStyle w:val="TOC1"/>
            <w:rPr>
              <w:rFonts w:eastAsiaTheme="minorEastAsia"/>
              <w:noProof/>
              <w:sz w:val="22"/>
              <w:lang w:eastAsia="en-AU"/>
            </w:rPr>
          </w:pPr>
          <w:hyperlink w:anchor="_Toc45622607" w:history="1">
            <w:r w:rsidR="00C9021F" w:rsidRPr="00F93FB1">
              <w:rPr>
                <w:rStyle w:val="Hyperlink"/>
                <w:noProof/>
              </w:rPr>
              <w:t>A3.</w:t>
            </w:r>
            <w:r w:rsidR="00C9021F">
              <w:rPr>
                <w:rFonts w:eastAsiaTheme="minorEastAsia"/>
                <w:noProof/>
                <w:sz w:val="22"/>
                <w:lang w:eastAsia="en-AU"/>
              </w:rPr>
              <w:tab/>
            </w:r>
            <w:r w:rsidR="00C9021F" w:rsidRPr="00F93FB1">
              <w:rPr>
                <w:rStyle w:val="Hyperlink"/>
                <w:noProof/>
              </w:rPr>
              <w:t>Portfolio application (AASB 15.4)</w:t>
            </w:r>
            <w:r w:rsidR="00C9021F">
              <w:rPr>
                <w:noProof/>
                <w:webHidden/>
              </w:rPr>
              <w:tab/>
            </w:r>
            <w:r w:rsidR="00C9021F">
              <w:rPr>
                <w:noProof/>
                <w:webHidden/>
              </w:rPr>
              <w:fldChar w:fldCharType="begin"/>
            </w:r>
            <w:r w:rsidR="00C9021F">
              <w:rPr>
                <w:noProof/>
                <w:webHidden/>
              </w:rPr>
              <w:instrText xml:space="preserve"> PAGEREF _Toc45622607 \h </w:instrText>
            </w:r>
            <w:r w:rsidR="00C9021F">
              <w:rPr>
                <w:noProof/>
                <w:webHidden/>
              </w:rPr>
            </w:r>
            <w:r w:rsidR="00C9021F">
              <w:rPr>
                <w:noProof/>
                <w:webHidden/>
              </w:rPr>
              <w:fldChar w:fldCharType="separate"/>
            </w:r>
            <w:r w:rsidR="00C9021F">
              <w:rPr>
                <w:noProof/>
                <w:webHidden/>
              </w:rPr>
              <w:t>8</w:t>
            </w:r>
            <w:r w:rsidR="00C9021F">
              <w:rPr>
                <w:noProof/>
                <w:webHidden/>
              </w:rPr>
              <w:fldChar w:fldCharType="end"/>
            </w:r>
          </w:hyperlink>
        </w:p>
        <w:p w14:paraId="3C81A51B" w14:textId="030A0F62" w:rsidR="00C9021F" w:rsidRDefault="007B137C" w:rsidP="00044B9F">
          <w:pPr>
            <w:pStyle w:val="TOC1"/>
            <w:rPr>
              <w:rFonts w:eastAsiaTheme="minorEastAsia"/>
              <w:noProof/>
              <w:sz w:val="22"/>
              <w:lang w:eastAsia="en-AU"/>
            </w:rPr>
          </w:pPr>
          <w:hyperlink w:anchor="_Toc45622608" w:history="1">
            <w:r w:rsidR="00C9021F" w:rsidRPr="00F93FB1">
              <w:rPr>
                <w:rStyle w:val="Hyperlink"/>
                <w:noProof/>
              </w:rPr>
              <w:t>A4.</w:t>
            </w:r>
            <w:r w:rsidR="00C9021F">
              <w:rPr>
                <w:rFonts w:eastAsiaTheme="minorEastAsia"/>
                <w:noProof/>
                <w:sz w:val="22"/>
                <w:lang w:eastAsia="en-AU"/>
              </w:rPr>
              <w:tab/>
            </w:r>
            <w:r w:rsidR="00C9021F" w:rsidRPr="00F93FB1">
              <w:rPr>
                <w:rStyle w:val="Hyperlink"/>
                <w:noProof/>
              </w:rPr>
              <w:t>Five Step revenue recognition model</w:t>
            </w:r>
            <w:r w:rsidR="00C9021F">
              <w:rPr>
                <w:noProof/>
                <w:webHidden/>
              </w:rPr>
              <w:tab/>
            </w:r>
            <w:r w:rsidR="00C9021F">
              <w:rPr>
                <w:noProof/>
                <w:webHidden/>
              </w:rPr>
              <w:fldChar w:fldCharType="begin"/>
            </w:r>
            <w:r w:rsidR="00C9021F">
              <w:rPr>
                <w:noProof/>
                <w:webHidden/>
              </w:rPr>
              <w:instrText xml:space="preserve"> PAGEREF _Toc45622608 \h </w:instrText>
            </w:r>
            <w:r w:rsidR="00C9021F">
              <w:rPr>
                <w:noProof/>
                <w:webHidden/>
              </w:rPr>
            </w:r>
            <w:r w:rsidR="00C9021F">
              <w:rPr>
                <w:noProof/>
                <w:webHidden/>
              </w:rPr>
              <w:fldChar w:fldCharType="separate"/>
            </w:r>
            <w:r w:rsidR="00C9021F">
              <w:rPr>
                <w:noProof/>
                <w:webHidden/>
              </w:rPr>
              <w:t>8</w:t>
            </w:r>
            <w:r w:rsidR="00C9021F">
              <w:rPr>
                <w:noProof/>
                <w:webHidden/>
              </w:rPr>
              <w:fldChar w:fldCharType="end"/>
            </w:r>
          </w:hyperlink>
        </w:p>
        <w:p w14:paraId="54A7DE97" w14:textId="4B256EF8" w:rsidR="00C9021F" w:rsidRDefault="007B137C">
          <w:pPr>
            <w:pStyle w:val="TOC2"/>
            <w:tabs>
              <w:tab w:val="left" w:pos="1100"/>
              <w:tab w:val="right" w:leader="dot" w:pos="9016"/>
            </w:tabs>
            <w:rPr>
              <w:rFonts w:eastAsiaTheme="minorEastAsia"/>
              <w:noProof/>
              <w:sz w:val="22"/>
              <w:lang w:eastAsia="en-AU"/>
            </w:rPr>
          </w:pPr>
          <w:hyperlink w:anchor="_Toc45622609" w:history="1">
            <w:r w:rsidR="00C9021F" w:rsidRPr="00F93FB1">
              <w:rPr>
                <w:rStyle w:val="Hyperlink"/>
                <w:noProof/>
              </w:rPr>
              <w:t>A4.1</w:t>
            </w:r>
            <w:r w:rsidR="00C9021F">
              <w:rPr>
                <w:rFonts w:eastAsiaTheme="minorEastAsia"/>
                <w:noProof/>
                <w:sz w:val="22"/>
                <w:lang w:eastAsia="en-AU"/>
              </w:rPr>
              <w:tab/>
            </w:r>
            <w:r w:rsidR="00C9021F" w:rsidRPr="00F93FB1">
              <w:rPr>
                <w:rStyle w:val="Hyperlink"/>
                <w:noProof/>
              </w:rPr>
              <w:t>Step1: Identifying the contract with a customer (AASB 15.9-15.21 &amp; 15.F5-F19))</w:t>
            </w:r>
            <w:r w:rsidR="00C9021F">
              <w:rPr>
                <w:noProof/>
                <w:webHidden/>
              </w:rPr>
              <w:tab/>
            </w:r>
            <w:r w:rsidR="00C9021F">
              <w:rPr>
                <w:noProof/>
                <w:webHidden/>
              </w:rPr>
              <w:fldChar w:fldCharType="begin"/>
            </w:r>
            <w:r w:rsidR="00C9021F">
              <w:rPr>
                <w:noProof/>
                <w:webHidden/>
              </w:rPr>
              <w:instrText xml:space="preserve"> PAGEREF _Toc45622609 \h </w:instrText>
            </w:r>
            <w:r w:rsidR="00C9021F">
              <w:rPr>
                <w:noProof/>
                <w:webHidden/>
              </w:rPr>
            </w:r>
            <w:r w:rsidR="00C9021F">
              <w:rPr>
                <w:noProof/>
                <w:webHidden/>
              </w:rPr>
              <w:fldChar w:fldCharType="separate"/>
            </w:r>
            <w:r w:rsidR="00C9021F">
              <w:rPr>
                <w:noProof/>
                <w:webHidden/>
              </w:rPr>
              <w:t>8</w:t>
            </w:r>
            <w:r w:rsidR="00C9021F">
              <w:rPr>
                <w:noProof/>
                <w:webHidden/>
              </w:rPr>
              <w:fldChar w:fldCharType="end"/>
            </w:r>
          </w:hyperlink>
        </w:p>
        <w:p w14:paraId="47132245" w14:textId="62FD3EB9" w:rsidR="00C9021F" w:rsidRDefault="007B137C">
          <w:pPr>
            <w:pStyle w:val="TOC3"/>
            <w:tabs>
              <w:tab w:val="left" w:pos="1320"/>
              <w:tab w:val="right" w:leader="dot" w:pos="9016"/>
            </w:tabs>
            <w:rPr>
              <w:rFonts w:eastAsiaTheme="minorEastAsia"/>
              <w:noProof/>
              <w:sz w:val="22"/>
              <w:lang w:eastAsia="en-AU"/>
            </w:rPr>
          </w:pPr>
          <w:hyperlink w:anchor="_Toc45622610" w:history="1">
            <w:r w:rsidR="00C9021F" w:rsidRPr="00F93FB1">
              <w:rPr>
                <w:rStyle w:val="Hyperlink"/>
                <w:noProof/>
              </w:rPr>
              <w:t>A4.1.1</w:t>
            </w:r>
            <w:r w:rsidR="00C9021F">
              <w:rPr>
                <w:rFonts w:eastAsiaTheme="minorEastAsia"/>
                <w:noProof/>
                <w:sz w:val="22"/>
                <w:lang w:eastAsia="en-AU"/>
              </w:rPr>
              <w:tab/>
            </w:r>
            <w:r w:rsidR="00C9021F" w:rsidRPr="00F93FB1">
              <w:rPr>
                <w:rStyle w:val="Hyperlink"/>
                <w:noProof/>
              </w:rPr>
              <w:t>Accounting when the Criteria for a Contract are not met (AASB 15.15-15.16)</w:t>
            </w:r>
            <w:r w:rsidR="00C9021F">
              <w:rPr>
                <w:noProof/>
                <w:webHidden/>
              </w:rPr>
              <w:tab/>
            </w:r>
            <w:r w:rsidR="00C9021F">
              <w:rPr>
                <w:noProof/>
                <w:webHidden/>
              </w:rPr>
              <w:fldChar w:fldCharType="begin"/>
            </w:r>
            <w:r w:rsidR="00C9021F">
              <w:rPr>
                <w:noProof/>
                <w:webHidden/>
              </w:rPr>
              <w:instrText xml:space="preserve"> PAGEREF _Toc45622610 \h </w:instrText>
            </w:r>
            <w:r w:rsidR="00C9021F">
              <w:rPr>
                <w:noProof/>
                <w:webHidden/>
              </w:rPr>
            </w:r>
            <w:r w:rsidR="00C9021F">
              <w:rPr>
                <w:noProof/>
                <w:webHidden/>
              </w:rPr>
              <w:fldChar w:fldCharType="separate"/>
            </w:r>
            <w:r w:rsidR="00C9021F">
              <w:rPr>
                <w:noProof/>
                <w:webHidden/>
              </w:rPr>
              <w:t>10</w:t>
            </w:r>
            <w:r w:rsidR="00C9021F">
              <w:rPr>
                <w:noProof/>
                <w:webHidden/>
              </w:rPr>
              <w:fldChar w:fldCharType="end"/>
            </w:r>
          </w:hyperlink>
        </w:p>
        <w:p w14:paraId="44167B9F" w14:textId="576A0865" w:rsidR="00C9021F" w:rsidRDefault="007B137C">
          <w:pPr>
            <w:pStyle w:val="TOC3"/>
            <w:tabs>
              <w:tab w:val="left" w:pos="1320"/>
              <w:tab w:val="right" w:leader="dot" w:pos="9016"/>
            </w:tabs>
            <w:rPr>
              <w:rFonts w:eastAsiaTheme="minorEastAsia"/>
              <w:noProof/>
              <w:sz w:val="22"/>
              <w:lang w:eastAsia="en-AU"/>
            </w:rPr>
          </w:pPr>
          <w:hyperlink w:anchor="_Toc45622611" w:history="1">
            <w:r w:rsidR="00C9021F" w:rsidRPr="00F93FB1">
              <w:rPr>
                <w:rStyle w:val="Hyperlink"/>
                <w:noProof/>
                <w:lang w:val="en-US"/>
              </w:rPr>
              <w:t>A4.1.2</w:t>
            </w:r>
            <w:r w:rsidR="00C9021F">
              <w:rPr>
                <w:rFonts w:eastAsiaTheme="minorEastAsia"/>
                <w:noProof/>
                <w:sz w:val="22"/>
                <w:lang w:eastAsia="en-AU"/>
              </w:rPr>
              <w:tab/>
            </w:r>
            <w:r w:rsidR="00C9021F" w:rsidRPr="00F93FB1">
              <w:rPr>
                <w:rStyle w:val="Hyperlink"/>
                <w:noProof/>
                <w:lang w:val="en-US"/>
              </w:rPr>
              <w:t>Combining Contracts (AASB 15.17)</w:t>
            </w:r>
            <w:r w:rsidR="00C9021F">
              <w:rPr>
                <w:noProof/>
                <w:webHidden/>
              </w:rPr>
              <w:tab/>
            </w:r>
            <w:r w:rsidR="00C9021F">
              <w:rPr>
                <w:noProof/>
                <w:webHidden/>
              </w:rPr>
              <w:fldChar w:fldCharType="begin"/>
            </w:r>
            <w:r w:rsidR="00C9021F">
              <w:rPr>
                <w:noProof/>
                <w:webHidden/>
              </w:rPr>
              <w:instrText xml:space="preserve"> PAGEREF _Toc45622611 \h </w:instrText>
            </w:r>
            <w:r w:rsidR="00C9021F">
              <w:rPr>
                <w:noProof/>
                <w:webHidden/>
              </w:rPr>
            </w:r>
            <w:r w:rsidR="00C9021F">
              <w:rPr>
                <w:noProof/>
                <w:webHidden/>
              </w:rPr>
              <w:fldChar w:fldCharType="separate"/>
            </w:r>
            <w:r w:rsidR="00C9021F">
              <w:rPr>
                <w:noProof/>
                <w:webHidden/>
              </w:rPr>
              <w:t>10</w:t>
            </w:r>
            <w:r w:rsidR="00C9021F">
              <w:rPr>
                <w:noProof/>
                <w:webHidden/>
              </w:rPr>
              <w:fldChar w:fldCharType="end"/>
            </w:r>
          </w:hyperlink>
        </w:p>
        <w:p w14:paraId="2D915256" w14:textId="5B25A637" w:rsidR="00C9021F" w:rsidRDefault="007B137C">
          <w:pPr>
            <w:pStyle w:val="TOC3"/>
            <w:tabs>
              <w:tab w:val="left" w:pos="1320"/>
              <w:tab w:val="right" w:leader="dot" w:pos="9016"/>
            </w:tabs>
            <w:rPr>
              <w:rFonts w:eastAsiaTheme="minorEastAsia"/>
              <w:noProof/>
              <w:sz w:val="22"/>
              <w:lang w:eastAsia="en-AU"/>
            </w:rPr>
          </w:pPr>
          <w:hyperlink w:anchor="_Toc45622612" w:history="1">
            <w:r w:rsidR="00C9021F" w:rsidRPr="00F93FB1">
              <w:rPr>
                <w:rStyle w:val="Hyperlink"/>
                <w:noProof/>
                <w:lang w:val="en-US"/>
              </w:rPr>
              <w:t>A4.1.3</w:t>
            </w:r>
            <w:r w:rsidR="00C9021F">
              <w:rPr>
                <w:rFonts w:eastAsiaTheme="minorEastAsia"/>
                <w:noProof/>
                <w:sz w:val="22"/>
                <w:lang w:eastAsia="en-AU"/>
              </w:rPr>
              <w:tab/>
            </w:r>
            <w:r w:rsidR="00C9021F" w:rsidRPr="00F93FB1">
              <w:rPr>
                <w:rStyle w:val="Hyperlink"/>
                <w:noProof/>
                <w:lang w:val="en-US"/>
              </w:rPr>
              <w:t>Modifying Contracts (AASB 15.18-15.21)</w:t>
            </w:r>
            <w:r w:rsidR="00C9021F">
              <w:rPr>
                <w:noProof/>
                <w:webHidden/>
              </w:rPr>
              <w:tab/>
            </w:r>
            <w:r w:rsidR="00C9021F">
              <w:rPr>
                <w:noProof/>
                <w:webHidden/>
              </w:rPr>
              <w:fldChar w:fldCharType="begin"/>
            </w:r>
            <w:r w:rsidR="00C9021F">
              <w:rPr>
                <w:noProof/>
                <w:webHidden/>
              </w:rPr>
              <w:instrText xml:space="preserve"> PAGEREF _Toc45622612 \h </w:instrText>
            </w:r>
            <w:r w:rsidR="00C9021F">
              <w:rPr>
                <w:noProof/>
                <w:webHidden/>
              </w:rPr>
            </w:r>
            <w:r w:rsidR="00C9021F">
              <w:rPr>
                <w:noProof/>
                <w:webHidden/>
              </w:rPr>
              <w:fldChar w:fldCharType="separate"/>
            </w:r>
            <w:r w:rsidR="00C9021F">
              <w:rPr>
                <w:noProof/>
                <w:webHidden/>
              </w:rPr>
              <w:t>11</w:t>
            </w:r>
            <w:r w:rsidR="00C9021F">
              <w:rPr>
                <w:noProof/>
                <w:webHidden/>
              </w:rPr>
              <w:fldChar w:fldCharType="end"/>
            </w:r>
          </w:hyperlink>
        </w:p>
        <w:p w14:paraId="3B108356" w14:textId="44AEE8EC" w:rsidR="00C9021F" w:rsidRDefault="007B137C">
          <w:pPr>
            <w:pStyle w:val="TOC2"/>
            <w:tabs>
              <w:tab w:val="left" w:pos="1100"/>
              <w:tab w:val="right" w:leader="dot" w:pos="9016"/>
            </w:tabs>
            <w:rPr>
              <w:rFonts w:eastAsiaTheme="minorEastAsia"/>
              <w:noProof/>
              <w:sz w:val="22"/>
              <w:lang w:eastAsia="en-AU"/>
            </w:rPr>
          </w:pPr>
          <w:hyperlink w:anchor="_Toc45622613" w:history="1">
            <w:r w:rsidR="00C9021F" w:rsidRPr="00F93FB1">
              <w:rPr>
                <w:rStyle w:val="Hyperlink"/>
                <w:noProof/>
              </w:rPr>
              <w:t>A4.2.</w:t>
            </w:r>
            <w:r w:rsidR="00C9021F">
              <w:rPr>
                <w:rFonts w:eastAsiaTheme="minorEastAsia"/>
                <w:noProof/>
                <w:sz w:val="22"/>
                <w:lang w:eastAsia="en-AU"/>
              </w:rPr>
              <w:tab/>
            </w:r>
            <w:r w:rsidR="00C9021F" w:rsidRPr="00F93FB1">
              <w:rPr>
                <w:rStyle w:val="Hyperlink"/>
                <w:noProof/>
              </w:rPr>
              <w:t>Step 2: Identify performance obligations (AASB 15.22-15.45 &amp; 15.F20-F27)</w:t>
            </w:r>
            <w:r w:rsidR="00C9021F">
              <w:rPr>
                <w:noProof/>
                <w:webHidden/>
              </w:rPr>
              <w:tab/>
            </w:r>
            <w:r w:rsidR="00C9021F">
              <w:rPr>
                <w:noProof/>
                <w:webHidden/>
              </w:rPr>
              <w:fldChar w:fldCharType="begin"/>
            </w:r>
            <w:r w:rsidR="00C9021F">
              <w:rPr>
                <w:noProof/>
                <w:webHidden/>
              </w:rPr>
              <w:instrText xml:space="preserve"> PAGEREF _Toc45622613 \h </w:instrText>
            </w:r>
            <w:r w:rsidR="00C9021F">
              <w:rPr>
                <w:noProof/>
                <w:webHidden/>
              </w:rPr>
            </w:r>
            <w:r w:rsidR="00C9021F">
              <w:rPr>
                <w:noProof/>
                <w:webHidden/>
              </w:rPr>
              <w:fldChar w:fldCharType="separate"/>
            </w:r>
            <w:r w:rsidR="00C9021F">
              <w:rPr>
                <w:noProof/>
                <w:webHidden/>
              </w:rPr>
              <w:t>11</w:t>
            </w:r>
            <w:r w:rsidR="00C9021F">
              <w:rPr>
                <w:noProof/>
                <w:webHidden/>
              </w:rPr>
              <w:fldChar w:fldCharType="end"/>
            </w:r>
          </w:hyperlink>
        </w:p>
        <w:p w14:paraId="038B48C5" w14:textId="6F7B5A24" w:rsidR="00C9021F" w:rsidRDefault="007B137C">
          <w:pPr>
            <w:pStyle w:val="TOC2"/>
            <w:tabs>
              <w:tab w:val="left" w:pos="1100"/>
              <w:tab w:val="right" w:leader="dot" w:pos="9016"/>
            </w:tabs>
            <w:rPr>
              <w:rFonts w:eastAsiaTheme="minorEastAsia"/>
              <w:noProof/>
              <w:sz w:val="22"/>
              <w:lang w:eastAsia="en-AU"/>
            </w:rPr>
          </w:pPr>
          <w:hyperlink w:anchor="_Toc45622614" w:history="1">
            <w:r w:rsidR="00C9021F" w:rsidRPr="00F93FB1">
              <w:rPr>
                <w:rStyle w:val="Hyperlink"/>
                <w:noProof/>
              </w:rPr>
              <w:t>A4.3</w:t>
            </w:r>
            <w:r w:rsidR="00C9021F">
              <w:rPr>
                <w:rFonts w:eastAsiaTheme="minorEastAsia"/>
                <w:noProof/>
                <w:sz w:val="22"/>
                <w:lang w:eastAsia="en-AU"/>
              </w:rPr>
              <w:tab/>
            </w:r>
            <w:r w:rsidR="00C9021F" w:rsidRPr="00F93FB1">
              <w:rPr>
                <w:rStyle w:val="Hyperlink"/>
                <w:noProof/>
              </w:rPr>
              <w:t>Step 3: Determine the transaction price (AASB 15.46-15.72 &amp; 15.F28-F32)</w:t>
            </w:r>
            <w:r w:rsidR="00C9021F">
              <w:rPr>
                <w:noProof/>
                <w:webHidden/>
              </w:rPr>
              <w:tab/>
            </w:r>
            <w:r w:rsidR="00C9021F">
              <w:rPr>
                <w:noProof/>
                <w:webHidden/>
              </w:rPr>
              <w:fldChar w:fldCharType="begin"/>
            </w:r>
            <w:r w:rsidR="00C9021F">
              <w:rPr>
                <w:noProof/>
                <w:webHidden/>
              </w:rPr>
              <w:instrText xml:space="preserve"> PAGEREF _Toc45622614 \h </w:instrText>
            </w:r>
            <w:r w:rsidR="00C9021F">
              <w:rPr>
                <w:noProof/>
                <w:webHidden/>
              </w:rPr>
            </w:r>
            <w:r w:rsidR="00C9021F">
              <w:rPr>
                <w:noProof/>
                <w:webHidden/>
              </w:rPr>
              <w:fldChar w:fldCharType="separate"/>
            </w:r>
            <w:r w:rsidR="00C9021F">
              <w:rPr>
                <w:noProof/>
                <w:webHidden/>
              </w:rPr>
              <w:t>12</w:t>
            </w:r>
            <w:r w:rsidR="00C9021F">
              <w:rPr>
                <w:noProof/>
                <w:webHidden/>
              </w:rPr>
              <w:fldChar w:fldCharType="end"/>
            </w:r>
          </w:hyperlink>
        </w:p>
        <w:p w14:paraId="11736ED5" w14:textId="73381266" w:rsidR="00C9021F" w:rsidRDefault="007B137C">
          <w:pPr>
            <w:pStyle w:val="TOC2"/>
            <w:tabs>
              <w:tab w:val="left" w:pos="1100"/>
              <w:tab w:val="right" w:leader="dot" w:pos="9016"/>
            </w:tabs>
            <w:rPr>
              <w:rFonts w:eastAsiaTheme="minorEastAsia"/>
              <w:noProof/>
              <w:sz w:val="22"/>
              <w:lang w:eastAsia="en-AU"/>
            </w:rPr>
          </w:pPr>
          <w:hyperlink w:anchor="_Toc45622615" w:history="1">
            <w:r w:rsidR="00C9021F" w:rsidRPr="00F93FB1">
              <w:rPr>
                <w:rStyle w:val="Hyperlink"/>
                <w:noProof/>
              </w:rPr>
              <w:t>A4.4</w:t>
            </w:r>
            <w:r w:rsidR="00C9021F">
              <w:rPr>
                <w:rFonts w:eastAsiaTheme="minorEastAsia"/>
                <w:noProof/>
                <w:sz w:val="22"/>
                <w:lang w:eastAsia="en-AU"/>
              </w:rPr>
              <w:tab/>
            </w:r>
            <w:r w:rsidR="00C9021F" w:rsidRPr="00F93FB1">
              <w:rPr>
                <w:rStyle w:val="Hyperlink"/>
                <w:noProof/>
              </w:rPr>
              <w:t>Step 4: Allocate the transaction price to performance obligations (AASB 15.73-15.94)</w:t>
            </w:r>
            <w:r w:rsidR="00C9021F">
              <w:rPr>
                <w:noProof/>
                <w:webHidden/>
              </w:rPr>
              <w:tab/>
            </w:r>
            <w:r w:rsidR="00C9021F">
              <w:rPr>
                <w:noProof/>
                <w:webHidden/>
              </w:rPr>
              <w:fldChar w:fldCharType="begin"/>
            </w:r>
            <w:r w:rsidR="00C9021F">
              <w:rPr>
                <w:noProof/>
                <w:webHidden/>
              </w:rPr>
              <w:instrText xml:space="preserve"> PAGEREF _Toc45622615 \h </w:instrText>
            </w:r>
            <w:r w:rsidR="00C9021F">
              <w:rPr>
                <w:noProof/>
                <w:webHidden/>
              </w:rPr>
            </w:r>
            <w:r w:rsidR="00C9021F">
              <w:rPr>
                <w:noProof/>
                <w:webHidden/>
              </w:rPr>
              <w:fldChar w:fldCharType="separate"/>
            </w:r>
            <w:r w:rsidR="00C9021F">
              <w:rPr>
                <w:noProof/>
                <w:webHidden/>
              </w:rPr>
              <w:t>13</w:t>
            </w:r>
            <w:r w:rsidR="00C9021F">
              <w:rPr>
                <w:noProof/>
                <w:webHidden/>
              </w:rPr>
              <w:fldChar w:fldCharType="end"/>
            </w:r>
          </w:hyperlink>
        </w:p>
        <w:p w14:paraId="146F9CE0" w14:textId="1311444F" w:rsidR="00C9021F" w:rsidRDefault="007B137C">
          <w:pPr>
            <w:pStyle w:val="TOC2"/>
            <w:tabs>
              <w:tab w:val="left" w:pos="1100"/>
              <w:tab w:val="right" w:leader="dot" w:pos="9016"/>
            </w:tabs>
            <w:rPr>
              <w:rFonts w:eastAsiaTheme="minorEastAsia"/>
              <w:noProof/>
              <w:sz w:val="22"/>
              <w:lang w:eastAsia="en-AU"/>
            </w:rPr>
          </w:pPr>
          <w:hyperlink w:anchor="_Toc45622616" w:history="1">
            <w:r w:rsidR="00C9021F" w:rsidRPr="00F93FB1">
              <w:rPr>
                <w:rStyle w:val="Hyperlink"/>
                <w:noProof/>
              </w:rPr>
              <w:t>A.4.5</w:t>
            </w:r>
            <w:r w:rsidR="00C9021F">
              <w:rPr>
                <w:rFonts w:eastAsiaTheme="minorEastAsia"/>
                <w:noProof/>
                <w:sz w:val="22"/>
                <w:lang w:eastAsia="en-AU"/>
              </w:rPr>
              <w:tab/>
            </w:r>
            <w:r w:rsidR="00C9021F" w:rsidRPr="00F93FB1">
              <w:rPr>
                <w:rStyle w:val="Hyperlink"/>
                <w:noProof/>
              </w:rPr>
              <w:t>Step 5: Recognise revenue as the performance obligations are satisfied</w:t>
            </w:r>
            <w:r w:rsidR="00C9021F">
              <w:rPr>
                <w:noProof/>
                <w:webHidden/>
              </w:rPr>
              <w:tab/>
            </w:r>
            <w:r w:rsidR="00C9021F">
              <w:rPr>
                <w:noProof/>
                <w:webHidden/>
              </w:rPr>
              <w:fldChar w:fldCharType="begin"/>
            </w:r>
            <w:r w:rsidR="00C9021F">
              <w:rPr>
                <w:noProof/>
                <w:webHidden/>
              </w:rPr>
              <w:instrText xml:space="preserve"> PAGEREF _Toc45622616 \h </w:instrText>
            </w:r>
            <w:r w:rsidR="00C9021F">
              <w:rPr>
                <w:noProof/>
                <w:webHidden/>
              </w:rPr>
            </w:r>
            <w:r w:rsidR="00C9021F">
              <w:rPr>
                <w:noProof/>
                <w:webHidden/>
              </w:rPr>
              <w:fldChar w:fldCharType="separate"/>
            </w:r>
            <w:r w:rsidR="00C9021F">
              <w:rPr>
                <w:noProof/>
                <w:webHidden/>
              </w:rPr>
              <w:t>13</w:t>
            </w:r>
            <w:r w:rsidR="00C9021F">
              <w:rPr>
                <w:noProof/>
                <w:webHidden/>
              </w:rPr>
              <w:fldChar w:fldCharType="end"/>
            </w:r>
          </w:hyperlink>
        </w:p>
        <w:p w14:paraId="18E1F965" w14:textId="10DDA713" w:rsidR="00C9021F" w:rsidRDefault="007B137C" w:rsidP="00044B9F">
          <w:pPr>
            <w:pStyle w:val="TOC1"/>
            <w:rPr>
              <w:rFonts w:eastAsiaTheme="minorEastAsia"/>
              <w:noProof/>
              <w:sz w:val="22"/>
              <w:lang w:eastAsia="en-AU"/>
            </w:rPr>
          </w:pPr>
          <w:hyperlink w:anchor="_Toc45622617" w:history="1">
            <w:r w:rsidR="00C9021F" w:rsidRPr="00F93FB1">
              <w:rPr>
                <w:rStyle w:val="Hyperlink"/>
                <w:noProof/>
              </w:rPr>
              <w:t>A5.</w:t>
            </w:r>
            <w:r w:rsidR="00C9021F">
              <w:rPr>
                <w:rFonts w:eastAsiaTheme="minorEastAsia"/>
                <w:noProof/>
                <w:sz w:val="22"/>
                <w:lang w:eastAsia="en-AU"/>
              </w:rPr>
              <w:tab/>
            </w:r>
            <w:r w:rsidR="00C9021F" w:rsidRPr="00F93FB1">
              <w:rPr>
                <w:rStyle w:val="Hyperlink"/>
                <w:noProof/>
              </w:rPr>
              <w:t>Materiality Considerations</w:t>
            </w:r>
            <w:r w:rsidR="00C9021F">
              <w:rPr>
                <w:noProof/>
                <w:webHidden/>
              </w:rPr>
              <w:tab/>
            </w:r>
            <w:r w:rsidR="00C9021F">
              <w:rPr>
                <w:noProof/>
                <w:webHidden/>
              </w:rPr>
              <w:fldChar w:fldCharType="begin"/>
            </w:r>
            <w:r w:rsidR="00C9021F">
              <w:rPr>
                <w:noProof/>
                <w:webHidden/>
              </w:rPr>
              <w:instrText xml:space="preserve"> PAGEREF _Toc45622617 \h </w:instrText>
            </w:r>
            <w:r w:rsidR="00C9021F">
              <w:rPr>
                <w:noProof/>
                <w:webHidden/>
              </w:rPr>
            </w:r>
            <w:r w:rsidR="00C9021F">
              <w:rPr>
                <w:noProof/>
                <w:webHidden/>
              </w:rPr>
              <w:fldChar w:fldCharType="separate"/>
            </w:r>
            <w:r w:rsidR="00C9021F">
              <w:rPr>
                <w:noProof/>
                <w:webHidden/>
              </w:rPr>
              <w:t>14</w:t>
            </w:r>
            <w:r w:rsidR="00C9021F">
              <w:rPr>
                <w:noProof/>
                <w:webHidden/>
              </w:rPr>
              <w:fldChar w:fldCharType="end"/>
            </w:r>
          </w:hyperlink>
        </w:p>
        <w:p w14:paraId="30295E20" w14:textId="3BC7D072" w:rsidR="00C9021F" w:rsidRDefault="007B137C">
          <w:pPr>
            <w:pStyle w:val="TOC2"/>
            <w:tabs>
              <w:tab w:val="left" w:pos="1100"/>
              <w:tab w:val="right" w:leader="dot" w:pos="9016"/>
            </w:tabs>
            <w:rPr>
              <w:rFonts w:eastAsiaTheme="minorEastAsia"/>
              <w:noProof/>
              <w:sz w:val="22"/>
              <w:lang w:eastAsia="en-AU"/>
            </w:rPr>
          </w:pPr>
          <w:hyperlink w:anchor="_Toc45622618" w:history="1">
            <w:r w:rsidR="00C9021F" w:rsidRPr="00F93FB1">
              <w:rPr>
                <w:rStyle w:val="Hyperlink"/>
                <w:noProof/>
              </w:rPr>
              <w:t>A5.1</w:t>
            </w:r>
            <w:r w:rsidR="00C9021F">
              <w:rPr>
                <w:rFonts w:eastAsiaTheme="minorEastAsia"/>
                <w:noProof/>
                <w:sz w:val="22"/>
                <w:lang w:eastAsia="en-AU"/>
              </w:rPr>
              <w:tab/>
            </w:r>
            <w:r w:rsidR="00C9021F" w:rsidRPr="00F93FB1">
              <w:rPr>
                <w:rStyle w:val="Hyperlink"/>
                <w:noProof/>
              </w:rPr>
              <w:t>Consultation with Audit Committee and the Audit Office</w:t>
            </w:r>
            <w:r w:rsidR="00C9021F">
              <w:rPr>
                <w:noProof/>
                <w:webHidden/>
              </w:rPr>
              <w:tab/>
            </w:r>
            <w:r w:rsidR="00C9021F">
              <w:rPr>
                <w:noProof/>
                <w:webHidden/>
              </w:rPr>
              <w:fldChar w:fldCharType="begin"/>
            </w:r>
            <w:r w:rsidR="00C9021F">
              <w:rPr>
                <w:noProof/>
                <w:webHidden/>
              </w:rPr>
              <w:instrText xml:space="preserve"> PAGEREF _Toc45622618 \h </w:instrText>
            </w:r>
            <w:r w:rsidR="00C9021F">
              <w:rPr>
                <w:noProof/>
                <w:webHidden/>
              </w:rPr>
            </w:r>
            <w:r w:rsidR="00C9021F">
              <w:rPr>
                <w:noProof/>
                <w:webHidden/>
              </w:rPr>
              <w:fldChar w:fldCharType="separate"/>
            </w:r>
            <w:r w:rsidR="00C9021F">
              <w:rPr>
                <w:noProof/>
                <w:webHidden/>
              </w:rPr>
              <w:t>14</w:t>
            </w:r>
            <w:r w:rsidR="00C9021F">
              <w:rPr>
                <w:noProof/>
                <w:webHidden/>
              </w:rPr>
              <w:fldChar w:fldCharType="end"/>
            </w:r>
          </w:hyperlink>
        </w:p>
        <w:p w14:paraId="3E0CC193" w14:textId="2BA25960" w:rsidR="00C9021F" w:rsidRDefault="007B137C">
          <w:pPr>
            <w:pStyle w:val="TOC2"/>
            <w:tabs>
              <w:tab w:val="left" w:pos="1100"/>
              <w:tab w:val="right" w:leader="dot" w:pos="9016"/>
            </w:tabs>
            <w:rPr>
              <w:rFonts w:eastAsiaTheme="minorEastAsia"/>
              <w:noProof/>
              <w:sz w:val="22"/>
              <w:lang w:eastAsia="en-AU"/>
            </w:rPr>
          </w:pPr>
          <w:hyperlink w:anchor="_Toc45622619" w:history="1">
            <w:r w:rsidR="00C9021F" w:rsidRPr="00F93FB1">
              <w:rPr>
                <w:rStyle w:val="Hyperlink"/>
                <w:noProof/>
              </w:rPr>
              <w:t>A5.2</w:t>
            </w:r>
            <w:r w:rsidR="00C9021F">
              <w:rPr>
                <w:rFonts w:eastAsiaTheme="minorEastAsia"/>
                <w:noProof/>
                <w:sz w:val="22"/>
                <w:lang w:eastAsia="en-AU"/>
              </w:rPr>
              <w:tab/>
            </w:r>
            <w:r w:rsidR="00C9021F" w:rsidRPr="00F93FB1">
              <w:rPr>
                <w:rStyle w:val="Hyperlink"/>
                <w:noProof/>
              </w:rPr>
              <w:t>Flowchart for the assessment of Materiality</w:t>
            </w:r>
            <w:r w:rsidR="00C9021F">
              <w:rPr>
                <w:noProof/>
                <w:webHidden/>
              </w:rPr>
              <w:tab/>
            </w:r>
            <w:r w:rsidR="00C9021F">
              <w:rPr>
                <w:noProof/>
                <w:webHidden/>
              </w:rPr>
              <w:fldChar w:fldCharType="begin"/>
            </w:r>
            <w:r w:rsidR="00C9021F">
              <w:rPr>
                <w:noProof/>
                <w:webHidden/>
              </w:rPr>
              <w:instrText xml:space="preserve"> PAGEREF _Toc45622619 \h </w:instrText>
            </w:r>
            <w:r w:rsidR="00C9021F">
              <w:rPr>
                <w:noProof/>
                <w:webHidden/>
              </w:rPr>
            </w:r>
            <w:r w:rsidR="00C9021F">
              <w:rPr>
                <w:noProof/>
                <w:webHidden/>
              </w:rPr>
              <w:fldChar w:fldCharType="separate"/>
            </w:r>
            <w:r w:rsidR="00C9021F">
              <w:rPr>
                <w:noProof/>
                <w:webHidden/>
              </w:rPr>
              <w:t>15</w:t>
            </w:r>
            <w:r w:rsidR="00C9021F">
              <w:rPr>
                <w:noProof/>
                <w:webHidden/>
              </w:rPr>
              <w:fldChar w:fldCharType="end"/>
            </w:r>
          </w:hyperlink>
        </w:p>
        <w:p w14:paraId="0A6AF6FA" w14:textId="0EBA4F8C" w:rsidR="00C9021F" w:rsidRDefault="007B137C" w:rsidP="00044B9F">
          <w:pPr>
            <w:pStyle w:val="TOC1"/>
            <w:rPr>
              <w:rFonts w:eastAsiaTheme="minorEastAsia"/>
              <w:noProof/>
              <w:sz w:val="22"/>
              <w:lang w:eastAsia="en-AU"/>
            </w:rPr>
          </w:pPr>
          <w:hyperlink w:anchor="_Toc45622620" w:history="1">
            <w:r w:rsidR="00C9021F" w:rsidRPr="00F93FB1">
              <w:rPr>
                <w:rStyle w:val="Hyperlink"/>
                <w:noProof/>
              </w:rPr>
              <w:t>A6.</w:t>
            </w:r>
            <w:r w:rsidR="00C9021F">
              <w:rPr>
                <w:rFonts w:eastAsiaTheme="minorEastAsia"/>
                <w:noProof/>
                <w:sz w:val="22"/>
                <w:lang w:eastAsia="en-AU"/>
              </w:rPr>
              <w:tab/>
            </w:r>
            <w:r w:rsidR="00C9021F" w:rsidRPr="00F93FB1">
              <w:rPr>
                <w:rStyle w:val="Hyperlink"/>
                <w:noProof/>
              </w:rPr>
              <w:t>Principal versus agent considerations (AASB 15.B34-B38)</w:t>
            </w:r>
            <w:r w:rsidR="00C9021F">
              <w:rPr>
                <w:noProof/>
                <w:webHidden/>
              </w:rPr>
              <w:tab/>
            </w:r>
            <w:r w:rsidR="00C9021F">
              <w:rPr>
                <w:noProof/>
                <w:webHidden/>
              </w:rPr>
              <w:fldChar w:fldCharType="begin"/>
            </w:r>
            <w:r w:rsidR="00C9021F">
              <w:rPr>
                <w:noProof/>
                <w:webHidden/>
              </w:rPr>
              <w:instrText xml:space="preserve"> PAGEREF _Toc45622620 \h </w:instrText>
            </w:r>
            <w:r w:rsidR="00C9021F">
              <w:rPr>
                <w:noProof/>
                <w:webHidden/>
              </w:rPr>
            </w:r>
            <w:r w:rsidR="00C9021F">
              <w:rPr>
                <w:noProof/>
                <w:webHidden/>
              </w:rPr>
              <w:fldChar w:fldCharType="separate"/>
            </w:r>
            <w:r w:rsidR="00C9021F">
              <w:rPr>
                <w:noProof/>
                <w:webHidden/>
              </w:rPr>
              <w:t>16</w:t>
            </w:r>
            <w:r w:rsidR="00C9021F">
              <w:rPr>
                <w:noProof/>
                <w:webHidden/>
              </w:rPr>
              <w:fldChar w:fldCharType="end"/>
            </w:r>
          </w:hyperlink>
        </w:p>
        <w:p w14:paraId="44918EBD" w14:textId="6624CDFB" w:rsidR="00C9021F" w:rsidRDefault="007B137C" w:rsidP="00044B9F">
          <w:pPr>
            <w:pStyle w:val="TOC1"/>
            <w:rPr>
              <w:rFonts w:eastAsiaTheme="minorEastAsia"/>
              <w:noProof/>
              <w:sz w:val="22"/>
              <w:lang w:eastAsia="en-AU"/>
            </w:rPr>
          </w:pPr>
          <w:hyperlink w:anchor="_Toc45622621" w:history="1">
            <w:r w:rsidR="00C9021F" w:rsidRPr="00F93FB1">
              <w:rPr>
                <w:rStyle w:val="Hyperlink"/>
                <w:noProof/>
              </w:rPr>
              <w:t>A7.</w:t>
            </w:r>
            <w:r w:rsidR="00C9021F">
              <w:rPr>
                <w:rFonts w:eastAsiaTheme="minorEastAsia"/>
                <w:noProof/>
                <w:sz w:val="22"/>
                <w:lang w:eastAsia="en-AU"/>
              </w:rPr>
              <w:tab/>
            </w:r>
            <w:r w:rsidR="00C9021F" w:rsidRPr="00F93FB1">
              <w:rPr>
                <w:rStyle w:val="Hyperlink"/>
                <w:noProof/>
              </w:rPr>
              <w:t>Licences (AASB15.26(i), B52-B63B and Appendix G (NFP))</w:t>
            </w:r>
            <w:r w:rsidR="00C9021F">
              <w:rPr>
                <w:noProof/>
                <w:webHidden/>
              </w:rPr>
              <w:tab/>
            </w:r>
            <w:r w:rsidR="00C9021F">
              <w:rPr>
                <w:noProof/>
                <w:webHidden/>
              </w:rPr>
              <w:fldChar w:fldCharType="begin"/>
            </w:r>
            <w:r w:rsidR="00C9021F">
              <w:rPr>
                <w:noProof/>
                <w:webHidden/>
              </w:rPr>
              <w:instrText xml:space="preserve"> PAGEREF _Toc45622621 \h </w:instrText>
            </w:r>
            <w:r w:rsidR="00C9021F">
              <w:rPr>
                <w:noProof/>
                <w:webHidden/>
              </w:rPr>
            </w:r>
            <w:r w:rsidR="00C9021F">
              <w:rPr>
                <w:noProof/>
                <w:webHidden/>
              </w:rPr>
              <w:fldChar w:fldCharType="separate"/>
            </w:r>
            <w:r w:rsidR="00C9021F">
              <w:rPr>
                <w:noProof/>
                <w:webHidden/>
              </w:rPr>
              <w:t>16</w:t>
            </w:r>
            <w:r w:rsidR="00C9021F">
              <w:rPr>
                <w:noProof/>
                <w:webHidden/>
              </w:rPr>
              <w:fldChar w:fldCharType="end"/>
            </w:r>
          </w:hyperlink>
        </w:p>
        <w:p w14:paraId="1F1DD229" w14:textId="44776A86" w:rsidR="00C9021F" w:rsidRDefault="007B137C" w:rsidP="00044B9F">
          <w:pPr>
            <w:pStyle w:val="TOC1"/>
            <w:rPr>
              <w:rFonts w:eastAsiaTheme="minorEastAsia"/>
              <w:noProof/>
              <w:sz w:val="22"/>
              <w:lang w:eastAsia="en-AU"/>
            </w:rPr>
          </w:pPr>
          <w:hyperlink w:anchor="_Toc45622622" w:history="1">
            <w:r w:rsidR="00C9021F" w:rsidRPr="00F93FB1">
              <w:rPr>
                <w:rStyle w:val="Hyperlink"/>
                <w:noProof/>
              </w:rPr>
              <w:t>A8.</w:t>
            </w:r>
            <w:r w:rsidR="00C9021F">
              <w:rPr>
                <w:rFonts w:eastAsiaTheme="minorEastAsia"/>
                <w:noProof/>
                <w:sz w:val="22"/>
                <w:lang w:eastAsia="en-AU"/>
              </w:rPr>
              <w:tab/>
            </w:r>
            <w:r w:rsidR="00C9021F" w:rsidRPr="00F93FB1">
              <w:rPr>
                <w:rStyle w:val="Hyperlink"/>
                <w:noProof/>
              </w:rPr>
              <w:t>Transition</w:t>
            </w:r>
            <w:r w:rsidR="00C9021F">
              <w:rPr>
                <w:noProof/>
                <w:webHidden/>
              </w:rPr>
              <w:tab/>
            </w:r>
            <w:r w:rsidR="00C9021F">
              <w:rPr>
                <w:noProof/>
                <w:webHidden/>
              </w:rPr>
              <w:fldChar w:fldCharType="begin"/>
            </w:r>
            <w:r w:rsidR="00C9021F">
              <w:rPr>
                <w:noProof/>
                <w:webHidden/>
              </w:rPr>
              <w:instrText xml:space="preserve"> PAGEREF _Toc45622622 \h </w:instrText>
            </w:r>
            <w:r w:rsidR="00C9021F">
              <w:rPr>
                <w:noProof/>
                <w:webHidden/>
              </w:rPr>
            </w:r>
            <w:r w:rsidR="00C9021F">
              <w:rPr>
                <w:noProof/>
                <w:webHidden/>
              </w:rPr>
              <w:fldChar w:fldCharType="separate"/>
            </w:r>
            <w:r w:rsidR="00C9021F">
              <w:rPr>
                <w:noProof/>
                <w:webHidden/>
              </w:rPr>
              <w:t>18</w:t>
            </w:r>
            <w:r w:rsidR="00C9021F">
              <w:rPr>
                <w:noProof/>
                <w:webHidden/>
              </w:rPr>
              <w:fldChar w:fldCharType="end"/>
            </w:r>
          </w:hyperlink>
        </w:p>
        <w:p w14:paraId="56143F24" w14:textId="67780B03" w:rsidR="00C9021F" w:rsidRDefault="007B137C">
          <w:pPr>
            <w:pStyle w:val="TOC2"/>
            <w:tabs>
              <w:tab w:val="left" w:pos="1100"/>
              <w:tab w:val="right" w:leader="dot" w:pos="9016"/>
            </w:tabs>
            <w:rPr>
              <w:rFonts w:eastAsiaTheme="minorEastAsia"/>
              <w:noProof/>
              <w:sz w:val="22"/>
              <w:lang w:eastAsia="en-AU"/>
            </w:rPr>
          </w:pPr>
          <w:hyperlink w:anchor="_Toc45622623" w:history="1">
            <w:r w:rsidR="00C9021F" w:rsidRPr="00F93FB1">
              <w:rPr>
                <w:rStyle w:val="Hyperlink"/>
                <w:noProof/>
              </w:rPr>
              <w:t>A8.1</w:t>
            </w:r>
            <w:r w:rsidR="00C9021F">
              <w:rPr>
                <w:rFonts w:eastAsiaTheme="minorEastAsia"/>
                <w:noProof/>
                <w:sz w:val="22"/>
                <w:lang w:eastAsia="en-AU"/>
              </w:rPr>
              <w:tab/>
            </w:r>
            <w:r w:rsidR="00C9021F" w:rsidRPr="00F93FB1">
              <w:rPr>
                <w:rStyle w:val="Hyperlink"/>
                <w:noProof/>
              </w:rPr>
              <w:t>Date of initial application</w:t>
            </w:r>
            <w:r w:rsidR="00C9021F">
              <w:rPr>
                <w:noProof/>
                <w:webHidden/>
              </w:rPr>
              <w:tab/>
            </w:r>
            <w:r w:rsidR="00C9021F">
              <w:rPr>
                <w:noProof/>
                <w:webHidden/>
              </w:rPr>
              <w:fldChar w:fldCharType="begin"/>
            </w:r>
            <w:r w:rsidR="00C9021F">
              <w:rPr>
                <w:noProof/>
                <w:webHidden/>
              </w:rPr>
              <w:instrText xml:space="preserve"> PAGEREF _Toc45622623 \h </w:instrText>
            </w:r>
            <w:r w:rsidR="00C9021F">
              <w:rPr>
                <w:noProof/>
                <w:webHidden/>
              </w:rPr>
            </w:r>
            <w:r w:rsidR="00C9021F">
              <w:rPr>
                <w:noProof/>
                <w:webHidden/>
              </w:rPr>
              <w:fldChar w:fldCharType="separate"/>
            </w:r>
            <w:r w:rsidR="00C9021F">
              <w:rPr>
                <w:noProof/>
                <w:webHidden/>
              </w:rPr>
              <w:t>18</w:t>
            </w:r>
            <w:r w:rsidR="00C9021F">
              <w:rPr>
                <w:noProof/>
                <w:webHidden/>
              </w:rPr>
              <w:fldChar w:fldCharType="end"/>
            </w:r>
          </w:hyperlink>
        </w:p>
        <w:p w14:paraId="61C73685" w14:textId="337CB87F" w:rsidR="00C9021F" w:rsidRDefault="007B137C">
          <w:pPr>
            <w:pStyle w:val="TOC2"/>
            <w:tabs>
              <w:tab w:val="left" w:pos="1100"/>
              <w:tab w:val="right" w:leader="dot" w:pos="9016"/>
            </w:tabs>
            <w:rPr>
              <w:rFonts w:eastAsiaTheme="minorEastAsia"/>
              <w:noProof/>
              <w:sz w:val="22"/>
              <w:lang w:eastAsia="en-AU"/>
            </w:rPr>
          </w:pPr>
          <w:hyperlink w:anchor="_Toc45622624" w:history="1">
            <w:r w:rsidR="00C9021F" w:rsidRPr="00F93FB1">
              <w:rPr>
                <w:rStyle w:val="Hyperlink"/>
                <w:noProof/>
              </w:rPr>
              <w:t>A8.2</w:t>
            </w:r>
            <w:r w:rsidR="00C9021F">
              <w:rPr>
                <w:rFonts w:eastAsiaTheme="minorEastAsia"/>
                <w:noProof/>
                <w:sz w:val="22"/>
                <w:lang w:eastAsia="en-AU"/>
              </w:rPr>
              <w:tab/>
            </w:r>
            <w:r w:rsidR="00C9021F" w:rsidRPr="00F93FB1">
              <w:rPr>
                <w:rStyle w:val="Hyperlink"/>
                <w:noProof/>
              </w:rPr>
              <w:t>Transitional Option – PARTIAL Retrospective Approach (AASB 15.C3(b) &amp; 15.C7-C7A)</w:t>
            </w:r>
            <w:r w:rsidR="00C9021F">
              <w:rPr>
                <w:noProof/>
                <w:webHidden/>
              </w:rPr>
              <w:tab/>
            </w:r>
            <w:r w:rsidR="00C9021F">
              <w:rPr>
                <w:noProof/>
                <w:webHidden/>
              </w:rPr>
              <w:fldChar w:fldCharType="begin"/>
            </w:r>
            <w:r w:rsidR="00C9021F">
              <w:rPr>
                <w:noProof/>
                <w:webHidden/>
              </w:rPr>
              <w:instrText xml:space="preserve"> PAGEREF _Toc45622624 \h </w:instrText>
            </w:r>
            <w:r w:rsidR="00C9021F">
              <w:rPr>
                <w:noProof/>
                <w:webHidden/>
              </w:rPr>
            </w:r>
            <w:r w:rsidR="00C9021F">
              <w:rPr>
                <w:noProof/>
                <w:webHidden/>
              </w:rPr>
              <w:fldChar w:fldCharType="separate"/>
            </w:r>
            <w:r w:rsidR="00C9021F">
              <w:rPr>
                <w:noProof/>
                <w:webHidden/>
              </w:rPr>
              <w:t>18</w:t>
            </w:r>
            <w:r w:rsidR="00C9021F">
              <w:rPr>
                <w:noProof/>
                <w:webHidden/>
              </w:rPr>
              <w:fldChar w:fldCharType="end"/>
            </w:r>
          </w:hyperlink>
        </w:p>
        <w:p w14:paraId="3283827B" w14:textId="6187FE2A" w:rsidR="00C9021F" w:rsidRDefault="007B137C">
          <w:pPr>
            <w:pStyle w:val="TOC2"/>
            <w:tabs>
              <w:tab w:val="left" w:pos="1100"/>
              <w:tab w:val="right" w:leader="dot" w:pos="9016"/>
            </w:tabs>
            <w:rPr>
              <w:rFonts w:eastAsiaTheme="minorEastAsia"/>
              <w:noProof/>
              <w:sz w:val="22"/>
              <w:lang w:eastAsia="en-AU"/>
            </w:rPr>
          </w:pPr>
          <w:hyperlink w:anchor="_Toc45622625" w:history="1">
            <w:r w:rsidR="00C9021F" w:rsidRPr="00F93FB1">
              <w:rPr>
                <w:rStyle w:val="Hyperlink"/>
                <w:noProof/>
              </w:rPr>
              <w:t>A8.3</w:t>
            </w:r>
            <w:r w:rsidR="00C9021F">
              <w:rPr>
                <w:rFonts w:eastAsiaTheme="minorEastAsia"/>
                <w:noProof/>
                <w:sz w:val="22"/>
                <w:lang w:eastAsia="en-AU"/>
              </w:rPr>
              <w:tab/>
            </w:r>
            <w:r w:rsidR="00C9021F" w:rsidRPr="00F93FB1">
              <w:rPr>
                <w:rStyle w:val="Hyperlink"/>
                <w:noProof/>
              </w:rPr>
              <w:t>Practical Expedients (AASB 15.C7)</w:t>
            </w:r>
            <w:r w:rsidR="00C9021F">
              <w:rPr>
                <w:noProof/>
                <w:webHidden/>
              </w:rPr>
              <w:tab/>
            </w:r>
            <w:r w:rsidR="00C9021F">
              <w:rPr>
                <w:noProof/>
                <w:webHidden/>
              </w:rPr>
              <w:fldChar w:fldCharType="begin"/>
            </w:r>
            <w:r w:rsidR="00C9021F">
              <w:rPr>
                <w:noProof/>
                <w:webHidden/>
              </w:rPr>
              <w:instrText xml:space="preserve"> PAGEREF _Toc45622625 \h </w:instrText>
            </w:r>
            <w:r w:rsidR="00C9021F">
              <w:rPr>
                <w:noProof/>
                <w:webHidden/>
              </w:rPr>
            </w:r>
            <w:r w:rsidR="00C9021F">
              <w:rPr>
                <w:noProof/>
                <w:webHidden/>
              </w:rPr>
              <w:fldChar w:fldCharType="separate"/>
            </w:r>
            <w:r w:rsidR="00C9021F">
              <w:rPr>
                <w:noProof/>
                <w:webHidden/>
              </w:rPr>
              <w:t>18</w:t>
            </w:r>
            <w:r w:rsidR="00C9021F">
              <w:rPr>
                <w:noProof/>
                <w:webHidden/>
              </w:rPr>
              <w:fldChar w:fldCharType="end"/>
            </w:r>
          </w:hyperlink>
        </w:p>
        <w:p w14:paraId="7A316D51" w14:textId="661A8DC6" w:rsidR="00C9021F" w:rsidRDefault="007B137C" w:rsidP="00044B9F">
          <w:pPr>
            <w:pStyle w:val="TOC1"/>
            <w:rPr>
              <w:rFonts w:eastAsiaTheme="minorEastAsia"/>
              <w:noProof/>
              <w:sz w:val="22"/>
              <w:lang w:eastAsia="en-AU"/>
            </w:rPr>
          </w:pPr>
          <w:hyperlink w:anchor="_Toc45622626" w:history="1">
            <w:r w:rsidR="00C9021F" w:rsidRPr="00F93FB1">
              <w:rPr>
                <w:rStyle w:val="Hyperlink"/>
                <w:noProof/>
              </w:rPr>
              <w:t>Part B: AASB 1058 Income of Not-for-Profit Entities</w:t>
            </w:r>
            <w:r w:rsidR="00C9021F">
              <w:rPr>
                <w:noProof/>
                <w:webHidden/>
              </w:rPr>
              <w:tab/>
            </w:r>
            <w:r w:rsidR="00C9021F">
              <w:rPr>
                <w:noProof/>
                <w:webHidden/>
              </w:rPr>
              <w:fldChar w:fldCharType="begin"/>
            </w:r>
            <w:r w:rsidR="00C9021F">
              <w:rPr>
                <w:noProof/>
                <w:webHidden/>
              </w:rPr>
              <w:instrText xml:space="preserve"> PAGEREF _Toc45622626 \h </w:instrText>
            </w:r>
            <w:r w:rsidR="00C9021F">
              <w:rPr>
                <w:noProof/>
                <w:webHidden/>
              </w:rPr>
            </w:r>
            <w:r w:rsidR="00C9021F">
              <w:rPr>
                <w:noProof/>
                <w:webHidden/>
              </w:rPr>
              <w:fldChar w:fldCharType="separate"/>
            </w:r>
            <w:r w:rsidR="00C9021F">
              <w:rPr>
                <w:noProof/>
                <w:webHidden/>
              </w:rPr>
              <w:t>19</w:t>
            </w:r>
            <w:r w:rsidR="00C9021F">
              <w:rPr>
                <w:noProof/>
                <w:webHidden/>
              </w:rPr>
              <w:fldChar w:fldCharType="end"/>
            </w:r>
          </w:hyperlink>
        </w:p>
        <w:p w14:paraId="553BA4F3" w14:textId="6263EC62" w:rsidR="00C9021F" w:rsidRDefault="007B137C" w:rsidP="00044B9F">
          <w:pPr>
            <w:pStyle w:val="TOC1"/>
            <w:rPr>
              <w:rFonts w:eastAsiaTheme="minorEastAsia"/>
              <w:noProof/>
              <w:sz w:val="22"/>
              <w:lang w:eastAsia="en-AU"/>
            </w:rPr>
          </w:pPr>
          <w:hyperlink w:anchor="_Toc45622627" w:history="1">
            <w:r w:rsidR="00C9021F" w:rsidRPr="00F93FB1">
              <w:rPr>
                <w:rStyle w:val="Hyperlink"/>
                <w:noProof/>
              </w:rPr>
              <w:t>B1.</w:t>
            </w:r>
            <w:r w:rsidR="00C9021F">
              <w:rPr>
                <w:rFonts w:eastAsiaTheme="minorEastAsia"/>
                <w:noProof/>
                <w:sz w:val="22"/>
                <w:lang w:eastAsia="en-AU"/>
              </w:rPr>
              <w:tab/>
            </w:r>
            <w:r w:rsidR="00C9021F" w:rsidRPr="00F93FB1">
              <w:rPr>
                <w:rStyle w:val="Hyperlink"/>
                <w:noProof/>
              </w:rPr>
              <w:t>Application date</w:t>
            </w:r>
            <w:r w:rsidR="00C9021F">
              <w:rPr>
                <w:noProof/>
                <w:webHidden/>
              </w:rPr>
              <w:tab/>
            </w:r>
            <w:r w:rsidR="00C9021F">
              <w:rPr>
                <w:noProof/>
                <w:webHidden/>
              </w:rPr>
              <w:fldChar w:fldCharType="begin"/>
            </w:r>
            <w:r w:rsidR="00C9021F">
              <w:rPr>
                <w:noProof/>
                <w:webHidden/>
              </w:rPr>
              <w:instrText xml:space="preserve"> PAGEREF _Toc45622627 \h </w:instrText>
            </w:r>
            <w:r w:rsidR="00C9021F">
              <w:rPr>
                <w:noProof/>
                <w:webHidden/>
              </w:rPr>
            </w:r>
            <w:r w:rsidR="00C9021F">
              <w:rPr>
                <w:noProof/>
                <w:webHidden/>
              </w:rPr>
              <w:fldChar w:fldCharType="separate"/>
            </w:r>
            <w:r w:rsidR="00C9021F">
              <w:rPr>
                <w:noProof/>
                <w:webHidden/>
              </w:rPr>
              <w:t>19</w:t>
            </w:r>
            <w:r w:rsidR="00C9021F">
              <w:rPr>
                <w:noProof/>
                <w:webHidden/>
              </w:rPr>
              <w:fldChar w:fldCharType="end"/>
            </w:r>
          </w:hyperlink>
        </w:p>
        <w:p w14:paraId="6C33E71A" w14:textId="194C77B2" w:rsidR="00C9021F" w:rsidRDefault="007B137C" w:rsidP="00044B9F">
          <w:pPr>
            <w:pStyle w:val="TOC1"/>
            <w:rPr>
              <w:rFonts w:eastAsiaTheme="minorEastAsia"/>
              <w:noProof/>
              <w:sz w:val="22"/>
              <w:lang w:eastAsia="en-AU"/>
            </w:rPr>
          </w:pPr>
          <w:hyperlink w:anchor="_Toc45622628" w:history="1">
            <w:r w:rsidR="00C9021F" w:rsidRPr="00F93FB1">
              <w:rPr>
                <w:rStyle w:val="Hyperlink"/>
                <w:noProof/>
              </w:rPr>
              <w:t>B2</w:t>
            </w:r>
            <w:r w:rsidR="00C9021F">
              <w:rPr>
                <w:rFonts w:eastAsiaTheme="minorEastAsia"/>
                <w:noProof/>
                <w:sz w:val="22"/>
                <w:lang w:eastAsia="en-AU"/>
              </w:rPr>
              <w:tab/>
            </w:r>
            <w:r w:rsidR="00C9021F" w:rsidRPr="00F93FB1">
              <w:rPr>
                <w:rStyle w:val="Hyperlink"/>
                <w:noProof/>
              </w:rPr>
              <w:t>Scope (AASB 1058.7 &amp; 1058.B2-B11)</w:t>
            </w:r>
            <w:r w:rsidR="00C9021F">
              <w:rPr>
                <w:noProof/>
                <w:webHidden/>
              </w:rPr>
              <w:tab/>
            </w:r>
            <w:r w:rsidR="00C9021F">
              <w:rPr>
                <w:noProof/>
                <w:webHidden/>
              </w:rPr>
              <w:fldChar w:fldCharType="begin"/>
            </w:r>
            <w:r w:rsidR="00C9021F">
              <w:rPr>
                <w:noProof/>
                <w:webHidden/>
              </w:rPr>
              <w:instrText xml:space="preserve"> PAGEREF _Toc45622628 \h </w:instrText>
            </w:r>
            <w:r w:rsidR="00C9021F">
              <w:rPr>
                <w:noProof/>
                <w:webHidden/>
              </w:rPr>
            </w:r>
            <w:r w:rsidR="00C9021F">
              <w:rPr>
                <w:noProof/>
                <w:webHidden/>
              </w:rPr>
              <w:fldChar w:fldCharType="separate"/>
            </w:r>
            <w:r w:rsidR="00C9021F">
              <w:rPr>
                <w:noProof/>
                <w:webHidden/>
              </w:rPr>
              <w:t>19</w:t>
            </w:r>
            <w:r w:rsidR="00C9021F">
              <w:rPr>
                <w:noProof/>
                <w:webHidden/>
              </w:rPr>
              <w:fldChar w:fldCharType="end"/>
            </w:r>
          </w:hyperlink>
        </w:p>
        <w:p w14:paraId="1E35AEB5" w14:textId="370F2A93" w:rsidR="00C9021F" w:rsidRDefault="007B137C" w:rsidP="00044B9F">
          <w:pPr>
            <w:pStyle w:val="TOC1"/>
            <w:rPr>
              <w:rFonts w:eastAsiaTheme="minorEastAsia"/>
              <w:noProof/>
              <w:sz w:val="22"/>
              <w:lang w:eastAsia="en-AU"/>
            </w:rPr>
          </w:pPr>
          <w:hyperlink w:anchor="_Toc45622629" w:history="1">
            <w:r w:rsidR="00C9021F" w:rsidRPr="00F93FB1">
              <w:rPr>
                <w:rStyle w:val="Hyperlink"/>
                <w:noProof/>
              </w:rPr>
              <w:t>B3. Recognition and Measurement (AASB 1058.8-14)</w:t>
            </w:r>
            <w:r w:rsidR="00C9021F">
              <w:rPr>
                <w:noProof/>
                <w:webHidden/>
              </w:rPr>
              <w:tab/>
            </w:r>
            <w:r w:rsidR="00C9021F">
              <w:rPr>
                <w:noProof/>
                <w:webHidden/>
              </w:rPr>
              <w:fldChar w:fldCharType="begin"/>
            </w:r>
            <w:r w:rsidR="00C9021F">
              <w:rPr>
                <w:noProof/>
                <w:webHidden/>
              </w:rPr>
              <w:instrText xml:space="preserve"> PAGEREF _Toc45622629 \h </w:instrText>
            </w:r>
            <w:r w:rsidR="00C9021F">
              <w:rPr>
                <w:noProof/>
                <w:webHidden/>
              </w:rPr>
            </w:r>
            <w:r w:rsidR="00C9021F">
              <w:rPr>
                <w:noProof/>
                <w:webHidden/>
              </w:rPr>
              <w:fldChar w:fldCharType="separate"/>
            </w:r>
            <w:r w:rsidR="00C9021F">
              <w:rPr>
                <w:noProof/>
                <w:webHidden/>
              </w:rPr>
              <w:t>20</w:t>
            </w:r>
            <w:r w:rsidR="00C9021F">
              <w:rPr>
                <w:noProof/>
                <w:webHidden/>
              </w:rPr>
              <w:fldChar w:fldCharType="end"/>
            </w:r>
          </w:hyperlink>
        </w:p>
        <w:p w14:paraId="0C7C1CB7" w14:textId="215353D6" w:rsidR="00C9021F" w:rsidRDefault="007B137C">
          <w:pPr>
            <w:pStyle w:val="TOC2"/>
            <w:tabs>
              <w:tab w:val="left" w:pos="880"/>
              <w:tab w:val="right" w:leader="dot" w:pos="9016"/>
            </w:tabs>
            <w:rPr>
              <w:rFonts w:eastAsiaTheme="minorEastAsia"/>
              <w:noProof/>
              <w:sz w:val="22"/>
              <w:lang w:eastAsia="en-AU"/>
            </w:rPr>
          </w:pPr>
          <w:hyperlink w:anchor="_Toc45622630" w:history="1">
            <w:r w:rsidR="00C9021F" w:rsidRPr="00F93FB1">
              <w:rPr>
                <w:rStyle w:val="Hyperlink"/>
                <w:noProof/>
              </w:rPr>
              <w:t>B3.1</w:t>
            </w:r>
            <w:r w:rsidR="00C9021F">
              <w:rPr>
                <w:rFonts w:eastAsiaTheme="minorEastAsia"/>
                <w:noProof/>
                <w:sz w:val="22"/>
                <w:lang w:eastAsia="en-AU"/>
              </w:rPr>
              <w:tab/>
            </w:r>
            <w:r w:rsidR="00C9021F" w:rsidRPr="00F93FB1">
              <w:rPr>
                <w:rStyle w:val="Hyperlink"/>
                <w:noProof/>
              </w:rPr>
              <w:t>Recognising the asset received (AASB 1058.8)</w:t>
            </w:r>
            <w:r w:rsidR="00C9021F">
              <w:rPr>
                <w:noProof/>
                <w:webHidden/>
              </w:rPr>
              <w:tab/>
            </w:r>
            <w:r w:rsidR="00C9021F">
              <w:rPr>
                <w:noProof/>
                <w:webHidden/>
              </w:rPr>
              <w:fldChar w:fldCharType="begin"/>
            </w:r>
            <w:r w:rsidR="00C9021F">
              <w:rPr>
                <w:noProof/>
                <w:webHidden/>
              </w:rPr>
              <w:instrText xml:space="preserve"> PAGEREF _Toc45622630 \h </w:instrText>
            </w:r>
            <w:r w:rsidR="00C9021F">
              <w:rPr>
                <w:noProof/>
                <w:webHidden/>
              </w:rPr>
            </w:r>
            <w:r w:rsidR="00C9021F">
              <w:rPr>
                <w:noProof/>
                <w:webHidden/>
              </w:rPr>
              <w:fldChar w:fldCharType="separate"/>
            </w:r>
            <w:r w:rsidR="00C9021F">
              <w:rPr>
                <w:noProof/>
                <w:webHidden/>
              </w:rPr>
              <w:t>20</w:t>
            </w:r>
            <w:r w:rsidR="00C9021F">
              <w:rPr>
                <w:noProof/>
                <w:webHidden/>
              </w:rPr>
              <w:fldChar w:fldCharType="end"/>
            </w:r>
          </w:hyperlink>
        </w:p>
        <w:p w14:paraId="10664C7C" w14:textId="6713E72B" w:rsidR="00C9021F" w:rsidRDefault="007B137C">
          <w:pPr>
            <w:pStyle w:val="TOC2"/>
            <w:tabs>
              <w:tab w:val="left" w:pos="880"/>
              <w:tab w:val="right" w:leader="dot" w:pos="9016"/>
            </w:tabs>
            <w:rPr>
              <w:rFonts w:eastAsiaTheme="minorEastAsia"/>
              <w:noProof/>
              <w:sz w:val="22"/>
              <w:lang w:eastAsia="en-AU"/>
            </w:rPr>
          </w:pPr>
          <w:hyperlink w:anchor="_Toc45622631" w:history="1">
            <w:r w:rsidR="00C9021F" w:rsidRPr="00F93FB1">
              <w:rPr>
                <w:rStyle w:val="Hyperlink"/>
                <w:noProof/>
              </w:rPr>
              <w:t>B3.2</w:t>
            </w:r>
            <w:r w:rsidR="00C9021F">
              <w:rPr>
                <w:rFonts w:eastAsiaTheme="minorEastAsia"/>
                <w:noProof/>
                <w:sz w:val="22"/>
                <w:lang w:eastAsia="en-AU"/>
              </w:rPr>
              <w:tab/>
            </w:r>
            <w:r w:rsidR="00C9021F" w:rsidRPr="00F93FB1">
              <w:rPr>
                <w:rStyle w:val="Hyperlink"/>
                <w:noProof/>
              </w:rPr>
              <w:t>Recognising the ‘credit entry’ (AASB 1058.9)</w:t>
            </w:r>
            <w:r w:rsidR="00C9021F">
              <w:rPr>
                <w:noProof/>
                <w:webHidden/>
              </w:rPr>
              <w:tab/>
            </w:r>
            <w:r w:rsidR="00C9021F">
              <w:rPr>
                <w:noProof/>
                <w:webHidden/>
              </w:rPr>
              <w:fldChar w:fldCharType="begin"/>
            </w:r>
            <w:r w:rsidR="00C9021F">
              <w:rPr>
                <w:noProof/>
                <w:webHidden/>
              </w:rPr>
              <w:instrText xml:space="preserve"> PAGEREF _Toc45622631 \h </w:instrText>
            </w:r>
            <w:r w:rsidR="00C9021F">
              <w:rPr>
                <w:noProof/>
                <w:webHidden/>
              </w:rPr>
            </w:r>
            <w:r w:rsidR="00C9021F">
              <w:rPr>
                <w:noProof/>
                <w:webHidden/>
              </w:rPr>
              <w:fldChar w:fldCharType="separate"/>
            </w:r>
            <w:r w:rsidR="00C9021F">
              <w:rPr>
                <w:noProof/>
                <w:webHidden/>
              </w:rPr>
              <w:t>21</w:t>
            </w:r>
            <w:r w:rsidR="00C9021F">
              <w:rPr>
                <w:noProof/>
                <w:webHidden/>
              </w:rPr>
              <w:fldChar w:fldCharType="end"/>
            </w:r>
          </w:hyperlink>
        </w:p>
        <w:p w14:paraId="3F90E6C5" w14:textId="59D21930" w:rsidR="00C9021F" w:rsidRDefault="007B137C">
          <w:pPr>
            <w:pStyle w:val="TOC2"/>
            <w:tabs>
              <w:tab w:val="left" w:pos="880"/>
              <w:tab w:val="right" w:leader="dot" w:pos="9016"/>
            </w:tabs>
            <w:rPr>
              <w:rFonts w:eastAsiaTheme="minorEastAsia"/>
              <w:noProof/>
              <w:sz w:val="22"/>
              <w:lang w:eastAsia="en-AU"/>
            </w:rPr>
          </w:pPr>
          <w:hyperlink w:anchor="_Toc45622632" w:history="1">
            <w:r w:rsidR="00C9021F" w:rsidRPr="00F93FB1">
              <w:rPr>
                <w:rStyle w:val="Hyperlink"/>
                <w:noProof/>
              </w:rPr>
              <w:t>B3.3</w:t>
            </w:r>
            <w:r w:rsidR="00C9021F">
              <w:rPr>
                <w:rFonts w:eastAsiaTheme="minorEastAsia"/>
                <w:noProof/>
                <w:sz w:val="22"/>
                <w:lang w:eastAsia="en-AU"/>
              </w:rPr>
              <w:tab/>
            </w:r>
            <w:r w:rsidR="00C9021F" w:rsidRPr="00F93FB1">
              <w:rPr>
                <w:rStyle w:val="Hyperlink"/>
                <w:noProof/>
              </w:rPr>
              <w:t>Transfers to enable acquisition or construction of a recognisable non</w:t>
            </w:r>
            <w:r w:rsidR="00C9021F" w:rsidRPr="00F93FB1">
              <w:rPr>
                <w:rStyle w:val="Hyperlink"/>
                <w:noProof/>
              </w:rPr>
              <w:noBreakHyphen/>
              <w:t>financial asset (AASB 1058.15-17 &amp; 1058.B15-B17)</w:t>
            </w:r>
            <w:r w:rsidR="00C9021F">
              <w:rPr>
                <w:noProof/>
                <w:webHidden/>
              </w:rPr>
              <w:tab/>
            </w:r>
            <w:r w:rsidR="00C9021F">
              <w:rPr>
                <w:noProof/>
                <w:webHidden/>
              </w:rPr>
              <w:fldChar w:fldCharType="begin"/>
            </w:r>
            <w:r w:rsidR="00C9021F">
              <w:rPr>
                <w:noProof/>
                <w:webHidden/>
              </w:rPr>
              <w:instrText xml:space="preserve"> PAGEREF _Toc45622632 \h </w:instrText>
            </w:r>
            <w:r w:rsidR="00C9021F">
              <w:rPr>
                <w:noProof/>
                <w:webHidden/>
              </w:rPr>
            </w:r>
            <w:r w:rsidR="00C9021F">
              <w:rPr>
                <w:noProof/>
                <w:webHidden/>
              </w:rPr>
              <w:fldChar w:fldCharType="separate"/>
            </w:r>
            <w:r w:rsidR="00C9021F">
              <w:rPr>
                <w:noProof/>
                <w:webHidden/>
              </w:rPr>
              <w:t>21</w:t>
            </w:r>
            <w:r w:rsidR="00C9021F">
              <w:rPr>
                <w:noProof/>
                <w:webHidden/>
              </w:rPr>
              <w:fldChar w:fldCharType="end"/>
            </w:r>
          </w:hyperlink>
        </w:p>
        <w:p w14:paraId="34F1F679" w14:textId="5AB78795" w:rsidR="00C9021F" w:rsidRDefault="007B137C" w:rsidP="00044B9F">
          <w:pPr>
            <w:pStyle w:val="TOC1"/>
            <w:rPr>
              <w:rFonts w:eastAsiaTheme="minorEastAsia"/>
              <w:noProof/>
              <w:sz w:val="22"/>
              <w:lang w:eastAsia="en-AU"/>
            </w:rPr>
          </w:pPr>
          <w:hyperlink w:anchor="_Toc45622633" w:history="1">
            <w:r w:rsidR="00C9021F" w:rsidRPr="00F93FB1">
              <w:rPr>
                <w:rStyle w:val="Hyperlink"/>
                <w:noProof/>
              </w:rPr>
              <w:t>B4.</w:t>
            </w:r>
            <w:r w:rsidR="00C9021F">
              <w:rPr>
                <w:rFonts w:eastAsiaTheme="minorEastAsia"/>
                <w:noProof/>
                <w:sz w:val="22"/>
                <w:lang w:eastAsia="en-AU"/>
              </w:rPr>
              <w:tab/>
            </w:r>
            <w:r w:rsidR="00C9021F" w:rsidRPr="00F93FB1">
              <w:rPr>
                <w:rStyle w:val="Hyperlink"/>
                <w:noProof/>
              </w:rPr>
              <w:t>Volunteer Services (AASB 1058.18-22)</w:t>
            </w:r>
            <w:r w:rsidR="00C9021F">
              <w:rPr>
                <w:noProof/>
                <w:webHidden/>
              </w:rPr>
              <w:tab/>
            </w:r>
            <w:r w:rsidR="00C9021F">
              <w:rPr>
                <w:noProof/>
                <w:webHidden/>
              </w:rPr>
              <w:fldChar w:fldCharType="begin"/>
            </w:r>
            <w:r w:rsidR="00C9021F">
              <w:rPr>
                <w:noProof/>
                <w:webHidden/>
              </w:rPr>
              <w:instrText xml:space="preserve"> PAGEREF _Toc45622633 \h </w:instrText>
            </w:r>
            <w:r w:rsidR="00C9021F">
              <w:rPr>
                <w:noProof/>
                <w:webHidden/>
              </w:rPr>
            </w:r>
            <w:r w:rsidR="00C9021F">
              <w:rPr>
                <w:noProof/>
                <w:webHidden/>
              </w:rPr>
              <w:fldChar w:fldCharType="separate"/>
            </w:r>
            <w:r w:rsidR="00C9021F">
              <w:rPr>
                <w:noProof/>
                <w:webHidden/>
              </w:rPr>
              <w:t>21</w:t>
            </w:r>
            <w:r w:rsidR="00C9021F">
              <w:rPr>
                <w:noProof/>
                <w:webHidden/>
              </w:rPr>
              <w:fldChar w:fldCharType="end"/>
            </w:r>
          </w:hyperlink>
        </w:p>
        <w:p w14:paraId="418950CE" w14:textId="287185B7" w:rsidR="00C9021F" w:rsidRDefault="007B137C" w:rsidP="00044B9F">
          <w:pPr>
            <w:pStyle w:val="TOC1"/>
            <w:rPr>
              <w:rFonts w:eastAsiaTheme="minorEastAsia"/>
              <w:noProof/>
              <w:sz w:val="22"/>
              <w:lang w:eastAsia="en-AU"/>
            </w:rPr>
          </w:pPr>
          <w:hyperlink w:anchor="_Toc45622634" w:history="1">
            <w:r w:rsidR="00C9021F" w:rsidRPr="00F93FB1">
              <w:rPr>
                <w:rStyle w:val="Hyperlink"/>
                <w:noProof/>
              </w:rPr>
              <w:t>B5.</w:t>
            </w:r>
            <w:r w:rsidR="00C9021F">
              <w:rPr>
                <w:rFonts w:eastAsiaTheme="minorEastAsia"/>
                <w:noProof/>
                <w:sz w:val="22"/>
                <w:lang w:eastAsia="en-AU"/>
              </w:rPr>
              <w:tab/>
            </w:r>
            <w:r w:rsidR="00C9021F" w:rsidRPr="00F93FB1">
              <w:rPr>
                <w:rStyle w:val="Hyperlink"/>
                <w:noProof/>
              </w:rPr>
              <w:t>Concessionary (Peppercorn) Leases</w:t>
            </w:r>
            <w:r w:rsidR="00C9021F">
              <w:rPr>
                <w:noProof/>
                <w:webHidden/>
              </w:rPr>
              <w:tab/>
            </w:r>
            <w:r w:rsidR="00C9021F">
              <w:rPr>
                <w:noProof/>
                <w:webHidden/>
              </w:rPr>
              <w:fldChar w:fldCharType="begin"/>
            </w:r>
            <w:r w:rsidR="00C9021F">
              <w:rPr>
                <w:noProof/>
                <w:webHidden/>
              </w:rPr>
              <w:instrText xml:space="preserve"> PAGEREF _Toc45622634 \h </w:instrText>
            </w:r>
            <w:r w:rsidR="00C9021F">
              <w:rPr>
                <w:noProof/>
                <w:webHidden/>
              </w:rPr>
            </w:r>
            <w:r w:rsidR="00C9021F">
              <w:rPr>
                <w:noProof/>
                <w:webHidden/>
              </w:rPr>
              <w:fldChar w:fldCharType="separate"/>
            </w:r>
            <w:r w:rsidR="00C9021F">
              <w:rPr>
                <w:noProof/>
                <w:webHidden/>
              </w:rPr>
              <w:t>22</w:t>
            </w:r>
            <w:r w:rsidR="00C9021F">
              <w:rPr>
                <w:noProof/>
                <w:webHidden/>
              </w:rPr>
              <w:fldChar w:fldCharType="end"/>
            </w:r>
          </w:hyperlink>
        </w:p>
        <w:p w14:paraId="4BEDC84D" w14:textId="0469EAD7" w:rsidR="00C9021F" w:rsidRDefault="007B137C" w:rsidP="00044B9F">
          <w:pPr>
            <w:pStyle w:val="TOC1"/>
            <w:rPr>
              <w:rFonts w:eastAsiaTheme="minorEastAsia"/>
              <w:noProof/>
              <w:sz w:val="22"/>
              <w:lang w:eastAsia="en-AU"/>
            </w:rPr>
          </w:pPr>
          <w:hyperlink w:anchor="_Toc45622635" w:history="1">
            <w:r w:rsidR="00C9021F" w:rsidRPr="00F93FB1">
              <w:rPr>
                <w:rStyle w:val="Hyperlink"/>
                <w:noProof/>
              </w:rPr>
              <w:t>B6.</w:t>
            </w:r>
            <w:r w:rsidR="00C9021F">
              <w:rPr>
                <w:rFonts w:eastAsiaTheme="minorEastAsia"/>
                <w:noProof/>
                <w:sz w:val="22"/>
                <w:lang w:eastAsia="en-AU"/>
              </w:rPr>
              <w:tab/>
            </w:r>
            <w:r w:rsidR="00C9021F" w:rsidRPr="00F93FB1">
              <w:rPr>
                <w:rStyle w:val="Hyperlink"/>
                <w:noProof/>
              </w:rPr>
              <w:t>Contract with a customer that includes a donation component</w:t>
            </w:r>
            <w:r w:rsidR="00C9021F">
              <w:rPr>
                <w:noProof/>
                <w:webHidden/>
              </w:rPr>
              <w:tab/>
            </w:r>
            <w:r w:rsidR="00C9021F">
              <w:rPr>
                <w:noProof/>
                <w:webHidden/>
              </w:rPr>
              <w:fldChar w:fldCharType="begin"/>
            </w:r>
            <w:r w:rsidR="00C9021F">
              <w:rPr>
                <w:noProof/>
                <w:webHidden/>
              </w:rPr>
              <w:instrText xml:space="preserve"> PAGEREF _Toc45622635 \h </w:instrText>
            </w:r>
            <w:r w:rsidR="00C9021F">
              <w:rPr>
                <w:noProof/>
                <w:webHidden/>
              </w:rPr>
            </w:r>
            <w:r w:rsidR="00C9021F">
              <w:rPr>
                <w:noProof/>
                <w:webHidden/>
              </w:rPr>
              <w:fldChar w:fldCharType="separate"/>
            </w:r>
            <w:r w:rsidR="00C9021F">
              <w:rPr>
                <w:noProof/>
                <w:webHidden/>
              </w:rPr>
              <w:t>22</w:t>
            </w:r>
            <w:r w:rsidR="00C9021F">
              <w:rPr>
                <w:noProof/>
                <w:webHidden/>
              </w:rPr>
              <w:fldChar w:fldCharType="end"/>
            </w:r>
          </w:hyperlink>
        </w:p>
        <w:p w14:paraId="7C2A072A" w14:textId="222AC265" w:rsidR="00C9021F" w:rsidRDefault="007B137C" w:rsidP="00044B9F">
          <w:pPr>
            <w:pStyle w:val="TOC1"/>
            <w:rPr>
              <w:rFonts w:eastAsiaTheme="minorEastAsia"/>
              <w:noProof/>
              <w:sz w:val="22"/>
              <w:lang w:eastAsia="en-AU"/>
            </w:rPr>
          </w:pPr>
          <w:hyperlink w:anchor="_Toc45622636" w:history="1">
            <w:r w:rsidR="00C9021F" w:rsidRPr="00F93FB1">
              <w:rPr>
                <w:rStyle w:val="Hyperlink"/>
                <w:noProof/>
              </w:rPr>
              <w:t>B7.</w:t>
            </w:r>
            <w:r w:rsidR="00C9021F">
              <w:rPr>
                <w:rFonts w:eastAsiaTheme="minorEastAsia"/>
                <w:noProof/>
                <w:sz w:val="22"/>
                <w:lang w:eastAsia="en-AU"/>
              </w:rPr>
              <w:tab/>
            </w:r>
            <w:r w:rsidR="00C9021F" w:rsidRPr="00F93FB1">
              <w:rPr>
                <w:rStyle w:val="Hyperlink"/>
                <w:noProof/>
              </w:rPr>
              <w:t>Transition</w:t>
            </w:r>
            <w:r w:rsidR="00C9021F">
              <w:rPr>
                <w:noProof/>
                <w:webHidden/>
              </w:rPr>
              <w:tab/>
            </w:r>
            <w:r w:rsidR="00C9021F">
              <w:rPr>
                <w:noProof/>
                <w:webHidden/>
              </w:rPr>
              <w:fldChar w:fldCharType="begin"/>
            </w:r>
            <w:r w:rsidR="00C9021F">
              <w:rPr>
                <w:noProof/>
                <w:webHidden/>
              </w:rPr>
              <w:instrText xml:space="preserve"> PAGEREF _Toc45622636 \h </w:instrText>
            </w:r>
            <w:r w:rsidR="00C9021F">
              <w:rPr>
                <w:noProof/>
                <w:webHidden/>
              </w:rPr>
            </w:r>
            <w:r w:rsidR="00C9021F">
              <w:rPr>
                <w:noProof/>
                <w:webHidden/>
              </w:rPr>
              <w:fldChar w:fldCharType="separate"/>
            </w:r>
            <w:r w:rsidR="00C9021F">
              <w:rPr>
                <w:noProof/>
                <w:webHidden/>
              </w:rPr>
              <w:t>23</w:t>
            </w:r>
            <w:r w:rsidR="00C9021F">
              <w:rPr>
                <w:noProof/>
                <w:webHidden/>
              </w:rPr>
              <w:fldChar w:fldCharType="end"/>
            </w:r>
          </w:hyperlink>
        </w:p>
        <w:p w14:paraId="7361C440" w14:textId="3DEA3C69" w:rsidR="00C9021F" w:rsidRDefault="007B137C">
          <w:pPr>
            <w:pStyle w:val="TOC2"/>
            <w:tabs>
              <w:tab w:val="left" w:pos="880"/>
              <w:tab w:val="right" w:leader="dot" w:pos="9016"/>
            </w:tabs>
            <w:rPr>
              <w:rFonts w:eastAsiaTheme="minorEastAsia"/>
              <w:noProof/>
              <w:sz w:val="22"/>
              <w:lang w:eastAsia="en-AU"/>
            </w:rPr>
          </w:pPr>
          <w:hyperlink w:anchor="_Toc45622637" w:history="1">
            <w:r w:rsidR="00C9021F" w:rsidRPr="00F93FB1">
              <w:rPr>
                <w:rStyle w:val="Hyperlink"/>
                <w:noProof/>
              </w:rPr>
              <w:t>B7.1</w:t>
            </w:r>
            <w:r w:rsidR="00C9021F">
              <w:rPr>
                <w:rFonts w:eastAsiaTheme="minorEastAsia"/>
                <w:noProof/>
                <w:sz w:val="22"/>
                <w:lang w:eastAsia="en-AU"/>
              </w:rPr>
              <w:tab/>
            </w:r>
            <w:r w:rsidR="00C9021F" w:rsidRPr="00F93FB1">
              <w:rPr>
                <w:rStyle w:val="Hyperlink"/>
                <w:noProof/>
              </w:rPr>
              <w:t>Date of initial application</w:t>
            </w:r>
            <w:r w:rsidR="00C9021F">
              <w:rPr>
                <w:noProof/>
                <w:webHidden/>
              </w:rPr>
              <w:tab/>
            </w:r>
            <w:r w:rsidR="00C9021F">
              <w:rPr>
                <w:noProof/>
                <w:webHidden/>
              </w:rPr>
              <w:fldChar w:fldCharType="begin"/>
            </w:r>
            <w:r w:rsidR="00C9021F">
              <w:rPr>
                <w:noProof/>
                <w:webHidden/>
              </w:rPr>
              <w:instrText xml:space="preserve"> PAGEREF _Toc45622637 \h </w:instrText>
            </w:r>
            <w:r w:rsidR="00C9021F">
              <w:rPr>
                <w:noProof/>
                <w:webHidden/>
              </w:rPr>
            </w:r>
            <w:r w:rsidR="00C9021F">
              <w:rPr>
                <w:noProof/>
                <w:webHidden/>
              </w:rPr>
              <w:fldChar w:fldCharType="separate"/>
            </w:r>
            <w:r w:rsidR="00C9021F">
              <w:rPr>
                <w:noProof/>
                <w:webHidden/>
              </w:rPr>
              <w:t>23</w:t>
            </w:r>
            <w:r w:rsidR="00C9021F">
              <w:rPr>
                <w:noProof/>
                <w:webHidden/>
              </w:rPr>
              <w:fldChar w:fldCharType="end"/>
            </w:r>
          </w:hyperlink>
        </w:p>
        <w:p w14:paraId="08B2BDF8" w14:textId="287A3E57" w:rsidR="00C9021F" w:rsidRDefault="007B137C">
          <w:pPr>
            <w:pStyle w:val="TOC2"/>
            <w:tabs>
              <w:tab w:val="left" w:pos="880"/>
              <w:tab w:val="right" w:leader="dot" w:pos="9016"/>
            </w:tabs>
            <w:rPr>
              <w:rFonts w:eastAsiaTheme="minorEastAsia"/>
              <w:noProof/>
              <w:sz w:val="22"/>
              <w:lang w:eastAsia="en-AU"/>
            </w:rPr>
          </w:pPr>
          <w:hyperlink w:anchor="_Toc45622638" w:history="1">
            <w:r w:rsidR="00C9021F" w:rsidRPr="00F93FB1">
              <w:rPr>
                <w:rStyle w:val="Hyperlink"/>
                <w:noProof/>
              </w:rPr>
              <w:t>B7.2</w:t>
            </w:r>
            <w:r w:rsidR="00C9021F">
              <w:rPr>
                <w:rFonts w:eastAsiaTheme="minorEastAsia"/>
                <w:noProof/>
                <w:sz w:val="22"/>
                <w:lang w:eastAsia="en-AU"/>
              </w:rPr>
              <w:tab/>
            </w:r>
            <w:r w:rsidR="00C9021F" w:rsidRPr="00F93FB1">
              <w:rPr>
                <w:rStyle w:val="Hyperlink"/>
                <w:noProof/>
              </w:rPr>
              <w:t>Transitional Option – PARTIAL Retrospective Approach  (AASB 1058.C3(b) &amp; 1058.C6-C11)</w:t>
            </w:r>
            <w:r w:rsidR="00C9021F">
              <w:rPr>
                <w:noProof/>
                <w:webHidden/>
              </w:rPr>
              <w:tab/>
            </w:r>
            <w:r w:rsidR="00C9021F">
              <w:rPr>
                <w:noProof/>
                <w:webHidden/>
              </w:rPr>
              <w:fldChar w:fldCharType="begin"/>
            </w:r>
            <w:r w:rsidR="00C9021F">
              <w:rPr>
                <w:noProof/>
                <w:webHidden/>
              </w:rPr>
              <w:instrText xml:space="preserve"> PAGEREF _Toc45622638 \h </w:instrText>
            </w:r>
            <w:r w:rsidR="00C9021F">
              <w:rPr>
                <w:noProof/>
                <w:webHidden/>
              </w:rPr>
            </w:r>
            <w:r w:rsidR="00C9021F">
              <w:rPr>
                <w:noProof/>
                <w:webHidden/>
              </w:rPr>
              <w:fldChar w:fldCharType="separate"/>
            </w:r>
            <w:r w:rsidR="00C9021F">
              <w:rPr>
                <w:noProof/>
                <w:webHidden/>
              </w:rPr>
              <w:t>23</w:t>
            </w:r>
            <w:r w:rsidR="00C9021F">
              <w:rPr>
                <w:noProof/>
                <w:webHidden/>
              </w:rPr>
              <w:fldChar w:fldCharType="end"/>
            </w:r>
          </w:hyperlink>
        </w:p>
        <w:p w14:paraId="4C2E8A2A" w14:textId="5B5AD09B" w:rsidR="00C9021F" w:rsidRDefault="007B137C">
          <w:pPr>
            <w:pStyle w:val="TOC2"/>
            <w:tabs>
              <w:tab w:val="left" w:pos="880"/>
              <w:tab w:val="right" w:leader="dot" w:pos="9016"/>
            </w:tabs>
            <w:rPr>
              <w:rFonts w:eastAsiaTheme="minorEastAsia"/>
              <w:noProof/>
              <w:sz w:val="22"/>
              <w:lang w:eastAsia="en-AU"/>
            </w:rPr>
          </w:pPr>
          <w:hyperlink w:anchor="_Toc45622639" w:history="1">
            <w:r w:rsidR="00C9021F" w:rsidRPr="00F93FB1">
              <w:rPr>
                <w:rStyle w:val="Hyperlink"/>
                <w:noProof/>
              </w:rPr>
              <w:t>B7.3</w:t>
            </w:r>
            <w:r w:rsidR="00C9021F">
              <w:rPr>
                <w:rFonts w:eastAsiaTheme="minorEastAsia"/>
                <w:noProof/>
                <w:sz w:val="22"/>
                <w:lang w:eastAsia="en-AU"/>
              </w:rPr>
              <w:tab/>
            </w:r>
            <w:r w:rsidR="00C9021F" w:rsidRPr="00F93FB1">
              <w:rPr>
                <w:rStyle w:val="Hyperlink"/>
                <w:noProof/>
              </w:rPr>
              <w:t>Practical Expedients (AASB 1058.C6 &amp;C8)</w:t>
            </w:r>
            <w:r w:rsidR="00C9021F">
              <w:rPr>
                <w:noProof/>
                <w:webHidden/>
              </w:rPr>
              <w:tab/>
            </w:r>
            <w:r w:rsidR="00C9021F">
              <w:rPr>
                <w:noProof/>
                <w:webHidden/>
              </w:rPr>
              <w:fldChar w:fldCharType="begin"/>
            </w:r>
            <w:r w:rsidR="00C9021F">
              <w:rPr>
                <w:noProof/>
                <w:webHidden/>
              </w:rPr>
              <w:instrText xml:space="preserve"> PAGEREF _Toc45622639 \h </w:instrText>
            </w:r>
            <w:r w:rsidR="00C9021F">
              <w:rPr>
                <w:noProof/>
                <w:webHidden/>
              </w:rPr>
            </w:r>
            <w:r w:rsidR="00C9021F">
              <w:rPr>
                <w:noProof/>
                <w:webHidden/>
              </w:rPr>
              <w:fldChar w:fldCharType="separate"/>
            </w:r>
            <w:r w:rsidR="00C9021F">
              <w:rPr>
                <w:noProof/>
                <w:webHidden/>
              </w:rPr>
              <w:t>23</w:t>
            </w:r>
            <w:r w:rsidR="00C9021F">
              <w:rPr>
                <w:noProof/>
                <w:webHidden/>
              </w:rPr>
              <w:fldChar w:fldCharType="end"/>
            </w:r>
          </w:hyperlink>
        </w:p>
        <w:p w14:paraId="30775A81" w14:textId="3F0D3AD3" w:rsidR="00C9021F" w:rsidRDefault="007B137C" w:rsidP="00044B9F">
          <w:pPr>
            <w:pStyle w:val="TOC1"/>
            <w:rPr>
              <w:rFonts w:eastAsiaTheme="minorEastAsia"/>
              <w:noProof/>
              <w:sz w:val="22"/>
              <w:lang w:eastAsia="en-AU"/>
            </w:rPr>
          </w:pPr>
          <w:hyperlink w:anchor="_Toc45622640" w:history="1">
            <w:r w:rsidR="00C9021F" w:rsidRPr="00F93FB1">
              <w:rPr>
                <w:rStyle w:val="Hyperlink"/>
                <w:noProof/>
              </w:rPr>
              <w:t>Part C: Decision Tree for whether to apply AASB 15 or AASB 1058 to a transaction (other than volunteer services)</w:t>
            </w:r>
            <w:r w:rsidR="00C9021F">
              <w:rPr>
                <w:noProof/>
                <w:webHidden/>
              </w:rPr>
              <w:tab/>
            </w:r>
            <w:r w:rsidR="00C9021F">
              <w:rPr>
                <w:noProof/>
                <w:webHidden/>
              </w:rPr>
              <w:fldChar w:fldCharType="begin"/>
            </w:r>
            <w:r w:rsidR="00C9021F">
              <w:rPr>
                <w:noProof/>
                <w:webHidden/>
              </w:rPr>
              <w:instrText xml:space="preserve"> PAGEREF _Toc45622640 \h </w:instrText>
            </w:r>
            <w:r w:rsidR="00C9021F">
              <w:rPr>
                <w:noProof/>
                <w:webHidden/>
              </w:rPr>
            </w:r>
            <w:r w:rsidR="00C9021F">
              <w:rPr>
                <w:noProof/>
                <w:webHidden/>
              </w:rPr>
              <w:fldChar w:fldCharType="separate"/>
            </w:r>
            <w:r w:rsidR="00C9021F">
              <w:rPr>
                <w:noProof/>
                <w:webHidden/>
              </w:rPr>
              <w:t>25</w:t>
            </w:r>
            <w:r w:rsidR="00C9021F">
              <w:rPr>
                <w:noProof/>
                <w:webHidden/>
              </w:rPr>
              <w:fldChar w:fldCharType="end"/>
            </w:r>
          </w:hyperlink>
        </w:p>
        <w:p w14:paraId="6DD7DA42" w14:textId="6D40570F" w:rsidR="00C9021F" w:rsidRDefault="007B137C" w:rsidP="00044B9F">
          <w:pPr>
            <w:pStyle w:val="TOC1"/>
            <w:rPr>
              <w:rFonts w:eastAsiaTheme="minorEastAsia"/>
              <w:noProof/>
              <w:sz w:val="22"/>
              <w:lang w:eastAsia="en-AU"/>
            </w:rPr>
          </w:pPr>
          <w:hyperlink w:anchor="_Toc45622641" w:history="1">
            <w:r w:rsidR="00C9021F" w:rsidRPr="00F93FB1">
              <w:rPr>
                <w:rStyle w:val="Hyperlink"/>
                <w:noProof/>
              </w:rPr>
              <w:t>C1.</w:t>
            </w:r>
            <w:r w:rsidR="00C9021F">
              <w:rPr>
                <w:rFonts w:eastAsiaTheme="minorEastAsia"/>
                <w:noProof/>
                <w:sz w:val="22"/>
                <w:lang w:eastAsia="en-AU"/>
              </w:rPr>
              <w:tab/>
            </w:r>
            <w:r w:rsidR="00C9021F" w:rsidRPr="00F93FB1">
              <w:rPr>
                <w:rStyle w:val="Hyperlink"/>
                <w:noProof/>
              </w:rPr>
              <w:t>Commonwealth Grants funding</w:t>
            </w:r>
            <w:r w:rsidR="00C9021F">
              <w:rPr>
                <w:noProof/>
                <w:webHidden/>
              </w:rPr>
              <w:tab/>
            </w:r>
            <w:r w:rsidR="00C9021F">
              <w:rPr>
                <w:noProof/>
                <w:webHidden/>
              </w:rPr>
              <w:fldChar w:fldCharType="begin"/>
            </w:r>
            <w:r w:rsidR="00C9021F">
              <w:rPr>
                <w:noProof/>
                <w:webHidden/>
              </w:rPr>
              <w:instrText xml:space="preserve"> PAGEREF _Toc45622641 \h </w:instrText>
            </w:r>
            <w:r w:rsidR="00C9021F">
              <w:rPr>
                <w:noProof/>
                <w:webHidden/>
              </w:rPr>
            </w:r>
            <w:r w:rsidR="00C9021F">
              <w:rPr>
                <w:noProof/>
                <w:webHidden/>
              </w:rPr>
              <w:fldChar w:fldCharType="separate"/>
            </w:r>
            <w:r w:rsidR="00C9021F">
              <w:rPr>
                <w:noProof/>
                <w:webHidden/>
              </w:rPr>
              <w:t>26</w:t>
            </w:r>
            <w:r w:rsidR="00C9021F">
              <w:rPr>
                <w:noProof/>
                <w:webHidden/>
              </w:rPr>
              <w:fldChar w:fldCharType="end"/>
            </w:r>
          </w:hyperlink>
        </w:p>
        <w:p w14:paraId="0CDCF630" w14:textId="71648A16" w:rsidR="00C9021F" w:rsidRDefault="007B137C">
          <w:pPr>
            <w:pStyle w:val="TOC2"/>
            <w:tabs>
              <w:tab w:val="left" w:pos="880"/>
              <w:tab w:val="right" w:leader="dot" w:pos="9016"/>
            </w:tabs>
            <w:rPr>
              <w:rFonts w:eastAsiaTheme="minorEastAsia"/>
              <w:noProof/>
              <w:sz w:val="22"/>
              <w:lang w:eastAsia="en-AU"/>
            </w:rPr>
          </w:pPr>
          <w:hyperlink w:anchor="_Toc45622642" w:history="1">
            <w:r w:rsidR="00C9021F" w:rsidRPr="00F93FB1">
              <w:rPr>
                <w:rStyle w:val="Hyperlink"/>
                <w:noProof/>
              </w:rPr>
              <w:t>C1.1</w:t>
            </w:r>
            <w:r w:rsidR="00C9021F">
              <w:rPr>
                <w:rFonts w:eastAsiaTheme="minorEastAsia"/>
                <w:noProof/>
                <w:sz w:val="22"/>
                <w:lang w:eastAsia="en-AU"/>
              </w:rPr>
              <w:tab/>
            </w:r>
            <w:r w:rsidR="00C9021F" w:rsidRPr="00F93FB1">
              <w:rPr>
                <w:rStyle w:val="Hyperlink"/>
                <w:noProof/>
              </w:rPr>
              <w:t>Impact from the New Revenue Standards</w:t>
            </w:r>
            <w:r w:rsidR="00C9021F">
              <w:rPr>
                <w:noProof/>
                <w:webHidden/>
              </w:rPr>
              <w:tab/>
            </w:r>
            <w:r w:rsidR="00C9021F">
              <w:rPr>
                <w:noProof/>
                <w:webHidden/>
              </w:rPr>
              <w:fldChar w:fldCharType="begin"/>
            </w:r>
            <w:r w:rsidR="00C9021F">
              <w:rPr>
                <w:noProof/>
                <w:webHidden/>
              </w:rPr>
              <w:instrText xml:space="preserve"> PAGEREF _Toc45622642 \h </w:instrText>
            </w:r>
            <w:r w:rsidR="00C9021F">
              <w:rPr>
                <w:noProof/>
                <w:webHidden/>
              </w:rPr>
            </w:r>
            <w:r w:rsidR="00C9021F">
              <w:rPr>
                <w:noProof/>
                <w:webHidden/>
              </w:rPr>
              <w:fldChar w:fldCharType="separate"/>
            </w:r>
            <w:r w:rsidR="00C9021F">
              <w:rPr>
                <w:noProof/>
                <w:webHidden/>
              </w:rPr>
              <w:t>26</w:t>
            </w:r>
            <w:r w:rsidR="00C9021F">
              <w:rPr>
                <w:noProof/>
                <w:webHidden/>
              </w:rPr>
              <w:fldChar w:fldCharType="end"/>
            </w:r>
          </w:hyperlink>
        </w:p>
        <w:p w14:paraId="13DD4B9C" w14:textId="7E07FFC2" w:rsidR="00C9021F" w:rsidRDefault="007B137C">
          <w:pPr>
            <w:pStyle w:val="TOC2"/>
            <w:tabs>
              <w:tab w:val="left" w:pos="880"/>
              <w:tab w:val="right" w:leader="dot" w:pos="9016"/>
            </w:tabs>
            <w:rPr>
              <w:rFonts w:eastAsiaTheme="minorEastAsia"/>
              <w:noProof/>
              <w:sz w:val="22"/>
              <w:lang w:eastAsia="en-AU"/>
            </w:rPr>
          </w:pPr>
          <w:hyperlink w:anchor="_Toc45622643" w:history="1">
            <w:r w:rsidR="00C9021F" w:rsidRPr="00F93FB1">
              <w:rPr>
                <w:rStyle w:val="Hyperlink"/>
                <w:noProof/>
              </w:rPr>
              <w:t>C1.2</w:t>
            </w:r>
            <w:r w:rsidR="00C9021F">
              <w:rPr>
                <w:rFonts w:eastAsiaTheme="minorEastAsia"/>
                <w:noProof/>
                <w:sz w:val="22"/>
                <w:lang w:eastAsia="en-AU"/>
              </w:rPr>
              <w:tab/>
            </w:r>
            <w:r w:rsidR="00C9021F" w:rsidRPr="00F93FB1">
              <w:rPr>
                <w:rStyle w:val="Hyperlink"/>
                <w:noProof/>
              </w:rPr>
              <w:t>Existing processes</w:t>
            </w:r>
            <w:r w:rsidR="00C9021F">
              <w:rPr>
                <w:noProof/>
                <w:webHidden/>
              </w:rPr>
              <w:tab/>
            </w:r>
            <w:r w:rsidR="00C9021F">
              <w:rPr>
                <w:noProof/>
                <w:webHidden/>
              </w:rPr>
              <w:fldChar w:fldCharType="begin"/>
            </w:r>
            <w:r w:rsidR="00C9021F">
              <w:rPr>
                <w:noProof/>
                <w:webHidden/>
              </w:rPr>
              <w:instrText xml:space="preserve"> PAGEREF _Toc45622643 \h </w:instrText>
            </w:r>
            <w:r w:rsidR="00C9021F">
              <w:rPr>
                <w:noProof/>
                <w:webHidden/>
              </w:rPr>
            </w:r>
            <w:r w:rsidR="00C9021F">
              <w:rPr>
                <w:noProof/>
                <w:webHidden/>
              </w:rPr>
              <w:fldChar w:fldCharType="separate"/>
            </w:r>
            <w:r w:rsidR="00C9021F">
              <w:rPr>
                <w:noProof/>
                <w:webHidden/>
              </w:rPr>
              <w:t>26</w:t>
            </w:r>
            <w:r w:rsidR="00C9021F">
              <w:rPr>
                <w:noProof/>
                <w:webHidden/>
              </w:rPr>
              <w:fldChar w:fldCharType="end"/>
            </w:r>
          </w:hyperlink>
        </w:p>
        <w:p w14:paraId="2BAA4DAE" w14:textId="5EFF037E" w:rsidR="00C9021F" w:rsidRDefault="007B137C">
          <w:pPr>
            <w:pStyle w:val="TOC2"/>
            <w:tabs>
              <w:tab w:val="left" w:pos="880"/>
              <w:tab w:val="right" w:leader="dot" w:pos="9016"/>
            </w:tabs>
            <w:rPr>
              <w:rFonts w:eastAsiaTheme="minorEastAsia"/>
              <w:noProof/>
              <w:sz w:val="22"/>
              <w:lang w:eastAsia="en-AU"/>
            </w:rPr>
          </w:pPr>
          <w:hyperlink w:anchor="_Toc45622644" w:history="1">
            <w:r w:rsidR="00C9021F" w:rsidRPr="00F93FB1">
              <w:rPr>
                <w:rStyle w:val="Hyperlink"/>
                <w:noProof/>
              </w:rPr>
              <w:t>C1.3</w:t>
            </w:r>
            <w:r w:rsidR="00C9021F">
              <w:rPr>
                <w:rFonts w:eastAsiaTheme="minorEastAsia"/>
                <w:noProof/>
                <w:sz w:val="22"/>
                <w:lang w:eastAsia="en-AU"/>
              </w:rPr>
              <w:tab/>
            </w:r>
            <w:r w:rsidR="00C9021F" w:rsidRPr="00F93FB1">
              <w:rPr>
                <w:rStyle w:val="Hyperlink"/>
                <w:noProof/>
              </w:rPr>
              <w:t>Approach</w:t>
            </w:r>
            <w:r w:rsidR="00C9021F">
              <w:rPr>
                <w:noProof/>
                <w:webHidden/>
              </w:rPr>
              <w:tab/>
            </w:r>
            <w:r w:rsidR="00C9021F">
              <w:rPr>
                <w:noProof/>
                <w:webHidden/>
              </w:rPr>
              <w:fldChar w:fldCharType="begin"/>
            </w:r>
            <w:r w:rsidR="00C9021F">
              <w:rPr>
                <w:noProof/>
                <w:webHidden/>
              </w:rPr>
              <w:instrText xml:space="preserve"> PAGEREF _Toc45622644 \h </w:instrText>
            </w:r>
            <w:r w:rsidR="00C9021F">
              <w:rPr>
                <w:noProof/>
                <w:webHidden/>
              </w:rPr>
            </w:r>
            <w:r w:rsidR="00C9021F">
              <w:rPr>
                <w:noProof/>
                <w:webHidden/>
              </w:rPr>
              <w:fldChar w:fldCharType="separate"/>
            </w:r>
            <w:r w:rsidR="00C9021F">
              <w:rPr>
                <w:noProof/>
                <w:webHidden/>
              </w:rPr>
              <w:t>27</w:t>
            </w:r>
            <w:r w:rsidR="00C9021F">
              <w:rPr>
                <w:noProof/>
                <w:webHidden/>
              </w:rPr>
              <w:fldChar w:fldCharType="end"/>
            </w:r>
          </w:hyperlink>
        </w:p>
        <w:p w14:paraId="3F72D3EB" w14:textId="2EA99533" w:rsidR="00C9021F" w:rsidRDefault="007B137C" w:rsidP="00044B9F">
          <w:pPr>
            <w:pStyle w:val="TOC1"/>
            <w:rPr>
              <w:rFonts w:eastAsiaTheme="minorEastAsia"/>
              <w:noProof/>
              <w:sz w:val="22"/>
              <w:lang w:eastAsia="en-AU"/>
            </w:rPr>
          </w:pPr>
          <w:hyperlink w:anchor="_Toc45622645" w:history="1">
            <w:r w:rsidR="00C9021F" w:rsidRPr="00F93FB1">
              <w:rPr>
                <w:rStyle w:val="Hyperlink"/>
                <w:noProof/>
              </w:rPr>
              <w:t>Part D – Expected Impact on Revenue Items</w:t>
            </w:r>
            <w:r w:rsidR="00C9021F">
              <w:rPr>
                <w:noProof/>
                <w:webHidden/>
              </w:rPr>
              <w:tab/>
            </w:r>
            <w:r w:rsidR="00C9021F">
              <w:rPr>
                <w:noProof/>
                <w:webHidden/>
              </w:rPr>
              <w:fldChar w:fldCharType="begin"/>
            </w:r>
            <w:r w:rsidR="00C9021F">
              <w:rPr>
                <w:noProof/>
                <w:webHidden/>
              </w:rPr>
              <w:instrText xml:space="preserve"> PAGEREF _Toc45622645 \h </w:instrText>
            </w:r>
            <w:r w:rsidR="00C9021F">
              <w:rPr>
                <w:noProof/>
                <w:webHidden/>
              </w:rPr>
            </w:r>
            <w:r w:rsidR="00C9021F">
              <w:rPr>
                <w:noProof/>
                <w:webHidden/>
              </w:rPr>
              <w:fldChar w:fldCharType="separate"/>
            </w:r>
            <w:r w:rsidR="00C9021F">
              <w:rPr>
                <w:noProof/>
                <w:webHidden/>
              </w:rPr>
              <w:t>28</w:t>
            </w:r>
            <w:r w:rsidR="00C9021F">
              <w:rPr>
                <w:noProof/>
                <w:webHidden/>
              </w:rPr>
              <w:fldChar w:fldCharType="end"/>
            </w:r>
          </w:hyperlink>
        </w:p>
        <w:p w14:paraId="3338B1B1" w14:textId="33BEEAEF" w:rsidR="00C9021F" w:rsidRDefault="007B137C" w:rsidP="00044B9F">
          <w:pPr>
            <w:pStyle w:val="TOC1"/>
            <w:rPr>
              <w:rFonts w:eastAsiaTheme="minorEastAsia"/>
              <w:noProof/>
              <w:sz w:val="22"/>
              <w:lang w:eastAsia="en-AU"/>
            </w:rPr>
          </w:pPr>
          <w:hyperlink w:anchor="_Toc45622646" w:history="1">
            <w:r w:rsidR="00C9021F" w:rsidRPr="00F93FB1">
              <w:rPr>
                <w:rStyle w:val="Hyperlink"/>
                <w:noProof/>
              </w:rPr>
              <w:t>Part C - Attachment A</w:t>
            </w:r>
            <w:r w:rsidR="00C9021F">
              <w:rPr>
                <w:noProof/>
                <w:webHidden/>
              </w:rPr>
              <w:tab/>
            </w:r>
            <w:r w:rsidR="00C9021F">
              <w:rPr>
                <w:noProof/>
                <w:webHidden/>
              </w:rPr>
              <w:fldChar w:fldCharType="begin"/>
            </w:r>
            <w:r w:rsidR="00C9021F">
              <w:rPr>
                <w:noProof/>
                <w:webHidden/>
              </w:rPr>
              <w:instrText xml:space="preserve"> PAGEREF _Toc45622646 \h </w:instrText>
            </w:r>
            <w:r w:rsidR="00C9021F">
              <w:rPr>
                <w:noProof/>
                <w:webHidden/>
              </w:rPr>
            </w:r>
            <w:r w:rsidR="00C9021F">
              <w:rPr>
                <w:noProof/>
                <w:webHidden/>
              </w:rPr>
              <w:fldChar w:fldCharType="separate"/>
            </w:r>
            <w:r w:rsidR="00C9021F">
              <w:rPr>
                <w:noProof/>
                <w:webHidden/>
              </w:rPr>
              <w:t>30</w:t>
            </w:r>
            <w:r w:rsidR="00C9021F">
              <w:rPr>
                <w:noProof/>
                <w:webHidden/>
              </w:rPr>
              <w:fldChar w:fldCharType="end"/>
            </w:r>
          </w:hyperlink>
        </w:p>
        <w:p w14:paraId="6F162BE4" w14:textId="2105AC8B" w:rsidR="00EE2E62" w:rsidRDefault="00597E3B">
          <w:r>
            <w:fldChar w:fldCharType="end"/>
          </w:r>
        </w:p>
      </w:sdtContent>
    </w:sdt>
    <w:p w14:paraId="59ED8DAB" w14:textId="0960C9F7" w:rsidR="00C16226" w:rsidRDefault="00C16226" w:rsidP="00C16226"/>
    <w:p w14:paraId="0E2718A8" w14:textId="77777777" w:rsidR="00C16226" w:rsidRDefault="00C16226" w:rsidP="00C16226">
      <w:pPr>
        <w:sectPr w:rsidR="00C16226" w:rsidSect="00EE2E62">
          <w:headerReference w:type="default" r:id="rId15"/>
          <w:footerReference w:type="default" r:id="rId16"/>
          <w:headerReference w:type="first" r:id="rId17"/>
          <w:pgSz w:w="11906" w:h="16838"/>
          <w:pgMar w:top="1702" w:right="1440" w:bottom="1440" w:left="1440" w:header="708" w:footer="708" w:gutter="0"/>
          <w:cols w:space="708"/>
          <w:titlePg/>
          <w:docGrid w:linePitch="360"/>
        </w:sectPr>
      </w:pPr>
    </w:p>
    <w:p w14:paraId="603AAF67" w14:textId="05B9435F" w:rsidR="00C82817" w:rsidRPr="000E57E8" w:rsidRDefault="00C82817" w:rsidP="00044B9F">
      <w:pPr>
        <w:pStyle w:val="Heading1"/>
      </w:pPr>
      <w:bookmarkStart w:id="4" w:name="_Toc45622597"/>
      <w:r w:rsidRPr="000E57E8">
        <w:lastRenderedPageBreak/>
        <w:t>Background</w:t>
      </w:r>
      <w:bookmarkEnd w:id="4"/>
    </w:p>
    <w:p w14:paraId="4667EA58" w14:textId="77777777" w:rsidR="00C82817" w:rsidRDefault="00C82817" w:rsidP="00C82817">
      <w:pPr>
        <w:rPr>
          <w:rFonts w:cs="Frutiger Next Pro Light"/>
          <w:szCs w:val="24"/>
        </w:rPr>
      </w:pPr>
      <w:r w:rsidRPr="00E678FB">
        <w:rPr>
          <w:rFonts w:cs="Frutiger Next Pro Light"/>
          <w:szCs w:val="24"/>
        </w:rPr>
        <w:t xml:space="preserve">AASB 15 </w:t>
      </w:r>
      <w:r w:rsidRPr="00180B75">
        <w:rPr>
          <w:rFonts w:cs="Frutiger Next Pro Light"/>
          <w:i/>
          <w:szCs w:val="24"/>
        </w:rPr>
        <w:t>Revenue from Contracts with Customers</w:t>
      </w:r>
      <w:r w:rsidRPr="00E678FB">
        <w:rPr>
          <w:rFonts w:cs="Frutiger Next Pro Light"/>
          <w:szCs w:val="24"/>
        </w:rPr>
        <w:t xml:space="preserve"> and AASB 1058 </w:t>
      </w:r>
      <w:r w:rsidRPr="00180B75">
        <w:rPr>
          <w:rFonts w:cs="Frutiger Next Pro Light"/>
          <w:i/>
          <w:szCs w:val="24"/>
        </w:rPr>
        <w:t xml:space="preserve">Income of Not-for-Profit Entities </w:t>
      </w:r>
      <w:r w:rsidRPr="00E678FB">
        <w:rPr>
          <w:rFonts w:cs="Frutiger Next Pro Light"/>
          <w:szCs w:val="24"/>
        </w:rPr>
        <w:t xml:space="preserve">will be effective for most ACT Government </w:t>
      </w:r>
      <w:r>
        <w:rPr>
          <w:rFonts w:cs="Frutiger Next Pro Light"/>
          <w:szCs w:val="24"/>
        </w:rPr>
        <w:t>agencies</w:t>
      </w:r>
      <w:r w:rsidRPr="00E678FB">
        <w:rPr>
          <w:rFonts w:cs="Frutiger Next Pro Light"/>
          <w:szCs w:val="24"/>
        </w:rPr>
        <w:t xml:space="preserve"> from reporting periods beginning on or after 1 January 2019 (i.e. financial year 2019-20)</w:t>
      </w:r>
      <w:r>
        <w:rPr>
          <w:rFonts w:cs="Frutiger Next Pro Light"/>
          <w:szCs w:val="24"/>
        </w:rPr>
        <w:t xml:space="preserve"> with an opening balance sheet date of 1 July 2019</w:t>
      </w:r>
      <w:r w:rsidRPr="00E678FB">
        <w:rPr>
          <w:rFonts w:cs="Frutiger Next Pro Light"/>
          <w:szCs w:val="24"/>
        </w:rPr>
        <w:t>.</w:t>
      </w:r>
    </w:p>
    <w:p w14:paraId="1B960956" w14:textId="77777777" w:rsidR="00C82817" w:rsidRPr="00E678FB" w:rsidRDefault="00C82817" w:rsidP="00C82817">
      <w:pPr>
        <w:rPr>
          <w:rFonts w:cs="Frutiger Next Pro Light"/>
          <w:szCs w:val="24"/>
        </w:rPr>
      </w:pPr>
    </w:p>
    <w:p w14:paraId="65F0FA23" w14:textId="3D977730" w:rsidR="00C82817" w:rsidRDefault="00C82817" w:rsidP="00044B9F">
      <w:pPr>
        <w:pStyle w:val="Heading1"/>
      </w:pPr>
      <w:bookmarkStart w:id="5" w:name="_Toc45622598"/>
      <w:r w:rsidRPr="00A876B9">
        <w:t>What is changing</w:t>
      </w:r>
      <w:bookmarkEnd w:id="5"/>
    </w:p>
    <w:p w14:paraId="68B8FF02" w14:textId="1ABF8156" w:rsidR="00C82817" w:rsidRDefault="00C82817" w:rsidP="00C82817">
      <w:pPr>
        <w:rPr>
          <w:rFonts w:cs="Frutiger Next Pro Light"/>
          <w:szCs w:val="24"/>
        </w:rPr>
      </w:pPr>
      <w:r>
        <w:rPr>
          <w:rFonts w:cs="Frutiger Next Pro Light"/>
          <w:szCs w:val="24"/>
        </w:rPr>
        <w:t>The new requirements focus more on the transfer of control of goods and services and recognise revenue when or as the work is completed.</w:t>
      </w:r>
      <w:r w:rsidRPr="00E2104B">
        <w:rPr>
          <w:rFonts w:cs="Frutiger Next Pro Light"/>
          <w:szCs w:val="24"/>
        </w:rPr>
        <w:t xml:space="preserve"> For example, if a not-for-profit entity receives a grant </w:t>
      </w:r>
      <w:r>
        <w:rPr>
          <w:rFonts w:cs="Frutiger Next Pro Light"/>
          <w:szCs w:val="24"/>
        </w:rPr>
        <w:t xml:space="preserve">under an enforceable contract </w:t>
      </w:r>
      <w:r w:rsidR="00D812BF" w:rsidRPr="00E2104B">
        <w:rPr>
          <w:rFonts w:cs="Frutiger Next Pro Light"/>
          <w:szCs w:val="24"/>
        </w:rPr>
        <w:t>with sufficiently</w:t>
      </w:r>
      <w:r w:rsidRPr="00E2104B">
        <w:rPr>
          <w:rFonts w:cs="Frutiger Next Pro Light"/>
          <w:szCs w:val="24"/>
        </w:rPr>
        <w:t xml:space="preserve"> specific performance obligation</w:t>
      </w:r>
      <w:r>
        <w:rPr>
          <w:rFonts w:cs="Frutiger Next Pro Light"/>
          <w:szCs w:val="24"/>
        </w:rPr>
        <w:t>s</w:t>
      </w:r>
      <w:r w:rsidRPr="00E2104B">
        <w:rPr>
          <w:rFonts w:cs="Frutiger Next Pro Light"/>
          <w:szCs w:val="24"/>
        </w:rPr>
        <w:t xml:space="preserve">, the entity will recognise revenue when </w:t>
      </w:r>
      <w:r>
        <w:rPr>
          <w:rFonts w:cs="Frutiger Next Pro Light"/>
          <w:szCs w:val="24"/>
        </w:rPr>
        <w:t xml:space="preserve">or as </w:t>
      </w:r>
      <w:r w:rsidRPr="00E2104B">
        <w:rPr>
          <w:rFonts w:cs="Frutiger Next Pro Light"/>
          <w:szCs w:val="24"/>
        </w:rPr>
        <w:t xml:space="preserve">it fulfils </w:t>
      </w:r>
      <w:r>
        <w:rPr>
          <w:rFonts w:cs="Frutiger Next Pro Light"/>
          <w:szCs w:val="24"/>
        </w:rPr>
        <w:t>the</w:t>
      </w:r>
      <w:r w:rsidRPr="00E2104B">
        <w:rPr>
          <w:rFonts w:cs="Frutiger Next Pro Light"/>
          <w:szCs w:val="24"/>
        </w:rPr>
        <w:t xml:space="preserve"> performance obligation</w:t>
      </w:r>
      <w:r>
        <w:rPr>
          <w:rFonts w:cs="Frutiger Next Pro Light"/>
          <w:szCs w:val="24"/>
        </w:rPr>
        <w:t>s</w:t>
      </w:r>
      <w:r w:rsidRPr="00E2104B">
        <w:rPr>
          <w:rFonts w:cs="Frutiger Next Pro Light"/>
          <w:szCs w:val="24"/>
        </w:rPr>
        <w:t xml:space="preserve">. </w:t>
      </w:r>
      <w:r w:rsidRPr="00AC2011">
        <w:rPr>
          <w:rFonts w:cs="Frutiger Next Pro Light"/>
          <w:szCs w:val="24"/>
        </w:rPr>
        <w:t>This contrasts with the current requirements under which such income is recognised at the time of receipt of cash</w:t>
      </w:r>
      <w:r>
        <w:rPr>
          <w:rFonts w:cs="Frutiger Next Pro Light"/>
          <w:szCs w:val="24"/>
        </w:rPr>
        <w:t xml:space="preserve"> for most revenue streams</w:t>
      </w:r>
      <w:r w:rsidRPr="00AC2011">
        <w:rPr>
          <w:rFonts w:cs="Frutiger Next Pro Light"/>
          <w:szCs w:val="24"/>
        </w:rPr>
        <w:t>.</w:t>
      </w:r>
    </w:p>
    <w:p w14:paraId="1C1BD7F4" w14:textId="77777777" w:rsidR="00C82817" w:rsidRDefault="00C82817" w:rsidP="00C82817">
      <w:pPr>
        <w:rPr>
          <w:rFonts w:cs="Frutiger Next Pro Light"/>
          <w:szCs w:val="24"/>
        </w:rPr>
      </w:pPr>
    </w:p>
    <w:p w14:paraId="73387884" w14:textId="77777777" w:rsidR="00C82817" w:rsidRDefault="00C82817" w:rsidP="00C82817">
      <w:pPr>
        <w:rPr>
          <w:rFonts w:cs="Frutiger Next Pro Light"/>
          <w:szCs w:val="24"/>
        </w:rPr>
      </w:pPr>
      <w:r w:rsidRPr="00E2104B">
        <w:rPr>
          <w:rFonts w:cs="Frutiger Next Pro Light"/>
          <w:szCs w:val="24"/>
        </w:rPr>
        <w:t xml:space="preserve">The deferred recognition of income </w:t>
      </w:r>
      <w:r>
        <w:rPr>
          <w:rFonts w:cs="Frutiger Next Pro Light"/>
          <w:szCs w:val="24"/>
        </w:rPr>
        <w:t xml:space="preserve">may </w:t>
      </w:r>
      <w:r w:rsidRPr="00E2104B">
        <w:rPr>
          <w:rFonts w:cs="Frutiger Next Pro Light"/>
          <w:szCs w:val="24"/>
        </w:rPr>
        <w:t>result in some revenue received being deferred into future years (and create a timing difference to current practice).</w:t>
      </w:r>
    </w:p>
    <w:p w14:paraId="587447BA" w14:textId="77777777" w:rsidR="00C82817" w:rsidRDefault="00C82817" w:rsidP="00C82817">
      <w:pPr>
        <w:rPr>
          <w:rFonts w:cs="Frutiger Next Pro Light"/>
          <w:szCs w:val="24"/>
        </w:rPr>
      </w:pPr>
    </w:p>
    <w:p w14:paraId="7FF09A6F" w14:textId="095C9663" w:rsidR="00C82817" w:rsidRDefault="00C82817" w:rsidP="00C82817">
      <w:pPr>
        <w:rPr>
          <w:rFonts w:cs="Frutiger Next Pro Light"/>
          <w:szCs w:val="24"/>
        </w:rPr>
      </w:pPr>
      <w:r>
        <w:rPr>
          <w:rFonts w:cs="Frutiger Next Pro Light"/>
          <w:szCs w:val="24"/>
        </w:rPr>
        <w:t xml:space="preserve">There will be agreements where revenue continues to be recognised on receipt where the agreement is not enforceable, there are no performance </w:t>
      </w:r>
      <w:r w:rsidR="00D812BF">
        <w:rPr>
          <w:rFonts w:cs="Frutiger Next Pro Light"/>
          <w:szCs w:val="24"/>
        </w:rPr>
        <w:t>obligations,</w:t>
      </w:r>
      <w:r>
        <w:rPr>
          <w:rFonts w:cs="Frutiger Next Pro Light"/>
          <w:szCs w:val="24"/>
        </w:rPr>
        <w:t xml:space="preserve"> or those performance obligations are not sufficiently specific.</w:t>
      </w:r>
    </w:p>
    <w:p w14:paraId="4C619BCB" w14:textId="77777777" w:rsidR="00C82817" w:rsidRPr="00AC2011" w:rsidRDefault="00C82817" w:rsidP="00C82817">
      <w:pPr>
        <w:rPr>
          <w:rFonts w:cs="Frutiger Next Pro Light"/>
          <w:szCs w:val="24"/>
        </w:rPr>
      </w:pPr>
    </w:p>
    <w:p w14:paraId="1580F544" w14:textId="77777777" w:rsidR="00C82817" w:rsidRPr="00EE2E62" w:rsidRDefault="00C82817" w:rsidP="00C82817">
      <w:pPr>
        <w:rPr>
          <w:rFonts w:cs="Frutiger Next Pro Light"/>
          <w:b/>
          <w:bCs/>
          <w:szCs w:val="24"/>
        </w:rPr>
      </w:pPr>
      <w:r w:rsidRPr="00EE2E62">
        <w:rPr>
          <w:rFonts w:cs="Frutiger Next Pro Light"/>
          <w:b/>
          <w:bCs/>
          <w:szCs w:val="24"/>
        </w:rPr>
        <w:t xml:space="preserve">AASB 15 Revenue from Contracts with Customers  </w:t>
      </w:r>
    </w:p>
    <w:p w14:paraId="0F4DFDE9" w14:textId="77777777" w:rsidR="00C82817" w:rsidRPr="00E2104B" w:rsidRDefault="00C82817" w:rsidP="00C82817">
      <w:pPr>
        <w:rPr>
          <w:rFonts w:cs="Frutiger Next Pro Light"/>
          <w:szCs w:val="24"/>
        </w:rPr>
      </w:pPr>
      <w:r w:rsidRPr="00E2104B">
        <w:rPr>
          <w:rFonts w:cs="Frutiger Next Pro Light"/>
          <w:szCs w:val="24"/>
        </w:rPr>
        <w:t>In order for AASB 15 to apply to a transaction the contract must:</w:t>
      </w:r>
    </w:p>
    <w:p w14:paraId="3E127CB5" w14:textId="77777777" w:rsidR="00C82817" w:rsidRPr="00E2104B" w:rsidRDefault="00C82817" w:rsidP="00C16226">
      <w:pPr>
        <w:pStyle w:val="ListParagraph"/>
        <w:numPr>
          <w:ilvl w:val="0"/>
          <w:numId w:val="6"/>
        </w:numPr>
        <w:ind w:left="567"/>
        <w:rPr>
          <w:rFonts w:cs="Frutiger Next Pro Light"/>
          <w:szCs w:val="24"/>
        </w:rPr>
      </w:pPr>
      <w:r w:rsidRPr="00E2104B">
        <w:rPr>
          <w:rFonts w:cs="Frutiger Next Pro Light"/>
          <w:szCs w:val="24"/>
        </w:rPr>
        <w:t xml:space="preserve">be enforceable; </w:t>
      </w:r>
    </w:p>
    <w:p w14:paraId="6646F3E8" w14:textId="77777777" w:rsidR="00C82817" w:rsidRPr="00E2104B" w:rsidRDefault="00C82817" w:rsidP="00C16226">
      <w:pPr>
        <w:pStyle w:val="ListParagraph"/>
        <w:numPr>
          <w:ilvl w:val="0"/>
          <w:numId w:val="6"/>
        </w:numPr>
        <w:ind w:left="567"/>
        <w:rPr>
          <w:rFonts w:cs="Frutiger Next Pro Light"/>
          <w:szCs w:val="24"/>
        </w:rPr>
      </w:pPr>
      <w:r w:rsidRPr="00E2104B">
        <w:rPr>
          <w:rFonts w:cs="Frutiger Next Pro Light"/>
          <w:szCs w:val="24"/>
        </w:rPr>
        <w:t>contain performance obligations that are sufficiently specific; and</w:t>
      </w:r>
    </w:p>
    <w:p w14:paraId="4B080869" w14:textId="77777777" w:rsidR="00C82817" w:rsidRDefault="00C82817" w:rsidP="00C16226">
      <w:pPr>
        <w:pStyle w:val="ListParagraph"/>
        <w:numPr>
          <w:ilvl w:val="0"/>
          <w:numId w:val="6"/>
        </w:numPr>
        <w:ind w:left="567"/>
        <w:rPr>
          <w:rFonts w:cs="Frutiger Next Pro Light"/>
          <w:szCs w:val="24"/>
        </w:rPr>
      </w:pPr>
      <w:r w:rsidRPr="00E2104B">
        <w:rPr>
          <w:rFonts w:cs="Frutiger Next Pro Light"/>
          <w:szCs w:val="24"/>
        </w:rPr>
        <w:t xml:space="preserve">not result in the specified goods or services being </w:t>
      </w:r>
      <w:r>
        <w:rPr>
          <w:rFonts w:cs="Frutiger Next Pro Light"/>
          <w:szCs w:val="24"/>
        </w:rPr>
        <w:t>controlled</w:t>
      </w:r>
      <w:r w:rsidRPr="00E2104B">
        <w:rPr>
          <w:rFonts w:cs="Frutiger Next Pro Light"/>
          <w:szCs w:val="24"/>
        </w:rPr>
        <w:t xml:space="preserve"> by the entity. </w:t>
      </w:r>
    </w:p>
    <w:p w14:paraId="0E378B06" w14:textId="77777777" w:rsidR="00C82817" w:rsidRPr="00415B02" w:rsidRDefault="00C82817" w:rsidP="00C82817">
      <w:pPr>
        <w:rPr>
          <w:rFonts w:cs="Frutiger Next Pro Light"/>
          <w:szCs w:val="24"/>
        </w:rPr>
      </w:pPr>
    </w:p>
    <w:p w14:paraId="03DD27B8" w14:textId="77777777" w:rsidR="00C82817" w:rsidRPr="00EE2E62" w:rsidRDefault="00C82817" w:rsidP="00C82817">
      <w:pPr>
        <w:rPr>
          <w:rFonts w:cs="Frutiger Next Pro Light"/>
          <w:b/>
          <w:bCs/>
          <w:szCs w:val="24"/>
        </w:rPr>
      </w:pPr>
      <w:r w:rsidRPr="00EE2E62">
        <w:rPr>
          <w:rFonts w:cs="Frutiger Next Pro Light"/>
          <w:b/>
          <w:bCs/>
          <w:szCs w:val="24"/>
        </w:rPr>
        <w:t xml:space="preserve">AASB 1058 Income of Not-for-Profit Entities  </w:t>
      </w:r>
    </w:p>
    <w:p w14:paraId="56497CB5" w14:textId="77777777" w:rsidR="00C82817" w:rsidRDefault="00C82817" w:rsidP="00C16226">
      <w:r w:rsidRPr="00E2104B">
        <w:t xml:space="preserve">If a transaction does not fall within the scope of AASB 15, agencies need to consider whether AASB 1058 applies. AASB 1058 applies to income with a donation component, i.e. </w:t>
      </w:r>
      <w:r w:rsidRPr="00C16226">
        <w:rPr>
          <w:rStyle w:val="Calibri12"/>
        </w:rPr>
        <w:t>transactions</w:t>
      </w:r>
      <w:r w:rsidRPr="00E2104B">
        <w:t xml:space="preserve"> where the consideration to acquire an asset is significantly less than fair value and principally to further objectives. </w:t>
      </w:r>
    </w:p>
    <w:p w14:paraId="5C4214CD" w14:textId="77777777" w:rsidR="00C82817" w:rsidRPr="00E2104B" w:rsidRDefault="00C82817" w:rsidP="00F80752">
      <w:pPr>
        <w:ind w:left="720"/>
        <w:rPr>
          <w:rFonts w:cs="Frutiger Next Pro Light"/>
          <w:szCs w:val="24"/>
        </w:rPr>
      </w:pPr>
    </w:p>
    <w:p w14:paraId="6E24EFA3" w14:textId="77777777" w:rsidR="00C82817" w:rsidRDefault="00C82817" w:rsidP="00C16226">
      <w:r w:rsidRPr="00E2104B">
        <w:t>AASB 1058 adopts a residual approach, meaning that agencies first apply other applicable Australian Accounting Standards to a transaction before recognising income</w:t>
      </w:r>
      <w:r>
        <w:t xml:space="preserve"> under AASB 1058</w:t>
      </w:r>
      <w:r w:rsidRPr="00E2104B">
        <w:t xml:space="preserve">.  </w:t>
      </w:r>
    </w:p>
    <w:p w14:paraId="1A0A2106" w14:textId="77777777" w:rsidR="00C82817" w:rsidRPr="00E2104B" w:rsidRDefault="00C82817" w:rsidP="00F80752">
      <w:pPr>
        <w:ind w:left="720"/>
        <w:rPr>
          <w:rFonts w:cs="Frutiger Next Pro Light"/>
          <w:szCs w:val="24"/>
        </w:rPr>
      </w:pPr>
    </w:p>
    <w:p w14:paraId="11A1B0BC" w14:textId="77777777" w:rsidR="00C82817" w:rsidRDefault="00C82817" w:rsidP="00F80752">
      <w:pPr>
        <w:rPr>
          <w:rFonts w:cs="Frutiger Next Pro Light"/>
          <w:szCs w:val="24"/>
        </w:rPr>
      </w:pPr>
      <w:r w:rsidRPr="00E2104B">
        <w:rPr>
          <w:rFonts w:cs="Frutiger Next Pro Light"/>
          <w:szCs w:val="24"/>
        </w:rPr>
        <w:t>AASB 1058 covers transactions such as</w:t>
      </w:r>
      <w:r>
        <w:rPr>
          <w:rFonts w:cs="Frutiger Next Pro Light"/>
          <w:szCs w:val="24"/>
        </w:rPr>
        <w:t xml:space="preserve"> certain</w:t>
      </w:r>
      <w:r w:rsidRPr="00E2104B">
        <w:rPr>
          <w:rFonts w:cs="Frutiger Next Pro Light"/>
          <w:szCs w:val="24"/>
        </w:rPr>
        <w:t xml:space="preserve"> grants, donations, appropriation received by government departments, taxes, rates and fines. Other than grants, the accounting treatment for these types of transactions is unchanged.</w:t>
      </w:r>
    </w:p>
    <w:p w14:paraId="0305CFB4" w14:textId="77777777" w:rsidR="00C82817" w:rsidRPr="00E2104B" w:rsidRDefault="00C82817" w:rsidP="00C82817">
      <w:pPr>
        <w:ind w:left="720"/>
        <w:rPr>
          <w:rFonts w:cs="Frutiger Next Pro Light"/>
          <w:szCs w:val="24"/>
        </w:rPr>
      </w:pPr>
    </w:p>
    <w:p w14:paraId="62F730A7" w14:textId="7A599E0C" w:rsidR="00EE2E62" w:rsidRDefault="00C82817" w:rsidP="00D812BF">
      <w:pPr>
        <w:rPr>
          <w:rFonts w:cs="Frutiger Next Pro Light"/>
          <w:szCs w:val="24"/>
        </w:rPr>
      </w:pPr>
      <w:r w:rsidRPr="00E2104B">
        <w:rPr>
          <w:rFonts w:cs="Frutiger Next Pro Light"/>
          <w:szCs w:val="24"/>
        </w:rPr>
        <w:t>AASB 1058 also covers volunteer services. The accounting treatment of volunteer services is largely unchanged from the current treatment.</w:t>
      </w:r>
    </w:p>
    <w:p w14:paraId="5B113149" w14:textId="77777777" w:rsidR="00EE2E62" w:rsidRDefault="00EE2E62">
      <w:pPr>
        <w:spacing w:after="160" w:line="259" w:lineRule="auto"/>
        <w:rPr>
          <w:rFonts w:cs="Frutiger Next Pro Light"/>
          <w:szCs w:val="24"/>
        </w:rPr>
      </w:pPr>
      <w:r>
        <w:rPr>
          <w:rFonts w:cs="Frutiger Next Pro Light"/>
          <w:szCs w:val="24"/>
        </w:rPr>
        <w:br w:type="page"/>
      </w:r>
    </w:p>
    <w:p w14:paraId="3CAAD55E" w14:textId="53F8B4BA" w:rsidR="00C82817" w:rsidRDefault="00C82817" w:rsidP="00044B9F">
      <w:pPr>
        <w:pStyle w:val="Heading1"/>
      </w:pPr>
      <w:bookmarkStart w:id="6" w:name="_Toc45622599"/>
      <w:r>
        <w:lastRenderedPageBreak/>
        <w:t>Transition approach – Both Standards</w:t>
      </w:r>
      <w:r w:rsidR="00D812BF">
        <w:t xml:space="preserve"> (AASB15.C</w:t>
      </w:r>
      <w:r w:rsidR="00C7145E">
        <w:t>3</w:t>
      </w:r>
      <w:r w:rsidR="00D812BF">
        <w:t>(b))</w:t>
      </w:r>
      <w:bookmarkEnd w:id="6"/>
    </w:p>
    <w:p w14:paraId="20F73EA7" w14:textId="073A2EA6" w:rsidR="00C82817" w:rsidRDefault="00C82817" w:rsidP="00C82817">
      <w:pPr>
        <w:rPr>
          <w:szCs w:val="24"/>
        </w:rPr>
      </w:pPr>
      <w:r w:rsidRPr="00C906B4">
        <w:rPr>
          <w:szCs w:val="24"/>
        </w:rPr>
        <w:t xml:space="preserve">The ACT will adopt the modified retrospective implementation under both standards. This means that agencies are required to </w:t>
      </w:r>
      <w:r w:rsidRPr="00C906B4">
        <w:rPr>
          <w:b/>
          <w:bCs/>
          <w:szCs w:val="24"/>
        </w:rPr>
        <w:t>recognise the cumulative effect of initially applying the standard as an adjustment to the opening balance of retained earnings</w:t>
      </w:r>
      <w:r w:rsidRPr="00C906B4">
        <w:rPr>
          <w:szCs w:val="24"/>
        </w:rPr>
        <w:t xml:space="preserve"> for the annual reporting period 2019-20. Under this method agencies are required to apply this method </w:t>
      </w:r>
      <w:r w:rsidRPr="002E14A0">
        <w:rPr>
          <w:b/>
          <w:bCs/>
          <w:szCs w:val="24"/>
        </w:rPr>
        <w:t>only to contracts that are not completed contracts</w:t>
      </w:r>
      <w:r w:rsidRPr="00C906B4">
        <w:rPr>
          <w:szCs w:val="24"/>
        </w:rPr>
        <w:t xml:space="preserve"> at 1 July 2019.</w:t>
      </w:r>
    </w:p>
    <w:p w14:paraId="5E1C3912" w14:textId="77777777" w:rsidR="00C7145E" w:rsidRDefault="00C7145E" w:rsidP="00C82817">
      <w:pPr>
        <w:rPr>
          <w:szCs w:val="24"/>
        </w:rPr>
      </w:pPr>
    </w:p>
    <w:p w14:paraId="75CD1B4D" w14:textId="77777777" w:rsidR="00CD3B14" w:rsidRPr="00C906B4" w:rsidRDefault="00CD3B14" w:rsidP="00CD3B14">
      <w:pPr>
        <w:rPr>
          <w:szCs w:val="24"/>
        </w:rPr>
      </w:pPr>
      <w:r w:rsidRPr="00C906B4">
        <w:rPr>
          <w:szCs w:val="24"/>
        </w:rPr>
        <w:t>Completed contracts are defined as:</w:t>
      </w:r>
    </w:p>
    <w:p w14:paraId="589D5427" w14:textId="77777777" w:rsidR="00CD3B14" w:rsidRPr="00C906B4" w:rsidRDefault="00CD3B14" w:rsidP="00CD3B14">
      <w:pPr>
        <w:pStyle w:val="Normalbold"/>
        <w:numPr>
          <w:ilvl w:val="0"/>
          <w:numId w:val="8"/>
        </w:numPr>
        <w:rPr>
          <w:b w:val="0"/>
          <w:spacing w:val="0"/>
          <w:sz w:val="24"/>
          <w:szCs w:val="24"/>
        </w:rPr>
      </w:pPr>
      <w:r w:rsidRPr="00C906B4">
        <w:rPr>
          <w:b w:val="0"/>
          <w:spacing w:val="0"/>
          <w:sz w:val="24"/>
          <w:szCs w:val="24"/>
        </w:rPr>
        <w:t>Under AASB 15 a completed contract is one for which the agency has transferred all the goods or services. For not-for-profit entities a completed contract also includes a contract for which the entity has recognised all the revenue in accordance with AASB</w:t>
      </w:r>
      <w:r>
        <w:rPr>
          <w:b w:val="0"/>
          <w:spacing w:val="0"/>
          <w:sz w:val="24"/>
          <w:szCs w:val="24"/>
        </w:rPr>
        <w:t> </w:t>
      </w:r>
      <w:r w:rsidRPr="00C906B4">
        <w:rPr>
          <w:b w:val="0"/>
          <w:spacing w:val="0"/>
          <w:sz w:val="24"/>
          <w:szCs w:val="24"/>
        </w:rPr>
        <w:t xml:space="preserve">1004 Contributions, or revenue in combination with a provision in accordance with AASB 137 Provisions, Contingent Liabilities and Contingent Assets.  </w:t>
      </w:r>
    </w:p>
    <w:p w14:paraId="26B24DB0" w14:textId="77777777" w:rsidR="00CD3B14" w:rsidRPr="00C906B4" w:rsidRDefault="00CD3B14" w:rsidP="00CD3B14">
      <w:pPr>
        <w:pStyle w:val="Normalbold"/>
        <w:numPr>
          <w:ilvl w:val="0"/>
          <w:numId w:val="8"/>
        </w:numPr>
        <w:rPr>
          <w:b w:val="0"/>
          <w:spacing w:val="0"/>
          <w:sz w:val="24"/>
          <w:szCs w:val="24"/>
        </w:rPr>
      </w:pPr>
      <w:r w:rsidRPr="00C906B4">
        <w:rPr>
          <w:b w:val="0"/>
          <w:spacing w:val="0"/>
          <w:sz w:val="24"/>
          <w:szCs w:val="24"/>
        </w:rPr>
        <w:t>Under AASB 1058 a completed contract is a contract or transaction for which the entity has recognised all the income in accordance with AASB 1004.</w:t>
      </w:r>
    </w:p>
    <w:p w14:paraId="3FB2D852" w14:textId="77777777" w:rsidR="00C82817" w:rsidRPr="00C906B4" w:rsidRDefault="00C82817" w:rsidP="00C82817">
      <w:pPr>
        <w:pStyle w:val="Normalbold"/>
        <w:rPr>
          <w:b w:val="0"/>
          <w:spacing w:val="0"/>
          <w:sz w:val="24"/>
          <w:szCs w:val="24"/>
        </w:rPr>
      </w:pPr>
      <w:r w:rsidRPr="00C906B4">
        <w:rPr>
          <w:b w:val="0"/>
          <w:spacing w:val="0"/>
          <w:sz w:val="24"/>
          <w:szCs w:val="24"/>
        </w:rPr>
        <w:t xml:space="preserve">The following practical expedient shall be used when applying this standard </w:t>
      </w:r>
      <w:r>
        <w:rPr>
          <w:b w:val="0"/>
          <w:spacing w:val="0"/>
          <w:sz w:val="24"/>
          <w:szCs w:val="24"/>
        </w:rPr>
        <w:t xml:space="preserve">using the modified </w:t>
      </w:r>
      <w:r w:rsidRPr="00C906B4">
        <w:rPr>
          <w:b w:val="0"/>
          <w:spacing w:val="0"/>
          <w:sz w:val="24"/>
          <w:szCs w:val="24"/>
        </w:rPr>
        <w:t>retrospective</w:t>
      </w:r>
      <w:r>
        <w:rPr>
          <w:b w:val="0"/>
          <w:spacing w:val="0"/>
          <w:sz w:val="24"/>
          <w:szCs w:val="24"/>
        </w:rPr>
        <w:t xml:space="preserve"> approach</w:t>
      </w:r>
      <w:r w:rsidRPr="00C906B4">
        <w:rPr>
          <w:b w:val="0"/>
          <w:spacing w:val="0"/>
          <w:sz w:val="24"/>
          <w:szCs w:val="24"/>
        </w:rPr>
        <w:t>:</w:t>
      </w:r>
    </w:p>
    <w:p w14:paraId="4B219542" w14:textId="77777777" w:rsidR="00C82817" w:rsidRPr="00C906B4" w:rsidRDefault="00C82817" w:rsidP="00C82817">
      <w:pPr>
        <w:pStyle w:val="Normalbold"/>
        <w:numPr>
          <w:ilvl w:val="0"/>
          <w:numId w:val="7"/>
        </w:numPr>
        <w:rPr>
          <w:b w:val="0"/>
          <w:spacing w:val="0"/>
          <w:sz w:val="24"/>
          <w:szCs w:val="24"/>
        </w:rPr>
      </w:pPr>
      <w:r w:rsidRPr="00C906B4">
        <w:rPr>
          <w:b w:val="0"/>
          <w:spacing w:val="0"/>
          <w:sz w:val="24"/>
          <w:szCs w:val="24"/>
        </w:rPr>
        <w:t>For contracts modified before the date of initial application, an entity need not separately evaluate the effect of each contract modification. Instead of accounting for the effects of each contract modification separately, the entity shall reflect the aggregate effect of all past contracts, modifications that occurred before the date of initial application when identifying performance obligations and determining and allocating the transaction price</w:t>
      </w:r>
      <w:r>
        <w:rPr>
          <w:b w:val="0"/>
          <w:spacing w:val="0"/>
          <w:sz w:val="24"/>
          <w:szCs w:val="24"/>
        </w:rPr>
        <w:t xml:space="preserve"> (AASB15 C3(b), C7, 7A &amp; 8)</w:t>
      </w:r>
      <w:r w:rsidRPr="00C906B4">
        <w:rPr>
          <w:b w:val="0"/>
          <w:spacing w:val="0"/>
          <w:sz w:val="24"/>
          <w:szCs w:val="24"/>
        </w:rPr>
        <w:t>.</w:t>
      </w:r>
    </w:p>
    <w:p w14:paraId="6267EC27" w14:textId="42864EF3" w:rsidR="00C82817" w:rsidRDefault="00C82817" w:rsidP="00C82817">
      <w:pPr>
        <w:pStyle w:val="Normalbold"/>
        <w:numPr>
          <w:ilvl w:val="0"/>
          <w:numId w:val="7"/>
        </w:numPr>
        <w:rPr>
          <w:b w:val="0"/>
          <w:spacing w:val="0"/>
          <w:sz w:val="24"/>
          <w:szCs w:val="24"/>
        </w:rPr>
      </w:pPr>
      <w:r w:rsidRPr="00C906B4">
        <w:rPr>
          <w:b w:val="0"/>
          <w:spacing w:val="0"/>
          <w:sz w:val="24"/>
          <w:szCs w:val="24"/>
        </w:rPr>
        <w:t xml:space="preserve">An entity shall apply the practical expedient </w:t>
      </w:r>
      <w:r w:rsidRPr="002E14A0">
        <w:rPr>
          <w:bCs/>
          <w:spacing w:val="0"/>
          <w:sz w:val="24"/>
          <w:szCs w:val="24"/>
        </w:rPr>
        <w:t>consistently</w:t>
      </w:r>
      <w:r w:rsidRPr="00C906B4">
        <w:rPr>
          <w:b w:val="0"/>
          <w:spacing w:val="0"/>
          <w:sz w:val="24"/>
          <w:szCs w:val="24"/>
        </w:rPr>
        <w:t xml:space="preserve"> to all contracts within the current reporting period.</w:t>
      </w:r>
    </w:p>
    <w:p w14:paraId="5FFBC660" w14:textId="7E287A48" w:rsidR="00860FA3" w:rsidRPr="00860FA3" w:rsidRDefault="00860FA3" w:rsidP="002E14A0">
      <w:pPr>
        <w:pBdr>
          <w:top w:val="single" w:sz="4" w:space="1" w:color="auto"/>
          <w:left w:val="single" w:sz="4" w:space="15" w:color="auto"/>
          <w:bottom w:val="single" w:sz="4" w:space="1" w:color="auto"/>
          <w:right w:val="single" w:sz="4" w:space="4" w:color="auto"/>
        </w:pBdr>
        <w:ind w:left="360"/>
        <w:rPr>
          <w:rFonts w:cs="Calibri"/>
          <w:szCs w:val="24"/>
          <w:lang w:val="en-US"/>
        </w:rPr>
      </w:pPr>
      <w:r w:rsidRPr="00860FA3">
        <w:rPr>
          <w:rFonts w:cs="Calibri"/>
          <w:szCs w:val="24"/>
          <w:lang w:val="en-US"/>
        </w:rPr>
        <w:t xml:space="preserve">ACT Government agencies shall not restate any contracts which meet the definition of a completed contract.   </w:t>
      </w:r>
    </w:p>
    <w:p w14:paraId="18FDD2E8" w14:textId="77777777" w:rsidR="00860FA3" w:rsidRDefault="00860FA3" w:rsidP="00860FA3">
      <w:pPr>
        <w:rPr>
          <w:szCs w:val="24"/>
        </w:rPr>
      </w:pPr>
    </w:p>
    <w:p w14:paraId="47DB7294" w14:textId="7BC64C2A" w:rsidR="00C82817" w:rsidRDefault="00C82817" w:rsidP="00C82817">
      <w:pPr>
        <w:rPr>
          <w:szCs w:val="24"/>
        </w:rPr>
      </w:pPr>
      <w:r w:rsidRPr="00C906B4">
        <w:rPr>
          <w:szCs w:val="24"/>
        </w:rPr>
        <w:t>The agency needs to disclose</w:t>
      </w:r>
      <w:r>
        <w:rPr>
          <w:szCs w:val="24"/>
        </w:rPr>
        <w:t xml:space="preserve"> the amount by which each financial statement line item is affected in the current reporting period </w:t>
      </w:r>
      <w:r w:rsidRPr="00B112A9">
        <w:rPr>
          <w:szCs w:val="24"/>
        </w:rPr>
        <w:t xml:space="preserve">by the application of </w:t>
      </w:r>
      <w:r>
        <w:rPr>
          <w:szCs w:val="24"/>
        </w:rPr>
        <w:t xml:space="preserve">AASB 15 </w:t>
      </w:r>
      <w:r w:rsidRPr="00B112A9">
        <w:rPr>
          <w:szCs w:val="24"/>
        </w:rPr>
        <w:t xml:space="preserve">as compared to </w:t>
      </w:r>
      <w:r>
        <w:rPr>
          <w:szCs w:val="24"/>
        </w:rPr>
        <w:br/>
      </w:r>
      <w:r w:rsidRPr="00B112A9">
        <w:rPr>
          <w:szCs w:val="24"/>
        </w:rPr>
        <w:t>AASB 111, AASB 118 and related Interpretations that were in effect before the change;</w:t>
      </w:r>
      <w:r>
        <w:rPr>
          <w:szCs w:val="24"/>
        </w:rPr>
        <w:t xml:space="preserve"> and provide an explanation for the reasons for significant changes (AASB15 C8)</w:t>
      </w:r>
      <w:r w:rsidRPr="00C906B4">
        <w:rPr>
          <w:szCs w:val="24"/>
        </w:rPr>
        <w:t>.</w:t>
      </w:r>
      <w:r>
        <w:rPr>
          <w:szCs w:val="24"/>
        </w:rPr>
        <w:t xml:space="preserve">  </w:t>
      </w:r>
      <w:r w:rsidRPr="00C906B4">
        <w:rPr>
          <w:szCs w:val="24"/>
        </w:rPr>
        <w:t>An example of these disclosure requirements is contained in the ACT 2019-20 Model Statements</w:t>
      </w:r>
      <w:r w:rsidR="00CD3B14">
        <w:rPr>
          <w:szCs w:val="24"/>
        </w:rPr>
        <w:t xml:space="preserve"> available at </w:t>
      </w:r>
      <w:hyperlink r:id="rId18" w:history="1">
        <w:r w:rsidR="00CD3B14" w:rsidRPr="00140119">
          <w:rPr>
            <w:rStyle w:val="Hyperlink"/>
            <w:szCs w:val="24"/>
          </w:rPr>
          <w:t>https://apps.treasury.act.gov.au/accounting</w:t>
        </w:r>
      </w:hyperlink>
      <w:r w:rsidR="00CD3B14">
        <w:rPr>
          <w:szCs w:val="24"/>
        </w:rPr>
        <w:t xml:space="preserve"> </w:t>
      </w:r>
    </w:p>
    <w:p w14:paraId="0164E54B" w14:textId="77777777" w:rsidR="00C7145E" w:rsidRPr="00C906B4" w:rsidRDefault="00C7145E" w:rsidP="00C82817">
      <w:pPr>
        <w:rPr>
          <w:szCs w:val="24"/>
        </w:rPr>
      </w:pPr>
    </w:p>
    <w:p w14:paraId="259AA1C7" w14:textId="7312C7FB" w:rsidR="002E14A0" w:rsidRDefault="00C82817" w:rsidP="00C82817">
      <w:pPr>
        <w:rPr>
          <w:szCs w:val="24"/>
        </w:rPr>
      </w:pPr>
      <w:r w:rsidRPr="00C906B4">
        <w:rPr>
          <w:szCs w:val="24"/>
        </w:rPr>
        <w:t>These practical expedients have been adopted to reduce the costs and onerous burden of restating the comparative information. The practical expedients further reduce the effort and costs associated with the application of the standard.</w:t>
      </w:r>
    </w:p>
    <w:p w14:paraId="328EE816" w14:textId="77777777" w:rsidR="002E14A0" w:rsidRDefault="002E14A0">
      <w:pPr>
        <w:spacing w:after="160" w:line="259" w:lineRule="auto"/>
        <w:rPr>
          <w:szCs w:val="24"/>
        </w:rPr>
      </w:pPr>
      <w:r>
        <w:rPr>
          <w:szCs w:val="24"/>
        </w:rPr>
        <w:br w:type="page"/>
      </w:r>
    </w:p>
    <w:p w14:paraId="2B9F05E1" w14:textId="400A007C" w:rsidR="00C82817" w:rsidRDefault="00C82817" w:rsidP="00044B9F">
      <w:pPr>
        <w:pStyle w:val="Heading1"/>
      </w:pPr>
      <w:bookmarkStart w:id="7" w:name="_Toc45622600"/>
      <w:r w:rsidRPr="00827171">
        <w:lastRenderedPageBreak/>
        <w:t>Impact o</w:t>
      </w:r>
      <w:r>
        <w:t>n</w:t>
      </w:r>
      <w:r w:rsidRPr="00827171">
        <w:t xml:space="preserve"> existing contracts</w:t>
      </w:r>
      <w:r w:rsidR="00D110F7">
        <w:t xml:space="preserve"> (AASB15.C2 – Ausc2.1) (AASB1058.C2) – Transition</w:t>
      </w:r>
      <w:bookmarkEnd w:id="7"/>
    </w:p>
    <w:p w14:paraId="0EB1655A" w14:textId="6A8763A9" w:rsidR="00C82817" w:rsidRPr="00C906B4" w:rsidRDefault="00D110F7" w:rsidP="00C82817">
      <w:pPr>
        <w:pStyle w:val="Normalbold"/>
        <w:rPr>
          <w:b w:val="0"/>
          <w:spacing w:val="0"/>
          <w:sz w:val="24"/>
          <w:szCs w:val="24"/>
        </w:rPr>
      </w:pPr>
      <w:r>
        <w:rPr>
          <w:b w:val="0"/>
          <w:spacing w:val="0"/>
          <w:sz w:val="24"/>
          <w:szCs w:val="24"/>
        </w:rPr>
        <w:t>D</w:t>
      </w:r>
      <w:r w:rsidR="00C82817" w:rsidRPr="00C906B4">
        <w:rPr>
          <w:b w:val="0"/>
          <w:spacing w:val="0"/>
          <w:sz w:val="24"/>
          <w:szCs w:val="24"/>
        </w:rPr>
        <w:t>uring transition this also means that existing contracts where revenue has been recognised prior to 2019-20 and performance obligations have not been fulfilled, this revenue will not be recognised again</w:t>
      </w:r>
      <w:r w:rsidR="000154B9">
        <w:rPr>
          <w:b w:val="0"/>
          <w:spacing w:val="0"/>
          <w:sz w:val="24"/>
          <w:szCs w:val="24"/>
        </w:rPr>
        <w:t xml:space="preserve"> </w:t>
      </w:r>
      <w:r w:rsidR="00C82817">
        <w:rPr>
          <w:b w:val="0"/>
          <w:spacing w:val="0"/>
          <w:sz w:val="24"/>
          <w:szCs w:val="24"/>
        </w:rPr>
        <w:t>when</w:t>
      </w:r>
      <w:r w:rsidR="00C82817" w:rsidRPr="00C906B4">
        <w:rPr>
          <w:b w:val="0"/>
          <w:spacing w:val="0"/>
          <w:sz w:val="24"/>
          <w:szCs w:val="24"/>
        </w:rPr>
        <w:t xml:space="preserve"> performance obligations are met.</w:t>
      </w:r>
    </w:p>
    <w:p w14:paraId="4689F4A7" w14:textId="437A6644" w:rsidR="00C82817" w:rsidRPr="00C906B4" w:rsidRDefault="00C82817" w:rsidP="00C82817">
      <w:pPr>
        <w:pStyle w:val="Normalbold"/>
        <w:rPr>
          <w:b w:val="0"/>
          <w:spacing w:val="0"/>
          <w:sz w:val="24"/>
          <w:szCs w:val="24"/>
        </w:rPr>
      </w:pPr>
      <w:r w:rsidRPr="00C906B4">
        <w:rPr>
          <w:b w:val="0"/>
          <w:spacing w:val="0"/>
          <w:sz w:val="24"/>
          <w:szCs w:val="24"/>
        </w:rPr>
        <w:t>For contracts (that meet the criteria) for which cash was received and recognised as revenue in prior years, if performance obligations are satisfied in 2019-20, that revenue cannot be recognised again</w:t>
      </w:r>
      <w:r w:rsidR="00E765EF">
        <w:rPr>
          <w:b w:val="0"/>
          <w:spacing w:val="0"/>
          <w:sz w:val="24"/>
          <w:szCs w:val="24"/>
        </w:rPr>
        <w:t xml:space="preserve"> (recycled)</w:t>
      </w:r>
      <w:r w:rsidRPr="00C906B4">
        <w:rPr>
          <w:b w:val="0"/>
          <w:spacing w:val="0"/>
          <w:sz w:val="24"/>
          <w:szCs w:val="24"/>
        </w:rPr>
        <w:t xml:space="preserve"> in 2019-20.</w:t>
      </w:r>
    </w:p>
    <w:p w14:paraId="357B8508" w14:textId="19A39867" w:rsidR="00C82817" w:rsidRDefault="00C82817" w:rsidP="00C82817">
      <w:pPr>
        <w:pStyle w:val="Normalbold"/>
        <w:rPr>
          <w:b w:val="0"/>
          <w:spacing w:val="0"/>
          <w:sz w:val="24"/>
          <w:szCs w:val="24"/>
        </w:rPr>
      </w:pPr>
      <w:r w:rsidRPr="00C906B4">
        <w:rPr>
          <w:b w:val="0"/>
          <w:spacing w:val="0"/>
          <w:sz w:val="24"/>
          <w:szCs w:val="24"/>
        </w:rPr>
        <w:t xml:space="preserve">For existing contracts where cash is received from 2019-20 revenue will be recognised as performance obligations are met. </w:t>
      </w:r>
    </w:p>
    <w:p w14:paraId="341A6C34" w14:textId="77777777" w:rsidR="002E14A0" w:rsidRDefault="002E14A0" w:rsidP="00337D89"/>
    <w:p w14:paraId="3A6DB573" w14:textId="71B6D67D" w:rsidR="00EB0A00" w:rsidRPr="00EB0A00" w:rsidRDefault="00EB0A00" w:rsidP="00044B9F">
      <w:pPr>
        <w:pStyle w:val="Heading1"/>
      </w:pPr>
      <w:bookmarkStart w:id="8" w:name="_Toc45622601"/>
      <w:r w:rsidRPr="00337D89">
        <w:t>Policy</w:t>
      </w:r>
      <w:r w:rsidRPr="00EB0A00">
        <w:t xml:space="preserve"> Structure</w:t>
      </w:r>
      <w:bookmarkEnd w:id="8"/>
    </w:p>
    <w:p w14:paraId="5EAB5FFE" w14:textId="77777777" w:rsidR="00C82817" w:rsidRDefault="00C82817" w:rsidP="00C82817">
      <w:pPr>
        <w:rPr>
          <w:szCs w:val="24"/>
        </w:rPr>
      </w:pPr>
      <w:r>
        <w:rPr>
          <w:szCs w:val="24"/>
        </w:rPr>
        <w:t>This paper has 4 parts:</w:t>
      </w:r>
    </w:p>
    <w:p w14:paraId="6F8E762D" w14:textId="77777777" w:rsidR="00C82817" w:rsidRDefault="00C82817" w:rsidP="00C82817">
      <w:pPr>
        <w:tabs>
          <w:tab w:val="left" w:pos="851"/>
          <w:tab w:val="left" w:pos="1134"/>
        </w:tabs>
        <w:rPr>
          <w:szCs w:val="24"/>
        </w:rPr>
      </w:pPr>
      <w:r w:rsidRPr="00A2321E">
        <w:rPr>
          <w:b/>
          <w:szCs w:val="24"/>
        </w:rPr>
        <w:t>Part A:</w:t>
      </w:r>
      <w:r>
        <w:rPr>
          <w:szCs w:val="24"/>
        </w:rPr>
        <w:t xml:space="preserve"> </w:t>
      </w:r>
      <w:r>
        <w:rPr>
          <w:szCs w:val="24"/>
        </w:rPr>
        <w:tab/>
        <w:t xml:space="preserve">AASB 15 </w:t>
      </w:r>
      <w:r w:rsidRPr="00A2321E">
        <w:rPr>
          <w:i/>
          <w:szCs w:val="24"/>
        </w:rPr>
        <w:t>Revenue from Contracts</w:t>
      </w:r>
    </w:p>
    <w:p w14:paraId="4758938F" w14:textId="77777777" w:rsidR="00C82817" w:rsidRDefault="00C82817" w:rsidP="00C82817">
      <w:pPr>
        <w:tabs>
          <w:tab w:val="left" w:pos="851"/>
          <w:tab w:val="left" w:pos="1134"/>
        </w:tabs>
        <w:rPr>
          <w:szCs w:val="24"/>
        </w:rPr>
      </w:pPr>
      <w:r w:rsidRPr="00A2321E">
        <w:rPr>
          <w:b/>
          <w:szCs w:val="24"/>
        </w:rPr>
        <w:t>Part B:</w:t>
      </w:r>
      <w:r>
        <w:rPr>
          <w:szCs w:val="24"/>
        </w:rPr>
        <w:t xml:space="preserve"> </w:t>
      </w:r>
      <w:r>
        <w:rPr>
          <w:szCs w:val="24"/>
        </w:rPr>
        <w:tab/>
        <w:t xml:space="preserve">AASB 1058 </w:t>
      </w:r>
      <w:r w:rsidRPr="005D6296">
        <w:rPr>
          <w:i/>
          <w:szCs w:val="24"/>
        </w:rPr>
        <w:t>Income of Not-for-Profit Entities</w:t>
      </w:r>
    </w:p>
    <w:p w14:paraId="2C21AE7D" w14:textId="77777777" w:rsidR="00C82817" w:rsidRDefault="00C82817" w:rsidP="00C82817">
      <w:pPr>
        <w:tabs>
          <w:tab w:val="left" w:pos="851"/>
        </w:tabs>
        <w:ind w:left="851" w:hanging="851"/>
        <w:rPr>
          <w:szCs w:val="24"/>
        </w:rPr>
      </w:pPr>
      <w:r w:rsidRPr="00A2321E">
        <w:rPr>
          <w:b/>
          <w:szCs w:val="24"/>
        </w:rPr>
        <w:t xml:space="preserve">Part C: </w:t>
      </w:r>
      <w:r w:rsidRPr="00A2321E">
        <w:rPr>
          <w:b/>
          <w:szCs w:val="24"/>
        </w:rPr>
        <w:tab/>
      </w:r>
      <w:r w:rsidRPr="00A2321E">
        <w:rPr>
          <w:szCs w:val="24"/>
        </w:rPr>
        <w:t xml:space="preserve">Decision Tree for whether to apply AASB 15 or AASB 1058 to a transaction </w:t>
      </w:r>
      <w:r>
        <w:rPr>
          <w:szCs w:val="24"/>
        </w:rPr>
        <w:t xml:space="preserve">(other </w:t>
      </w:r>
      <w:r w:rsidRPr="00A2321E">
        <w:rPr>
          <w:szCs w:val="24"/>
        </w:rPr>
        <w:t>than volunteer services)</w:t>
      </w:r>
    </w:p>
    <w:p w14:paraId="232FCD93" w14:textId="77777777" w:rsidR="00C82817" w:rsidRDefault="00C82817" w:rsidP="00C82817">
      <w:pPr>
        <w:tabs>
          <w:tab w:val="left" w:pos="851"/>
        </w:tabs>
        <w:rPr>
          <w:szCs w:val="24"/>
        </w:rPr>
      </w:pPr>
      <w:r w:rsidRPr="00A2321E">
        <w:rPr>
          <w:b/>
          <w:szCs w:val="24"/>
        </w:rPr>
        <w:t>Part D:</w:t>
      </w:r>
      <w:r>
        <w:rPr>
          <w:szCs w:val="24"/>
        </w:rPr>
        <w:t xml:space="preserve"> </w:t>
      </w:r>
      <w:r>
        <w:rPr>
          <w:szCs w:val="24"/>
        </w:rPr>
        <w:tab/>
        <w:t>Expected Impact on Revenue Items</w:t>
      </w:r>
    </w:p>
    <w:p w14:paraId="7BEE43E9" w14:textId="77777777" w:rsidR="00C82817" w:rsidRDefault="00C82817" w:rsidP="00C82817">
      <w:pPr>
        <w:rPr>
          <w:szCs w:val="24"/>
        </w:rPr>
      </w:pPr>
    </w:p>
    <w:p w14:paraId="7EB034BB" w14:textId="77777777" w:rsidR="00C82817" w:rsidRDefault="00C82817" w:rsidP="00C82817">
      <w:pPr>
        <w:rPr>
          <w:szCs w:val="24"/>
        </w:rPr>
      </w:pPr>
      <w:r>
        <w:rPr>
          <w:szCs w:val="24"/>
        </w:rPr>
        <w:t xml:space="preserve">This Paper also includes guidance on licencing arrangements under AASB 15.  </w:t>
      </w:r>
    </w:p>
    <w:p w14:paraId="48E3EA23" w14:textId="77777777" w:rsidR="00C82817" w:rsidRDefault="00C82817" w:rsidP="00C82817">
      <w:pPr>
        <w:rPr>
          <w:szCs w:val="24"/>
        </w:rPr>
      </w:pPr>
    </w:p>
    <w:p w14:paraId="1B94DEBE" w14:textId="36570237" w:rsidR="0094559E" w:rsidRDefault="00C82817" w:rsidP="00C82817">
      <w:pPr>
        <w:rPr>
          <w:szCs w:val="24"/>
        </w:rPr>
      </w:pPr>
      <w:r>
        <w:rPr>
          <w:szCs w:val="24"/>
        </w:rPr>
        <w:t>T</w:t>
      </w:r>
      <w:r w:rsidRPr="0012560C">
        <w:rPr>
          <w:szCs w:val="24"/>
        </w:rPr>
        <w:t xml:space="preserve">he </w:t>
      </w:r>
      <w:r>
        <w:rPr>
          <w:szCs w:val="24"/>
        </w:rPr>
        <w:t xml:space="preserve">additional </w:t>
      </w:r>
      <w:r w:rsidRPr="0012560C">
        <w:rPr>
          <w:szCs w:val="24"/>
        </w:rPr>
        <w:t xml:space="preserve">disclosure requirements </w:t>
      </w:r>
      <w:r>
        <w:rPr>
          <w:szCs w:val="24"/>
        </w:rPr>
        <w:t xml:space="preserve">under AASB 15 and AASB 1058 </w:t>
      </w:r>
      <w:r w:rsidRPr="0012560C">
        <w:rPr>
          <w:szCs w:val="24"/>
        </w:rPr>
        <w:t xml:space="preserve">will be included in the Model Financial Statements relevant for </w:t>
      </w:r>
      <w:r>
        <w:rPr>
          <w:szCs w:val="24"/>
        </w:rPr>
        <w:t>the reporting period 2019-20</w:t>
      </w:r>
      <w:r w:rsidR="0094559E">
        <w:rPr>
          <w:szCs w:val="24"/>
        </w:rPr>
        <w:t>; as follows:</w:t>
      </w:r>
    </w:p>
    <w:p w14:paraId="42FCCA54" w14:textId="77777777" w:rsidR="0094559E" w:rsidRDefault="0094559E" w:rsidP="00C82817">
      <w:pPr>
        <w:rPr>
          <w:szCs w:val="24"/>
        </w:rPr>
      </w:pPr>
    </w:p>
    <w:p w14:paraId="1A9E80CB" w14:textId="76F39B1A" w:rsidR="0094559E" w:rsidRDefault="0006468F" w:rsidP="0094559E">
      <w:pPr>
        <w:pStyle w:val="ListParagraph"/>
        <w:numPr>
          <w:ilvl w:val="0"/>
          <w:numId w:val="46"/>
        </w:numPr>
        <w:rPr>
          <w:szCs w:val="24"/>
        </w:rPr>
      </w:pPr>
      <w:r w:rsidRPr="0094559E">
        <w:rPr>
          <w:szCs w:val="24"/>
        </w:rPr>
        <w:t>AASB 15</w:t>
      </w:r>
      <w:r w:rsidR="00C82817" w:rsidRPr="0094559E">
        <w:rPr>
          <w:szCs w:val="24"/>
        </w:rPr>
        <w:t xml:space="preserve"> specifies disclosures applicable to </w:t>
      </w:r>
      <w:r w:rsidR="00C82817" w:rsidRPr="0094559E">
        <w:rPr>
          <w:i/>
          <w:szCs w:val="24"/>
        </w:rPr>
        <w:t>contracts with customers</w:t>
      </w:r>
      <w:r w:rsidR="00C82817" w:rsidRPr="0094559E">
        <w:rPr>
          <w:szCs w:val="24"/>
        </w:rPr>
        <w:t xml:space="preserve"> (AASB 15.113 – 122</w:t>
      </w:r>
      <w:r w:rsidR="00C82817" w:rsidRPr="0094559E">
        <w:rPr>
          <w:i/>
          <w:szCs w:val="24"/>
        </w:rPr>
        <w:t>), significant judgements or changes in judgements</w:t>
      </w:r>
      <w:r w:rsidR="00C82817" w:rsidRPr="0094559E">
        <w:rPr>
          <w:szCs w:val="24"/>
        </w:rPr>
        <w:t xml:space="preserve"> (AASB 15.123-126) and </w:t>
      </w:r>
      <w:r w:rsidR="00C82817" w:rsidRPr="0094559E">
        <w:rPr>
          <w:i/>
          <w:szCs w:val="24"/>
        </w:rPr>
        <w:t>any assets recognised from the costs to fulfil a contract</w:t>
      </w:r>
      <w:r w:rsidR="00C82817" w:rsidRPr="0094559E">
        <w:rPr>
          <w:szCs w:val="24"/>
        </w:rPr>
        <w:t xml:space="preserve"> (AASB 15.127-128)</w:t>
      </w:r>
      <w:r w:rsidRPr="0094559E">
        <w:rPr>
          <w:szCs w:val="24"/>
        </w:rPr>
        <w:t xml:space="preserve">. </w:t>
      </w:r>
    </w:p>
    <w:p w14:paraId="6A9A1276" w14:textId="7A922270" w:rsidR="00C82817" w:rsidRPr="0094559E" w:rsidRDefault="0006468F" w:rsidP="0094559E">
      <w:pPr>
        <w:pStyle w:val="ListParagraph"/>
        <w:numPr>
          <w:ilvl w:val="0"/>
          <w:numId w:val="46"/>
        </w:numPr>
        <w:rPr>
          <w:szCs w:val="24"/>
        </w:rPr>
      </w:pPr>
      <w:r w:rsidRPr="0094559E">
        <w:rPr>
          <w:szCs w:val="24"/>
        </w:rPr>
        <w:t xml:space="preserve">AASB 1058 specifies disclosure for </w:t>
      </w:r>
      <w:r w:rsidRPr="0094559E">
        <w:rPr>
          <w:i/>
          <w:iCs/>
          <w:szCs w:val="24"/>
        </w:rPr>
        <w:t>volunteer services</w:t>
      </w:r>
      <w:r w:rsidRPr="0094559E">
        <w:rPr>
          <w:szCs w:val="24"/>
        </w:rPr>
        <w:t xml:space="preserve"> and transactions where entities </w:t>
      </w:r>
      <w:r w:rsidRPr="0094559E">
        <w:rPr>
          <w:i/>
          <w:iCs/>
          <w:szCs w:val="24"/>
        </w:rPr>
        <w:t>acquire an asset for consideration at considerably less than fair value</w:t>
      </w:r>
      <w:r w:rsidRPr="0094559E">
        <w:rPr>
          <w:szCs w:val="24"/>
        </w:rPr>
        <w:t xml:space="preserve"> </w:t>
      </w:r>
      <w:r w:rsidR="0094559E">
        <w:t xml:space="preserve">principally to enable the entity to further its objectives. </w:t>
      </w:r>
      <w:r w:rsidRPr="0094559E">
        <w:rPr>
          <w:szCs w:val="24"/>
        </w:rPr>
        <w:t>(AASB 1058.24-41).</w:t>
      </w:r>
    </w:p>
    <w:p w14:paraId="33C3193A" w14:textId="124F48EA" w:rsidR="002E14A0" w:rsidRDefault="002E14A0">
      <w:pPr>
        <w:spacing w:after="160" w:line="259" w:lineRule="auto"/>
        <w:rPr>
          <w:rFonts w:cs="Frutiger Next Pro Light"/>
          <w:szCs w:val="24"/>
        </w:rPr>
      </w:pPr>
      <w:r>
        <w:rPr>
          <w:rFonts w:cs="Frutiger Next Pro Light"/>
          <w:szCs w:val="24"/>
        </w:rPr>
        <w:br w:type="page"/>
      </w:r>
    </w:p>
    <w:p w14:paraId="5EAB902C" w14:textId="77777777" w:rsidR="00C82817" w:rsidRPr="00E55F32" w:rsidRDefault="00C82817" w:rsidP="00044B9F">
      <w:pPr>
        <w:pStyle w:val="Heading1"/>
      </w:pPr>
      <w:bookmarkStart w:id="9" w:name="_Toc45622602"/>
      <w:r>
        <w:lastRenderedPageBreak/>
        <w:t>Relevant Standards</w:t>
      </w:r>
      <w:bookmarkEnd w:id="9"/>
    </w:p>
    <w:p w14:paraId="76C6DA79" w14:textId="77777777" w:rsidR="00C82817" w:rsidRDefault="00C82817" w:rsidP="00337D89">
      <w:pPr>
        <w:numPr>
          <w:ilvl w:val="0"/>
          <w:numId w:val="24"/>
        </w:numPr>
        <w:ind w:left="709" w:hanging="357"/>
        <w:rPr>
          <w:i/>
          <w:szCs w:val="24"/>
        </w:rPr>
      </w:pPr>
      <w:r w:rsidRPr="00823A14">
        <w:rPr>
          <w:szCs w:val="24"/>
        </w:rPr>
        <w:t xml:space="preserve">AASB 15 </w:t>
      </w:r>
      <w:r w:rsidRPr="00823A14">
        <w:rPr>
          <w:i/>
          <w:szCs w:val="24"/>
        </w:rPr>
        <w:t>Revenue from Contracts</w:t>
      </w:r>
    </w:p>
    <w:p w14:paraId="45B842C7" w14:textId="77777777" w:rsidR="00C82817" w:rsidRPr="0012560C" w:rsidRDefault="00C82817" w:rsidP="00C82817">
      <w:pPr>
        <w:numPr>
          <w:ilvl w:val="0"/>
          <w:numId w:val="24"/>
        </w:numPr>
        <w:ind w:left="714" w:hanging="357"/>
        <w:rPr>
          <w:rFonts w:cs="Calibri"/>
          <w:szCs w:val="24"/>
          <w:lang w:val="en-US"/>
        </w:rPr>
      </w:pPr>
      <w:r>
        <w:rPr>
          <w:szCs w:val="24"/>
        </w:rPr>
        <w:t xml:space="preserve">AASB 1058 </w:t>
      </w:r>
      <w:r w:rsidRPr="007617C1">
        <w:rPr>
          <w:i/>
          <w:szCs w:val="24"/>
        </w:rPr>
        <w:t>Income of Not-for-Profit Entities</w:t>
      </w:r>
    </w:p>
    <w:p w14:paraId="48E698A5" w14:textId="77777777" w:rsidR="00C82817" w:rsidRPr="0012560C" w:rsidRDefault="00C82817" w:rsidP="00C82817">
      <w:pPr>
        <w:numPr>
          <w:ilvl w:val="0"/>
          <w:numId w:val="24"/>
        </w:numPr>
        <w:ind w:left="714" w:hanging="357"/>
        <w:rPr>
          <w:rFonts w:cs="Calibri"/>
          <w:i/>
          <w:szCs w:val="24"/>
          <w:lang w:val="en-US"/>
        </w:rPr>
      </w:pPr>
      <w:r>
        <w:rPr>
          <w:szCs w:val="24"/>
        </w:rPr>
        <w:t xml:space="preserve">AASB 1004 </w:t>
      </w:r>
      <w:r w:rsidRPr="0012560C">
        <w:rPr>
          <w:i/>
          <w:szCs w:val="24"/>
        </w:rPr>
        <w:t>Contributions</w:t>
      </w:r>
    </w:p>
    <w:p w14:paraId="517ACF4D" w14:textId="0490AC67" w:rsidR="00C82817" w:rsidRPr="00F80752" w:rsidRDefault="00C82817" w:rsidP="00C82817">
      <w:pPr>
        <w:numPr>
          <w:ilvl w:val="0"/>
          <w:numId w:val="24"/>
        </w:numPr>
        <w:ind w:left="714" w:hanging="357"/>
        <w:rPr>
          <w:rFonts w:cs="Calibri"/>
          <w:szCs w:val="24"/>
          <w:lang w:val="en-US"/>
        </w:rPr>
      </w:pPr>
      <w:r w:rsidRPr="004B6164">
        <w:rPr>
          <w:szCs w:val="24"/>
        </w:rPr>
        <w:t xml:space="preserve">AASB 2018-8 </w:t>
      </w:r>
      <w:r w:rsidRPr="004B6164">
        <w:rPr>
          <w:i/>
          <w:iCs/>
          <w:szCs w:val="24"/>
        </w:rPr>
        <w:t>Amendments to Australian Accounting Standards – Right-of-Use Assets of Not-for-Profit Entities</w:t>
      </w:r>
    </w:p>
    <w:p w14:paraId="3D32ABA2" w14:textId="1EC3371C" w:rsidR="00F80752" w:rsidRPr="00377F9D" w:rsidRDefault="00F80752" w:rsidP="00C82817">
      <w:pPr>
        <w:numPr>
          <w:ilvl w:val="0"/>
          <w:numId w:val="24"/>
        </w:numPr>
        <w:ind w:left="714" w:hanging="357"/>
        <w:rPr>
          <w:rFonts w:cs="Calibri"/>
          <w:szCs w:val="24"/>
          <w:lang w:val="en-US"/>
        </w:rPr>
      </w:pPr>
      <w:r>
        <w:rPr>
          <w:rFonts w:cs="Calibri"/>
          <w:szCs w:val="24"/>
          <w:lang w:val="en-US"/>
        </w:rPr>
        <w:t xml:space="preserve">AASB 2019-6 </w:t>
      </w:r>
      <w:r w:rsidRPr="00F80752">
        <w:rPr>
          <w:rFonts w:cs="Calibri"/>
          <w:i/>
          <w:iCs/>
          <w:szCs w:val="24"/>
          <w:lang w:val="en-US"/>
        </w:rPr>
        <w:t>Amendments to Australian Accounting Standards – Research Grants and Not-for-Profit Entities</w:t>
      </w:r>
    </w:p>
    <w:p w14:paraId="561D3811" w14:textId="77777777" w:rsidR="00C82817" w:rsidRDefault="00C82817" w:rsidP="00C82817">
      <w:pPr>
        <w:rPr>
          <w:szCs w:val="24"/>
        </w:rPr>
      </w:pPr>
    </w:p>
    <w:p w14:paraId="28D6A5C5" w14:textId="77777777" w:rsidR="00C82817" w:rsidRPr="002E14A0" w:rsidRDefault="00C82817" w:rsidP="00044B9F">
      <w:pPr>
        <w:pStyle w:val="Heading1"/>
      </w:pPr>
      <w:bookmarkStart w:id="10" w:name="_Toc45622603"/>
      <w:r w:rsidRPr="002E14A0">
        <w:t>Part A: AASB 15 Revenue from contracts</w:t>
      </w:r>
      <w:bookmarkEnd w:id="10"/>
    </w:p>
    <w:p w14:paraId="6219AF52" w14:textId="77777777" w:rsidR="00C82817" w:rsidRPr="00D637D7" w:rsidRDefault="00C82817" w:rsidP="00C82817">
      <w:pPr>
        <w:rPr>
          <w:rFonts w:cs="Frutiger Next Pro Light"/>
          <w:i/>
          <w:szCs w:val="24"/>
        </w:rPr>
      </w:pPr>
      <w:r>
        <w:rPr>
          <w:rFonts w:eastAsia="Times New Roman" w:cs="Helvetica"/>
          <w:szCs w:val="24"/>
          <w:lang w:val="en-US" w:eastAsia="en-AU"/>
        </w:rPr>
        <w:t xml:space="preserve">AASB 15 mainly </w:t>
      </w:r>
      <w:r w:rsidRPr="00DA4C13">
        <w:rPr>
          <w:rFonts w:eastAsia="Times New Roman" w:cs="Helvetica"/>
          <w:szCs w:val="24"/>
          <w:lang w:val="en-US" w:eastAsia="en-AU"/>
        </w:rPr>
        <w:t xml:space="preserve">replaces AASB 118 </w:t>
      </w:r>
      <w:r w:rsidRPr="00306DEE">
        <w:rPr>
          <w:rFonts w:eastAsia="Times New Roman" w:cs="Helvetica"/>
          <w:i/>
          <w:szCs w:val="24"/>
          <w:lang w:val="en-US" w:eastAsia="en-AU"/>
        </w:rPr>
        <w:t>Revenue</w:t>
      </w:r>
      <w:r w:rsidRPr="00DA4C13">
        <w:rPr>
          <w:rFonts w:eastAsia="Times New Roman" w:cs="Helvetica"/>
          <w:szCs w:val="24"/>
          <w:lang w:val="en-US" w:eastAsia="en-AU"/>
        </w:rPr>
        <w:t xml:space="preserve"> and AASB 111 </w:t>
      </w:r>
      <w:r w:rsidRPr="00306DEE">
        <w:rPr>
          <w:rFonts w:eastAsia="Times New Roman" w:cs="Helvetica"/>
          <w:i/>
          <w:szCs w:val="24"/>
          <w:lang w:val="en-US" w:eastAsia="en-AU"/>
        </w:rPr>
        <w:t>Construction Contracts</w:t>
      </w:r>
      <w:r>
        <w:rPr>
          <w:rFonts w:eastAsia="Times New Roman" w:cs="Helvetica"/>
          <w:i/>
          <w:szCs w:val="24"/>
          <w:lang w:val="en-US" w:eastAsia="en-AU"/>
        </w:rPr>
        <w:t xml:space="preserve"> </w:t>
      </w:r>
      <w:r>
        <w:rPr>
          <w:rFonts w:eastAsia="Times New Roman" w:cs="Helvetica"/>
          <w:iCs/>
          <w:szCs w:val="24"/>
          <w:lang w:val="en-US" w:eastAsia="en-AU"/>
        </w:rPr>
        <w:t>and associated accounting interpretations</w:t>
      </w:r>
      <w:r>
        <w:rPr>
          <w:rFonts w:eastAsia="Times New Roman" w:cs="Helvetica"/>
          <w:szCs w:val="24"/>
          <w:lang w:val="en-US" w:eastAsia="en-AU"/>
        </w:rPr>
        <w:t xml:space="preserve">.  </w:t>
      </w:r>
    </w:p>
    <w:p w14:paraId="0E67C5C4" w14:textId="77777777" w:rsidR="00C82817" w:rsidRPr="00E55F32" w:rsidRDefault="00C82817" w:rsidP="00C82817"/>
    <w:p w14:paraId="3E1AB609" w14:textId="60C47495" w:rsidR="00C82817" w:rsidRPr="00306DEE" w:rsidRDefault="00753324" w:rsidP="00044B9F">
      <w:pPr>
        <w:pStyle w:val="Heading1"/>
      </w:pPr>
      <w:bookmarkStart w:id="11" w:name="_Toc45622604"/>
      <w:r>
        <w:t>A1.</w:t>
      </w:r>
      <w:r>
        <w:tab/>
      </w:r>
      <w:r w:rsidR="00C82817">
        <w:t>Application date</w:t>
      </w:r>
      <w:bookmarkEnd w:id="11"/>
    </w:p>
    <w:p w14:paraId="21C65C33" w14:textId="77777777" w:rsidR="00C82817" w:rsidRPr="00E55F32" w:rsidRDefault="00C82817" w:rsidP="00C82817">
      <w:pPr>
        <w:rPr>
          <w:rFonts w:cs="Calibri"/>
          <w:szCs w:val="24"/>
          <w:lang w:val="en-US"/>
        </w:rPr>
      </w:pPr>
      <w:r w:rsidRPr="00E55F32">
        <w:rPr>
          <w:rFonts w:cs="Calibri"/>
          <w:szCs w:val="24"/>
          <w:lang w:val="en-US"/>
        </w:rPr>
        <w:t>AASB 15 is applicable to:</w:t>
      </w:r>
    </w:p>
    <w:p w14:paraId="51CBDDB4" w14:textId="77777777" w:rsidR="00C82817" w:rsidRPr="00E55F32" w:rsidRDefault="00C82817" w:rsidP="00C82817">
      <w:pPr>
        <w:pStyle w:val="ListParagraph"/>
        <w:numPr>
          <w:ilvl w:val="0"/>
          <w:numId w:val="21"/>
        </w:numPr>
        <w:ind w:left="709" w:hanging="425"/>
        <w:rPr>
          <w:rFonts w:eastAsia="Times" w:cs="Calibri"/>
          <w:szCs w:val="24"/>
          <w:lang w:val="en-US"/>
        </w:rPr>
      </w:pPr>
      <w:r w:rsidRPr="00E55F32">
        <w:rPr>
          <w:rFonts w:eastAsia="Times" w:cs="Calibri"/>
          <w:szCs w:val="24"/>
          <w:lang w:val="en-US"/>
        </w:rPr>
        <w:t xml:space="preserve">For-Profit entities </w:t>
      </w:r>
      <w:r>
        <w:rPr>
          <w:rFonts w:eastAsia="Times" w:cs="Calibri"/>
          <w:szCs w:val="24"/>
          <w:lang w:val="en-US"/>
        </w:rPr>
        <w:t>–</w:t>
      </w:r>
      <w:r w:rsidRPr="00E55F32">
        <w:rPr>
          <w:rFonts w:eastAsia="Times" w:cs="Calibri"/>
          <w:szCs w:val="24"/>
          <w:lang w:val="en-US"/>
        </w:rPr>
        <w:t xml:space="preserve"> </w:t>
      </w:r>
      <w:r>
        <w:rPr>
          <w:rFonts w:eastAsia="Times" w:cs="Calibri"/>
          <w:szCs w:val="24"/>
          <w:lang w:val="en-US"/>
        </w:rPr>
        <w:t xml:space="preserve">from </w:t>
      </w:r>
      <w:r w:rsidRPr="00E55F32">
        <w:rPr>
          <w:rFonts w:eastAsia="Times" w:cs="Calibri"/>
          <w:szCs w:val="24"/>
          <w:lang w:val="en-US"/>
        </w:rPr>
        <w:t xml:space="preserve">reporting periods beginning on or after 1 January 2018; and </w:t>
      </w:r>
    </w:p>
    <w:p w14:paraId="15051FAE" w14:textId="77777777" w:rsidR="00C82817" w:rsidRPr="00E55F32" w:rsidRDefault="00C82817" w:rsidP="00C82817">
      <w:pPr>
        <w:pStyle w:val="ListParagraph"/>
        <w:numPr>
          <w:ilvl w:val="0"/>
          <w:numId w:val="21"/>
        </w:numPr>
        <w:ind w:left="709" w:hanging="425"/>
        <w:rPr>
          <w:rFonts w:eastAsia="Times" w:cs="Calibri"/>
          <w:szCs w:val="24"/>
          <w:lang w:val="en-US"/>
        </w:rPr>
      </w:pPr>
      <w:r w:rsidRPr="00E55F32">
        <w:rPr>
          <w:rFonts w:eastAsia="Times" w:cs="Calibri"/>
          <w:szCs w:val="24"/>
          <w:lang w:val="en-US"/>
        </w:rPr>
        <w:t xml:space="preserve">Not-For-Profit entities </w:t>
      </w:r>
      <w:r>
        <w:rPr>
          <w:rFonts w:eastAsia="Times" w:cs="Calibri"/>
          <w:szCs w:val="24"/>
          <w:lang w:val="en-US"/>
        </w:rPr>
        <w:t>–</w:t>
      </w:r>
      <w:r w:rsidRPr="00E55F32">
        <w:rPr>
          <w:rFonts w:eastAsia="Times" w:cs="Calibri"/>
          <w:szCs w:val="24"/>
          <w:lang w:val="en-US"/>
        </w:rPr>
        <w:t xml:space="preserve"> </w:t>
      </w:r>
      <w:r>
        <w:rPr>
          <w:rFonts w:eastAsia="Times" w:cs="Calibri"/>
          <w:szCs w:val="24"/>
          <w:lang w:val="en-US"/>
        </w:rPr>
        <w:t xml:space="preserve">from </w:t>
      </w:r>
      <w:r w:rsidRPr="00E55F32">
        <w:rPr>
          <w:rFonts w:eastAsia="Times" w:cs="Calibri"/>
          <w:szCs w:val="24"/>
          <w:lang w:val="en-US"/>
        </w:rPr>
        <w:t>reporting periods beginning on or after 1 January 2019.</w:t>
      </w:r>
    </w:p>
    <w:p w14:paraId="009D0F29" w14:textId="77777777" w:rsidR="00C82817" w:rsidRDefault="00C82817" w:rsidP="00C82817">
      <w:pPr>
        <w:rPr>
          <w:rFonts w:cs="Calibri"/>
          <w:szCs w:val="24"/>
          <w:lang w:val="en-US"/>
        </w:rPr>
      </w:pPr>
    </w:p>
    <w:p w14:paraId="245B4D2C" w14:textId="77777777" w:rsidR="00C82817" w:rsidRPr="00E55F32" w:rsidRDefault="00C82817" w:rsidP="00C82817">
      <w:pPr>
        <w:rPr>
          <w:rFonts w:cs="Calibri"/>
          <w:szCs w:val="24"/>
          <w:lang w:val="en-US"/>
        </w:rPr>
      </w:pPr>
      <w:r w:rsidRPr="00E55F32">
        <w:rPr>
          <w:rFonts w:cs="Calibri"/>
          <w:szCs w:val="24"/>
          <w:lang w:val="en-US"/>
        </w:rPr>
        <w:t>For most ACT Government agencies this will be the reporting period 2019-20.</w:t>
      </w:r>
    </w:p>
    <w:p w14:paraId="5DAC4A14" w14:textId="77777777" w:rsidR="00C82817" w:rsidRPr="00E55F32" w:rsidRDefault="00C82817" w:rsidP="00C82817">
      <w:pPr>
        <w:rPr>
          <w:rFonts w:cs="Calibri"/>
          <w:szCs w:val="24"/>
          <w:lang w:val="en-US"/>
        </w:rPr>
      </w:pPr>
    </w:p>
    <w:p w14:paraId="35A2D658" w14:textId="77777777" w:rsidR="00C82817" w:rsidRPr="00E55F32" w:rsidRDefault="00C82817" w:rsidP="00C82817">
      <w:pPr>
        <w:pBdr>
          <w:top w:val="single" w:sz="4" w:space="1" w:color="auto"/>
          <w:left w:val="single" w:sz="4" w:space="4" w:color="auto"/>
          <w:bottom w:val="single" w:sz="4" w:space="1" w:color="auto"/>
          <w:right w:val="single" w:sz="4" w:space="4" w:color="auto"/>
        </w:pBdr>
        <w:rPr>
          <w:rFonts w:cs="Calibri"/>
          <w:szCs w:val="24"/>
          <w:lang w:val="en-US"/>
        </w:rPr>
      </w:pPr>
      <w:r w:rsidRPr="00E55F32">
        <w:rPr>
          <w:rFonts w:cs="Calibri"/>
          <w:szCs w:val="24"/>
          <w:lang w:val="en-US"/>
        </w:rPr>
        <w:t xml:space="preserve">ACT Government agencies shall not early adopt this Standard.   </w:t>
      </w:r>
    </w:p>
    <w:p w14:paraId="4305AD82" w14:textId="77777777" w:rsidR="00C82817" w:rsidRPr="00E55F32" w:rsidRDefault="00C82817" w:rsidP="00337D89"/>
    <w:p w14:paraId="4BDE2F44" w14:textId="1111C7B2" w:rsidR="00C82817" w:rsidRPr="00BE1B73" w:rsidRDefault="00753324" w:rsidP="00044B9F">
      <w:pPr>
        <w:pStyle w:val="Heading1"/>
      </w:pPr>
      <w:bookmarkStart w:id="12" w:name="_Toc45622605"/>
      <w:r>
        <w:t>A2.</w:t>
      </w:r>
      <w:r>
        <w:tab/>
      </w:r>
      <w:r w:rsidR="00C82817">
        <w:t>Scope (AASB 15.5–15.8)</w:t>
      </w:r>
      <w:bookmarkEnd w:id="12"/>
    </w:p>
    <w:p w14:paraId="031EABEC" w14:textId="77777777" w:rsidR="00395515" w:rsidRDefault="00C82817" w:rsidP="00C82817">
      <w:pPr>
        <w:autoSpaceDE w:val="0"/>
        <w:autoSpaceDN w:val="0"/>
        <w:adjustRightInd w:val="0"/>
        <w:rPr>
          <w:iCs/>
          <w:color w:val="000000"/>
          <w:szCs w:val="24"/>
          <w:lang w:eastAsia="en-AU"/>
        </w:rPr>
      </w:pPr>
      <w:r w:rsidRPr="009F0CE5">
        <w:rPr>
          <w:i/>
          <w:color w:val="000000"/>
          <w:szCs w:val="24"/>
          <w:lang w:eastAsia="en-AU"/>
        </w:rPr>
        <w:t xml:space="preserve">An entity shall apply this Standard to all contracts with customers.  </w:t>
      </w:r>
      <w:r w:rsidRPr="009F0CE5">
        <w:rPr>
          <w:rFonts w:cs="Calibri"/>
          <w:szCs w:val="24"/>
          <w:lang w:val="en-US"/>
        </w:rPr>
        <w:t xml:space="preserve">The Standard lists certain exceptions that are outside its scope, for example, </w:t>
      </w:r>
      <w:r w:rsidRPr="009F0CE5">
        <w:rPr>
          <w:color w:val="000000"/>
          <w:szCs w:val="24"/>
          <w:lang w:eastAsia="en-AU"/>
        </w:rPr>
        <w:t>lease contracts</w:t>
      </w:r>
      <w:r w:rsidRPr="009F0CE5">
        <w:rPr>
          <w:iCs/>
          <w:color w:val="000000"/>
          <w:szCs w:val="24"/>
          <w:lang w:eastAsia="en-AU"/>
        </w:rPr>
        <w:t>, i</w:t>
      </w:r>
      <w:r w:rsidRPr="009F0CE5">
        <w:rPr>
          <w:color w:val="000000"/>
          <w:szCs w:val="24"/>
          <w:lang w:eastAsia="en-AU"/>
        </w:rPr>
        <w:t>nsurance contracts</w:t>
      </w:r>
      <w:r w:rsidRPr="009F0CE5">
        <w:rPr>
          <w:iCs/>
          <w:color w:val="000000"/>
          <w:szCs w:val="24"/>
          <w:lang w:eastAsia="en-AU"/>
        </w:rPr>
        <w:t xml:space="preserve">, income arising from </w:t>
      </w:r>
      <w:r w:rsidRPr="009F0CE5">
        <w:rPr>
          <w:color w:val="000000"/>
          <w:szCs w:val="24"/>
          <w:lang w:eastAsia="en-AU"/>
        </w:rPr>
        <w:t>financial instruments</w:t>
      </w:r>
      <w:r w:rsidRPr="009F0CE5">
        <w:rPr>
          <w:iCs/>
          <w:color w:val="000000"/>
          <w:szCs w:val="24"/>
          <w:lang w:eastAsia="en-AU"/>
        </w:rPr>
        <w:t>.</w:t>
      </w:r>
      <w:r w:rsidRPr="00E55F32">
        <w:rPr>
          <w:iCs/>
          <w:color w:val="000000"/>
          <w:szCs w:val="24"/>
          <w:lang w:eastAsia="en-AU"/>
        </w:rPr>
        <w:t xml:space="preserve">  </w:t>
      </w:r>
    </w:p>
    <w:p w14:paraId="4BA08B11" w14:textId="77777777" w:rsidR="00395515" w:rsidRDefault="00395515" w:rsidP="00C82817">
      <w:pPr>
        <w:autoSpaceDE w:val="0"/>
        <w:autoSpaceDN w:val="0"/>
        <w:adjustRightInd w:val="0"/>
        <w:rPr>
          <w:iCs/>
          <w:color w:val="000000"/>
          <w:szCs w:val="24"/>
          <w:lang w:eastAsia="en-AU"/>
        </w:rPr>
      </w:pPr>
    </w:p>
    <w:p w14:paraId="549DDF52" w14:textId="77777777" w:rsidR="00395515" w:rsidRDefault="00395515" w:rsidP="00EE5437">
      <w:pPr>
        <w:pStyle w:val="Heading2"/>
        <w:rPr>
          <w:lang w:eastAsia="en-AU"/>
        </w:rPr>
      </w:pPr>
      <w:r>
        <w:rPr>
          <w:lang w:eastAsia="en-AU"/>
        </w:rPr>
        <w:t>Exclusions</w:t>
      </w:r>
    </w:p>
    <w:p w14:paraId="0DE47698" w14:textId="77777777" w:rsidR="00395515" w:rsidRDefault="00395515" w:rsidP="00C82817">
      <w:pPr>
        <w:autoSpaceDE w:val="0"/>
        <w:autoSpaceDN w:val="0"/>
        <w:adjustRightInd w:val="0"/>
        <w:rPr>
          <w:iCs/>
          <w:color w:val="000000"/>
          <w:szCs w:val="24"/>
          <w:lang w:eastAsia="en-AU"/>
        </w:rPr>
      </w:pPr>
    </w:p>
    <w:p w14:paraId="10A65A32" w14:textId="58534D19" w:rsidR="00395515" w:rsidRPr="009F0CE5" w:rsidRDefault="00395515" w:rsidP="00395515">
      <w:pPr>
        <w:pStyle w:val="ListParagraph"/>
        <w:numPr>
          <w:ilvl w:val="0"/>
          <w:numId w:val="26"/>
        </w:numPr>
      </w:pPr>
      <w:r w:rsidRPr="00395515">
        <w:t xml:space="preserve"> </w:t>
      </w:r>
      <w:r w:rsidRPr="009F0CE5">
        <w:t>Lease contacts (AASB 16)</w:t>
      </w:r>
    </w:p>
    <w:p w14:paraId="58DEF3C0" w14:textId="77777777" w:rsidR="00395515" w:rsidRPr="009F0CE5" w:rsidRDefault="00395515" w:rsidP="00395515">
      <w:pPr>
        <w:pStyle w:val="ListParagraph"/>
        <w:numPr>
          <w:ilvl w:val="0"/>
          <w:numId w:val="26"/>
        </w:numPr>
      </w:pPr>
      <w:r w:rsidRPr="009F0CE5">
        <w:t>Insurance contracts (AASB 4)</w:t>
      </w:r>
    </w:p>
    <w:p w14:paraId="7C39E071" w14:textId="77777777" w:rsidR="00395515" w:rsidRPr="009F0CE5" w:rsidRDefault="00395515" w:rsidP="00395515">
      <w:pPr>
        <w:pStyle w:val="ListParagraph"/>
        <w:numPr>
          <w:ilvl w:val="0"/>
          <w:numId w:val="26"/>
        </w:numPr>
      </w:pPr>
      <w:r w:rsidRPr="009F0CE5">
        <w:t>Financial instruments and other contractual rights under AASB 9, AASB 10, AASB 127.</w:t>
      </w:r>
    </w:p>
    <w:p w14:paraId="53644B22" w14:textId="77777777" w:rsidR="00395515" w:rsidRPr="009F0CE5" w:rsidRDefault="00395515" w:rsidP="00395515">
      <w:pPr>
        <w:pStyle w:val="ListParagraph"/>
        <w:numPr>
          <w:ilvl w:val="0"/>
          <w:numId w:val="26"/>
        </w:numPr>
      </w:pPr>
      <w:r w:rsidRPr="009F0CE5">
        <w:t>Joint arrangements (AASB 11)</w:t>
      </w:r>
    </w:p>
    <w:p w14:paraId="49A32966" w14:textId="77777777" w:rsidR="00395515" w:rsidRPr="009F0CE5" w:rsidRDefault="00395515" w:rsidP="00395515">
      <w:pPr>
        <w:pStyle w:val="ListParagraph"/>
        <w:numPr>
          <w:ilvl w:val="0"/>
          <w:numId w:val="26"/>
        </w:numPr>
      </w:pPr>
      <w:r w:rsidRPr="009F0CE5">
        <w:t>Investments in Associates and Joint Ventures (AASB 128)</w:t>
      </w:r>
    </w:p>
    <w:p w14:paraId="137803ED" w14:textId="77777777" w:rsidR="00395515" w:rsidRPr="009F0CE5" w:rsidRDefault="00395515" w:rsidP="00395515">
      <w:pPr>
        <w:pStyle w:val="ListParagraph"/>
        <w:numPr>
          <w:ilvl w:val="0"/>
          <w:numId w:val="26"/>
        </w:numPr>
      </w:pPr>
      <w:r w:rsidRPr="009F0CE5">
        <w:t xml:space="preserve">Non-monetary exchanges between entities in the same line of business </w:t>
      </w:r>
    </w:p>
    <w:p w14:paraId="25C811C8" w14:textId="7E3B54B7" w:rsidR="00C82817" w:rsidRPr="00E55F32" w:rsidRDefault="00C82817" w:rsidP="00C82817">
      <w:pPr>
        <w:autoSpaceDE w:val="0"/>
        <w:autoSpaceDN w:val="0"/>
        <w:adjustRightInd w:val="0"/>
        <w:rPr>
          <w:rStyle w:val="Strong"/>
          <w:rFonts w:ascii="Calibri" w:hAnsi="Calibri" w:cs="Helvetica"/>
          <w:szCs w:val="24"/>
          <w:lang w:val="en-US"/>
        </w:rPr>
      </w:pPr>
    </w:p>
    <w:p w14:paraId="075EE37A" w14:textId="77777777" w:rsidR="00C82817" w:rsidRDefault="00C82817" w:rsidP="00C82817">
      <w:pPr>
        <w:rPr>
          <w:rStyle w:val="Strong"/>
          <w:rFonts w:ascii="Calibri" w:hAnsi="Calibri" w:cs="Helvetica"/>
          <w:b/>
          <w:sz w:val="28"/>
          <w:szCs w:val="28"/>
          <w:lang w:val="en-US"/>
        </w:rPr>
      </w:pPr>
    </w:p>
    <w:p w14:paraId="5E496D2D" w14:textId="77777777" w:rsidR="00C82817" w:rsidRPr="006A6046" w:rsidRDefault="00C82817" w:rsidP="00C82817">
      <w:pPr>
        <w:rPr>
          <w:szCs w:val="24"/>
        </w:rPr>
      </w:pPr>
      <w:r w:rsidRPr="006A6046">
        <w:rPr>
          <w:i/>
          <w:szCs w:val="24"/>
        </w:rPr>
        <w:t xml:space="preserve">In respect of not-for-profit entities, a transfer of a financial asset to enable an entity to acquire or construct a recognisable non-financial asset that is to be controlled by the entity, as described in AASB 1058 </w:t>
      </w:r>
      <w:r w:rsidRPr="006A6046">
        <w:rPr>
          <w:i/>
          <w:iCs/>
          <w:szCs w:val="24"/>
        </w:rPr>
        <w:t>Income of Not-for-Profit Entities</w:t>
      </w:r>
      <w:r w:rsidRPr="006A6046">
        <w:rPr>
          <w:i/>
          <w:szCs w:val="24"/>
        </w:rPr>
        <w:t>, is not within the scope of this Standard.</w:t>
      </w:r>
      <w:r>
        <w:rPr>
          <w:i/>
          <w:szCs w:val="24"/>
        </w:rPr>
        <w:t xml:space="preserve"> </w:t>
      </w:r>
      <w:r w:rsidRPr="006A6046">
        <w:rPr>
          <w:szCs w:val="24"/>
        </w:rPr>
        <w:t>(AASB 15.Aus5.1)</w:t>
      </w:r>
      <w:r>
        <w:rPr>
          <w:szCs w:val="24"/>
        </w:rPr>
        <w:t>.</w:t>
      </w:r>
    </w:p>
    <w:p w14:paraId="41EE377B" w14:textId="77777777" w:rsidR="00C82817" w:rsidRDefault="00C82817" w:rsidP="00C82817">
      <w:pPr>
        <w:rPr>
          <w:i/>
          <w:szCs w:val="24"/>
        </w:rPr>
      </w:pPr>
    </w:p>
    <w:p w14:paraId="6AD3453E" w14:textId="77777777" w:rsidR="00C82817" w:rsidRDefault="00C82817" w:rsidP="00C82817">
      <w:pPr>
        <w:rPr>
          <w:rFonts w:eastAsia="Times New Roman" w:cs="Helvetica"/>
          <w:szCs w:val="24"/>
          <w:lang w:val="en-US" w:eastAsia="en-AU"/>
        </w:rPr>
      </w:pPr>
      <w:r w:rsidRPr="00083E22">
        <w:rPr>
          <w:rFonts w:eastAsia="Times New Roman" w:cs="Helvetica"/>
          <w:szCs w:val="24"/>
          <w:lang w:val="en-US" w:eastAsia="en-AU"/>
        </w:rPr>
        <w:lastRenderedPageBreak/>
        <w:t>A contract with a customer may be partially within the scope of AASB 15 and partially within the scope of other Standards listed under the exceptions above.</w:t>
      </w:r>
      <w:r>
        <w:rPr>
          <w:rFonts w:eastAsia="Times New Roman" w:cs="Helvetica"/>
          <w:szCs w:val="24"/>
          <w:lang w:val="en-US" w:eastAsia="en-AU"/>
        </w:rPr>
        <w:t xml:space="preserve">  </w:t>
      </w:r>
      <w:r w:rsidRPr="00750B82">
        <w:rPr>
          <w:rFonts w:eastAsia="Times New Roman" w:cs="Helvetica"/>
          <w:szCs w:val="24"/>
          <w:lang w:val="en-US" w:eastAsia="en-AU"/>
        </w:rPr>
        <w:t xml:space="preserve">In such instances, an entity must first apply the </w:t>
      </w:r>
      <w:r>
        <w:rPr>
          <w:rFonts w:eastAsia="Times New Roman" w:cs="Helvetica"/>
          <w:szCs w:val="24"/>
          <w:lang w:val="en-US" w:eastAsia="en-AU"/>
        </w:rPr>
        <w:t>separation and/or measurement requirements of those o</w:t>
      </w:r>
      <w:r w:rsidRPr="00750B82">
        <w:rPr>
          <w:rFonts w:eastAsia="Times New Roman" w:cs="Helvetica"/>
          <w:szCs w:val="24"/>
          <w:lang w:val="en-US" w:eastAsia="en-AU"/>
        </w:rPr>
        <w:t xml:space="preserve">ther standards </w:t>
      </w:r>
      <w:r>
        <w:rPr>
          <w:rFonts w:eastAsia="Times New Roman" w:cs="Helvetica"/>
          <w:szCs w:val="24"/>
          <w:lang w:val="en-US" w:eastAsia="en-AU"/>
        </w:rPr>
        <w:t xml:space="preserve">to the relevant components of the contract and </w:t>
      </w:r>
      <w:r w:rsidRPr="00750B82">
        <w:rPr>
          <w:rFonts w:eastAsia="Times New Roman" w:cs="Helvetica"/>
          <w:szCs w:val="24"/>
          <w:lang w:val="en-US" w:eastAsia="en-AU"/>
        </w:rPr>
        <w:t>then apply AASB 15 to the remaining components of the contract (AASB 15.7).</w:t>
      </w:r>
    </w:p>
    <w:p w14:paraId="2C6EE8F7" w14:textId="77777777" w:rsidR="00C82817" w:rsidRPr="007B5F67" w:rsidRDefault="00C82817" w:rsidP="00C82817"/>
    <w:p w14:paraId="3CBE027E" w14:textId="1D6E73E6" w:rsidR="00C82817" w:rsidRPr="00BE1B73" w:rsidRDefault="00753324" w:rsidP="00044B9F">
      <w:pPr>
        <w:pStyle w:val="Heading1"/>
      </w:pPr>
      <w:bookmarkStart w:id="13" w:name="_Toc45622607"/>
      <w:r>
        <w:t>A</w:t>
      </w:r>
      <w:r w:rsidR="00ED0FA9">
        <w:t>3</w:t>
      </w:r>
      <w:r>
        <w:t>.</w:t>
      </w:r>
      <w:r>
        <w:tab/>
      </w:r>
      <w:r w:rsidR="00C82817">
        <w:t>Portfolio application (AASB 15.4)</w:t>
      </w:r>
      <w:bookmarkEnd w:id="13"/>
    </w:p>
    <w:p w14:paraId="60726487" w14:textId="77777777" w:rsidR="00C82817" w:rsidRPr="00E55F32" w:rsidRDefault="00C82817" w:rsidP="00C82817">
      <w:pPr>
        <w:pBdr>
          <w:top w:val="single" w:sz="4" w:space="1" w:color="auto"/>
          <w:left w:val="single" w:sz="4" w:space="4" w:color="auto"/>
          <w:bottom w:val="single" w:sz="4" w:space="1" w:color="auto"/>
          <w:right w:val="single" w:sz="4" w:space="4" w:color="auto"/>
        </w:pBdr>
        <w:rPr>
          <w:szCs w:val="24"/>
        </w:rPr>
      </w:pPr>
      <w:r w:rsidRPr="00E55F32">
        <w:rPr>
          <w:rFonts w:cs="Calibri"/>
          <w:szCs w:val="24"/>
          <w:lang w:val="en-US"/>
        </w:rPr>
        <w:t xml:space="preserve">ACT Government agencies shall apply </w:t>
      </w:r>
      <w:r>
        <w:rPr>
          <w:rFonts w:cs="Calibri"/>
          <w:szCs w:val="24"/>
          <w:lang w:val="en-US"/>
        </w:rPr>
        <w:t>AASB 15</w:t>
      </w:r>
      <w:r w:rsidRPr="00E55F32">
        <w:rPr>
          <w:rFonts w:cs="Calibri"/>
          <w:szCs w:val="24"/>
          <w:lang w:val="en-US"/>
        </w:rPr>
        <w:t xml:space="preserve"> to a portfolio of contracts </w:t>
      </w:r>
      <w:r w:rsidRPr="00E55F32">
        <w:rPr>
          <w:szCs w:val="24"/>
        </w:rPr>
        <w:t xml:space="preserve">with similar characteristics if they reasonably expect that the effects on the financial statements would not differ materially from applying </w:t>
      </w:r>
      <w:r>
        <w:rPr>
          <w:szCs w:val="24"/>
        </w:rPr>
        <w:t>AASB 15</w:t>
      </w:r>
      <w:r w:rsidRPr="00E55F32">
        <w:rPr>
          <w:szCs w:val="24"/>
        </w:rPr>
        <w:t xml:space="preserve"> to the individual contracts within that portfolio</w:t>
      </w:r>
      <w:r>
        <w:rPr>
          <w:szCs w:val="24"/>
        </w:rPr>
        <w:t>.</w:t>
      </w:r>
      <w:r w:rsidRPr="00E55F32">
        <w:rPr>
          <w:rFonts w:cs="Calibri"/>
          <w:szCs w:val="24"/>
          <w:lang w:val="en-US"/>
        </w:rPr>
        <w:t xml:space="preserve"> </w:t>
      </w:r>
    </w:p>
    <w:p w14:paraId="1F877732" w14:textId="7477CD05" w:rsidR="00C82817" w:rsidRPr="00E55F32" w:rsidRDefault="00C82817" w:rsidP="00A61C69"/>
    <w:p w14:paraId="2AF47F13" w14:textId="77777777" w:rsidR="00C82817" w:rsidRPr="00E55F32" w:rsidRDefault="00C82817" w:rsidP="00C82817">
      <w:pPr>
        <w:rPr>
          <w:rFonts w:cs="Frutiger Next Pro Light"/>
          <w:szCs w:val="24"/>
        </w:rPr>
      </w:pPr>
      <w:r w:rsidRPr="00E55F32">
        <w:rPr>
          <w:rFonts w:cs="Frutiger Next Pro Light"/>
          <w:szCs w:val="24"/>
        </w:rPr>
        <w:t>Some entities may offer a range of goods and services and options within that range.  Such entities need to exercise judgement in determining that the contracts segregated into portfolios have similar characteristics</w:t>
      </w:r>
      <w:r>
        <w:rPr>
          <w:rFonts w:cs="Frutiger Next Pro Light"/>
          <w:szCs w:val="24"/>
        </w:rPr>
        <w:t xml:space="preserve">, if the impact of </w:t>
      </w:r>
      <w:r w:rsidRPr="00E55F32">
        <w:rPr>
          <w:rFonts w:cs="Frutiger Next Pro Light"/>
          <w:szCs w:val="24"/>
        </w:rPr>
        <w:t xml:space="preserve">applying </w:t>
      </w:r>
      <w:r>
        <w:rPr>
          <w:rFonts w:cs="Frutiger Next Pro Light"/>
          <w:szCs w:val="24"/>
        </w:rPr>
        <w:t>AASB 15</w:t>
      </w:r>
      <w:r w:rsidRPr="00E55F32">
        <w:rPr>
          <w:rFonts w:cs="Frutiger Next Pro Light"/>
          <w:szCs w:val="24"/>
        </w:rPr>
        <w:t xml:space="preserve"> to the portfolio would not </w:t>
      </w:r>
      <w:r>
        <w:rPr>
          <w:rFonts w:cs="Frutiger Next Pro Light"/>
          <w:szCs w:val="24"/>
        </w:rPr>
        <w:t xml:space="preserve">be </w:t>
      </w:r>
      <w:r w:rsidRPr="00E55F32">
        <w:rPr>
          <w:rFonts w:cs="Frutiger Next Pro Light"/>
          <w:szCs w:val="24"/>
        </w:rPr>
        <w:t xml:space="preserve">materially </w:t>
      </w:r>
      <w:r>
        <w:rPr>
          <w:rFonts w:cs="Frutiger Next Pro Light"/>
          <w:szCs w:val="24"/>
        </w:rPr>
        <w:t>different to a</w:t>
      </w:r>
      <w:r w:rsidRPr="00E55F32">
        <w:rPr>
          <w:rFonts w:cs="Frutiger Next Pro Light"/>
          <w:szCs w:val="24"/>
        </w:rPr>
        <w:t xml:space="preserve">pplying </w:t>
      </w:r>
      <w:r>
        <w:rPr>
          <w:rFonts w:cs="Frutiger Next Pro Light"/>
          <w:szCs w:val="24"/>
        </w:rPr>
        <w:t>AASB 15</w:t>
      </w:r>
      <w:r w:rsidRPr="00E55F32">
        <w:rPr>
          <w:rFonts w:cs="Frutiger Next Pro Light"/>
          <w:szCs w:val="24"/>
        </w:rPr>
        <w:t xml:space="preserve"> to the individual contracts.  </w:t>
      </w:r>
    </w:p>
    <w:p w14:paraId="00BBC171" w14:textId="77777777" w:rsidR="00C82817" w:rsidRPr="005D391F" w:rsidRDefault="00C82817" w:rsidP="00C82817">
      <w:pPr>
        <w:rPr>
          <w:rFonts w:cs="Frutiger Next Pro Light"/>
          <w:szCs w:val="24"/>
        </w:rPr>
      </w:pPr>
    </w:p>
    <w:p w14:paraId="3DF8AEBE" w14:textId="727948D0" w:rsidR="00C82817" w:rsidRPr="00306DEE" w:rsidRDefault="00753324" w:rsidP="00044B9F">
      <w:pPr>
        <w:pStyle w:val="Heading1"/>
      </w:pPr>
      <w:bookmarkStart w:id="14" w:name="_Toc45622608"/>
      <w:r>
        <w:t>A</w:t>
      </w:r>
      <w:r w:rsidR="00ED0FA9">
        <w:t>4</w:t>
      </w:r>
      <w:r>
        <w:t>.</w:t>
      </w:r>
      <w:r>
        <w:tab/>
      </w:r>
      <w:r w:rsidR="00C82817">
        <w:t>Five Step revenue recognition model</w:t>
      </w:r>
      <w:bookmarkEnd w:id="14"/>
      <w:r w:rsidR="00C82817">
        <w:t xml:space="preserve"> </w:t>
      </w:r>
    </w:p>
    <w:p w14:paraId="08548CB0" w14:textId="5130D03C" w:rsidR="00C82817" w:rsidRDefault="00C82817" w:rsidP="00C82817">
      <w:pPr>
        <w:rPr>
          <w:rFonts w:cs="Frutiger Next Pro Light"/>
          <w:szCs w:val="24"/>
        </w:rPr>
      </w:pPr>
      <w:r w:rsidRPr="00DA4C13">
        <w:rPr>
          <w:rFonts w:cs="Frutiger Next Pro Light"/>
          <w:szCs w:val="24"/>
        </w:rPr>
        <w:t xml:space="preserve">A five-step model is applied to determine </w:t>
      </w:r>
      <w:r>
        <w:rPr>
          <w:rFonts w:cs="Frutiger Next Pro Light"/>
          <w:szCs w:val="24"/>
        </w:rPr>
        <w:t>the timing and quantum of revenue to be recognised:</w:t>
      </w:r>
    </w:p>
    <w:p w14:paraId="70717AB9" w14:textId="3678947A" w:rsidR="00912D7A" w:rsidRDefault="00912D7A" w:rsidP="00C82817">
      <w:pPr>
        <w:rPr>
          <w:rFonts w:cs="Frutiger Next Pro Light"/>
          <w:szCs w:val="24"/>
        </w:rPr>
      </w:pPr>
      <w:r>
        <w:rPr>
          <w:rFonts w:cs="Frutiger Next Pro Light"/>
          <w:szCs w:val="24"/>
        </w:rPr>
        <w:t xml:space="preserve">Step 1: </w:t>
      </w:r>
      <w:r w:rsidRPr="00912D7A">
        <w:rPr>
          <w:rFonts w:cs="Frutiger Next Pro Light"/>
          <w:szCs w:val="24"/>
        </w:rPr>
        <w:t>Identifying the contract with a customer</w:t>
      </w:r>
      <w:r>
        <w:rPr>
          <w:rFonts w:cs="Frutiger Next Pro Light"/>
          <w:szCs w:val="24"/>
        </w:rPr>
        <w:t xml:space="preserve"> </w:t>
      </w:r>
      <w:r w:rsidRPr="00912D7A">
        <w:rPr>
          <w:rFonts w:cs="Frutiger Next Pro Light"/>
          <w:szCs w:val="24"/>
        </w:rPr>
        <w:t>(AASB 15.9-15.21 &amp; 15.F5-F19)</w:t>
      </w:r>
    </w:p>
    <w:p w14:paraId="21487283" w14:textId="4B24DBA4" w:rsidR="00912D7A" w:rsidRDefault="00912D7A" w:rsidP="00912D7A">
      <w:pPr>
        <w:rPr>
          <w:rFonts w:cs="Frutiger Next Pro Light"/>
          <w:szCs w:val="24"/>
        </w:rPr>
      </w:pPr>
      <w:r>
        <w:rPr>
          <w:rFonts w:cs="Frutiger Next Pro Light"/>
          <w:szCs w:val="24"/>
        </w:rPr>
        <w:t>Step 2:</w:t>
      </w:r>
      <w:r w:rsidRPr="00912D7A">
        <w:t xml:space="preserve"> </w:t>
      </w:r>
      <w:r w:rsidRPr="00912D7A">
        <w:rPr>
          <w:rFonts w:cs="Frutiger Next Pro Light"/>
          <w:szCs w:val="24"/>
        </w:rPr>
        <w:t>Identify performance obligations in the contract (AASB 15.22-15.45 &amp; 15.F20-F27)</w:t>
      </w:r>
    </w:p>
    <w:p w14:paraId="600B1285" w14:textId="7D4ED918" w:rsidR="00912D7A" w:rsidRDefault="00912D7A" w:rsidP="00912D7A">
      <w:pPr>
        <w:rPr>
          <w:rFonts w:eastAsia="Times New Roman" w:cs="Helvetica"/>
          <w:szCs w:val="24"/>
          <w:lang w:val="en-US" w:eastAsia="en-AU"/>
        </w:rPr>
      </w:pPr>
      <w:r w:rsidRPr="00912D7A">
        <w:rPr>
          <w:rFonts w:eastAsia="Times New Roman" w:cs="Helvetica"/>
          <w:szCs w:val="24"/>
          <w:lang w:val="en-US" w:eastAsia="en-AU"/>
        </w:rPr>
        <w:t>Step 3: Determine the transaction price (AASB 15.46-15.72 &amp; 15.F28-F32)</w:t>
      </w:r>
    </w:p>
    <w:p w14:paraId="54EB7B68" w14:textId="17F8FD86" w:rsidR="00912D7A" w:rsidRDefault="00912D7A" w:rsidP="00912D7A">
      <w:pPr>
        <w:rPr>
          <w:rFonts w:eastAsia="Times New Roman" w:cs="Helvetica"/>
          <w:szCs w:val="24"/>
          <w:lang w:val="en-US" w:eastAsia="en-AU"/>
        </w:rPr>
      </w:pPr>
      <w:r w:rsidRPr="00912D7A">
        <w:rPr>
          <w:rFonts w:eastAsia="Times New Roman" w:cs="Helvetica"/>
          <w:szCs w:val="24"/>
          <w:lang w:val="en-US" w:eastAsia="en-AU"/>
        </w:rPr>
        <w:t>Step 4: Allocate the transaction price to the performance obligations (AASB 15.73-15.94)</w:t>
      </w:r>
    </w:p>
    <w:p w14:paraId="4622B354" w14:textId="49C82246" w:rsidR="00912D7A" w:rsidRDefault="00912D7A" w:rsidP="00912D7A">
      <w:pPr>
        <w:rPr>
          <w:rFonts w:eastAsia="Times New Roman" w:cs="Helvetica"/>
          <w:szCs w:val="24"/>
          <w:lang w:val="en-US" w:eastAsia="en-AU"/>
        </w:rPr>
      </w:pPr>
      <w:r w:rsidRPr="00912D7A">
        <w:rPr>
          <w:rFonts w:eastAsia="Times New Roman" w:cs="Helvetica"/>
          <w:szCs w:val="24"/>
          <w:lang w:val="en-US" w:eastAsia="en-AU"/>
        </w:rPr>
        <w:t>Step 5: Recognise revenue as the performance obligations are satisfied</w:t>
      </w:r>
      <w:r>
        <w:rPr>
          <w:rFonts w:eastAsia="Times New Roman" w:cs="Helvetica"/>
          <w:szCs w:val="24"/>
          <w:lang w:val="en-US" w:eastAsia="en-AU"/>
        </w:rPr>
        <w:t xml:space="preserve"> </w:t>
      </w:r>
      <w:r>
        <w:rPr>
          <w:rFonts w:ascii="Calibri" w:hAnsi="Calibri" w:cs="Arial"/>
          <w:color w:val="101010"/>
          <w:lang w:val="en"/>
        </w:rPr>
        <w:t>(</w:t>
      </w:r>
      <w:r w:rsidRPr="00912D7A">
        <w:rPr>
          <w:rFonts w:eastAsia="Times New Roman" w:cs="Helvetica"/>
          <w:szCs w:val="24"/>
          <w:lang w:val="en-US" w:eastAsia="en-AU"/>
        </w:rPr>
        <w:t>AASB 15. B15</w:t>
      </w:r>
      <w:r w:rsidR="00940849">
        <w:rPr>
          <w:rFonts w:eastAsia="Times New Roman" w:cs="Helvetica"/>
          <w:szCs w:val="24"/>
          <w:lang w:val="en-US" w:eastAsia="en-AU"/>
        </w:rPr>
        <w:t>-B19)</w:t>
      </w:r>
    </w:p>
    <w:p w14:paraId="2EA5FCD4" w14:textId="77777777" w:rsidR="00C82817" w:rsidRDefault="00C82817" w:rsidP="00C82817">
      <w:pPr>
        <w:rPr>
          <w:rFonts w:eastAsia="Times New Roman" w:cs="Arial"/>
          <w:b/>
          <w:szCs w:val="24"/>
          <w:lang w:val="en-US" w:eastAsia="en-AU"/>
        </w:rPr>
      </w:pPr>
    </w:p>
    <w:p w14:paraId="30E11008" w14:textId="29CBB10A" w:rsidR="00C82817" w:rsidRPr="000E57E8" w:rsidRDefault="00753324" w:rsidP="00753324">
      <w:pPr>
        <w:pStyle w:val="Heading2"/>
        <w:tabs>
          <w:tab w:val="left" w:pos="709"/>
        </w:tabs>
        <w:ind w:left="1560" w:hanging="1560"/>
      </w:pPr>
      <w:bookmarkStart w:id="15" w:name="_Toc45622609"/>
      <w:r>
        <w:t>A</w:t>
      </w:r>
      <w:r w:rsidR="00ED0FA9">
        <w:t>4</w:t>
      </w:r>
      <w:r>
        <w:t>.1</w:t>
      </w:r>
      <w:r w:rsidR="00337D89">
        <w:tab/>
      </w:r>
      <w:r w:rsidR="00C82817" w:rsidRPr="000E57E8">
        <w:t xml:space="preserve">Step1: </w:t>
      </w:r>
      <w:bookmarkStart w:id="16" w:name="_Hlk45385487"/>
      <w:r w:rsidR="00C82817" w:rsidRPr="000E57E8">
        <w:t>Identifying the contract with a customer</w:t>
      </w:r>
      <w:bookmarkEnd w:id="16"/>
      <w:r w:rsidR="00C82817" w:rsidRPr="000E57E8">
        <w:t xml:space="preserve"> (AASB 15.9-15.21 &amp; 15.F5-F19))</w:t>
      </w:r>
      <w:bookmarkEnd w:id="15"/>
    </w:p>
    <w:p w14:paraId="7D2FCCF6" w14:textId="77777777" w:rsidR="00C82817" w:rsidRDefault="00C82817" w:rsidP="00C82817">
      <w:pPr>
        <w:autoSpaceDE w:val="0"/>
        <w:autoSpaceDN w:val="0"/>
        <w:adjustRightInd w:val="0"/>
        <w:rPr>
          <w:rFonts w:cs="EYInterstate"/>
          <w:szCs w:val="24"/>
          <w:lang w:eastAsia="en-AU"/>
        </w:rPr>
      </w:pPr>
      <w:r w:rsidRPr="00FB7A6A">
        <w:rPr>
          <w:rFonts w:cs="EYInterstate"/>
          <w:szCs w:val="24"/>
          <w:lang w:eastAsia="en-AU"/>
        </w:rPr>
        <w:t xml:space="preserve">The first step is to identify whether there is a contract </w:t>
      </w:r>
      <w:r>
        <w:rPr>
          <w:rFonts w:cs="EYInterstate"/>
          <w:szCs w:val="24"/>
          <w:lang w:eastAsia="en-AU"/>
        </w:rPr>
        <w:t xml:space="preserve">which </w:t>
      </w:r>
      <w:r w:rsidRPr="00FB7A6A">
        <w:rPr>
          <w:rFonts w:cs="EYInterstate"/>
          <w:szCs w:val="24"/>
          <w:lang w:eastAsia="en-AU"/>
        </w:rPr>
        <w:t xml:space="preserve">meets </w:t>
      </w:r>
      <w:r>
        <w:rPr>
          <w:rFonts w:cs="EYInterstate"/>
          <w:szCs w:val="24"/>
          <w:lang w:eastAsia="en-AU"/>
        </w:rPr>
        <w:t xml:space="preserve">all of the following </w:t>
      </w:r>
      <w:r w:rsidRPr="00FB7A6A">
        <w:rPr>
          <w:rFonts w:cs="EYInterstate"/>
          <w:szCs w:val="24"/>
          <w:lang w:eastAsia="en-AU"/>
        </w:rPr>
        <w:t>crit</w:t>
      </w:r>
      <w:r>
        <w:rPr>
          <w:rFonts w:cs="EYInterstate"/>
          <w:szCs w:val="24"/>
          <w:lang w:eastAsia="en-AU"/>
        </w:rPr>
        <w:t xml:space="preserve">eria (AASB15.9): </w:t>
      </w:r>
    </w:p>
    <w:p w14:paraId="2DD7014A" w14:textId="77777777" w:rsidR="00C82817" w:rsidRPr="00FB7A6A" w:rsidRDefault="00C82817" w:rsidP="00C82817">
      <w:pPr>
        <w:numPr>
          <w:ilvl w:val="0"/>
          <w:numId w:val="20"/>
        </w:numPr>
        <w:autoSpaceDE w:val="0"/>
        <w:autoSpaceDN w:val="0"/>
        <w:adjustRightInd w:val="0"/>
        <w:ind w:left="709" w:hanging="567"/>
        <w:rPr>
          <w:rFonts w:cs="EYInterstate"/>
          <w:szCs w:val="24"/>
          <w:lang w:eastAsia="en-AU"/>
        </w:rPr>
      </w:pPr>
      <w:r w:rsidRPr="00FB7A6A">
        <w:rPr>
          <w:rFonts w:cs="EYInterstate"/>
          <w:szCs w:val="24"/>
          <w:lang w:eastAsia="en-AU"/>
        </w:rPr>
        <w:t xml:space="preserve">parties to the contract have approved the contract and are committed to perform their respective obligations </w:t>
      </w:r>
    </w:p>
    <w:p w14:paraId="2C593A8B" w14:textId="77777777" w:rsidR="00C82817" w:rsidRPr="00FB7A6A" w:rsidRDefault="00C82817" w:rsidP="00C82817">
      <w:pPr>
        <w:numPr>
          <w:ilvl w:val="0"/>
          <w:numId w:val="20"/>
        </w:numPr>
        <w:autoSpaceDE w:val="0"/>
        <w:autoSpaceDN w:val="0"/>
        <w:adjustRightInd w:val="0"/>
        <w:ind w:left="709" w:hanging="567"/>
        <w:rPr>
          <w:rFonts w:cs="EYInterstate"/>
          <w:szCs w:val="24"/>
          <w:lang w:eastAsia="en-AU"/>
        </w:rPr>
      </w:pPr>
      <w:r w:rsidRPr="00FB7A6A">
        <w:rPr>
          <w:rFonts w:cs="EYInterstate"/>
          <w:szCs w:val="24"/>
          <w:lang w:eastAsia="en-AU"/>
        </w:rPr>
        <w:t xml:space="preserve">entity can identify each party’s rights </w:t>
      </w:r>
      <w:r>
        <w:rPr>
          <w:rFonts w:cs="EYInterstate"/>
          <w:szCs w:val="24"/>
          <w:lang w:eastAsia="en-AU"/>
        </w:rPr>
        <w:t xml:space="preserve">relating to the </w:t>
      </w:r>
      <w:r w:rsidRPr="00FB7A6A">
        <w:rPr>
          <w:rFonts w:cs="EYInterstate"/>
          <w:szCs w:val="24"/>
          <w:lang w:eastAsia="en-AU"/>
        </w:rPr>
        <w:t xml:space="preserve">goods or services to be transferred </w:t>
      </w:r>
    </w:p>
    <w:p w14:paraId="7627A4FC" w14:textId="77777777" w:rsidR="00C82817" w:rsidRPr="00FB7A6A" w:rsidRDefault="00C82817" w:rsidP="00C82817">
      <w:pPr>
        <w:numPr>
          <w:ilvl w:val="0"/>
          <w:numId w:val="20"/>
        </w:numPr>
        <w:autoSpaceDE w:val="0"/>
        <w:autoSpaceDN w:val="0"/>
        <w:adjustRightInd w:val="0"/>
        <w:ind w:left="709" w:hanging="567"/>
        <w:rPr>
          <w:rFonts w:cs="EYInterstate"/>
          <w:szCs w:val="24"/>
          <w:lang w:eastAsia="en-AU"/>
        </w:rPr>
      </w:pPr>
      <w:r w:rsidRPr="00FB7A6A">
        <w:rPr>
          <w:rFonts w:cs="EYInterstate"/>
          <w:szCs w:val="24"/>
          <w:lang w:eastAsia="en-AU"/>
        </w:rPr>
        <w:t xml:space="preserve">entity can identify the payment terms for the goods or services to be transferred </w:t>
      </w:r>
    </w:p>
    <w:p w14:paraId="69F1441E" w14:textId="77777777" w:rsidR="00C82817" w:rsidRDefault="00C82817" w:rsidP="00C82817">
      <w:pPr>
        <w:numPr>
          <w:ilvl w:val="0"/>
          <w:numId w:val="20"/>
        </w:numPr>
        <w:autoSpaceDE w:val="0"/>
        <w:autoSpaceDN w:val="0"/>
        <w:adjustRightInd w:val="0"/>
        <w:ind w:left="709" w:hanging="567"/>
        <w:rPr>
          <w:rFonts w:cs="EYInterstate"/>
          <w:szCs w:val="24"/>
          <w:lang w:eastAsia="en-AU"/>
        </w:rPr>
      </w:pPr>
      <w:r w:rsidRPr="00FB7A6A">
        <w:rPr>
          <w:rFonts w:cs="EYInterstate"/>
          <w:szCs w:val="24"/>
          <w:lang w:eastAsia="en-AU"/>
        </w:rPr>
        <w:t xml:space="preserve">the contract has commercial substance </w:t>
      </w:r>
    </w:p>
    <w:p w14:paraId="67CF1461" w14:textId="77777777" w:rsidR="00C82817" w:rsidRPr="00FB7A6A" w:rsidRDefault="00C82817" w:rsidP="00C82817">
      <w:pPr>
        <w:numPr>
          <w:ilvl w:val="0"/>
          <w:numId w:val="20"/>
        </w:numPr>
        <w:autoSpaceDE w:val="0"/>
        <w:autoSpaceDN w:val="0"/>
        <w:adjustRightInd w:val="0"/>
        <w:ind w:left="709" w:hanging="567"/>
        <w:rPr>
          <w:rFonts w:cs="EYInterstate"/>
          <w:szCs w:val="24"/>
          <w:lang w:eastAsia="en-AU"/>
        </w:rPr>
      </w:pPr>
      <w:r w:rsidRPr="00FB7A6A">
        <w:rPr>
          <w:rFonts w:cs="EYInterstate"/>
          <w:szCs w:val="24"/>
          <w:lang w:eastAsia="en-AU"/>
        </w:rPr>
        <w:t xml:space="preserve">it is probable that the entity will collect the consideration </w:t>
      </w:r>
      <w:r>
        <w:rPr>
          <w:rFonts w:cs="EYInterstate"/>
          <w:szCs w:val="24"/>
          <w:lang w:eastAsia="en-AU"/>
        </w:rPr>
        <w:t xml:space="preserve">to which it is </w:t>
      </w:r>
      <w:r w:rsidRPr="00FB7A6A">
        <w:rPr>
          <w:rFonts w:cs="EYInterstate"/>
          <w:szCs w:val="24"/>
          <w:lang w:eastAsia="en-AU"/>
        </w:rPr>
        <w:t xml:space="preserve">entitled in exchange for the underlying goods or services. </w:t>
      </w:r>
    </w:p>
    <w:p w14:paraId="0E4DB325" w14:textId="77777777" w:rsidR="00C82817" w:rsidRDefault="00C82817" w:rsidP="00A61C69">
      <w:pPr>
        <w:rPr>
          <w:lang w:eastAsia="en-AU"/>
        </w:rPr>
      </w:pPr>
    </w:p>
    <w:p w14:paraId="55DE471D" w14:textId="77777777" w:rsidR="00C82817" w:rsidRDefault="00C82817" w:rsidP="00C82817">
      <w:pPr>
        <w:autoSpaceDE w:val="0"/>
        <w:autoSpaceDN w:val="0"/>
        <w:adjustRightInd w:val="0"/>
        <w:rPr>
          <w:rFonts w:cs="EYInterstate"/>
          <w:iCs/>
          <w:szCs w:val="24"/>
          <w:lang w:eastAsia="en-AU"/>
        </w:rPr>
      </w:pPr>
      <w:r>
        <w:rPr>
          <w:rFonts w:cs="EYInterstate"/>
          <w:iCs/>
          <w:szCs w:val="24"/>
          <w:lang w:eastAsia="en-AU"/>
        </w:rPr>
        <w:t>These criteria need to be reassessed whether there is a change in facts and circumstances.</w:t>
      </w:r>
    </w:p>
    <w:p w14:paraId="4B5B17F9" w14:textId="77777777" w:rsidR="00C82817" w:rsidRPr="00D032A9" w:rsidRDefault="00C82817" w:rsidP="00A61C69">
      <w:pPr>
        <w:rPr>
          <w:lang w:eastAsia="en-AU"/>
        </w:rPr>
      </w:pPr>
    </w:p>
    <w:p w14:paraId="00B38FA4" w14:textId="2CF47A2A" w:rsidR="00C82817" w:rsidRDefault="00A61C69" w:rsidP="00C82817">
      <w:pPr>
        <w:autoSpaceDE w:val="0"/>
        <w:autoSpaceDN w:val="0"/>
        <w:adjustRightInd w:val="0"/>
        <w:rPr>
          <w:rFonts w:cs="EYInterstate"/>
          <w:szCs w:val="24"/>
          <w:lang w:eastAsia="en-AU"/>
        </w:rPr>
      </w:pPr>
      <w:r w:rsidRPr="00A61C69">
        <w:rPr>
          <w:rFonts w:cs="EYInterstate"/>
          <w:iCs/>
          <w:szCs w:val="24"/>
          <w:lang w:eastAsia="en-AU"/>
        </w:rPr>
        <w:t>“</w:t>
      </w:r>
      <w:r w:rsidR="00C82817" w:rsidRPr="00A61C69">
        <w:rPr>
          <w:rFonts w:cs="EYInterstate"/>
          <w:iCs/>
          <w:szCs w:val="24"/>
          <w:lang w:eastAsia="en-AU"/>
        </w:rPr>
        <w:t>A contract is an agreement between two or more parties that creates enforceable rights and obligations</w:t>
      </w:r>
      <w:r>
        <w:rPr>
          <w:rFonts w:cs="EYInterstate"/>
          <w:i/>
          <w:szCs w:val="24"/>
          <w:lang w:eastAsia="en-AU"/>
        </w:rPr>
        <w:t>”</w:t>
      </w:r>
      <w:r w:rsidR="00C82817" w:rsidRPr="00FB7A6A">
        <w:rPr>
          <w:rFonts w:cs="EYInterstate"/>
          <w:szCs w:val="24"/>
          <w:lang w:eastAsia="en-AU"/>
        </w:rPr>
        <w:t xml:space="preserve"> (AASB 15 Defined Terms)</w:t>
      </w:r>
      <w:r w:rsidR="00C82817">
        <w:rPr>
          <w:rFonts w:cs="EYInterstate"/>
          <w:szCs w:val="24"/>
          <w:lang w:eastAsia="en-AU"/>
        </w:rPr>
        <w:t>.</w:t>
      </w:r>
      <w:r w:rsidR="00C82817" w:rsidRPr="00FB7A6A">
        <w:rPr>
          <w:rFonts w:cs="EYInterstate"/>
          <w:szCs w:val="24"/>
          <w:lang w:eastAsia="en-AU"/>
        </w:rPr>
        <w:t xml:space="preserve"> </w:t>
      </w:r>
    </w:p>
    <w:p w14:paraId="39FF5F32" w14:textId="14F3D503" w:rsidR="00EE5437" w:rsidRDefault="00EE5437" w:rsidP="00C82817">
      <w:pPr>
        <w:autoSpaceDE w:val="0"/>
        <w:autoSpaceDN w:val="0"/>
        <w:adjustRightInd w:val="0"/>
        <w:rPr>
          <w:rFonts w:cs="EYInterstate"/>
          <w:szCs w:val="24"/>
          <w:lang w:eastAsia="en-AU"/>
        </w:rPr>
      </w:pPr>
    </w:p>
    <w:p w14:paraId="46B92668" w14:textId="77777777" w:rsidR="00EE5437" w:rsidRPr="00DA4C13" w:rsidRDefault="00EE5437" w:rsidP="00EE5437">
      <w:pPr>
        <w:pStyle w:val="Default"/>
        <w:rPr>
          <w:rFonts w:ascii="Calibri" w:hAnsi="Calibri"/>
          <w:color w:val="auto"/>
        </w:rPr>
      </w:pPr>
      <w:r w:rsidRPr="00DA4C13">
        <w:rPr>
          <w:rFonts w:ascii="Calibri" w:hAnsi="Calibri"/>
          <w:color w:val="auto"/>
        </w:rPr>
        <w:lastRenderedPageBreak/>
        <w:t xml:space="preserve">For a performance obligation to exist, the promise to transfer a good or service must be sufficiently specific to be able to determine when the obligation is satisfied.  In determining whether the promise is sufficiently specific, judgment </w:t>
      </w:r>
      <w:r>
        <w:rPr>
          <w:rFonts w:ascii="Calibri" w:hAnsi="Calibri"/>
          <w:color w:val="auto"/>
        </w:rPr>
        <w:t>will</w:t>
      </w:r>
      <w:r w:rsidRPr="00DA4C13">
        <w:rPr>
          <w:rFonts w:ascii="Calibri" w:hAnsi="Calibri"/>
          <w:color w:val="auto"/>
        </w:rPr>
        <w:t xml:space="preserve"> be required taking into consideration the following conditions</w:t>
      </w:r>
      <w:r>
        <w:rPr>
          <w:rFonts w:ascii="Calibri" w:hAnsi="Calibri"/>
          <w:color w:val="auto"/>
        </w:rPr>
        <w:t xml:space="preserve"> (AASB 15.F20)</w:t>
      </w:r>
      <w:r w:rsidRPr="00DA4C13">
        <w:rPr>
          <w:rFonts w:ascii="Calibri" w:hAnsi="Calibri"/>
          <w:color w:val="auto"/>
        </w:rPr>
        <w:t xml:space="preserve">: </w:t>
      </w:r>
    </w:p>
    <w:p w14:paraId="48033A66" w14:textId="77777777" w:rsidR="00EE5437" w:rsidRPr="0012560C" w:rsidRDefault="00EE5437" w:rsidP="00EE5437">
      <w:pPr>
        <w:pStyle w:val="ListParagraph"/>
        <w:numPr>
          <w:ilvl w:val="0"/>
          <w:numId w:val="21"/>
        </w:numPr>
        <w:ind w:left="851" w:hanging="567"/>
        <w:rPr>
          <w:rFonts w:eastAsia="Times" w:cs="Calibri"/>
          <w:szCs w:val="24"/>
          <w:lang w:val="en-US"/>
        </w:rPr>
      </w:pPr>
      <w:r>
        <w:rPr>
          <w:rFonts w:eastAsia="Times" w:cs="Calibri"/>
          <w:szCs w:val="24"/>
          <w:lang w:val="en-US"/>
        </w:rPr>
        <w:t>t</w:t>
      </w:r>
      <w:r w:rsidRPr="0012560C">
        <w:rPr>
          <w:rFonts w:eastAsia="Times" w:cs="Calibri"/>
          <w:szCs w:val="24"/>
          <w:lang w:val="en-US"/>
        </w:rPr>
        <w:t xml:space="preserve">he nature or type of goods or services; </w:t>
      </w:r>
    </w:p>
    <w:p w14:paraId="3EE433FF" w14:textId="77777777" w:rsidR="00EE5437" w:rsidRPr="0012560C" w:rsidRDefault="00EE5437" w:rsidP="00EE5437">
      <w:pPr>
        <w:pStyle w:val="ListParagraph"/>
        <w:numPr>
          <w:ilvl w:val="0"/>
          <w:numId w:val="21"/>
        </w:numPr>
        <w:ind w:left="851" w:hanging="567"/>
        <w:rPr>
          <w:rFonts w:eastAsia="Times" w:cs="Calibri"/>
          <w:szCs w:val="24"/>
          <w:lang w:val="en-US"/>
        </w:rPr>
      </w:pPr>
      <w:r>
        <w:rPr>
          <w:rFonts w:eastAsia="Times" w:cs="Calibri"/>
          <w:szCs w:val="24"/>
          <w:lang w:val="en-US"/>
        </w:rPr>
        <w:t>t</w:t>
      </w:r>
      <w:r w:rsidRPr="0012560C">
        <w:rPr>
          <w:rFonts w:eastAsia="Times" w:cs="Calibri"/>
          <w:szCs w:val="24"/>
          <w:lang w:val="en-US"/>
        </w:rPr>
        <w:t xml:space="preserve">he cost or value of the goods or services; </w:t>
      </w:r>
    </w:p>
    <w:p w14:paraId="53AB886A" w14:textId="77777777" w:rsidR="00EE5437" w:rsidRPr="0012560C" w:rsidRDefault="00EE5437" w:rsidP="00EE5437">
      <w:pPr>
        <w:pStyle w:val="ListParagraph"/>
        <w:numPr>
          <w:ilvl w:val="0"/>
          <w:numId w:val="21"/>
        </w:numPr>
        <w:ind w:left="851" w:hanging="567"/>
        <w:rPr>
          <w:rFonts w:eastAsia="Times" w:cs="Calibri"/>
          <w:szCs w:val="24"/>
          <w:lang w:val="en-US"/>
        </w:rPr>
      </w:pPr>
      <w:r>
        <w:rPr>
          <w:rFonts w:eastAsia="Times" w:cs="Calibri"/>
          <w:szCs w:val="24"/>
          <w:lang w:val="en-US"/>
        </w:rPr>
        <w:t>t</w:t>
      </w:r>
      <w:r w:rsidRPr="0012560C">
        <w:rPr>
          <w:rFonts w:eastAsia="Times" w:cs="Calibri"/>
          <w:szCs w:val="24"/>
          <w:lang w:val="en-US"/>
        </w:rPr>
        <w:t xml:space="preserve">he quantity of the goods or services; and </w:t>
      </w:r>
    </w:p>
    <w:p w14:paraId="769D2EFC" w14:textId="77777777" w:rsidR="00EE5437" w:rsidRPr="0012560C" w:rsidRDefault="00EE5437" w:rsidP="00EE5437">
      <w:pPr>
        <w:pStyle w:val="ListParagraph"/>
        <w:numPr>
          <w:ilvl w:val="0"/>
          <w:numId w:val="21"/>
        </w:numPr>
        <w:ind w:left="851" w:hanging="567"/>
        <w:rPr>
          <w:rFonts w:eastAsia="Times" w:cs="Calibri"/>
          <w:szCs w:val="24"/>
          <w:lang w:val="en-US"/>
        </w:rPr>
      </w:pPr>
      <w:r>
        <w:rPr>
          <w:rFonts w:eastAsia="Times" w:cs="Calibri"/>
          <w:szCs w:val="24"/>
          <w:lang w:val="en-US"/>
        </w:rPr>
        <w:t>t</w:t>
      </w:r>
      <w:r w:rsidRPr="0012560C">
        <w:rPr>
          <w:rFonts w:eastAsia="Times" w:cs="Calibri"/>
          <w:szCs w:val="24"/>
          <w:lang w:val="en-US"/>
        </w:rPr>
        <w:t xml:space="preserve">he period over which goods or services must be transferred. </w:t>
      </w:r>
    </w:p>
    <w:p w14:paraId="072069A5" w14:textId="77777777" w:rsidR="00EE5437" w:rsidRPr="00DA4C13" w:rsidRDefault="00EE5437" w:rsidP="00EE5437">
      <w:pPr>
        <w:pStyle w:val="Default"/>
        <w:rPr>
          <w:rFonts w:ascii="Calibri" w:hAnsi="Calibri"/>
          <w:color w:val="auto"/>
        </w:rPr>
      </w:pPr>
    </w:p>
    <w:p w14:paraId="0181883B" w14:textId="77777777" w:rsidR="00EE5437" w:rsidRDefault="00EE5437" w:rsidP="00EE5437">
      <w:pPr>
        <w:pStyle w:val="Default"/>
        <w:rPr>
          <w:rFonts w:ascii="Calibri" w:hAnsi="Calibri"/>
          <w:color w:val="auto"/>
        </w:rPr>
      </w:pPr>
      <w:r>
        <w:rPr>
          <w:rFonts w:ascii="Calibri" w:hAnsi="Calibri"/>
          <w:color w:val="auto"/>
        </w:rPr>
        <w:t xml:space="preserve">The following may not be considered as sufficiently specific ((AASB 15.F24-F27): </w:t>
      </w:r>
    </w:p>
    <w:p w14:paraId="6153F621" w14:textId="77777777" w:rsidR="00EE5437" w:rsidRPr="0012560C" w:rsidRDefault="00EE5437" w:rsidP="00EE5437">
      <w:pPr>
        <w:pStyle w:val="ListParagraph"/>
        <w:numPr>
          <w:ilvl w:val="0"/>
          <w:numId w:val="21"/>
        </w:numPr>
        <w:ind w:left="851" w:hanging="567"/>
        <w:rPr>
          <w:rFonts w:eastAsia="Times" w:cs="Calibri"/>
          <w:szCs w:val="24"/>
          <w:lang w:val="en-US"/>
        </w:rPr>
      </w:pPr>
      <w:r w:rsidRPr="0012560C">
        <w:rPr>
          <w:rFonts w:eastAsia="Times" w:cs="Calibri"/>
          <w:szCs w:val="24"/>
          <w:lang w:val="en-US"/>
        </w:rPr>
        <w:t xml:space="preserve">a promise to transfer unspecified goods or services over a particular time </w:t>
      </w:r>
      <w:proofErr w:type="gramStart"/>
      <w:r w:rsidRPr="0012560C">
        <w:rPr>
          <w:rFonts w:eastAsia="Times" w:cs="Calibri"/>
          <w:szCs w:val="24"/>
          <w:lang w:val="en-US"/>
        </w:rPr>
        <w:t>period;</w:t>
      </w:r>
      <w:proofErr w:type="gramEnd"/>
    </w:p>
    <w:p w14:paraId="6D1640C1" w14:textId="77777777" w:rsidR="00EE5437" w:rsidRPr="0012560C" w:rsidRDefault="00EE5437" w:rsidP="00EE5437">
      <w:pPr>
        <w:pStyle w:val="ListParagraph"/>
        <w:numPr>
          <w:ilvl w:val="0"/>
          <w:numId w:val="21"/>
        </w:numPr>
        <w:ind w:left="851" w:hanging="567"/>
        <w:rPr>
          <w:rFonts w:eastAsia="Times" w:cs="Calibri"/>
          <w:szCs w:val="24"/>
          <w:lang w:val="en-US"/>
        </w:rPr>
      </w:pPr>
      <w:r w:rsidRPr="0012560C">
        <w:rPr>
          <w:rFonts w:eastAsia="Times" w:cs="Calibri"/>
          <w:szCs w:val="24"/>
          <w:lang w:val="en-US"/>
        </w:rPr>
        <w:t>existence of an acquittal process alone; or</w:t>
      </w:r>
    </w:p>
    <w:p w14:paraId="09BF1F95" w14:textId="77777777" w:rsidR="00EE5437" w:rsidRPr="0012560C" w:rsidRDefault="00EE5437" w:rsidP="00EE5437">
      <w:pPr>
        <w:pStyle w:val="ListParagraph"/>
        <w:numPr>
          <w:ilvl w:val="0"/>
          <w:numId w:val="21"/>
        </w:numPr>
        <w:ind w:left="851" w:hanging="567"/>
        <w:rPr>
          <w:rFonts w:eastAsia="Times" w:cs="Calibri"/>
          <w:szCs w:val="24"/>
          <w:lang w:val="en-US"/>
        </w:rPr>
      </w:pPr>
      <w:r w:rsidRPr="0012560C">
        <w:rPr>
          <w:rFonts w:eastAsia="Times" w:cs="Calibri"/>
          <w:szCs w:val="24"/>
          <w:lang w:val="en-US"/>
        </w:rPr>
        <w:t xml:space="preserve">a statement of intent alone. </w:t>
      </w:r>
    </w:p>
    <w:p w14:paraId="693F9161" w14:textId="77777777" w:rsidR="00EE5437" w:rsidRPr="00FB7A6A" w:rsidRDefault="00EE5437" w:rsidP="00C82817">
      <w:pPr>
        <w:autoSpaceDE w:val="0"/>
        <w:autoSpaceDN w:val="0"/>
        <w:adjustRightInd w:val="0"/>
        <w:rPr>
          <w:rFonts w:cs="EYInterstate"/>
          <w:szCs w:val="24"/>
          <w:lang w:eastAsia="en-AU"/>
        </w:rPr>
      </w:pPr>
    </w:p>
    <w:p w14:paraId="20C2BD82" w14:textId="77777777" w:rsidR="00A61C69" w:rsidRPr="00A61C69" w:rsidRDefault="00A61C69" w:rsidP="00A61C69">
      <w:pPr>
        <w:rPr>
          <w:lang w:val="en"/>
        </w:rPr>
      </w:pPr>
    </w:p>
    <w:p w14:paraId="4DDA6675" w14:textId="77777777" w:rsidR="00C82817" w:rsidRPr="00A61C69" w:rsidRDefault="00C82817" w:rsidP="00C82817">
      <w:pPr>
        <w:pStyle w:val="Default"/>
        <w:rPr>
          <w:rFonts w:ascii="Calibri" w:hAnsi="Calibri"/>
          <w:b/>
          <w:bCs/>
          <w:color w:val="auto"/>
        </w:rPr>
      </w:pPr>
      <w:r w:rsidRPr="00A61C69">
        <w:rPr>
          <w:rFonts w:ascii="Calibri" w:hAnsi="Calibri"/>
          <w:b/>
          <w:bCs/>
          <w:color w:val="auto"/>
        </w:rPr>
        <w:t>Customer</w:t>
      </w:r>
    </w:p>
    <w:p w14:paraId="4E997D90" w14:textId="77777777" w:rsidR="00C82817" w:rsidRDefault="00C82817" w:rsidP="00C82817">
      <w:pPr>
        <w:pStyle w:val="Default"/>
        <w:rPr>
          <w:rFonts w:ascii="Calibri" w:hAnsi="Calibri"/>
          <w:color w:val="auto"/>
        </w:rPr>
      </w:pPr>
      <w:r w:rsidRPr="00DA4C13">
        <w:rPr>
          <w:rFonts w:ascii="Calibri" w:hAnsi="Calibri"/>
          <w:color w:val="auto"/>
        </w:rPr>
        <w:t xml:space="preserve">A customer is the party that promises consideration in exchange for goods or services. </w:t>
      </w:r>
      <w:r>
        <w:rPr>
          <w:rFonts w:ascii="Calibri" w:hAnsi="Calibri"/>
          <w:color w:val="auto"/>
        </w:rPr>
        <w:t>F</w:t>
      </w:r>
      <w:r w:rsidRPr="00DA4C13">
        <w:rPr>
          <w:rFonts w:ascii="Calibri" w:hAnsi="Calibri"/>
          <w:color w:val="auto"/>
        </w:rPr>
        <w:t>or some contracts the customer may direct that the goods and services be provided to third party beneficiaries (including individuals or the community at large) on its behalf.</w:t>
      </w:r>
      <w:r>
        <w:rPr>
          <w:rFonts w:ascii="Calibri" w:hAnsi="Calibri"/>
          <w:color w:val="auto"/>
        </w:rPr>
        <w:t xml:space="preserve">  </w:t>
      </w:r>
      <w:r w:rsidRPr="00DA4C13">
        <w:rPr>
          <w:rFonts w:ascii="Calibri" w:hAnsi="Calibri"/>
          <w:color w:val="auto"/>
        </w:rPr>
        <w:t xml:space="preserve">Such arrangements may still </w:t>
      </w:r>
      <w:r>
        <w:rPr>
          <w:rFonts w:ascii="Calibri" w:hAnsi="Calibri"/>
          <w:color w:val="auto"/>
        </w:rPr>
        <w:t>fall</w:t>
      </w:r>
      <w:r w:rsidRPr="00DA4C13">
        <w:rPr>
          <w:rFonts w:ascii="Calibri" w:hAnsi="Calibri"/>
          <w:color w:val="auto"/>
        </w:rPr>
        <w:t xml:space="preserve"> within the scope of AASB 15.  </w:t>
      </w:r>
    </w:p>
    <w:p w14:paraId="7172DCD8" w14:textId="77777777" w:rsidR="00C82817" w:rsidRDefault="00C82817" w:rsidP="00C82817">
      <w:pPr>
        <w:pStyle w:val="Default"/>
        <w:rPr>
          <w:rFonts w:ascii="Calibri" w:hAnsi="Calibri"/>
          <w:color w:val="auto"/>
        </w:rPr>
      </w:pPr>
    </w:p>
    <w:p w14:paraId="5E8F3B02" w14:textId="77777777" w:rsidR="00C82817" w:rsidRPr="00DA4C13" w:rsidRDefault="00C82817" w:rsidP="00C82817">
      <w:pPr>
        <w:pStyle w:val="Default"/>
        <w:rPr>
          <w:rFonts w:ascii="Calibri" w:hAnsi="Calibri"/>
          <w:color w:val="auto"/>
        </w:rPr>
      </w:pPr>
      <w:r>
        <w:rPr>
          <w:rFonts w:ascii="Calibri" w:hAnsi="Calibri"/>
          <w:color w:val="auto"/>
        </w:rPr>
        <w:t>For AASB 15 to apply it is important that the goods and services are transferred to a customer or third parties on behalf of the customer i.e. not retained by the entity for its own use.  If the goods or services are retained by the entity, AASB 1058 may apply.</w:t>
      </w:r>
    </w:p>
    <w:p w14:paraId="37D7B556" w14:textId="77777777" w:rsidR="00C82817" w:rsidRDefault="00C82817" w:rsidP="00C82817">
      <w:pPr>
        <w:pStyle w:val="Default"/>
        <w:rPr>
          <w:rFonts w:ascii="Calibri" w:hAnsi="Calibri" w:cs="Arial"/>
          <w:color w:val="101010"/>
          <w:u w:val="single"/>
          <w:lang w:val="en"/>
        </w:rPr>
      </w:pPr>
    </w:p>
    <w:p w14:paraId="69547683" w14:textId="77777777" w:rsidR="00C82817" w:rsidRPr="00A61C69" w:rsidRDefault="00C82817" w:rsidP="00C82817">
      <w:pPr>
        <w:pStyle w:val="Default"/>
        <w:rPr>
          <w:rFonts w:ascii="Calibri" w:hAnsi="Calibri"/>
          <w:b/>
          <w:bCs/>
          <w:color w:val="auto"/>
        </w:rPr>
      </w:pPr>
      <w:r w:rsidRPr="00A61C69">
        <w:rPr>
          <w:rFonts w:ascii="Calibri" w:hAnsi="Calibri" w:cs="Arial"/>
          <w:b/>
          <w:bCs/>
          <w:color w:val="101010"/>
          <w:lang w:val="en"/>
        </w:rPr>
        <w:t xml:space="preserve">Contract </w:t>
      </w:r>
      <w:r w:rsidRPr="00A61C69">
        <w:rPr>
          <w:rFonts w:ascii="Calibri" w:hAnsi="Calibri"/>
          <w:b/>
          <w:bCs/>
          <w:color w:val="auto"/>
        </w:rPr>
        <w:t>(AASB 15.10 &amp; 15.F8-F9)</w:t>
      </w:r>
    </w:p>
    <w:p w14:paraId="68536A5C" w14:textId="77777777" w:rsidR="00C82817" w:rsidRPr="00A3486C" w:rsidRDefault="00C82817" w:rsidP="00C82817">
      <w:pPr>
        <w:pStyle w:val="Default"/>
        <w:rPr>
          <w:rFonts w:ascii="Calibri" w:hAnsi="Calibri" w:cs="Arial"/>
          <w:color w:val="101010"/>
          <w:lang w:val="en"/>
        </w:rPr>
      </w:pPr>
      <w:r w:rsidRPr="00DA4C13">
        <w:rPr>
          <w:rFonts w:ascii="Calibri" w:hAnsi="Calibri"/>
          <w:color w:val="auto"/>
        </w:rPr>
        <w:t xml:space="preserve">Contracts / agreements </w:t>
      </w:r>
      <w:r>
        <w:rPr>
          <w:rFonts w:ascii="Calibri" w:hAnsi="Calibri"/>
          <w:color w:val="auto"/>
        </w:rPr>
        <w:t xml:space="preserve">may be </w:t>
      </w:r>
      <w:r w:rsidRPr="00DA4C13">
        <w:rPr>
          <w:rFonts w:ascii="Calibri" w:hAnsi="Calibri"/>
          <w:color w:val="auto"/>
        </w:rPr>
        <w:t>written, oral or implied by the entity’s customary practices in performin</w:t>
      </w:r>
      <w:r>
        <w:rPr>
          <w:rFonts w:ascii="Calibri" w:hAnsi="Calibri"/>
          <w:color w:val="auto"/>
        </w:rPr>
        <w:t xml:space="preserve">g or conducting its activities.  </w:t>
      </w:r>
      <w:r>
        <w:rPr>
          <w:rFonts w:ascii="Calibri" w:hAnsi="Calibri" w:cs="Arial"/>
          <w:color w:val="101010"/>
          <w:lang w:val="en"/>
        </w:rPr>
        <w:t>A</w:t>
      </w:r>
      <w:r w:rsidRPr="00DA4C13">
        <w:rPr>
          <w:rFonts w:ascii="Calibri" w:hAnsi="Calibri" w:cs="Arial"/>
          <w:color w:val="101010"/>
          <w:lang w:val="en"/>
        </w:rPr>
        <w:t xml:space="preserve"> contract exists if the parties</w:t>
      </w:r>
      <w:r>
        <w:rPr>
          <w:rFonts w:ascii="Calibri" w:hAnsi="Calibri" w:cs="Arial"/>
          <w:color w:val="101010"/>
          <w:lang w:val="en"/>
        </w:rPr>
        <w:t>’</w:t>
      </w:r>
      <w:r w:rsidRPr="00DA4C13">
        <w:rPr>
          <w:rFonts w:ascii="Calibri" w:hAnsi="Calibri" w:cs="Arial"/>
          <w:color w:val="101010"/>
          <w:lang w:val="en"/>
        </w:rPr>
        <w:t xml:space="preserve"> rights can be identified, they agree and are committed to perform their respective obligations, and the pa</w:t>
      </w:r>
      <w:r>
        <w:rPr>
          <w:rFonts w:ascii="Calibri" w:hAnsi="Calibri" w:cs="Arial"/>
          <w:color w:val="101010"/>
          <w:lang w:val="en"/>
        </w:rPr>
        <w:t>yment terms can be identified. </w:t>
      </w:r>
    </w:p>
    <w:p w14:paraId="63244567" w14:textId="77777777" w:rsidR="00C82817" w:rsidRDefault="00C82817" w:rsidP="00C82817">
      <w:pPr>
        <w:pStyle w:val="Default"/>
        <w:rPr>
          <w:rFonts w:ascii="Calibri" w:hAnsi="Calibri"/>
          <w:color w:val="auto"/>
          <w:u w:val="single"/>
        </w:rPr>
      </w:pPr>
    </w:p>
    <w:p w14:paraId="01877589" w14:textId="77777777" w:rsidR="00C82817" w:rsidRPr="00A61C69" w:rsidRDefault="00C82817" w:rsidP="00C82817">
      <w:pPr>
        <w:pStyle w:val="Default"/>
        <w:rPr>
          <w:rFonts w:ascii="Calibri" w:hAnsi="Calibri"/>
          <w:b/>
          <w:bCs/>
          <w:color w:val="auto"/>
        </w:rPr>
      </w:pPr>
      <w:r w:rsidRPr="00A61C69">
        <w:rPr>
          <w:rFonts w:ascii="Calibri" w:hAnsi="Calibri"/>
          <w:b/>
          <w:bCs/>
          <w:color w:val="auto"/>
        </w:rPr>
        <w:t>Contract Term (AASB 15.11)</w:t>
      </w:r>
    </w:p>
    <w:p w14:paraId="44B4B893" w14:textId="77777777" w:rsidR="00C82817" w:rsidRPr="00DA4C13" w:rsidRDefault="00C82817" w:rsidP="00C82817">
      <w:pPr>
        <w:pStyle w:val="Default"/>
        <w:rPr>
          <w:rFonts w:ascii="Calibri" w:hAnsi="Calibri"/>
          <w:color w:val="auto"/>
        </w:rPr>
      </w:pPr>
      <w:r w:rsidRPr="00501136">
        <w:rPr>
          <w:rFonts w:ascii="Calibri" w:hAnsi="Calibri"/>
          <w:color w:val="auto"/>
        </w:rPr>
        <w:t>AASB 15 is applied to the duration of the contract.</w:t>
      </w:r>
      <w:r>
        <w:rPr>
          <w:rFonts w:ascii="Calibri" w:hAnsi="Calibri"/>
          <w:color w:val="auto"/>
        </w:rPr>
        <w:t xml:space="preserve">  </w:t>
      </w:r>
      <w:r w:rsidRPr="00501136">
        <w:rPr>
          <w:rFonts w:ascii="Calibri" w:hAnsi="Calibri"/>
          <w:color w:val="auto"/>
        </w:rPr>
        <w:t>Some contracts may have no fixed duration and can be terminated or modified by either party at any time.</w:t>
      </w:r>
      <w:r>
        <w:rPr>
          <w:rFonts w:ascii="Calibri" w:hAnsi="Calibri"/>
          <w:color w:val="auto"/>
        </w:rPr>
        <w:t xml:space="preserve">  </w:t>
      </w:r>
      <w:r w:rsidRPr="00501136">
        <w:rPr>
          <w:rFonts w:ascii="Calibri" w:hAnsi="Calibri"/>
          <w:color w:val="auto"/>
        </w:rPr>
        <w:t>Other contracts may automatically renew on a periodic basis specified in the contract.</w:t>
      </w:r>
      <w:r>
        <w:rPr>
          <w:rFonts w:ascii="Calibri" w:hAnsi="Calibri"/>
          <w:color w:val="auto"/>
        </w:rPr>
        <w:t xml:space="preserve">  </w:t>
      </w:r>
      <w:r w:rsidRPr="00501136">
        <w:rPr>
          <w:rFonts w:ascii="Calibri" w:hAnsi="Calibri"/>
          <w:color w:val="auto"/>
        </w:rPr>
        <w:t>The duration of the contract is the contractual period in which the parties to the contract have present enforceable rig</w:t>
      </w:r>
      <w:r>
        <w:rPr>
          <w:rFonts w:ascii="Calibri" w:hAnsi="Calibri"/>
          <w:color w:val="auto"/>
        </w:rPr>
        <w:t>hts and obligations</w:t>
      </w:r>
      <w:r w:rsidRPr="00501136">
        <w:rPr>
          <w:rFonts w:ascii="Calibri" w:hAnsi="Calibri"/>
          <w:color w:val="auto"/>
        </w:rPr>
        <w:t xml:space="preserve">. </w:t>
      </w:r>
    </w:p>
    <w:p w14:paraId="6419B4E5" w14:textId="77777777" w:rsidR="00C82817" w:rsidRDefault="00C82817" w:rsidP="00C82817">
      <w:pPr>
        <w:pStyle w:val="Default"/>
        <w:rPr>
          <w:rFonts w:ascii="Calibri" w:hAnsi="Calibri"/>
          <w:color w:val="auto"/>
          <w:u w:val="single"/>
        </w:rPr>
      </w:pPr>
    </w:p>
    <w:p w14:paraId="493DA429" w14:textId="77777777" w:rsidR="00C82817" w:rsidRPr="00A61C69" w:rsidRDefault="00C82817" w:rsidP="00C82817">
      <w:pPr>
        <w:pStyle w:val="Default"/>
        <w:rPr>
          <w:rFonts w:ascii="Calibri" w:hAnsi="Calibri"/>
          <w:b/>
          <w:bCs/>
          <w:color w:val="auto"/>
        </w:rPr>
      </w:pPr>
      <w:r w:rsidRPr="00A61C69">
        <w:rPr>
          <w:rFonts w:ascii="Calibri" w:hAnsi="Calibri"/>
          <w:b/>
          <w:bCs/>
          <w:color w:val="auto"/>
        </w:rPr>
        <w:t>Enforceable Agreement (AASB 15.F10-F18)</w:t>
      </w:r>
    </w:p>
    <w:p w14:paraId="5CCF931B" w14:textId="77777777" w:rsidR="00C82817" w:rsidRPr="00B57913" w:rsidRDefault="00C82817" w:rsidP="00C82817">
      <w:pPr>
        <w:pStyle w:val="Default"/>
        <w:rPr>
          <w:rFonts w:ascii="Calibri" w:hAnsi="Calibri"/>
          <w:color w:val="auto"/>
        </w:rPr>
      </w:pPr>
      <w:r w:rsidRPr="00DA4C13">
        <w:rPr>
          <w:rFonts w:ascii="Calibri" w:hAnsi="Calibri"/>
          <w:color w:val="auto"/>
        </w:rPr>
        <w:t xml:space="preserve">The term ‘contract’ refers to an agreement with another party that creates </w:t>
      </w:r>
      <w:r w:rsidRPr="00DA4C13">
        <w:rPr>
          <w:rFonts w:ascii="Calibri" w:hAnsi="Calibri"/>
          <w:i/>
          <w:iCs/>
          <w:color w:val="auto"/>
        </w:rPr>
        <w:t xml:space="preserve">enforceable </w:t>
      </w:r>
      <w:r w:rsidRPr="00DA4C13">
        <w:rPr>
          <w:rFonts w:ascii="Calibri" w:hAnsi="Calibri"/>
          <w:color w:val="auto"/>
        </w:rPr>
        <w:t>rights and obligations.</w:t>
      </w:r>
      <w:r>
        <w:rPr>
          <w:rFonts w:ascii="Calibri" w:hAnsi="Calibri"/>
          <w:color w:val="auto"/>
        </w:rPr>
        <w:t xml:space="preserve">  </w:t>
      </w:r>
      <w:r w:rsidRPr="00DA4C13">
        <w:rPr>
          <w:rFonts w:ascii="Calibri" w:hAnsi="Calibri"/>
          <w:color w:val="auto"/>
        </w:rPr>
        <w:t xml:space="preserve">An agreement may be enforceable “through legal or equivalent means”.   </w:t>
      </w:r>
    </w:p>
    <w:p w14:paraId="224B6753" w14:textId="77777777" w:rsidR="00C82817" w:rsidRPr="00501136" w:rsidRDefault="00C82817" w:rsidP="00A61C69">
      <w:pPr>
        <w:rPr>
          <w:lang w:eastAsia="en-AU"/>
        </w:rPr>
      </w:pPr>
    </w:p>
    <w:p w14:paraId="41C79FF0" w14:textId="4C802BA8" w:rsidR="00C82817" w:rsidRPr="00B57913" w:rsidRDefault="00C82817" w:rsidP="00C82817">
      <w:pPr>
        <w:pStyle w:val="Default"/>
        <w:rPr>
          <w:rFonts w:ascii="Calibri" w:hAnsi="Calibri"/>
          <w:color w:val="auto"/>
        </w:rPr>
      </w:pPr>
      <w:r w:rsidRPr="00B57913">
        <w:rPr>
          <w:rFonts w:ascii="Calibri" w:hAnsi="Calibri"/>
          <w:color w:val="auto"/>
        </w:rPr>
        <w:t>The enforceability of agreements does not depend on their form. For example, documents such as Memoranda of Understanding, Heads of Agreement and Letters of Intent can constitute enforceable agreements</w:t>
      </w:r>
      <w:r>
        <w:rPr>
          <w:rFonts w:ascii="Calibri" w:hAnsi="Calibri"/>
          <w:color w:val="auto"/>
        </w:rPr>
        <w:t xml:space="preserve"> regardless of clauses in the contract stating that they are not legally </w:t>
      </w:r>
      <w:r w:rsidR="005B5746">
        <w:rPr>
          <w:rFonts w:ascii="Calibri" w:hAnsi="Calibri"/>
          <w:color w:val="auto"/>
        </w:rPr>
        <w:t xml:space="preserve">enforceable </w:t>
      </w:r>
      <w:r w:rsidR="005B5746" w:rsidRPr="00B57913">
        <w:rPr>
          <w:rFonts w:ascii="Calibri" w:hAnsi="Calibri"/>
          <w:color w:val="auto"/>
        </w:rPr>
        <w:t>(</w:t>
      </w:r>
      <w:r w:rsidRPr="00B57913">
        <w:rPr>
          <w:rFonts w:ascii="Calibri" w:hAnsi="Calibri"/>
          <w:color w:val="auto"/>
        </w:rPr>
        <w:t xml:space="preserve">AASB 2016-8. F13). </w:t>
      </w:r>
    </w:p>
    <w:p w14:paraId="224F8A4A" w14:textId="77777777" w:rsidR="00C82817" w:rsidRPr="00501136" w:rsidRDefault="00C82817" w:rsidP="00A61C69">
      <w:pPr>
        <w:rPr>
          <w:lang w:eastAsia="en-AU"/>
        </w:rPr>
      </w:pPr>
    </w:p>
    <w:p w14:paraId="6078F307" w14:textId="77777777" w:rsidR="00C82817" w:rsidRPr="00A3486C" w:rsidRDefault="00C82817" w:rsidP="00C82817">
      <w:pPr>
        <w:pStyle w:val="Default"/>
        <w:rPr>
          <w:rFonts w:ascii="Calibri" w:hAnsi="Calibri"/>
          <w:color w:val="auto"/>
        </w:rPr>
      </w:pPr>
      <w:r w:rsidRPr="00A3486C">
        <w:rPr>
          <w:rFonts w:ascii="Calibri" w:hAnsi="Calibri"/>
          <w:color w:val="auto"/>
        </w:rPr>
        <w:t>A contract could still be enforceable despite a lack of history of enforcement and despite the customer’s intention not to enforce. The customer’s intent not to enforce is at its discretion and does not affect their right to enforce. Enforceability depends on the customer’s capacity to enforce (AASB 2016-8. F16).</w:t>
      </w:r>
      <w:r>
        <w:rPr>
          <w:rFonts w:ascii="Calibri" w:hAnsi="Calibri"/>
          <w:color w:val="auto"/>
        </w:rPr>
        <w:t xml:space="preserve">  A number of Commonwealth National Partnership Agreements explicitly state that the parties do not intend for the provisions of the agreement to be legally binding.  These agreements may nonetheless be deemed to be enforceable given the parties’ commitment to the terms and conditions of the agreements. </w:t>
      </w:r>
    </w:p>
    <w:p w14:paraId="1B102B96" w14:textId="77777777" w:rsidR="00C82817" w:rsidRDefault="00C82817" w:rsidP="00C82817">
      <w:pPr>
        <w:pStyle w:val="Default"/>
        <w:rPr>
          <w:rFonts w:ascii="Calibri" w:hAnsi="Calibri"/>
          <w:color w:val="auto"/>
        </w:rPr>
      </w:pPr>
    </w:p>
    <w:p w14:paraId="5664DD60" w14:textId="6E5CD641" w:rsidR="00A61C69" w:rsidRDefault="00C82817" w:rsidP="00C82817">
      <w:pPr>
        <w:pStyle w:val="Default"/>
        <w:rPr>
          <w:rFonts w:ascii="Calibri" w:hAnsi="Calibri"/>
          <w:color w:val="auto"/>
        </w:rPr>
      </w:pPr>
      <w:r>
        <w:rPr>
          <w:rFonts w:ascii="Calibri" w:hAnsi="Calibri"/>
          <w:color w:val="auto"/>
        </w:rPr>
        <w:t>For NFP entities enforceability mechanisms may arise from administrative arrangements or statutory provisions such a directive from a Minister to an ACT government agency. (AASB 15.F14).</w:t>
      </w:r>
    </w:p>
    <w:p w14:paraId="4810A855" w14:textId="77777777" w:rsidR="00ED0FA9" w:rsidRDefault="00ED0FA9" w:rsidP="00C82817">
      <w:pPr>
        <w:pStyle w:val="Default"/>
        <w:rPr>
          <w:rFonts w:ascii="Calibri" w:hAnsi="Calibri"/>
          <w:b/>
          <w:bCs/>
          <w:color w:val="auto"/>
        </w:rPr>
      </w:pPr>
    </w:p>
    <w:p w14:paraId="319129A6" w14:textId="5234A0FB" w:rsidR="00C82817" w:rsidRPr="00A61C69" w:rsidRDefault="00C82817" w:rsidP="00C82817">
      <w:pPr>
        <w:pStyle w:val="Default"/>
        <w:rPr>
          <w:rFonts w:ascii="Calibri" w:hAnsi="Calibri"/>
          <w:b/>
          <w:bCs/>
          <w:color w:val="auto"/>
        </w:rPr>
      </w:pPr>
      <w:r w:rsidRPr="00A61C69">
        <w:rPr>
          <w:rFonts w:ascii="Calibri" w:hAnsi="Calibri"/>
          <w:b/>
          <w:bCs/>
          <w:color w:val="auto"/>
        </w:rPr>
        <w:t>Commercial substance</w:t>
      </w:r>
      <w:r w:rsidRPr="00A61C69">
        <w:rPr>
          <w:rFonts w:ascii="Arial" w:hAnsi="Arial" w:cs="Arial"/>
          <w:b/>
          <w:bCs/>
          <w:i/>
          <w:iCs/>
        </w:rPr>
        <w:t xml:space="preserve"> </w:t>
      </w:r>
      <w:r w:rsidRPr="00A61C69">
        <w:rPr>
          <w:rFonts w:ascii="Calibri" w:hAnsi="Calibri"/>
          <w:b/>
          <w:bCs/>
          <w:color w:val="auto"/>
        </w:rPr>
        <w:t xml:space="preserve">(AASB 15.F19) </w:t>
      </w:r>
    </w:p>
    <w:p w14:paraId="28F798DA" w14:textId="77777777" w:rsidR="00C82817" w:rsidRDefault="00C82817" w:rsidP="00C82817">
      <w:pPr>
        <w:pStyle w:val="Default"/>
        <w:rPr>
          <w:rFonts w:ascii="Calibri" w:hAnsi="Calibri"/>
          <w:color w:val="auto"/>
        </w:rPr>
      </w:pPr>
      <w:r w:rsidRPr="00A3486C">
        <w:rPr>
          <w:rFonts w:ascii="Calibri" w:hAnsi="Calibri"/>
          <w:color w:val="auto"/>
        </w:rPr>
        <w:t xml:space="preserve">A contract may have commercial substance even if it is non-commercial to the NFP entity (for example, subsidised goods or services). </w:t>
      </w:r>
      <w:r w:rsidRPr="00365045">
        <w:rPr>
          <w:rFonts w:ascii="Calibri" w:hAnsi="Calibri"/>
          <w:color w:val="auto"/>
        </w:rPr>
        <w:t>This is because they could still result in a change in the ‘risk, timing or amount of the entity’s future cash flows</w:t>
      </w:r>
      <w:r>
        <w:rPr>
          <w:rFonts w:ascii="Calibri" w:hAnsi="Calibri"/>
          <w:color w:val="auto"/>
        </w:rPr>
        <w:t>”</w:t>
      </w:r>
      <w:r w:rsidRPr="00365045">
        <w:rPr>
          <w:rFonts w:ascii="Calibri" w:hAnsi="Calibri"/>
          <w:color w:val="auto"/>
        </w:rPr>
        <w:t xml:space="preserve">.  </w:t>
      </w:r>
      <w:r w:rsidRPr="00A3486C">
        <w:rPr>
          <w:rFonts w:ascii="Calibri" w:hAnsi="Calibri"/>
          <w:color w:val="auto"/>
        </w:rPr>
        <w:t>‘Commercial substance’ should be read as a reference to economic substance i.e. giving rise to sub</w:t>
      </w:r>
      <w:r>
        <w:rPr>
          <w:rFonts w:ascii="Calibri" w:hAnsi="Calibri"/>
          <w:color w:val="auto"/>
        </w:rPr>
        <w:t>stantive rights and obligations.</w:t>
      </w:r>
    </w:p>
    <w:p w14:paraId="3DAFAAFA" w14:textId="77777777" w:rsidR="00C82817" w:rsidRPr="00501136" w:rsidRDefault="00C82817" w:rsidP="00C82817">
      <w:pPr>
        <w:rPr>
          <w:rFonts w:cs="EYInterstate"/>
          <w:lang w:eastAsia="en-AU"/>
        </w:rPr>
      </w:pPr>
    </w:p>
    <w:p w14:paraId="173F131D" w14:textId="77777777" w:rsidR="00C82817" w:rsidRPr="00A61C69" w:rsidRDefault="00C82817" w:rsidP="00C82817">
      <w:pPr>
        <w:pStyle w:val="Default"/>
        <w:rPr>
          <w:rFonts w:ascii="Calibri" w:hAnsi="Calibri"/>
          <w:b/>
          <w:bCs/>
          <w:color w:val="auto"/>
        </w:rPr>
      </w:pPr>
      <w:r w:rsidRPr="00A61C69">
        <w:rPr>
          <w:rFonts w:ascii="Calibri" w:hAnsi="Calibri"/>
          <w:b/>
          <w:bCs/>
          <w:color w:val="auto"/>
        </w:rPr>
        <w:t>Collectability (AASB 15.9(e))</w:t>
      </w:r>
    </w:p>
    <w:p w14:paraId="69CCEE4A" w14:textId="77777777" w:rsidR="00C82817" w:rsidRDefault="00C82817" w:rsidP="00C82817">
      <w:pPr>
        <w:pStyle w:val="Default"/>
        <w:rPr>
          <w:rFonts w:ascii="Calibri" w:hAnsi="Calibri"/>
          <w:color w:val="auto"/>
        </w:rPr>
      </w:pPr>
      <w:r w:rsidRPr="00501136">
        <w:rPr>
          <w:rFonts w:ascii="Calibri" w:hAnsi="Calibri"/>
          <w:color w:val="auto"/>
        </w:rPr>
        <w:t>The assessment of a customer’s credit risk is an important part of determining whether a contract is valid.</w:t>
      </w:r>
      <w:r>
        <w:rPr>
          <w:rFonts w:ascii="Calibri" w:hAnsi="Calibri"/>
          <w:color w:val="auto"/>
        </w:rPr>
        <w:t xml:space="preserve">  </w:t>
      </w:r>
      <w:r w:rsidRPr="008F3581">
        <w:rPr>
          <w:rFonts w:ascii="Calibri" w:hAnsi="Calibri"/>
          <w:color w:val="auto"/>
        </w:rPr>
        <w:t xml:space="preserve">In assessing </w:t>
      </w:r>
      <w:r>
        <w:rPr>
          <w:rFonts w:ascii="Calibri" w:hAnsi="Calibri"/>
          <w:color w:val="auto"/>
        </w:rPr>
        <w:t xml:space="preserve">whether </w:t>
      </w:r>
      <w:r w:rsidRPr="008F3581">
        <w:rPr>
          <w:rFonts w:ascii="Calibri" w:hAnsi="Calibri"/>
          <w:color w:val="auto"/>
        </w:rPr>
        <w:t>the collectability of the consideration is probable, an entity shall consider only the customer’s ability and intention to pay that amount of consideration when it is due</w:t>
      </w:r>
      <w:r w:rsidRPr="00501136">
        <w:rPr>
          <w:rFonts w:ascii="Calibri" w:hAnsi="Calibri"/>
          <w:color w:val="auto"/>
        </w:rPr>
        <w:t>.</w:t>
      </w:r>
    </w:p>
    <w:p w14:paraId="75DE73E8" w14:textId="77777777" w:rsidR="00C82817" w:rsidRDefault="00C82817" w:rsidP="00C82817">
      <w:pPr>
        <w:pStyle w:val="Default"/>
        <w:rPr>
          <w:rFonts w:ascii="Calibri" w:hAnsi="Calibri"/>
          <w:color w:val="auto"/>
        </w:rPr>
      </w:pPr>
    </w:p>
    <w:p w14:paraId="7211821D" w14:textId="4F77AB47" w:rsidR="00C82817" w:rsidRDefault="00C82817" w:rsidP="00C82817">
      <w:pPr>
        <w:pStyle w:val="Default"/>
        <w:rPr>
          <w:rFonts w:ascii="Calibri" w:hAnsi="Calibri"/>
          <w:color w:val="auto"/>
        </w:rPr>
      </w:pPr>
      <w:r>
        <w:rPr>
          <w:rFonts w:ascii="Calibri" w:hAnsi="Calibri"/>
          <w:color w:val="auto"/>
        </w:rPr>
        <w:t>An entity needs to exercise judgement in determining whether the consideration should be reduced for any price concessions.  Factors to be considered include the contract terms, customer’s expectations arising from the entity’s customary business practices and other facts and circumstances indicating the entity’s intentions.</w:t>
      </w:r>
    </w:p>
    <w:p w14:paraId="24B99609" w14:textId="77777777" w:rsidR="00C82817" w:rsidRDefault="00C82817" w:rsidP="00C82817">
      <w:pPr>
        <w:pStyle w:val="Default"/>
        <w:rPr>
          <w:rFonts w:ascii="Calibri" w:hAnsi="Calibri"/>
          <w:color w:val="auto"/>
        </w:rPr>
      </w:pPr>
    </w:p>
    <w:p w14:paraId="33F9B16B" w14:textId="775E1B53" w:rsidR="00C82817" w:rsidRPr="00FF7AF2" w:rsidRDefault="00753324" w:rsidP="00753324">
      <w:pPr>
        <w:pStyle w:val="Heading3"/>
        <w:numPr>
          <w:ilvl w:val="0"/>
          <w:numId w:val="0"/>
        </w:numPr>
        <w:ind w:left="993" w:hanging="993"/>
      </w:pPr>
      <w:bookmarkStart w:id="17" w:name="_Toc39150170"/>
      <w:bookmarkStart w:id="18" w:name="_Toc39150271"/>
      <w:bookmarkStart w:id="19" w:name="_Toc39158323"/>
      <w:bookmarkStart w:id="20" w:name="_Toc39213314"/>
      <w:bookmarkStart w:id="21" w:name="_Toc39495962"/>
      <w:bookmarkStart w:id="22" w:name="_Toc40682873"/>
      <w:bookmarkStart w:id="23" w:name="_Toc40860336"/>
      <w:bookmarkStart w:id="24" w:name="_Toc40860542"/>
      <w:bookmarkStart w:id="25" w:name="_Toc40861513"/>
      <w:bookmarkStart w:id="26" w:name="_Toc40943821"/>
      <w:bookmarkStart w:id="27" w:name="_Toc45463418"/>
      <w:bookmarkStart w:id="28" w:name="_Toc45463643"/>
      <w:bookmarkStart w:id="29" w:name="_Toc45463821"/>
      <w:bookmarkStart w:id="30" w:name="_Toc45543534"/>
      <w:bookmarkStart w:id="31" w:name="_Toc45543590"/>
      <w:bookmarkStart w:id="32" w:name="_Toc45544387"/>
      <w:bookmarkStart w:id="33" w:name="_Toc45544625"/>
      <w:bookmarkStart w:id="34" w:name="_Toc40860337"/>
      <w:bookmarkStart w:id="35" w:name="_Toc40860543"/>
      <w:bookmarkStart w:id="36" w:name="_Toc40861514"/>
      <w:bookmarkStart w:id="37" w:name="_Toc40943822"/>
      <w:bookmarkStart w:id="38" w:name="_Toc45463419"/>
      <w:bookmarkStart w:id="39" w:name="_Toc45463644"/>
      <w:bookmarkStart w:id="40" w:name="_Toc45463822"/>
      <w:bookmarkStart w:id="41" w:name="_Toc45543535"/>
      <w:bookmarkStart w:id="42" w:name="_Toc45543591"/>
      <w:bookmarkStart w:id="43" w:name="_Toc45544388"/>
      <w:bookmarkStart w:id="44" w:name="_Toc45544626"/>
      <w:bookmarkStart w:id="45" w:name="_Toc40860338"/>
      <w:bookmarkStart w:id="46" w:name="_Toc40860544"/>
      <w:bookmarkStart w:id="47" w:name="_Toc40861515"/>
      <w:bookmarkStart w:id="48" w:name="_Toc40943823"/>
      <w:bookmarkStart w:id="49" w:name="_Toc45463420"/>
      <w:bookmarkStart w:id="50" w:name="_Toc45463645"/>
      <w:bookmarkStart w:id="51" w:name="_Toc45463823"/>
      <w:bookmarkStart w:id="52" w:name="_Toc45543536"/>
      <w:bookmarkStart w:id="53" w:name="_Toc45543592"/>
      <w:bookmarkStart w:id="54" w:name="_Toc45544389"/>
      <w:bookmarkStart w:id="55" w:name="_Toc45544627"/>
      <w:bookmarkStart w:id="56" w:name="_Toc40860339"/>
      <w:bookmarkStart w:id="57" w:name="_Toc40860545"/>
      <w:bookmarkStart w:id="58" w:name="_Toc40861516"/>
      <w:bookmarkStart w:id="59" w:name="_Toc40943824"/>
      <w:bookmarkStart w:id="60" w:name="_Toc45463421"/>
      <w:bookmarkStart w:id="61" w:name="_Toc45463646"/>
      <w:bookmarkStart w:id="62" w:name="_Toc45463824"/>
      <w:bookmarkStart w:id="63" w:name="_Toc45543537"/>
      <w:bookmarkStart w:id="64" w:name="_Toc45543593"/>
      <w:bookmarkStart w:id="65" w:name="_Toc45544390"/>
      <w:bookmarkStart w:id="66" w:name="_Toc45544628"/>
      <w:bookmarkStart w:id="67" w:name="_Toc40860340"/>
      <w:bookmarkStart w:id="68" w:name="_Toc40860546"/>
      <w:bookmarkStart w:id="69" w:name="_Toc40861517"/>
      <w:bookmarkStart w:id="70" w:name="_Toc40943825"/>
      <w:bookmarkStart w:id="71" w:name="_Toc45463422"/>
      <w:bookmarkStart w:id="72" w:name="_Toc45463647"/>
      <w:bookmarkStart w:id="73" w:name="_Toc45463825"/>
      <w:bookmarkStart w:id="74" w:name="_Toc45543538"/>
      <w:bookmarkStart w:id="75" w:name="_Toc45543594"/>
      <w:bookmarkStart w:id="76" w:name="_Toc45544391"/>
      <w:bookmarkStart w:id="77" w:name="_Toc45544629"/>
      <w:bookmarkStart w:id="78" w:name="_Toc40860341"/>
      <w:bookmarkStart w:id="79" w:name="_Toc40860547"/>
      <w:bookmarkStart w:id="80" w:name="_Toc40861518"/>
      <w:bookmarkStart w:id="81" w:name="_Toc40943826"/>
      <w:bookmarkStart w:id="82" w:name="_Toc45463423"/>
      <w:bookmarkStart w:id="83" w:name="_Toc45463648"/>
      <w:bookmarkStart w:id="84" w:name="_Toc45463826"/>
      <w:bookmarkStart w:id="85" w:name="_Toc45543539"/>
      <w:bookmarkStart w:id="86" w:name="_Toc45543595"/>
      <w:bookmarkStart w:id="87" w:name="_Toc45544392"/>
      <w:bookmarkStart w:id="88" w:name="_Toc45544630"/>
      <w:bookmarkStart w:id="89" w:name="_Toc4562261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A</w:t>
      </w:r>
      <w:r w:rsidR="00ED0FA9">
        <w:t>4</w:t>
      </w:r>
      <w:r w:rsidR="001E3BDE">
        <w:t>.1.1</w:t>
      </w:r>
      <w:r w:rsidR="001E3BDE">
        <w:tab/>
      </w:r>
      <w:r w:rsidR="00C82817" w:rsidRPr="00FF7AF2">
        <w:t xml:space="preserve">Accounting </w:t>
      </w:r>
      <w:r w:rsidR="00C82817">
        <w:t>w</w:t>
      </w:r>
      <w:r w:rsidR="00C82817" w:rsidRPr="00FF7AF2">
        <w:t>hen the Criteria for a Contract are not met (AASB 15.15-15.16)</w:t>
      </w:r>
      <w:bookmarkEnd w:id="89"/>
    </w:p>
    <w:p w14:paraId="0D183722" w14:textId="77777777" w:rsidR="00C82817" w:rsidRPr="00292791" w:rsidRDefault="00C82817" w:rsidP="00C82817">
      <w:pPr>
        <w:autoSpaceDE w:val="0"/>
        <w:autoSpaceDN w:val="0"/>
        <w:adjustRightInd w:val="0"/>
        <w:rPr>
          <w:szCs w:val="24"/>
          <w:lang w:eastAsia="en-AU"/>
        </w:rPr>
      </w:pPr>
      <w:r w:rsidRPr="00224AE8">
        <w:rPr>
          <w:szCs w:val="24"/>
          <w:lang w:eastAsia="en-AU"/>
        </w:rPr>
        <w:t>Whe</w:t>
      </w:r>
      <w:r>
        <w:rPr>
          <w:szCs w:val="24"/>
          <w:lang w:eastAsia="en-AU"/>
        </w:rPr>
        <w:t>re the criteria under AASB 15.9 (explained above) are not met and the entity receives consideration from the customer, th</w:t>
      </w:r>
      <w:r w:rsidRPr="00224AE8">
        <w:rPr>
          <w:szCs w:val="24"/>
          <w:lang w:eastAsia="en-AU"/>
        </w:rPr>
        <w:t xml:space="preserve">e entity </w:t>
      </w:r>
      <w:r>
        <w:rPr>
          <w:szCs w:val="24"/>
          <w:lang w:eastAsia="en-AU"/>
        </w:rPr>
        <w:t xml:space="preserve">will recognise </w:t>
      </w:r>
      <w:r w:rsidRPr="00224AE8">
        <w:rPr>
          <w:szCs w:val="24"/>
          <w:lang w:eastAsia="en-AU"/>
        </w:rPr>
        <w:t xml:space="preserve">the consideration received as </w:t>
      </w:r>
      <w:r>
        <w:rPr>
          <w:szCs w:val="24"/>
          <w:lang w:eastAsia="en-AU"/>
        </w:rPr>
        <w:t>contract</w:t>
      </w:r>
      <w:r w:rsidRPr="00224AE8">
        <w:rPr>
          <w:szCs w:val="24"/>
          <w:lang w:eastAsia="en-AU"/>
        </w:rPr>
        <w:t xml:space="preserve"> liability (</w:t>
      </w:r>
      <w:r>
        <w:rPr>
          <w:szCs w:val="24"/>
          <w:lang w:eastAsia="en-AU"/>
        </w:rPr>
        <w:t xml:space="preserve">revenue received in advance </w:t>
      </w:r>
      <w:r w:rsidRPr="00224AE8">
        <w:rPr>
          <w:szCs w:val="24"/>
          <w:lang w:eastAsia="en-AU"/>
        </w:rPr>
        <w:t xml:space="preserve">representing the entity’s </w:t>
      </w:r>
      <w:r>
        <w:rPr>
          <w:szCs w:val="24"/>
          <w:lang w:eastAsia="en-AU"/>
        </w:rPr>
        <w:t xml:space="preserve">remaining </w:t>
      </w:r>
      <w:r w:rsidRPr="00224AE8">
        <w:rPr>
          <w:szCs w:val="24"/>
          <w:lang w:eastAsia="en-AU"/>
        </w:rPr>
        <w:t xml:space="preserve">obligations under the contract).  </w:t>
      </w:r>
      <w:r>
        <w:rPr>
          <w:szCs w:val="24"/>
          <w:lang w:eastAsia="en-AU"/>
        </w:rPr>
        <w:t xml:space="preserve">The entity will recognise the associated revenue only when </w:t>
      </w:r>
      <w:r w:rsidRPr="00292791">
        <w:rPr>
          <w:szCs w:val="24"/>
          <w:lang w:eastAsia="en-AU"/>
        </w:rPr>
        <w:t>the entity has no remaining obligations to transfer goods or services to the customer</w:t>
      </w:r>
      <w:r>
        <w:rPr>
          <w:szCs w:val="24"/>
          <w:lang w:eastAsia="en-AU"/>
        </w:rPr>
        <w:t xml:space="preserve"> and the consideration received is non-refundable.</w:t>
      </w:r>
    </w:p>
    <w:p w14:paraId="7507BDFC" w14:textId="77777777" w:rsidR="00C82817" w:rsidRDefault="00C82817" w:rsidP="00C82817">
      <w:pPr>
        <w:pStyle w:val="Default"/>
        <w:rPr>
          <w:rFonts w:ascii="Calibri" w:hAnsi="Calibri"/>
          <w:b/>
          <w:color w:val="auto"/>
        </w:rPr>
      </w:pPr>
    </w:p>
    <w:p w14:paraId="451053F3" w14:textId="11855AEA" w:rsidR="00C82817" w:rsidRDefault="00753324" w:rsidP="00753324">
      <w:pPr>
        <w:pStyle w:val="Heading3"/>
        <w:keepNext w:val="0"/>
        <w:numPr>
          <w:ilvl w:val="0"/>
          <w:numId w:val="0"/>
        </w:numPr>
        <w:tabs>
          <w:tab w:val="left" w:pos="993"/>
        </w:tabs>
        <w:rPr>
          <w:szCs w:val="24"/>
          <w:lang w:val="en-US"/>
        </w:rPr>
      </w:pPr>
      <w:bookmarkStart w:id="90" w:name="_Toc45622611"/>
      <w:r>
        <w:rPr>
          <w:szCs w:val="24"/>
          <w:lang w:val="en-US"/>
        </w:rPr>
        <w:t>A</w:t>
      </w:r>
      <w:r w:rsidR="00ED0FA9">
        <w:rPr>
          <w:szCs w:val="24"/>
          <w:lang w:val="en-US"/>
        </w:rPr>
        <w:t>4</w:t>
      </w:r>
      <w:r>
        <w:rPr>
          <w:szCs w:val="24"/>
          <w:lang w:val="en-US"/>
        </w:rPr>
        <w:t>.1.</w:t>
      </w:r>
      <w:r w:rsidR="001E3BDE">
        <w:rPr>
          <w:szCs w:val="24"/>
          <w:lang w:val="en-US"/>
        </w:rPr>
        <w:t>2</w:t>
      </w:r>
      <w:r w:rsidR="001E3BDE">
        <w:rPr>
          <w:szCs w:val="24"/>
          <w:lang w:val="en-US"/>
        </w:rPr>
        <w:tab/>
      </w:r>
      <w:r w:rsidR="00C82817" w:rsidRPr="004A6451">
        <w:rPr>
          <w:szCs w:val="24"/>
          <w:lang w:val="en-US"/>
        </w:rPr>
        <w:t>Combining Contracts (AASB 15.17)</w:t>
      </w:r>
      <w:bookmarkEnd w:id="90"/>
    </w:p>
    <w:p w14:paraId="46C58674" w14:textId="2E99A5B1" w:rsidR="00666DAC" w:rsidRDefault="00666DAC" w:rsidP="005B5746">
      <w:pPr>
        <w:autoSpaceDE w:val="0"/>
        <w:autoSpaceDN w:val="0"/>
        <w:adjustRightInd w:val="0"/>
        <w:spacing w:before="120"/>
        <w:rPr>
          <w:color w:val="000000"/>
          <w:szCs w:val="24"/>
          <w:lang w:eastAsia="en-AU"/>
        </w:rPr>
      </w:pPr>
      <w:r w:rsidRPr="00666DAC">
        <w:rPr>
          <w:color w:val="000000"/>
          <w:szCs w:val="24"/>
          <w:lang w:eastAsia="en-AU"/>
        </w:rPr>
        <w:t>Usually, each contract is accounted for separately, but it may be necessary to either combine or separate multiple contracts depending on the substance of the arrangement.  An entity may need to combine similar contracts with the same customer and assess them as one for the analysis of revenue recognition.</w:t>
      </w:r>
    </w:p>
    <w:p w14:paraId="52D41E42" w14:textId="77777777" w:rsidR="00666DAC" w:rsidRDefault="00666DAC" w:rsidP="00C82817">
      <w:pPr>
        <w:autoSpaceDE w:val="0"/>
        <w:autoSpaceDN w:val="0"/>
        <w:adjustRightInd w:val="0"/>
        <w:rPr>
          <w:color w:val="000000"/>
          <w:szCs w:val="24"/>
          <w:lang w:eastAsia="en-AU"/>
        </w:rPr>
      </w:pPr>
    </w:p>
    <w:p w14:paraId="1E715E3B" w14:textId="22C3F67F" w:rsidR="00C82817" w:rsidRPr="00FB7A6A" w:rsidRDefault="00C82817" w:rsidP="00C82817">
      <w:pPr>
        <w:autoSpaceDE w:val="0"/>
        <w:autoSpaceDN w:val="0"/>
        <w:adjustRightInd w:val="0"/>
        <w:rPr>
          <w:color w:val="000000"/>
          <w:szCs w:val="24"/>
          <w:lang w:eastAsia="en-AU"/>
        </w:rPr>
      </w:pPr>
      <w:r w:rsidRPr="00FB7A6A">
        <w:rPr>
          <w:color w:val="000000"/>
          <w:szCs w:val="24"/>
          <w:lang w:eastAsia="en-AU"/>
        </w:rPr>
        <w:lastRenderedPageBreak/>
        <w:t xml:space="preserve">Entities need to combine two or more contracts entered into at or near the same time with the same customer (or related parties of the customer) and account for the contracts as a single contract if one or more of the following criteria are met: </w:t>
      </w:r>
    </w:p>
    <w:p w14:paraId="7E38C5D0" w14:textId="77777777" w:rsidR="00C82817" w:rsidRPr="00FB7A6A" w:rsidRDefault="00C82817" w:rsidP="00C82817">
      <w:pPr>
        <w:numPr>
          <w:ilvl w:val="0"/>
          <w:numId w:val="15"/>
        </w:numPr>
        <w:autoSpaceDE w:val="0"/>
        <w:autoSpaceDN w:val="0"/>
        <w:adjustRightInd w:val="0"/>
        <w:ind w:left="709" w:hanging="567"/>
        <w:rPr>
          <w:color w:val="000000"/>
          <w:szCs w:val="24"/>
          <w:lang w:eastAsia="en-AU"/>
        </w:rPr>
      </w:pPr>
      <w:r w:rsidRPr="00FB7A6A">
        <w:rPr>
          <w:color w:val="000000"/>
          <w:szCs w:val="24"/>
          <w:lang w:eastAsia="en-AU"/>
        </w:rPr>
        <w:t xml:space="preserve">the contracts are negotiated as a package with a single commercial objective; </w:t>
      </w:r>
    </w:p>
    <w:p w14:paraId="6309A83C" w14:textId="77777777" w:rsidR="00C82817" w:rsidRPr="00FB7A6A" w:rsidRDefault="00C82817" w:rsidP="00C82817">
      <w:pPr>
        <w:numPr>
          <w:ilvl w:val="0"/>
          <w:numId w:val="15"/>
        </w:numPr>
        <w:autoSpaceDE w:val="0"/>
        <w:autoSpaceDN w:val="0"/>
        <w:adjustRightInd w:val="0"/>
        <w:ind w:left="709" w:hanging="567"/>
        <w:rPr>
          <w:color w:val="000000"/>
          <w:szCs w:val="24"/>
          <w:lang w:eastAsia="en-AU"/>
        </w:rPr>
      </w:pPr>
      <w:r w:rsidRPr="00FB7A6A">
        <w:rPr>
          <w:color w:val="000000"/>
          <w:szCs w:val="24"/>
          <w:lang w:eastAsia="en-AU"/>
        </w:rPr>
        <w:t xml:space="preserve">the amount of consideration to be paid in one contract depends on the price or performance of the other contract; or </w:t>
      </w:r>
    </w:p>
    <w:p w14:paraId="0487E064" w14:textId="77777777" w:rsidR="00C82817" w:rsidRPr="00FB7A6A" w:rsidRDefault="00C82817" w:rsidP="00C82817">
      <w:pPr>
        <w:numPr>
          <w:ilvl w:val="0"/>
          <w:numId w:val="15"/>
        </w:numPr>
        <w:ind w:left="709" w:hanging="567"/>
        <w:rPr>
          <w:rFonts w:cs="Frutiger Next Pro Light"/>
          <w:szCs w:val="24"/>
        </w:rPr>
      </w:pPr>
      <w:r w:rsidRPr="00FB7A6A">
        <w:rPr>
          <w:color w:val="000000"/>
          <w:szCs w:val="24"/>
          <w:lang w:eastAsia="en-AU"/>
        </w:rPr>
        <w:t>the goods or services promised in the contracts are a single performance obligation.</w:t>
      </w:r>
    </w:p>
    <w:p w14:paraId="3FD316BF" w14:textId="77777777" w:rsidR="00ED0FA9" w:rsidRDefault="00ED0FA9" w:rsidP="00753324">
      <w:pPr>
        <w:pStyle w:val="Heading3"/>
        <w:keepNext w:val="0"/>
        <w:numPr>
          <w:ilvl w:val="0"/>
          <w:numId w:val="0"/>
        </w:numPr>
        <w:tabs>
          <w:tab w:val="left" w:pos="993"/>
        </w:tabs>
        <w:rPr>
          <w:szCs w:val="24"/>
          <w:lang w:val="en-US"/>
        </w:rPr>
      </w:pPr>
      <w:bookmarkStart w:id="91" w:name="_Toc45622612"/>
    </w:p>
    <w:p w14:paraId="0CFB9DC4" w14:textId="1730A267" w:rsidR="00C82817" w:rsidRPr="00AC1E0D" w:rsidRDefault="00753324" w:rsidP="00753324">
      <w:pPr>
        <w:pStyle w:val="Heading3"/>
        <w:keepNext w:val="0"/>
        <w:numPr>
          <w:ilvl w:val="0"/>
          <w:numId w:val="0"/>
        </w:numPr>
        <w:tabs>
          <w:tab w:val="left" w:pos="993"/>
        </w:tabs>
        <w:rPr>
          <w:szCs w:val="24"/>
          <w:lang w:val="en-US"/>
        </w:rPr>
      </w:pPr>
      <w:r>
        <w:rPr>
          <w:szCs w:val="24"/>
          <w:lang w:val="en-US"/>
        </w:rPr>
        <w:t>A</w:t>
      </w:r>
      <w:r w:rsidR="00ED0FA9">
        <w:rPr>
          <w:szCs w:val="24"/>
          <w:lang w:val="en-US"/>
        </w:rPr>
        <w:t>4</w:t>
      </w:r>
      <w:r w:rsidR="001E3BDE">
        <w:rPr>
          <w:szCs w:val="24"/>
          <w:lang w:val="en-US"/>
        </w:rPr>
        <w:t>.1.3</w:t>
      </w:r>
      <w:r w:rsidR="001E3BDE">
        <w:rPr>
          <w:szCs w:val="24"/>
          <w:lang w:val="en-US"/>
        </w:rPr>
        <w:tab/>
      </w:r>
      <w:r w:rsidR="00C82817" w:rsidRPr="00AC1E0D">
        <w:rPr>
          <w:szCs w:val="24"/>
          <w:lang w:val="en-US"/>
        </w:rPr>
        <w:t>Modifying Contracts (AASB 15.18-15.21)</w:t>
      </w:r>
      <w:bookmarkEnd w:id="91"/>
    </w:p>
    <w:p w14:paraId="2BE013E3" w14:textId="77777777" w:rsidR="00C82817" w:rsidRDefault="00C82817" w:rsidP="005B5746">
      <w:pPr>
        <w:pStyle w:val="Default"/>
        <w:spacing w:before="120"/>
        <w:rPr>
          <w:rFonts w:ascii="Calibri" w:hAnsi="Calibri"/>
          <w:color w:val="auto"/>
        </w:rPr>
      </w:pPr>
      <w:r w:rsidRPr="007F2C99">
        <w:rPr>
          <w:rFonts w:ascii="Calibri" w:hAnsi="Calibri"/>
          <w:color w:val="auto"/>
        </w:rPr>
        <w:t>A contract may be modified to create new or change existing enforceable rights and obligations of the parties to the contract.</w:t>
      </w:r>
      <w:r>
        <w:rPr>
          <w:rFonts w:ascii="Calibri" w:hAnsi="Calibri"/>
          <w:color w:val="auto"/>
        </w:rPr>
        <w:t xml:space="preserve">  Contract modifications are common in long-term contracts where amendments are made to the goods and services supplied during the contract period.  </w:t>
      </w:r>
    </w:p>
    <w:p w14:paraId="4E67C155" w14:textId="77777777" w:rsidR="00C82817" w:rsidRDefault="00C82817" w:rsidP="00C82817">
      <w:pPr>
        <w:pStyle w:val="Default"/>
        <w:rPr>
          <w:rFonts w:ascii="Calibri" w:hAnsi="Calibri"/>
          <w:color w:val="auto"/>
        </w:rPr>
      </w:pPr>
    </w:p>
    <w:p w14:paraId="7D70B9DC" w14:textId="2329BB6B" w:rsidR="00C82817" w:rsidRDefault="00C82817" w:rsidP="00C82817">
      <w:pPr>
        <w:pStyle w:val="Default"/>
        <w:rPr>
          <w:rFonts w:ascii="Calibri" w:hAnsi="Calibri"/>
          <w:color w:val="auto"/>
        </w:rPr>
      </w:pPr>
      <w:r>
        <w:rPr>
          <w:rFonts w:ascii="Calibri" w:hAnsi="Calibri"/>
          <w:color w:val="auto"/>
        </w:rPr>
        <w:t>Contract modifications may be recognised as adjustments to the original contract or as a new separate contract depending on whether or not new or distinct performance obligations with standalone selling prices are being created as a result of the modification.</w:t>
      </w:r>
      <w:r w:rsidRPr="007F2C99">
        <w:rPr>
          <w:rFonts w:ascii="Calibri" w:hAnsi="Calibri"/>
          <w:color w:val="auto"/>
        </w:rPr>
        <w:t xml:space="preserve"> </w:t>
      </w:r>
      <w:r>
        <w:rPr>
          <w:rFonts w:ascii="Calibri" w:hAnsi="Calibri"/>
          <w:color w:val="auto"/>
        </w:rPr>
        <w:t>This decision can require significant judgement.</w:t>
      </w:r>
    </w:p>
    <w:p w14:paraId="062C3A65" w14:textId="77777777" w:rsidR="00666DAC" w:rsidRPr="007F2C99" w:rsidRDefault="00666DAC" w:rsidP="00C82817">
      <w:pPr>
        <w:pStyle w:val="Default"/>
        <w:rPr>
          <w:rFonts w:ascii="Calibri" w:hAnsi="Calibri"/>
          <w:color w:val="auto"/>
        </w:rPr>
      </w:pPr>
    </w:p>
    <w:p w14:paraId="08D66B61" w14:textId="00BD5226" w:rsidR="00C82817" w:rsidRPr="000E57E8" w:rsidRDefault="00753324" w:rsidP="00753324">
      <w:pPr>
        <w:pStyle w:val="Heading2"/>
        <w:tabs>
          <w:tab w:val="left" w:pos="709"/>
        </w:tabs>
        <w:ind w:left="1701" w:hanging="1701"/>
      </w:pPr>
      <w:bookmarkStart w:id="92" w:name="_Toc45622613"/>
      <w:r>
        <w:t>A</w:t>
      </w:r>
      <w:r w:rsidR="00ED0FA9">
        <w:t>4</w:t>
      </w:r>
      <w:r>
        <w:t>.2.</w:t>
      </w:r>
      <w:r>
        <w:tab/>
      </w:r>
      <w:r w:rsidR="00C82817" w:rsidRPr="000E57E8">
        <w:t xml:space="preserve">Step 2: </w:t>
      </w:r>
      <w:bookmarkStart w:id="93" w:name="_Hlk45385583"/>
      <w:r w:rsidR="00C82817" w:rsidRPr="000E57E8">
        <w:t>Identify performance obligations (AASB 15.22-15.45 &amp; 15.F20-F27)</w:t>
      </w:r>
      <w:bookmarkEnd w:id="93"/>
      <w:bookmarkEnd w:id="92"/>
    </w:p>
    <w:p w14:paraId="142B0C2D" w14:textId="77777777" w:rsidR="00C82817" w:rsidRDefault="00C82817" w:rsidP="00C82817">
      <w:pPr>
        <w:pStyle w:val="Default"/>
        <w:rPr>
          <w:rFonts w:ascii="Calibri" w:hAnsi="Calibri"/>
          <w:color w:val="auto"/>
        </w:rPr>
      </w:pPr>
      <w:r w:rsidRPr="00FB7A6A">
        <w:rPr>
          <w:rFonts w:ascii="Calibri" w:hAnsi="Calibri"/>
          <w:color w:val="auto"/>
        </w:rPr>
        <w:t xml:space="preserve">The second step is to identify the performance obligations </w:t>
      </w:r>
      <w:r>
        <w:rPr>
          <w:rFonts w:ascii="Calibri" w:hAnsi="Calibri"/>
          <w:color w:val="auto"/>
        </w:rPr>
        <w:t>in the contract</w:t>
      </w:r>
      <w:r w:rsidRPr="00FB7A6A">
        <w:rPr>
          <w:rFonts w:ascii="Calibri" w:hAnsi="Calibri"/>
          <w:color w:val="auto"/>
        </w:rPr>
        <w:t xml:space="preserve">.  </w:t>
      </w:r>
      <w:r>
        <w:rPr>
          <w:rFonts w:ascii="Calibri" w:hAnsi="Calibri"/>
          <w:color w:val="auto"/>
        </w:rPr>
        <w:t>Properly identifying performance obligations in a contract is one of the core principles of AASB 15.  Performance obligations may be explicitly stated in the contract or be implied by the entity’s customary business practices.</w:t>
      </w:r>
    </w:p>
    <w:p w14:paraId="527EE4AD" w14:textId="77777777" w:rsidR="00C82817" w:rsidRDefault="00C82817" w:rsidP="00C82817">
      <w:pPr>
        <w:pStyle w:val="Default"/>
        <w:rPr>
          <w:rFonts w:ascii="Calibri" w:hAnsi="Calibri"/>
          <w:color w:val="auto"/>
        </w:rPr>
      </w:pPr>
    </w:p>
    <w:p w14:paraId="6917A1E1" w14:textId="77777777" w:rsidR="00C82817" w:rsidRDefault="00C82817" w:rsidP="00C82817">
      <w:pPr>
        <w:pStyle w:val="Default"/>
        <w:rPr>
          <w:rFonts w:ascii="Calibri" w:hAnsi="Calibri"/>
          <w:color w:val="auto"/>
        </w:rPr>
      </w:pPr>
      <w:r>
        <w:rPr>
          <w:rFonts w:ascii="Calibri" w:hAnsi="Calibri"/>
          <w:color w:val="auto"/>
        </w:rPr>
        <w:t>Entities need to identify each distinct performance obligation.  A performance obligation is distinct if (AASB 15.27):</w:t>
      </w:r>
    </w:p>
    <w:p w14:paraId="4AAA1732" w14:textId="77777777" w:rsidR="00C82817" w:rsidRDefault="00C82817" w:rsidP="00C82817">
      <w:pPr>
        <w:pStyle w:val="Default"/>
        <w:numPr>
          <w:ilvl w:val="0"/>
          <w:numId w:val="19"/>
        </w:numPr>
        <w:rPr>
          <w:rFonts w:ascii="Calibri" w:hAnsi="Calibri"/>
          <w:color w:val="auto"/>
        </w:rPr>
      </w:pPr>
      <w:r>
        <w:rPr>
          <w:rFonts w:ascii="Calibri" w:hAnsi="Calibri"/>
          <w:color w:val="auto"/>
        </w:rPr>
        <w:t>the customer can benefit from the good or service either on its own or together with other resources; and</w:t>
      </w:r>
    </w:p>
    <w:p w14:paraId="7A48A690" w14:textId="77777777" w:rsidR="00C82817" w:rsidRDefault="00C82817" w:rsidP="00C82817">
      <w:pPr>
        <w:pStyle w:val="Default"/>
        <w:numPr>
          <w:ilvl w:val="0"/>
          <w:numId w:val="19"/>
        </w:numPr>
        <w:rPr>
          <w:rFonts w:ascii="Calibri" w:hAnsi="Calibri"/>
          <w:color w:val="auto"/>
        </w:rPr>
      </w:pPr>
      <w:r>
        <w:rPr>
          <w:rFonts w:ascii="Calibri" w:hAnsi="Calibri"/>
          <w:color w:val="auto"/>
        </w:rPr>
        <w:t>the promise is separately identifiable.</w:t>
      </w:r>
    </w:p>
    <w:p w14:paraId="502AD481" w14:textId="77777777" w:rsidR="00C82817" w:rsidRDefault="00C82817" w:rsidP="00C82817">
      <w:pPr>
        <w:pStyle w:val="Default"/>
        <w:rPr>
          <w:rFonts w:ascii="Calibri" w:hAnsi="Calibri"/>
          <w:color w:val="auto"/>
        </w:rPr>
      </w:pPr>
    </w:p>
    <w:p w14:paraId="16272BD0" w14:textId="21A17D5E" w:rsidR="00C82817" w:rsidRDefault="00C82817" w:rsidP="00C82817">
      <w:pPr>
        <w:pStyle w:val="Default"/>
        <w:rPr>
          <w:rFonts w:ascii="Calibri" w:hAnsi="Calibri"/>
          <w:color w:val="auto"/>
        </w:rPr>
      </w:pPr>
      <w:r>
        <w:rPr>
          <w:rFonts w:ascii="Calibri" w:hAnsi="Calibri"/>
          <w:color w:val="auto"/>
        </w:rPr>
        <w:t>On the other hand, a</w:t>
      </w:r>
      <w:r w:rsidRPr="00DA4C13">
        <w:rPr>
          <w:rFonts w:ascii="Calibri" w:hAnsi="Calibri"/>
          <w:color w:val="auto"/>
        </w:rPr>
        <w:t xml:space="preserve">n entity may need to break down </w:t>
      </w:r>
      <w:r>
        <w:rPr>
          <w:rFonts w:ascii="Calibri" w:hAnsi="Calibri"/>
          <w:color w:val="auto"/>
        </w:rPr>
        <w:t xml:space="preserve">a </w:t>
      </w:r>
      <w:r w:rsidRPr="00DA4C13">
        <w:rPr>
          <w:rFonts w:ascii="Calibri" w:hAnsi="Calibri"/>
          <w:color w:val="auto"/>
        </w:rPr>
        <w:t xml:space="preserve">contract into </w:t>
      </w:r>
      <w:r>
        <w:rPr>
          <w:rFonts w:ascii="Calibri" w:hAnsi="Calibri"/>
          <w:color w:val="auto"/>
        </w:rPr>
        <w:t>its</w:t>
      </w:r>
      <w:r w:rsidRPr="00DA4C13">
        <w:rPr>
          <w:rFonts w:ascii="Calibri" w:hAnsi="Calibri"/>
          <w:color w:val="auto"/>
        </w:rPr>
        <w:t xml:space="preserve"> individual components, or ‘un-bundling’, to assess performance conditions of a contract separately. Un-bundling is relevant in contracts where entities sell the bundled products separately, as well as part of a discounted bundle.</w:t>
      </w:r>
      <w:r>
        <w:rPr>
          <w:rFonts w:ascii="Calibri" w:hAnsi="Calibri"/>
          <w:color w:val="auto"/>
        </w:rPr>
        <w:t xml:space="preserve">  Under AASB 15, revenue recognition is based on performance obligations rather than the contract as a whole.</w:t>
      </w:r>
    </w:p>
    <w:p w14:paraId="4B534C40" w14:textId="55A10991" w:rsidR="00883B14" w:rsidRDefault="00883B14" w:rsidP="00C82817">
      <w:pPr>
        <w:pStyle w:val="Default"/>
        <w:rPr>
          <w:rFonts w:ascii="Calibri" w:hAnsi="Calibri"/>
          <w:color w:val="auto"/>
        </w:rPr>
      </w:pPr>
    </w:p>
    <w:p w14:paraId="7A3E4F13" w14:textId="3172ABAC" w:rsidR="00C82817" w:rsidRPr="002628CE" w:rsidRDefault="00753324" w:rsidP="00753324">
      <w:pPr>
        <w:pStyle w:val="Heading2"/>
        <w:tabs>
          <w:tab w:val="left" w:pos="709"/>
        </w:tabs>
        <w:ind w:left="1701" w:hanging="1701"/>
      </w:pPr>
      <w:bookmarkStart w:id="94" w:name="_Toc45622614"/>
      <w:r>
        <w:t>A</w:t>
      </w:r>
      <w:r w:rsidR="00ED0FA9">
        <w:t>4</w:t>
      </w:r>
      <w:r>
        <w:t>.3</w:t>
      </w:r>
      <w:r>
        <w:tab/>
      </w:r>
      <w:r w:rsidR="00C82817" w:rsidRPr="002628CE">
        <w:t>Step 3: Determine the transaction price (AASB 15.46-15.72</w:t>
      </w:r>
      <w:r w:rsidR="00C82817">
        <w:t xml:space="preserve"> &amp; 15.F28-F32</w:t>
      </w:r>
      <w:r w:rsidR="00C82817" w:rsidRPr="002628CE">
        <w:t>)</w:t>
      </w:r>
      <w:bookmarkEnd w:id="94"/>
    </w:p>
    <w:p w14:paraId="53F77CA3" w14:textId="77777777" w:rsidR="00F56733" w:rsidRDefault="00C82817" w:rsidP="00C82817">
      <w:pPr>
        <w:pStyle w:val="Default"/>
        <w:rPr>
          <w:rFonts w:ascii="Calibri" w:hAnsi="Calibri" w:cs="Arial"/>
          <w:color w:val="101010"/>
          <w:lang w:val="en"/>
        </w:rPr>
      </w:pPr>
      <w:r>
        <w:rPr>
          <w:rFonts w:ascii="Calibri" w:hAnsi="Calibri" w:cs="Arial"/>
          <w:color w:val="101010"/>
          <w:lang w:val="en"/>
        </w:rPr>
        <w:t xml:space="preserve">The transaction price is the amount of consideration which an entity expects to be entitled to in exchange for transferring goods or services to the customer.  </w:t>
      </w:r>
      <w:r w:rsidRPr="00DA4C13">
        <w:rPr>
          <w:rFonts w:ascii="Calibri" w:hAnsi="Calibri" w:cs="Arial"/>
          <w:color w:val="101010"/>
          <w:lang w:val="en"/>
        </w:rPr>
        <w:t>Usually, the transaction price is a fixed amount.</w:t>
      </w:r>
      <w:r>
        <w:rPr>
          <w:rFonts w:ascii="Calibri" w:hAnsi="Calibri" w:cs="Arial"/>
          <w:color w:val="101010"/>
          <w:lang w:val="en"/>
        </w:rPr>
        <w:t xml:space="preserve">  </w:t>
      </w:r>
      <w:r w:rsidRPr="00DA4C13">
        <w:rPr>
          <w:rFonts w:ascii="Calibri" w:hAnsi="Calibri" w:cs="Arial"/>
          <w:color w:val="101010"/>
          <w:lang w:val="en"/>
        </w:rPr>
        <w:t>However, the transaction price c</w:t>
      </w:r>
      <w:r>
        <w:rPr>
          <w:rFonts w:ascii="Calibri" w:hAnsi="Calibri" w:cs="Arial"/>
          <w:color w:val="101010"/>
          <w:lang w:val="en"/>
        </w:rPr>
        <w:t>ould</w:t>
      </w:r>
      <w:r w:rsidRPr="00DA4C13">
        <w:rPr>
          <w:rFonts w:ascii="Calibri" w:hAnsi="Calibri" w:cs="Arial"/>
          <w:color w:val="101010"/>
          <w:lang w:val="en"/>
        </w:rPr>
        <w:t xml:space="preserve"> vary because of discounts, rebates, refunds</w:t>
      </w:r>
      <w:r>
        <w:rPr>
          <w:rFonts w:ascii="Calibri" w:hAnsi="Calibri" w:cs="Arial"/>
          <w:color w:val="101010"/>
          <w:lang w:val="en"/>
        </w:rPr>
        <w:t xml:space="preserve"> etc</w:t>
      </w:r>
      <w:r w:rsidRPr="00DA4C13">
        <w:rPr>
          <w:rFonts w:ascii="Calibri" w:hAnsi="Calibri" w:cs="Arial"/>
          <w:color w:val="101010"/>
          <w:lang w:val="en"/>
        </w:rPr>
        <w:t>.</w:t>
      </w:r>
      <w:r>
        <w:rPr>
          <w:rFonts w:ascii="Calibri" w:hAnsi="Calibri" w:cs="Arial"/>
          <w:color w:val="101010"/>
          <w:lang w:val="en"/>
        </w:rPr>
        <w:t xml:space="preserve">  </w:t>
      </w:r>
      <w:r w:rsidRPr="00DA4C13">
        <w:rPr>
          <w:rFonts w:ascii="Calibri" w:hAnsi="Calibri" w:cs="Arial"/>
          <w:color w:val="101010"/>
          <w:lang w:val="en"/>
        </w:rPr>
        <w:t>An entity should consider the effects of variable consideration and include those elements in the transaction price.</w:t>
      </w:r>
    </w:p>
    <w:p w14:paraId="2C2A81C8" w14:textId="77777777" w:rsidR="00F56733" w:rsidRDefault="00F56733" w:rsidP="00C82817">
      <w:pPr>
        <w:pStyle w:val="Default"/>
        <w:rPr>
          <w:rFonts w:ascii="Calibri" w:hAnsi="Calibri" w:cs="Arial"/>
          <w:color w:val="101010"/>
          <w:lang w:val="en"/>
        </w:rPr>
      </w:pPr>
    </w:p>
    <w:p w14:paraId="7507AE97" w14:textId="4C7EA2AF" w:rsidR="00F56733" w:rsidRDefault="00F56733" w:rsidP="00C82817">
      <w:pPr>
        <w:pStyle w:val="Default"/>
        <w:rPr>
          <w:rFonts w:ascii="Calibri" w:hAnsi="Calibri" w:cs="Arial"/>
          <w:color w:val="101010"/>
          <w:lang w:val="en"/>
        </w:rPr>
      </w:pPr>
      <w:r w:rsidRPr="00F56733">
        <w:rPr>
          <w:rFonts w:ascii="Calibri" w:hAnsi="Calibri" w:cs="Arial"/>
          <w:color w:val="101010"/>
          <w:lang w:val="en"/>
        </w:rPr>
        <w:lastRenderedPageBreak/>
        <w:t xml:space="preserve">The nature, timing and amount of consideration promised by a customer affect the estimate of the transaction price. When determining the transaction price, </w:t>
      </w:r>
      <w:r>
        <w:rPr>
          <w:rFonts w:ascii="Calibri" w:hAnsi="Calibri" w:cs="Arial"/>
          <w:color w:val="101010"/>
          <w:lang w:val="en"/>
        </w:rPr>
        <w:t>agencies</w:t>
      </w:r>
      <w:r w:rsidRPr="00F56733">
        <w:rPr>
          <w:rFonts w:ascii="Calibri" w:hAnsi="Calibri" w:cs="Arial"/>
          <w:color w:val="101010"/>
          <w:lang w:val="en"/>
        </w:rPr>
        <w:t xml:space="preserve"> shall consider the effects of all the following:</w:t>
      </w:r>
    </w:p>
    <w:p w14:paraId="1F67632A" w14:textId="5ED84208" w:rsidR="00F56733" w:rsidRDefault="00F56733" w:rsidP="001E3BDE">
      <w:pPr>
        <w:pStyle w:val="Default"/>
        <w:ind w:firstLine="284"/>
        <w:rPr>
          <w:rFonts w:ascii="Calibri" w:hAnsi="Calibri" w:cs="Arial"/>
          <w:color w:val="101010"/>
          <w:lang w:val="en"/>
        </w:rPr>
      </w:pPr>
      <w:r w:rsidRPr="00F56733">
        <w:rPr>
          <w:rFonts w:ascii="Calibri" w:hAnsi="Calibri" w:cs="Arial"/>
          <w:color w:val="101010"/>
          <w:lang w:val="en"/>
        </w:rPr>
        <w:t>(a) variable consideration (paragraphs 50–55 and 59);</w:t>
      </w:r>
    </w:p>
    <w:p w14:paraId="1E2086CA" w14:textId="296A2192" w:rsidR="00F56733" w:rsidRDefault="00F56733" w:rsidP="001E3BDE">
      <w:pPr>
        <w:pStyle w:val="Default"/>
        <w:ind w:firstLine="284"/>
        <w:rPr>
          <w:rFonts w:ascii="Calibri" w:hAnsi="Calibri" w:cs="Arial"/>
          <w:color w:val="101010"/>
          <w:lang w:val="en"/>
        </w:rPr>
      </w:pPr>
      <w:r w:rsidRPr="00F56733">
        <w:rPr>
          <w:rFonts w:ascii="Calibri" w:hAnsi="Calibri" w:cs="Arial"/>
          <w:color w:val="101010"/>
          <w:lang w:val="en"/>
        </w:rPr>
        <w:t xml:space="preserve">(b) constraining estimates of variable consideration (paragraphs 56–58); </w:t>
      </w:r>
    </w:p>
    <w:p w14:paraId="5AFF6C42" w14:textId="163087D9" w:rsidR="00F56733" w:rsidRDefault="00F56733" w:rsidP="001E3BDE">
      <w:pPr>
        <w:pStyle w:val="Default"/>
        <w:ind w:left="680" w:hanging="396"/>
        <w:rPr>
          <w:rFonts w:ascii="Calibri" w:hAnsi="Calibri" w:cs="Arial"/>
          <w:color w:val="101010"/>
          <w:lang w:val="en"/>
        </w:rPr>
      </w:pPr>
      <w:r w:rsidRPr="00F56733">
        <w:rPr>
          <w:rFonts w:ascii="Calibri" w:hAnsi="Calibri" w:cs="Arial"/>
          <w:color w:val="101010"/>
          <w:lang w:val="en"/>
        </w:rPr>
        <w:t>(c) the existence of a significant financing component in the contract (paragraphs 60</w:t>
      </w:r>
      <w:r w:rsidR="001E3BDE">
        <w:rPr>
          <w:rFonts w:ascii="Calibri" w:hAnsi="Calibri" w:cs="Arial"/>
          <w:color w:val="101010"/>
          <w:lang w:val="en"/>
        </w:rPr>
        <w:t>-</w:t>
      </w:r>
      <w:r w:rsidRPr="00F56733">
        <w:rPr>
          <w:rFonts w:ascii="Calibri" w:hAnsi="Calibri" w:cs="Arial"/>
          <w:color w:val="101010"/>
          <w:lang w:val="en"/>
        </w:rPr>
        <w:t xml:space="preserve">65); </w:t>
      </w:r>
    </w:p>
    <w:p w14:paraId="6C431E5E" w14:textId="6796B0C2" w:rsidR="00F56733" w:rsidRDefault="00F56733" w:rsidP="001E3BDE">
      <w:pPr>
        <w:pStyle w:val="Default"/>
        <w:ind w:firstLine="284"/>
        <w:rPr>
          <w:rFonts w:ascii="Calibri" w:hAnsi="Calibri" w:cs="Arial"/>
          <w:color w:val="101010"/>
          <w:lang w:val="en"/>
        </w:rPr>
      </w:pPr>
      <w:r w:rsidRPr="00F56733">
        <w:rPr>
          <w:rFonts w:ascii="Calibri" w:hAnsi="Calibri" w:cs="Arial"/>
          <w:color w:val="101010"/>
          <w:lang w:val="en"/>
        </w:rPr>
        <w:t xml:space="preserve">(d) non-cash consideration (paragraphs 66–69); and </w:t>
      </w:r>
    </w:p>
    <w:p w14:paraId="695B7706" w14:textId="1B07F0B3" w:rsidR="00F56733" w:rsidRDefault="00F56733" w:rsidP="001E3BDE">
      <w:pPr>
        <w:pStyle w:val="Default"/>
        <w:ind w:firstLine="284"/>
        <w:rPr>
          <w:rFonts w:ascii="Calibri" w:hAnsi="Calibri" w:cs="Arial"/>
          <w:color w:val="101010"/>
          <w:lang w:val="en"/>
        </w:rPr>
      </w:pPr>
      <w:r w:rsidRPr="00F56733">
        <w:rPr>
          <w:rFonts w:ascii="Calibri" w:hAnsi="Calibri" w:cs="Arial"/>
          <w:color w:val="101010"/>
          <w:lang w:val="en"/>
        </w:rPr>
        <w:t xml:space="preserve">(e) consideration payable to a customer (paragraphs 70–72). </w:t>
      </w:r>
    </w:p>
    <w:p w14:paraId="04CFC29E" w14:textId="77777777" w:rsidR="00F56733" w:rsidRDefault="00F56733" w:rsidP="00F56733">
      <w:pPr>
        <w:pStyle w:val="Default"/>
        <w:rPr>
          <w:rFonts w:ascii="Calibri" w:hAnsi="Calibri" w:cs="Arial"/>
          <w:color w:val="101010"/>
          <w:lang w:val="en"/>
        </w:rPr>
      </w:pPr>
    </w:p>
    <w:p w14:paraId="3502E83F" w14:textId="2B2B5742" w:rsidR="00C82817" w:rsidRDefault="00F56733" w:rsidP="00F56733">
      <w:pPr>
        <w:pStyle w:val="Default"/>
        <w:rPr>
          <w:rFonts w:ascii="Calibri" w:hAnsi="Calibri" w:cs="Arial"/>
          <w:color w:val="101010"/>
          <w:lang w:val="en"/>
        </w:rPr>
      </w:pPr>
      <w:r w:rsidRPr="00F56733">
        <w:rPr>
          <w:rFonts w:ascii="Calibri" w:hAnsi="Calibri" w:cs="Arial"/>
          <w:color w:val="101010"/>
          <w:lang w:val="en"/>
        </w:rPr>
        <w:t>For the purpose of determining the transaction price, a</w:t>
      </w:r>
      <w:r>
        <w:rPr>
          <w:rFonts w:ascii="Calibri" w:hAnsi="Calibri" w:cs="Arial"/>
          <w:color w:val="101010"/>
          <w:lang w:val="en"/>
        </w:rPr>
        <w:t>gencies</w:t>
      </w:r>
      <w:r w:rsidRPr="00F56733">
        <w:rPr>
          <w:rFonts w:ascii="Calibri" w:hAnsi="Calibri" w:cs="Arial"/>
          <w:color w:val="101010"/>
          <w:lang w:val="en"/>
        </w:rPr>
        <w:t xml:space="preserve"> shall assume that the goods or services will be transferred to the customer as promised in accordance with the existing contract and that the contract will not be cancelled, renewed or modified.</w:t>
      </w:r>
      <w:r w:rsidR="00C82817" w:rsidRPr="00DA4C13">
        <w:rPr>
          <w:rFonts w:ascii="Calibri" w:hAnsi="Calibri" w:cs="Arial"/>
          <w:color w:val="101010"/>
          <w:lang w:val="en"/>
        </w:rPr>
        <w:t>   </w:t>
      </w:r>
    </w:p>
    <w:p w14:paraId="38BF3620" w14:textId="1A8C377A" w:rsidR="00F56733" w:rsidRDefault="00F56733" w:rsidP="00F56733">
      <w:pPr>
        <w:pStyle w:val="Default"/>
        <w:rPr>
          <w:rFonts w:ascii="Calibri" w:hAnsi="Calibri" w:cs="Arial"/>
          <w:color w:val="101010"/>
          <w:lang w:val="en"/>
        </w:rPr>
      </w:pPr>
    </w:p>
    <w:p w14:paraId="3EB58D77" w14:textId="40119EC3" w:rsidR="00F56733" w:rsidRPr="00F56733" w:rsidRDefault="00F56733" w:rsidP="00F56733">
      <w:pPr>
        <w:pStyle w:val="Default"/>
        <w:rPr>
          <w:rFonts w:ascii="Calibri" w:hAnsi="Calibri" w:cs="Arial"/>
          <w:color w:val="101010"/>
          <w:lang w:val="en"/>
        </w:rPr>
      </w:pPr>
      <w:r w:rsidRPr="00F56733">
        <w:rPr>
          <w:rFonts w:ascii="Calibri" w:hAnsi="Calibri" w:cs="Arial"/>
          <w:color w:val="101010"/>
          <w:lang w:val="en"/>
        </w:rPr>
        <w:t>Variable consideration could exist even when the price appears fixed. If price can change due to the occurrence or non-occurrence of future events, such as liquidated damages in a construction contract, the price includes both fixed (e.g. total amount less maximum amount of liquidated damages that could be paid) and variable consideration (e.g. the liquidated damage that will not be paid). For example, a $10m development contract, with a $2m penalty if not completed on time has an $8m fixed and a $2m variable component.</w:t>
      </w:r>
    </w:p>
    <w:p w14:paraId="10391299" w14:textId="6A121752" w:rsidR="00F56733" w:rsidRDefault="00F56733" w:rsidP="00F56733">
      <w:pPr>
        <w:pStyle w:val="Default"/>
        <w:rPr>
          <w:rFonts w:ascii="Calibri" w:hAnsi="Calibri" w:cs="Arial"/>
          <w:color w:val="101010"/>
          <w:lang w:val="en"/>
        </w:rPr>
      </w:pPr>
      <w:r w:rsidRPr="00F56733">
        <w:rPr>
          <w:rFonts w:ascii="Calibri" w:hAnsi="Calibri" w:cs="Arial"/>
          <w:color w:val="101010"/>
          <w:lang w:val="en"/>
        </w:rPr>
        <w:t>Other examples include transaction price based on a fixed percentage of an underlying value (e.g. net assets) or a fixed amount per usage, price protection clauses, and anticipated price concessions.</w:t>
      </w:r>
    </w:p>
    <w:p w14:paraId="71FAC913" w14:textId="3D00C3CE" w:rsidR="00F56733" w:rsidRDefault="00F56733" w:rsidP="00F56733">
      <w:pPr>
        <w:pStyle w:val="Default"/>
        <w:rPr>
          <w:rFonts w:ascii="Calibri" w:hAnsi="Calibri" w:cs="Arial"/>
          <w:color w:val="101010"/>
          <w:lang w:val="en"/>
        </w:rPr>
      </w:pPr>
    </w:p>
    <w:p w14:paraId="616490DF" w14:textId="5C2D5E8A" w:rsidR="001E3BDE" w:rsidRDefault="00F56733" w:rsidP="00F56733">
      <w:pPr>
        <w:pStyle w:val="Default"/>
      </w:pPr>
      <w:r>
        <w:t xml:space="preserve">For most contracts in the ACT Government the level of variable consideration is not expected to be significant. </w:t>
      </w:r>
    </w:p>
    <w:p w14:paraId="5390BBE8" w14:textId="77777777" w:rsidR="001E3BDE" w:rsidRDefault="001E3BDE">
      <w:pPr>
        <w:spacing w:after="160" w:line="259" w:lineRule="auto"/>
        <w:rPr>
          <w:rFonts w:ascii="EYInterstate" w:eastAsia="Calibri" w:hAnsi="EYInterstate" w:cs="EYInterstate"/>
          <w:color w:val="000000"/>
          <w:szCs w:val="24"/>
          <w:lang w:eastAsia="en-AU"/>
        </w:rPr>
      </w:pPr>
      <w:r>
        <w:br w:type="page"/>
      </w:r>
    </w:p>
    <w:p w14:paraId="1ADF7D00" w14:textId="7BF1E1F3" w:rsidR="00C82817" w:rsidRPr="002628CE" w:rsidRDefault="00753324" w:rsidP="00753324">
      <w:pPr>
        <w:pStyle w:val="Heading2"/>
        <w:tabs>
          <w:tab w:val="left" w:pos="709"/>
        </w:tabs>
        <w:ind w:left="1701" w:hanging="1701"/>
      </w:pPr>
      <w:bookmarkStart w:id="95" w:name="_Toc45622615"/>
      <w:r>
        <w:lastRenderedPageBreak/>
        <w:t>A</w:t>
      </w:r>
      <w:r w:rsidR="00ED0FA9">
        <w:t>4</w:t>
      </w:r>
      <w:r>
        <w:t>.4</w:t>
      </w:r>
      <w:r>
        <w:tab/>
      </w:r>
      <w:r w:rsidR="00C82817" w:rsidRPr="000E57E8">
        <w:t>Step</w:t>
      </w:r>
      <w:r w:rsidR="00C82817" w:rsidRPr="002628CE">
        <w:t xml:space="preserve"> 4: Allocate the transaction price to performance obligations (AASB 15.73-15.94)</w:t>
      </w:r>
      <w:bookmarkEnd w:id="95"/>
    </w:p>
    <w:p w14:paraId="2D35A450" w14:textId="77777777" w:rsidR="00C82817" w:rsidRPr="00DA4C13" w:rsidRDefault="00C82817" w:rsidP="00C82817">
      <w:pPr>
        <w:pStyle w:val="NormalWeb"/>
        <w:spacing w:after="0"/>
        <w:rPr>
          <w:rFonts w:ascii="Calibri" w:hAnsi="Calibri" w:cs="Arial"/>
          <w:color w:val="101010"/>
          <w:lang w:val="en"/>
        </w:rPr>
      </w:pPr>
      <w:r w:rsidRPr="00DA4C13">
        <w:rPr>
          <w:rFonts w:ascii="Calibri" w:hAnsi="Calibri" w:cs="Arial"/>
          <w:color w:val="101010"/>
          <w:lang w:val="en"/>
        </w:rPr>
        <w:t xml:space="preserve">Where a contract contains </w:t>
      </w:r>
      <w:r>
        <w:rPr>
          <w:rFonts w:ascii="Calibri" w:hAnsi="Calibri" w:cs="Arial"/>
          <w:color w:val="101010"/>
          <w:lang w:val="en"/>
        </w:rPr>
        <w:t xml:space="preserve">multiple </w:t>
      </w:r>
      <w:r w:rsidRPr="00DA4C13">
        <w:rPr>
          <w:rFonts w:ascii="Calibri" w:hAnsi="Calibri" w:cs="Arial"/>
          <w:color w:val="101010"/>
          <w:lang w:val="en"/>
        </w:rPr>
        <w:t xml:space="preserve">performance </w:t>
      </w:r>
      <w:r>
        <w:rPr>
          <w:rFonts w:ascii="Calibri" w:hAnsi="Calibri" w:cs="Arial"/>
          <w:color w:val="101010"/>
          <w:lang w:val="en"/>
        </w:rPr>
        <w:t xml:space="preserve">obligations, </w:t>
      </w:r>
      <w:r w:rsidRPr="00DA4C13">
        <w:rPr>
          <w:rFonts w:ascii="Calibri" w:hAnsi="Calibri" w:cs="Arial"/>
          <w:color w:val="101010"/>
          <w:lang w:val="en"/>
        </w:rPr>
        <w:t xml:space="preserve">the transaction price needs to be allocated to each distinct performance obligation </w:t>
      </w:r>
      <w:proofErr w:type="gramStart"/>
      <w:r w:rsidRPr="00DA4C13">
        <w:rPr>
          <w:rFonts w:ascii="Calibri" w:hAnsi="Calibri" w:cs="Arial"/>
          <w:color w:val="101010"/>
          <w:lang w:val="en"/>
        </w:rPr>
        <w:t>on the basis of</w:t>
      </w:r>
      <w:proofErr w:type="gramEnd"/>
      <w:r w:rsidRPr="00DA4C13">
        <w:rPr>
          <w:rFonts w:ascii="Calibri" w:hAnsi="Calibri" w:cs="Arial"/>
          <w:color w:val="101010"/>
          <w:lang w:val="en"/>
        </w:rPr>
        <w:t xml:space="preserve"> relative stand-alone selling price.  The best evidence of stand-alone selling price is the price at which the good or service is sold separately by the entity.</w:t>
      </w:r>
    </w:p>
    <w:p w14:paraId="7DED5B3D" w14:textId="77777777" w:rsidR="00C82817" w:rsidRPr="00DA4C13" w:rsidRDefault="00C82817" w:rsidP="00C82817">
      <w:pPr>
        <w:pStyle w:val="NormalWeb"/>
        <w:spacing w:after="0"/>
        <w:rPr>
          <w:rFonts w:ascii="Calibri" w:hAnsi="Calibri" w:cs="Arial"/>
          <w:color w:val="101010"/>
          <w:lang w:val="en"/>
        </w:rPr>
      </w:pPr>
    </w:p>
    <w:p w14:paraId="15D22C9F" w14:textId="77777777" w:rsidR="00C82817" w:rsidRPr="00DA4C13" w:rsidRDefault="00C82817" w:rsidP="00C82817">
      <w:pPr>
        <w:pStyle w:val="NormalWeb"/>
        <w:spacing w:after="0"/>
        <w:rPr>
          <w:rFonts w:ascii="Calibri" w:hAnsi="Calibri" w:cs="Arial"/>
          <w:color w:val="101010"/>
          <w:lang w:val="en"/>
        </w:rPr>
      </w:pPr>
      <w:r w:rsidRPr="00DA4C13">
        <w:rPr>
          <w:rFonts w:ascii="Calibri" w:hAnsi="Calibri" w:cs="Arial"/>
          <w:color w:val="101010"/>
          <w:lang w:val="en"/>
        </w:rPr>
        <w:t>If a stand-alone selling price is not directly observable, an entity should estimate a stand</w:t>
      </w:r>
      <w:r>
        <w:rPr>
          <w:rFonts w:ascii="Calibri" w:hAnsi="Calibri" w:cs="Arial"/>
          <w:color w:val="101010"/>
          <w:lang w:val="en"/>
        </w:rPr>
        <w:noBreakHyphen/>
      </w:r>
      <w:r w:rsidRPr="00DA4C13">
        <w:rPr>
          <w:rFonts w:ascii="Calibri" w:hAnsi="Calibri" w:cs="Arial"/>
          <w:color w:val="101010"/>
          <w:lang w:val="en"/>
        </w:rPr>
        <w:t xml:space="preserve">alone value </w:t>
      </w:r>
      <w:proofErr w:type="gramStart"/>
      <w:r w:rsidRPr="00DA4C13">
        <w:rPr>
          <w:rFonts w:ascii="Calibri" w:hAnsi="Calibri" w:cs="Arial"/>
          <w:color w:val="101010"/>
          <w:lang w:val="en"/>
        </w:rPr>
        <w:t>taking into account</w:t>
      </w:r>
      <w:proofErr w:type="gramEnd"/>
      <w:r w:rsidRPr="00DA4C13">
        <w:rPr>
          <w:rFonts w:ascii="Calibri" w:hAnsi="Calibri" w:cs="Arial"/>
          <w:color w:val="101010"/>
          <w:lang w:val="en"/>
        </w:rPr>
        <w:t xml:space="preserve"> market conditions, entity-specific factors and information about the customer or class of customer.  This could be done by using an ‘adjusted market assessment approach’ which may include referring to competitors’ prices for similar goods or services; or an ‘expected cost plus approach’ in which an entity estimates its costs to satisfy that performance obligation and then adds an appropriate margin.</w:t>
      </w:r>
    </w:p>
    <w:p w14:paraId="3B06942C" w14:textId="77777777" w:rsidR="00C82817" w:rsidRPr="00DA4C13" w:rsidRDefault="00C82817" w:rsidP="00C82817">
      <w:pPr>
        <w:pStyle w:val="NormalWeb"/>
        <w:spacing w:after="0"/>
        <w:rPr>
          <w:rFonts w:ascii="Calibri" w:hAnsi="Calibri" w:cs="Arial"/>
          <w:color w:val="101010"/>
          <w:lang w:val="en"/>
        </w:rPr>
      </w:pPr>
    </w:p>
    <w:p w14:paraId="066F2F9C" w14:textId="77777777" w:rsidR="00C82817" w:rsidRDefault="00C82817" w:rsidP="00C82817">
      <w:pPr>
        <w:pStyle w:val="NormalWeb"/>
        <w:spacing w:after="0"/>
        <w:rPr>
          <w:rFonts w:ascii="Calibri" w:hAnsi="Calibri" w:cs="Arial"/>
          <w:color w:val="101010"/>
          <w:lang w:val="en"/>
        </w:rPr>
      </w:pPr>
      <w:r w:rsidRPr="00DA4C13">
        <w:rPr>
          <w:rFonts w:ascii="Calibri" w:hAnsi="Calibri" w:cs="Arial"/>
          <w:color w:val="101010"/>
          <w:lang w:val="en"/>
        </w:rPr>
        <w:t>An entity should not account for components within multiple performance obligations arrangements as ‘free’ goods or services and attribut</w:t>
      </w:r>
      <w:r>
        <w:rPr>
          <w:rFonts w:ascii="Calibri" w:hAnsi="Calibri" w:cs="Arial"/>
          <w:color w:val="101010"/>
          <w:lang w:val="en"/>
        </w:rPr>
        <w:t>e</w:t>
      </w:r>
      <w:r w:rsidRPr="00DA4C13">
        <w:rPr>
          <w:rFonts w:ascii="Calibri" w:hAnsi="Calibri" w:cs="Arial"/>
          <w:color w:val="101010"/>
          <w:lang w:val="en"/>
        </w:rPr>
        <w:t xml:space="preserve"> no transaction price to them.</w:t>
      </w:r>
    </w:p>
    <w:p w14:paraId="72821C0E" w14:textId="77777777" w:rsidR="00C82817" w:rsidRPr="00DA4C13" w:rsidRDefault="00C82817" w:rsidP="00C82817">
      <w:pPr>
        <w:pStyle w:val="NormalWeb"/>
        <w:spacing w:after="0"/>
        <w:rPr>
          <w:rFonts w:ascii="Calibri" w:hAnsi="Calibri" w:cs="Arial"/>
          <w:color w:val="101010"/>
          <w:lang w:val="en"/>
        </w:rPr>
      </w:pPr>
    </w:p>
    <w:p w14:paraId="047B419F" w14:textId="15372709" w:rsidR="00C82817" w:rsidRPr="002628CE" w:rsidRDefault="00753324" w:rsidP="00753324">
      <w:pPr>
        <w:pStyle w:val="Heading2"/>
        <w:tabs>
          <w:tab w:val="left" w:pos="709"/>
        </w:tabs>
        <w:ind w:left="1701" w:hanging="1701"/>
      </w:pPr>
      <w:bookmarkStart w:id="96" w:name="_Toc45622616"/>
      <w:bookmarkStart w:id="97" w:name="_Hlk45385721"/>
      <w:r>
        <w:t>A.</w:t>
      </w:r>
      <w:r w:rsidR="00ED0FA9">
        <w:t>4</w:t>
      </w:r>
      <w:r>
        <w:t>.5</w:t>
      </w:r>
      <w:r>
        <w:tab/>
      </w:r>
      <w:r w:rsidR="00C82817" w:rsidRPr="002628CE">
        <w:t>Step 5:</w:t>
      </w:r>
      <w:r>
        <w:t xml:space="preserve"> </w:t>
      </w:r>
      <w:r w:rsidR="00C82817" w:rsidRPr="002628CE">
        <w:t>Recognise revenue as the performance obligations are satisfied</w:t>
      </w:r>
      <w:bookmarkEnd w:id="96"/>
    </w:p>
    <w:bookmarkEnd w:id="97"/>
    <w:p w14:paraId="65871113" w14:textId="77777777" w:rsidR="00C82817" w:rsidRPr="00DA4C13" w:rsidRDefault="00C82817" w:rsidP="00C82817">
      <w:pPr>
        <w:pStyle w:val="Default"/>
        <w:rPr>
          <w:rFonts w:ascii="Calibri" w:hAnsi="Calibri"/>
          <w:color w:val="auto"/>
        </w:rPr>
      </w:pPr>
      <w:r w:rsidRPr="00DA4C13">
        <w:rPr>
          <w:rFonts w:ascii="Calibri" w:hAnsi="Calibri"/>
          <w:color w:val="auto"/>
        </w:rPr>
        <w:t xml:space="preserve">Revenue </w:t>
      </w:r>
      <w:r>
        <w:rPr>
          <w:rFonts w:ascii="Calibri" w:hAnsi="Calibri"/>
          <w:color w:val="auto"/>
        </w:rPr>
        <w:t>is</w:t>
      </w:r>
      <w:r w:rsidRPr="00DA4C13">
        <w:rPr>
          <w:rFonts w:ascii="Calibri" w:hAnsi="Calibri"/>
          <w:color w:val="auto"/>
        </w:rPr>
        <w:t xml:space="preserve"> recognised only when the performance obligation is satisfied by transferring the promised goods and services to the customer. </w:t>
      </w:r>
    </w:p>
    <w:p w14:paraId="09A6DFE5" w14:textId="77777777" w:rsidR="00C82817" w:rsidRPr="00DA4C13" w:rsidRDefault="00C82817" w:rsidP="00C82817">
      <w:pPr>
        <w:pStyle w:val="NormalWeb"/>
        <w:spacing w:after="0"/>
        <w:rPr>
          <w:rFonts w:ascii="Calibri" w:hAnsi="Calibri" w:cs="Arial"/>
          <w:color w:val="101010"/>
          <w:lang w:val="en"/>
        </w:rPr>
      </w:pPr>
    </w:p>
    <w:p w14:paraId="61E80D6F" w14:textId="77777777" w:rsidR="00C82817" w:rsidRDefault="00C82817" w:rsidP="00C82817">
      <w:pPr>
        <w:pStyle w:val="NormalWeb"/>
        <w:spacing w:after="0"/>
        <w:rPr>
          <w:rFonts w:ascii="Calibri" w:hAnsi="Calibri" w:cs="Arial"/>
          <w:color w:val="101010"/>
          <w:lang w:val="en"/>
        </w:rPr>
      </w:pPr>
      <w:r w:rsidRPr="00DA4C13">
        <w:rPr>
          <w:rFonts w:ascii="Calibri" w:hAnsi="Calibri" w:cs="Arial"/>
          <w:color w:val="101010"/>
          <w:lang w:val="en"/>
        </w:rPr>
        <w:t xml:space="preserve">A performance obligation may be satisfied at a point in time </w:t>
      </w:r>
      <w:r>
        <w:rPr>
          <w:rFonts w:ascii="Calibri" w:hAnsi="Calibri" w:cs="Arial"/>
          <w:color w:val="101010"/>
          <w:lang w:val="en"/>
        </w:rPr>
        <w:t xml:space="preserve">(AASB15. 38) </w:t>
      </w:r>
      <w:r w:rsidRPr="00DA4C13">
        <w:rPr>
          <w:rFonts w:ascii="Calibri" w:hAnsi="Calibri" w:cs="Arial"/>
          <w:color w:val="101010"/>
          <w:lang w:val="en"/>
        </w:rPr>
        <w:t>or over time</w:t>
      </w:r>
      <w:r>
        <w:rPr>
          <w:rFonts w:ascii="Calibri" w:hAnsi="Calibri" w:cs="Arial"/>
          <w:color w:val="101010"/>
          <w:lang w:val="en"/>
        </w:rPr>
        <w:t xml:space="preserve"> (AASB 15. 25-37)</w:t>
      </w:r>
      <w:r w:rsidRPr="00DA4C13">
        <w:rPr>
          <w:rFonts w:ascii="Calibri" w:hAnsi="Calibri" w:cs="Arial"/>
          <w:color w:val="101010"/>
          <w:lang w:val="en"/>
        </w:rPr>
        <w:t xml:space="preserve">.  For revenue recognised at a point in time, the entity needs to determine that point in time with reference to when control of the goods transfer to the customer.  This change may cause the timing of some revenue items to change under </w:t>
      </w:r>
      <w:r>
        <w:rPr>
          <w:rFonts w:ascii="Calibri" w:hAnsi="Calibri" w:cs="Arial"/>
          <w:color w:val="101010"/>
          <w:lang w:val="en"/>
        </w:rPr>
        <w:t>AASB 15.</w:t>
      </w:r>
    </w:p>
    <w:p w14:paraId="1E5852D6" w14:textId="77777777" w:rsidR="00C82817" w:rsidRDefault="00C82817" w:rsidP="00C82817">
      <w:pPr>
        <w:pStyle w:val="NormalWeb"/>
        <w:spacing w:after="0"/>
        <w:rPr>
          <w:rFonts w:ascii="Calibri" w:hAnsi="Calibri" w:cs="Arial"/>
          <w:color w:val="101010"/>
          <w:lang w:val="en"/>
        </w:rPr>
      </w:pPr>
    </w:p>
    <w:p w14:paraId="3D6EAAB8" w14:textId="73A4C302" w:rsidR="001E3BDE" w:rsidRDefault="00C82817" w:rsidP="00C82817">
      <w:pPr>
        <w:pStyle w:val="NormalWeb"/>
        <w:spacing w:after="0"/>
        <w:rPr>
          <w:rFonts w:ascii="Calibri" w:hAnsi="Calibri" w:cs="Arial"/>
          <w:color w:val="101010"/>
          <w:lang w:val="en"/>
        </w:rPr>
      </w:pPr>
      <w:r>
        <w:rPr>
          <w:rFonts w:ascii="Calibri" w:hAnsi="Calibri" w:cs="Arial"/>
          <w:color w:val="101010"/>
          <w:lang w:val="en"/>
        </w:rPr>
        <w:t xml:space="preserve">For performance obligations satisfied over time, methods for measuring progress toward complete satisfaction of performance obligations include the output method based on direct measurement of the value to the customer (AASB 15. B15) or the input method including all inputs such as resources consumed, labour hours expended and costs incurred (AASB 15. B18-19). </w:t>
      </w:r>
    </w:p>
    <w:p w14:paraId="12DA2102" w14:textId="77777777" w:rsidR="001E3BDE" w:rsidRDefault="001E3BDE">
      <w:pPr>
        <w:spacing w:after="160" w:line="259" w:lineRule="auto"/>
        <w:rPr>
          <w:rFonts w:ascii="Calibri" w:eastAsia="Times New Roman" w:hAnsi="Calibri" w:cs="Arial"/>
          <w:color w:val="101010"/>
          <w:szCs w:val="24"/>
          <w:lang w:val="en" w:eastAsia="en-AU"/>
        </w:rPr>
      </w:pPr>
      <w:r>
        <w:rPr>
          <w:rFonts w:ascii="Calibri" w:hAnsi="Calibri" w:cs="Arial"/>
          <w:color w:val="101010"/>
          <w:lang w:val="en"/>
        </w:rPr>
        <w:br w:type="page"/>
      </w:r>
    </w:p>
    <w:p w14:paraId="3B1925B7" w14:textId="011E29CB" w:rsidR="00C82817" w:rsidRPr="002C52FC" w:rsidRDefault="00870899" w:rsidP="00044B9F">
      <w:pPr>
        <w:pStyle w:val="Heading1"/>
      </w:pPr>
      <w:bookmarkStart w:id="98" w:name="_Toc45622617"/>
      <w:bookmarkStart w:id="99" w:name="_Hlk40943226"/>
      <w:r w:rsidRPr="00FC1E02">
        <w:lastRenderedPageBreak/>
        <w:t>A</w:t>
      </w:r>
      <w:r w:rsidR="00ED0FA9">
        <w:t>5</w:t>
      </w:r>
      <w:r w:rsidRPr="00FC1E02">
        <w:t>.</w:t>
      </w:r>
      <w:r w:rsidRPr="00FC1E02">
        <w:tab/>
      </w:r>
      <w:r w:rsidR="00C82817" w:rsidRPr="00FC1E02">
        <w:t>Materiality Considerations</w:t>
      </w:r>
      <w:bookmarkEnd w:id="98"/>
    </w:p>
    <w:p w14:paraId="13AB06ED" w14:textId="46D7D45A" w:rsidR="00FC1E02" w:rsidRDefault="00FC1E02" w:rsidP="00FC1E02">
      <w:pPr>
        <w:rPr>
          <w:rFonts w:ascii="Calibri" w:eastAsia="Times New Roman" w:hAnsi="Calibri" w:cs="Arial"/>
          <w:color w:val="101010"/>
          <w:szCs w:val="24"/>
          <w:lang w:val="en" w:eastAsia="en-AU"/>
        </w:rPr>
      </w:pPr>
      <w:bookmarkStart w:id="100" w:name="_Toc42169724"/>
      <w:r w:rsidRPr="00A55566">
        <w:rPr>
          <w:rFonts w:ascii="Calibri" w:eastAsia="Times New Roman" w:hAnsi="Calibri" w:cs="Arial"/>
          <w:color w:val="101010"/>
          <w:szCs w:val="24"/>
          <w:lang w:val="en" w:eastAsia="en-AU"/>
        </w:rPr>
        <w:t xml:space="preserve">The AASB Practice Statement 2 Making Materiality Judgements (December 2017) should be used by agencies in their assessment of materiality.  Making materiality judgements involves both quantitative and qualitative considerations.  A quantitative threshold - a specified level, rate or amount used in assessing size - can be a helpful tool in making a materiality judgement. However, a quantitative assessment alone is not always sufficient to conclude that an item of information is not material. The entity should further assess the presence of qualitative factors. </w:t>
      </w:r>
    </w:p>
    <w:p w14:paraId="60FA6A7E" w14:textId="77777777" w:rsidR="00FC1E02" w:rsidRPr="00A55566" w:rsidRDefault="00FC1E02" w:rsidP="00FC1E02">
      <w:pPr>
        <w:rPr>
          <w:rFonts w:ascii="Calibri" w:eastAsia="Times New Roman" w:hAnsi="Calibri" w:cs="Arial"/>
          <w:color w:val="101010"/>
          <w:szCs w:val="24"/>
          <w:lang w:val="en" w:eastAsia="en-AU"/>
        </w:rPr>
      </w:pPr>
    </w:p>
    <w:p w14:paraId="0A37391C" w14:textId="77DCA35D" w:rsidR="00A55566" w:rsidRDefault="00A55566" w:rsidP="00A55566">
      <w:pPr>
        <w:rPr>
          <w:rFonts w:ascii="Calibri" w:eastAsia="Times New Roman" w:hAnsi="Calibri" w:cs="Arial"/>
          <w:color w:val="101010"/>
          <w:szCs w:val="24"/>
          <w:lang w:val="en" w:eastAsia="en-AU"/>
        </w:rPr>
      </w:pPr>
      <w:r w:rsidRPr="00A55566">
        <w:rPr>
          <w:rFonts w:ascii="Calibri" w:eastAsia="Times New Roman" w:hAnsi="Calibri" w:cs="Arial"/>
          <w:color w:val="101010"/>
          <w:szCs w:val="24"/>
          <w:lang w:val="en" w:eastAsia="en-AU"/>
        </w:rPr>
        <w:t xml:space="preserve">Agencies are encouraged to consider materiality in preparing and streamlining their financial statements. AASB 101 defines information as material if omitting, </w:t>
      </w:r>
      <w:proofErr w:type="gramStart"/>
      <w:r w:rsidRPr="00A55566">
        <w:rPr>
          <w:rFonts w:ascii="Calibri" w:eastAsia="Times New Roman" w:hAnsi="Calibri" w:cs="Arial"/>
          <w:color w:val="101010"/>
          <w:szCs w:val="24"/>
          <w:lang w:val="en" w:eastAsia="en-AU"/>
        </w:rPr>
        <w:t>misstating</w:t>
      </w:r>
      <w:proofErr w:type="gramEnd"/>
      <w:r w:rsidRPr="00A55566">
        <w:rPr>
          <w:rFonts w:ascii="Calibri" w:eastAsia="Times New Roman" w:hAnsi="Calibri" w:cs="Arial"/>
          <w:color w:val="101010"/>
          <w:szCs w:val="24"/>
          <w:lang w:val="en" w:eastAsia="en-AU"/>
        </w:rPr>
        <w:t xml:space="preserve"> or obscuring it could reasonably be expected to influence decisions that the primary users of general-purpose financial statements make on the basis of those financial statements, which provide financial information about a specific reporting entity. </w:t>
      </w:r>
    </w:p>
    <w:p w14:paraId="667418E6" w14:textId="77777777" w:rsidR="00FC1E02" w:rsidRPr="00A55566" w:rsidRDefault="00FC1E02" w:rsidP="00A55566">
      <w:pPr>
        <w:rPr>
          <w:rFonts w:ascii="Calibri" w:eastAsia="Times New Roman" w:hAnsi="Calibri" w:cs="Arial"/>
          <w:color w:val="101010"/>
          <w:szCs w:val="24"/>
          <w:lang w:val="en" w:eastAsia="en-AU"/>
        </w:rPr>
      </w:pPr>
    </w:p>
    <w:p w14:paraId="7C82AB33" w14:textId="4CC011DE" w:rsidR="00A55566" w:rsidRDefault="00A55566" w:rsidP="00A55566">
      <w:pPr>
        <w:rPr>
          <w:rFonts w:ascii="Calibri" w:eastAsia="Times New Roman" w:hAnsi="Calibri" w:cs="Arial"/>
          <w:color w:val="101010"/>
          <w:szCs w:val="24"/>
          <w:lang w:val="en" w:eastAsia="en-AU"/>
        </w:rPr>
      </w:pPr>
      <w:r w:rsidRPr="00A55566">
        <w:rPr>
          <w:rFonts w:ascii="Calibri" w:eastAsia="Times New Roman" w:hAnsi="Calibri" w:cs="Arial"/>
          <w:color w:val="101010"/>
          <w:szCs w:val="24"/>
          <w:lang w:val="en" w:eastAsia="en-AU"/>
        </w:rPr>
        <w:t>The Australian Accounting Standards Board (AASB) re-issued AASB 101 Presentation of Financial Statements to streamline and simplify financial statements.  It clarified that entities should not disclose immaterial information in their financial statements and that the presentation of information in notes can and should be tailored to provide users with the clearest story of an entity’s financial performance and financial position. Agencies are strongly encouraged to undertake an annual assessment with the view to further simplify the presentation of their financial statements.</w:t>
      </w:r>
    </w:p>
    <w:p w14:paraId="7F7A5A2B" w14:textId="77777777" w:rsidR="00FC1E02" w:rsidRPr="00A55566" w:rsidRDefault="00FC1E02" w:rsidP="00A55566">
      <w:pPr>
        <w:rPr>
          <w:rFonts w:ascii="Calibri" w:eastAsia="Times New Roman" w:hAnsi="Calibri" w:cs="Arial"/>
          <w:color w:val="101010"/>
          <w:szCs w:val="24"/>
          <w:lang w:val="en" w:eastAsia="en-AU"/>
        </w:rPr>
      </w:pPr>
    </w:p>
    <w:p w14:paraId="5022C256" w14:textId="6C259C55" w:rsidR="00A55566" w:rsidRPr="00A55566" w:rsidRDefault="00A55566" w:rsidP="00A55566">
      <w:pPr>
        <w:rPr>
          <w:rFonts w:ascii="Calibri" w:eastAsia="Times New Roman" w:hAnsi="Calibri" w:cs="Arial"/>
          <w:color w:val="101010"/>
          <w:szCs w:val="24"/>
          <w:lang w:val="en" w:eastAsia="en-AU"/>
        </w:rPr>
      </w:pPr>
      <w:r w:rsidRPr="00A55566">
        <w:rPr>
          <w:rFonts w:ascii="Calibri" w:eastAsia="Times New Roman" w:hAnsi="Calibri" w:cs="Arial"/>
          <w:color w:val="101010"/>
          <w:szCs w:val="24"/>
          <w:lang w:val="en" w:eastAsia="en-AU"/>
        </w:rPr>
        <w:t xml:space="preserve">While there is no ‘one size fits all’ approach to streamlining financial statements, the </w:t>
      </w:r>
      <w:r w:rsidR="00FC1E02">
        <w:rPr>
          <w:rFonts w:ascii="Calibri" w:eastAsia="Times New Roman" w:hAnsi="Calibri" w:cs="Arial"/>
          <w:color w:val="101010"/>
          <w:szCs w:val="24"/>
          <w:lang w:val="en" w:eastAsia="en-AU"/>
        </w:rPr>
        <w:t xml:space="preserve">Materiality Guidance included in the ACT Government Model Financial Statements </w:t>
      </w:r>
      <w:r w:rsidRPr="00A55566">
        <w:rPr>
          <w:rFonts w:ascii="Calibri" w:eastAsia="Times New Roman" w:hAnsi="Calibri" w:cs="Arial"/>
          <w:color w:val="101010"/>
          <w:szCs w:val="24"/>
          <w:lang w:val="en" w:eastAsia="en-AU"/>
        </w:rPr>
        <w:t>should be considered, to determine when to:</w:t>
      </w:r>
    </w:p>
    <w:p w14:paraId="60864A30" w14:textId="77777777" w:rsidR="00A55566" w:rsidRPr="00A55566" w:rsidRDefault="00A55566" w:rsidP="00A55566">
      <w:pPr>
        <w:numPr>
          <w:ilvl w:val="0"/>
          <w:numId w:val="33"/>
        </w:numPr>
        <w:rPr>
          <w:rFonts w:ascii="Calibri" w:eastAsia="Times New Roman" w:hAnsi="Calibri" w:cs="Arial"/>
          <w:color w:val="101010"/>
          <w:szCs w:val="24"/>
          <w:lang w:val="en" w:eastAsia="en-AU"/>
        </w:rPr>
      </w:pPr>
      <w:r w:rsidRPr="00A55566">
        <w:rPr>
          <w:rFonts w:ascii="Calibri" w:eastAsia="Times New Roman" w:hAnsi="Calibri" w:cs="Arial"/>
          <w:color w:val="101010"/>
          <w:szCs w:val="24"/>
          <w:lang w:val="en" w:eastAsia="en-AU"/>
        </w:rPr>
        <w:t>provide separate line items on the face of the financial statements (i.e. Operating Statement, Balance Sheet, Statement of Changes in Equity and Cash Flow Statement);</w:t>
      </w:r>
    </w:p>
    <w:p w14:paraId="1AD8F153" w14:textId="77777777" w:rsidR="00A55566" w:rsidRPr="00A55566" w:rsidRDefault="00A55566" w:rsidP="00A55566">
      <w:pPr>
        <w:numPr>
          <w:ilvl w:val="0"/>
          <w:numId w:val="33"/>
        </w:numPr>
        <w:rPr>
          <w:rFonts w:ascii="Calibri" w:eastAsia="Times New Roman" w:hAnsi="Calibri" w:cs="Arial"/>
          <w:color w:val="101010"/>
          <w:szCs w:val="24"/>
          <w:lang w:val="en" w:eastAsia="en-AU"/>
        </w:rPr>
      </w:pPr>
      <w:r w:rsidRPr="00A55566">
        <w:rPr>
          <w:rFonts w:ascii="Calibri" w:eastAsia="Times New Roman" w:hAnsi="Calibri" w:cs="Arial"/>
          <w:color w:val="101010"/>
          <w:szCs w:val="24"/>
          <w:lang w:val="en" w:eastAsia="en-AU"/>
        </w:rPr>
        <w:t>provide separate note disclosures for a face statement line item;</w:t>
      </w:r>
    </w:p>
    <w:p w14:paraId="0FAEC77C" w14:textId="77777777" w:rsidR="00A55566" w:rsidRPr="00A55566" w:rsidRDefault="00A55566" w:rsidP="00A55566">
      <w:pPr>
        <w:numPr>
          <w:ilvl w:val="0"/>
          <w:numId w:val="33"/>
        </w:numPr>
        <w:rPr>
          <w:rFonts w:ascii="Calibri" w:eastAsia="Times New Roman" w:hAnsi="Calibri" w:cs="Arial"/>
          <w:color w:val="101010"/>
          <w:szCs w:val="24"/>
          <w:lang w:val="en" w:eastAsia="en-AU"/>
        </w:rPr>
      </w:pPr>
      <w:r w:rsidRPr="00A55566">
        <w:rPr>
          <w:rFonts w:ascii="Calibri" w:eastAsia="Times New Roman" w:hAnsi="Calibri" w:cs="Arial"/>
          <w:color w:val="101010"/>
          <w:szCs w:val="24"/>
          <w:lang w:val="en" w:eastAsia="en-AU"/>
        </w:rPr>
        <w:t>reduce immaterial detail provided in separate note disclosures; and</w:t>
      </w:r>
    </w:p>
    <w:p w14:paraId="3F279AB7" w14:textId="77777777" w:rsidR="00A55566" w:rsidRPr="00A55566" w:rsidRDefault="00A55566" w:rsidP="00A55566">
      <w:pPr>
        <w:numPr>
          <w:ilvl w:val="0"/>
          <w:numId w:val="33"/>
        </w:numPr>
        <w:rPr>
          <w:rFonts w:ascii="Calibri" w:eastAsia="Times New Roman" w:hAnsi="Calibri" w:cs="Arial"/>
          <w:color w:val="101010"/>
          <w:szCs w:val="24"/>
          <w:lang w:val="en" w:eastAsia="en-AU"/>
        </w:rPr>
      </w:pPr>
      <w:r w:rsidRPr="00A55566">
        <w:rPr>
          <w:rFonts w:ascii="Calibri" w:eastAsia="Times New Roman" w:hAnsi="Calibri" w:cs="Arial"/>
          <w:color w:val="101010"/>
          <w:szCs w:val="24"/>
          <w:lang w:val="en" w:eastAsia="en-AU"/>
        </w:rPr>
        <w:t>provide explanations for variances between prior and current year actual figures.</w:t>
      </w:r>
    </w:p>
    <w:p w14:paraId="6D6740EF" w14:textId="77777777" w:rsidR="00A55566" w:rsidRPr="00A55566" w:rsidRDefault="00A55566" w:rsidP="00A55566">
      <w:pPr>
        <w:rPr>
          <w:rFonts w:ascii="Calibri" w:eastAsia="Times New Roman" w:hAnsi="Calibri" w:cs="Arial"/>
          <w:color w:val="101010"/>
          <w:szCs w:val="24"/>
          <w:lang w:val="en" w:eastAsia="en-AU"/>
        </w:rPr>
      </w:pPr>
    </w:p>
    <w:p w14:paraId="7A5E8FA2" w14:textId="069644FB" w:rsidR="00FC1E02" w:rsidRDefault="00FC1E02" w:rsidP="00B04D11">
      <w:pPr>
        <w:rPr>
          <w:lang w:val="en"/>
        </w:rPr>
      </w:pPr>
      <w:r>
        <w:rPr>
          <w:lang w:val="en"/>
        </w:rPr>
        <w:t xml:space="preserve">The Materiality </w:t>
      </w:r>
      <w:r w:rsidRPr="00A55566">
        <w:rPr>
          <w:lang w:val="en"/>
        </w:rPr>
        <w:t xml:space="preserve">Guidance provided as part of the ACT Government Model Financial Statements </w:t>
      </w:r>
      <w:r>
        <w:rPr>
          <w:lang w:val="en"/>
        </w:rPr>
        <w:t xml:space="preserve">is </w:t>
      </w:r>
      <w:r w:rsidRPr="00A55566">
        <w:rPr>
          <w:lang w:val="en"/>
        </w:rPr>
        <w:t xml:space="preserve">available at </w:t>
      </w:r>
      <w:hyperlink r:id="rId19" w:history="1">
        <w:r w:rsidRPr="00140119">
          <w:rPr>
            <w:rStyle w:val="Hyperlink"/>
            <w:rFonts w:cs="Calibri"/>
          </w:rPr>
          <w:t>https://apps.treasury.act.gov.au/accounting</w:t>
        </w:r>
      </w:hyperlink>
    </w:p>
    <w:p w14:paraId="115A4410" w14:textId="77777777" w:rsidR="00FC1E02" w:rsidRPr="00B04D11" w:rsidRDefault="00FC1E02" w:rsidP="00B04D11">
      <w:pPr>
        <w:rPr>
          <w:rFonts w:ascii="Calibri" w:eastAsia="Times New Roman" w:hAnsi="Calibri" w:cs="Arial"/>
          <w:color w:val="101010"/>
          <w:szCs w:val="24"/>
          <w:lang w:val="en" w:eastAsia="en-AU"/>
        </w:rPr>
      </w:pPr>
    </w:p>
    <w:p w14:paraId="22685D60" w14:textId="79EB4BA2" w:rsidR="00A55566" w:rsidRPr="00B04D11" w:rsidRDefault="00A55566" w:rsidP="00B04D11">
      <w:pPr>
        <w:rPr>
          <w:rFonts w:ascii="Calibri" w:eastAsia="Times New Roman" w:hAnsi="Calibri" w:cs="Arial"/>
          <w:color w:val="101010"/>
          <w:szCs w:val="24"/>
          <w:lang w:val="en" w:eastAsia="en-AU"/>
        </w:rPr>
      </w:pPr>
      <w:r w:rsidRPr="00B04D11">
        <w:rPr>
          <w:rFonts w:ascii="Calibri" w:eastAsia="Times New Roman" w:hAnsi="Calibri" w:cs="Arial"/>
          <w:color w:val="101010"/>
          <w:szCs w:val="24"/>
          <w:lang w:val="en" w:eastAsia="en-AU"/>
        </w:rPr>
        <w:t xml:space="preserve">As circumstances change over time, materiality judgements should be reassessed at each reporting date. </w:t>
      </w:r>
    </w:p>
    <w:p w14:paraId="06449842" w14:textId="77777777" w:rsidR="00870899" w:rsidRPr="00B04D11" w:rsidRDefault="00870899" w:rsidP="00870899">
      <w:pPr>
        <w:rPr>
          <w:rFonts w:ascii="Calibri" w:eastAsia="Times New Roman" w:hAnsi="Calibri" w:cs="Arial"/>
          <w:color w:val="101010"/>
          <w:szCs w:val="24"/>
          <w:lang w:val="en" w:eastAsia="en-AU"/>
        </w:rPr>
      </w:pPr>
    </w:p>
    <w:bookmarkEnd w:id="100"/>
    <w:p w14:paraId="2E27B5AE" w14:textId="4A4EF228" w:rsidR="00C82817" w:rsidRPr="00B04D11" w:rsidRDefault="00C82817" w:rsidP="00A01044">
      <w:pPr>
        <w:rPr>
          <w:rFonts w:ascii="Calibri" w:hAnsi="Calibri" w:cs="Arial"/>
          <w:color w:val="101010"/>
          <w:szCs w:val="24"/>
          <w:lang w:val="en" w:eastAsia="en-AU"/>
        </w:rPr>
      </w:pPr>
      <w:r w:rsidRPr="00B04D11">
        <w:rPr>
          <w:rFonts w:ascii="Calibri" w:eastAsia="Times New Roman" w:hAnsi="Calibri" w:cs="Arial"/>
          <w:color w:val="101010"/>
          <w:szCs w:val="24"/>
          <w:lang w:val="en" w:eastAsia="en-AU"/>
        </w:rPr>
        <w:t xml:space="preserve"> </w:t>
      </w:r>
    </w:p>
    <w:p w14:paraId="4471AFB3" w14:textId="51ACBBC7" w:rsidR="00C82817" w:rsidRDefault="00C82817" w:rsidP="00B04D11">
      <w:pPr>
        <w:rPr>
          <w:rFonts w:ascii="Calibri" w:eastAsia="Times New Roman" w:hAnsi="Calibri" w:cs="Arial"/>
          <w:color w:val="101010"/>
          <w:szCs w:val="24"/>
          <w:lang w:val="en" w:eastAsia="en-AU"/>
        </w:rPr>
      </w:pPr>
      <w:r w:rsidRPr="00B04D11">
        <w:rPr>
          <w:rFonts w:ascii="Calibri" w:eastAsia="Times New Roman" w:hAnsi="Calibri" w:cs="Arial"/>
          <w:color w:val="101010"/>
          <w:szCs w:val="24"/>
          <w:lang w:val="en" w:eastAsia="en-AU"/>
        </w:rPr>
        <w:t>Each agency will need to exercise judgement in determining appropriate thresholds for disclosures in their financial statements.  Agencies are encouraged to agree their specific thresholds for disclosures along with exceptions with their Audit Committee</w:t>
      </w:r>
      <w:proofErr w:type="gramStart"/>
      <w:r w:rsidR="00822BF2">
        <w:rPr>
          <w:rFonts w:ascii="Calibri" w:eastAsia="Times New Roman" w:hAnsi="Calibri" w:cs="Arial"/>
          <w:color w:val="101010"/>
          <w:szCs w:val="24"/>
          <w:lang w:val="en" w:eastAsia="en-AU"/>
        </w:rPr>
        <w:t>.</w:t>
      </w:r>
      <w:r w:rsidRPr="00B04D11">
        <w:rPr>
          <w:rFonts w:ascii="Calibri" w:eastAsia="Times New Roman" w:hAnsi="Calibri" w:cs="Arial"/>
          <w:color w:val="101010"/>
          <w:szCs w:val="24"/>
          <w:lang w:val="en" w:eastAsia="en-AU"/>
        </w:rPr>
        <w:t xml:space="preserve"> .</w:t>
      </w:r>
      <w:proofErr w:type="gramEnd"/>
      <w:r w:rsidRPr="00B04D11">
        <w:rPr>
          <w:rFonts w:ascii="Calibri" w:eastAsia="Times New Roman" w:hAnsi="Calibri" w:cs="Arial"/>
          <w:color w:val="101010"/>
          <w:szCs w:val="24"/>
          <w:lang w:val="en" w:eastAsia="en-AU"/>
        </w:rPr>
        <w:t xml:space="preserve">  </w:t>
      </w:r>
    </w:p>
    <w:p w14:paraId="77E3F3CC" w14:textId="77777777" w:rsidR="00B04D11" w:rsidRPr="00B04D11" w:rsidRDefault="00B04D11" w:rsidP="00B04D11">
      <w:pPr>
        <w:rPr>
          <w:rFonts w:ascii="Calibri" w:eastAsia="Times New Roman" w:hAnsi="Calibri" w:cs="Arial"/>
          <w:color w:val="101010"/>
          <w:szCs w:val="24"/>
          <w:lang w:val="en" w:eastAsia="en-AU"/>
        </w:rPr>
      </w:pPr>
    </w:p>
    <w:p w14:paraId="1755E7AE" w14:textId="77777777" w:rsidR="00C82817" w:rsidRPr="00E55F32" w:rsidRDefault="00C82817" w:rsidP="00C82817">
      <w:pPr>
        <w:pBdr>
          <w:top w:val="single" w:sz="4" w:space="1" w:color="auto"/>
          <w:left w:val="single" w:sz="4" w:space="4" w:color="auto"/>
          <w:bottom w:val="single" w:sz="4" w:space="1" w:color="auto"/>
          <w:right w:val="single" w:sz="4" w:space="4" w:color="auto"/>
        </w:pBdr>
        <w:rPr>
          <w:szCs w:val="24"/>
        </w:rPr>
      </w:pPr>
      <w:r w:rsidRPr="00E55F32">
        <w:rPr>
          <w:rFonts w:cs="Calibri"/>
          <w:szCs w:val="24"/>
          <w:lang w:val="en-US"/>
        </w:rPr>
        <w:t xml:space="preserve">ACT Government agencies shall </w:t>
      </w:r>
      <w:r>
        <w:rPr>
          <w:rFonts w:cs="Calibri"/>
          <w:szCs w:val="24"/>
          <w:lang w:val="en-US"/>
        </w:rPr>
        <w:t>consider materiality in the assessment of current Revenue from Contracts with Customers and Income for NFP Entities.</w:t>
      </w:r>
    </w:p>
    <w:p w14:paraId="55A5AE50" w14:textId="77777777" w:rsidR="00C82817" w:rsidRDefault="00C82817" w:rsidP="00C82817">
      <w:pPr>
        <w:rPr>
          <w:rFonts w:ascii="Calibri" w:eastAsia="Times New Roman" w:hAnsi="Calibri" w:cs="Arial"/>
          <w:color w:val="101010"/>
          <w:szCs w:val="24"/>
          <w:lang w:val="en" w:eastAsia="en-AU"/>
        </w:rPr>
      </w:pPr>
      <w:r>
        <w:rPr>
          <w:rFonts w:ascii="Calibri" w:hAnsi="Calibri" w:cs="Arial"/>
          <w:color w:val="101010"/>
          <w:lang w:val="en"/>
        </w:rPr>
        <w:br w:type="page"/>
      </w:r>
    </w:p>
    <w:p w14:paraId="501D246E" w14:textId="198F6FF0" w:rsidR="00C82817" w:rsidRDefault="00870899" w:rsidP="00870899">
      <w:pPr>
        <w:pStyle w:val="Heading2"/>
      </w:pPr>
      <w:bookmarkStart w:id="101" w:name="_Toc40860556"/>
      <w:bookmarkStart w:id="102" w:name="_Toc45622619"/>
      <w:bookmarkEnd w:id="99"/>
      <w:bookmarkEnd w:id="101"/>
      <w:r>
        <w:lastRenderedPageBreak/>
        <w:t>A</w:t>
      </w:r>
      <w:r w:rsidR="00ED0FA9">
        <w:t>5</w:t>
      </w:r>
      <w:r>
        <w:t>.</w:t>
      </w:r>
      <w:r w:rsidR="00B04D11">
        <w:t>1</w:t>
      </w:r>
      <w:r>
        <w:tab/>
      </w:r>
      <w:r w:rsidR="00C82817" w:rsidRPr="00A46A50">
        <w:t>Flowchart for the assessment of Materiality</w:t>
      </w:r>
      <w:bookmarkEnd w:id="102"/>
    </w:p>
    <w:p w14:paraId="090B62FC" w14:textId="203F7CAB" w:rsidR="00C82817" w:rsidRDefault="00C82817" w:rsidP="00C82817">
      <w:pPr>
        <w:jc w:val="center"/>
        <w:rPr>
          <w:lang w:val="en-US"/>
        </w:rPr>
      </w:pPr>
    </w:p>
    <w:p w14:paraId="14E11AEB" w14:textId="3E9E7F38" w:rsidR="00C82817" w:rsidRDefault="00870899" w:rsidP="00C82817">
      <w:pPr>
        <w:jc w:val="center"/>
        <w:rPr>
          <w:lang w:val="en-US"/>
        </w:rPr>
      </w:pPr>
      <w:r w:rsidRPr="00391BA4">
        <w:rPr>
          <w:noProof/>
          <w:lang w:val="en-US"/>
        </w:rPr>
        <mc:AlternateContent>
          <mc:Choice Requires="wps">
            <w:drawing>
              <wp:anchor distT="45720" distB="45720" distL="114300" distR="114300" simplePos="0" relativeHeight="251691008" behindDoc="0" locked="0" layoutInCell="1" allowOverlap="1" wp14:anchorId="53736E52" wp14:editId="03A1FA47">
                <wp:simplePos x="0" y="0"/>
                <wp:positionH relativeFrom="column">
                  <wp:posOffset>1722120</wp:posOffset>
                </wp:positionH>
                <wp:positionV relativeFrom="paragraph">
                  <wp:posOffset>65405</wp:posOffset>
                </wp:positionV>
                <wp:extent cx="2360930" cy="21793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79320"/>
                        </a:xfrm>
                        <a:prstGeom prst="rect">
                          <a:avLst/>
                        </a:prstGeom>
                        <a:solidFill>
                          <a:srgbClr val="FFFFFF"/>
                        </a:solidFill>
                        <a:ln w="9525">
                          <a:solidFill>
                            <a:srgbClr val="000000"/>
                          </a:solidFill>
                          <a:miter lim="800000"/>
                          <a:headEnd/>
                          <a:tailEnd/>
                        </a:ln>
                      </wps:spPr>
                      <wps:txbx>
                        <w:txbxContent>
                          <w:p w14:paraId="6A034C09" w14:textId="77777777" w:rsidR="00C7145E" w:rsidRPr="00693732" w:rsidRDefault="00C7145E" w:rsidP="00C82817">
                            <w:r>
                              <w:t xml:space="preserve">Are the revenue items on the face of the financial statements within the scope of AASB 15 or AASB 1058? Is the revenue from contracts with customers, volunteer services </w:t>
                            </w:r>
                            <w:r w:rsidRPr="00B861F0">
                              <w:t>or</w:t>
                            </w:r>
                            <w:r w:rsidRPr="00A46A50">
                              <w:rPr>
                                <w:rFonts w:cs="Calibri"/>
                                <w:szCs w:val="24"/>
                                <w:lang w:val="en-US"/>
                              </w:rPr>
                              <w:t xml:space="preserve"> </w:t>
                            </w:r>
                            <w:r w:rsidRPr="00D032A9">
                              <w:rPr>
                                <w:rFonts w:cs="Calibri"/>
                                <w:lang w:val="en-US"/>
                              </w:rPr>
                              <w:t>transactions where the consideration to acquire an asset is significantly less than fair value principally to enable the entity to further its objectives?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3736E52" id="_x0000_t202" coordsize="21600,21600" o:spt="202" path="m,l,21600r21600,l21600,xe">
                <v:stroke joinstyle="miter"/>
                <v:path gradientshapeok="t" o:connecttype="rect"/>
              </v:shapetype>
              <v:shape id="Text Box 2" o:spid="_x0000_s1026" type="#_x0000_t202" style="position:absolute;left:0;text-align:left;margin-left:135.6pt;margin-top:5.15pt;width:185.9pt;height:171.6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">
                <v:textbox>
                  <w:txbxContent>
                    <w:p w14:paraId="6A034C09" w14:textId="77777777" w:rsidR="00C7145E" w:rsidRPr="00693732" w:rsidRDefault="00C7145E" w:rsidP="00C82817">
                      <w:r>
                        <w:t xml:space="preserve">Are the revenue items on the face of the financial statements within the scope of AASB 15 or AASB 1058? Is the revenue from contracts with customers, volunteer services </w:t>
                      </w:r>
                      <w:r w:rsidRPr="00B861F0">
                        <w:t>or</w:t>
                      </w:r>
                      <w:r w:rsidRPr="00A46A50">
                        <w:rPr>
                          <w:rFonts w:cs="Calibri"/>
                          <w:szCs w:val="24"/>
                          <w:lang w:val="en-US"/>
                        </w:rPr>
                        <w:t xml:space="preserve"> </w:t>
                      </w:r>
                      <w:r w:rsidRPr="00D032A9">
                        <w:rPr>
                          <w:rFonts w:cs="Calibri"/>
                          <w:lang w:val="en-US"/>
                        </w:rPr>
                        <w:t>transactions where the consideration to acquire an asset is significantly less than fair value principally to enable the entity to further its objectives?</w:t>
                      </w:r>
                    </w:p>
                  </w:txbxContent>
                </v:textbox>
                <w10:wrap type="square"/>
              </v:shape>
            </w:pict>
          </mc:Fallback>
        </mc:AlternateContent>
      </w:r>
    </w:p>
    <w:p w14:paraId="1AD253C8" w14:textId="77777777" w:rsidR="00C82817" w:rsidRDefault="00C82817" w:rsidP="00C82817">
      <w:pPr>
        <w:jc w:val="center"/>
        <w:rPr>
          <w:lang w:val="en-US"/>
        </w:rPr>
      </w:pPr>
      <w:r w:rsidRPr="00B861F0">
        <w:rPr>
          <w:noProof/>
          <w:lang w:val="en-US"/>
        </w:rPr>
        <mc:AlternateContent>
          <mc:Choice Requires="wps">
            <w:drawing>
              <wp:anchor distT="45720" distB="45720" distL="114300" distR="114300" simplePos="0" relativeHeight="251695104" behindDoc="0" locked="0" layoutInCell="1" allowOverlap="1" wp14:anchorId="7F279D75" wp14:editId="2DD08F16">
                <wp:simplePos x="0" y="0"/>
                <wp:positionH relativeFrom="margin">
                  <wp:align>right</wp:align>
                </wp:positionH>
                <wp:positionV relativeFrom="paragraph">
                  <wp:posOffset>12700</wp:posOffset>
                </wp:positionV>
                <wp:extent cx="1304925" cy="1600200"/>
                <wp:effectExtent l="0" t="0" r="28575"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600200"/>
                        </a:xfrm>
                        <a:prstGeom prst="rect">
                          <a:avLst/>
                        </a:prstGeom>
                        <a:solidFill>
                          <a:srgbClr val="FFFFFF"/>
                        </a:solidFill>
                        <a:ln w="9525">
                          <a:solidFill>
                            <a:srgbClr val="000000"/>
                          </a:solidFill>
                          <a:miter lim="800000"/>
                          <a:headEnd/>
                          <a:tailEnd/>
                        </a:ln>
                      </wps:spPr>
                      <wps:txbx>
                        <w:txbxContent>
                          <w:p w14:paraId="6B80EB34" w14:textId="77777777" w:rsidR="00C7145E" w:rsidRDefault="00C7145E" w:rsidP="00C82817">
                            <w:r>
                              <w:t>No, use the applicable accounting standard for that item e.g. AASB 16 Leases, AASB 9 Financial Instruments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79D75" id="_x0000_s1027" type="#_x0000_t202" style="position:absolute;left:0;text-align:left;margin-left:51.55pt;margin-top:1pt;width:102.75pt;height:126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">
                <v:textbox>
                  <w:txbxContent>
                    <w:p w14:paraId="6B80EB34" w14:textId="77777777" w:rsidR="00C7145E" w:rsidRDefault="00C7145E" w:rsidP="00C82817">
                      <w:r>
                        <w:t>No, use the applicable accounting standard for that item e.g. AASB 16 Leases, AASB 9 Financial Instruments etc.</w:t>
                      </w:r>
                    </w:p>
                  </w:txbxContent>
                </v:textbox>
                <w10:wrap type="square" anchorx="margin"/>
              </v:shape>
            </w:pict>
          </mc:Fallback>
        </mc:AlternateContent>
      </w:r>
    </w:p>
    <w:p w14:paraId="11E4F228" w14:textId="77777777" w:rsidR="00C82817" w:rsidRDefault="00C82817" w:rsidP="00C82817">
      <w:pPr>
        <w:jc w:val="center"/>
        <w:rPr>
          <w:lang w:val="en-US"/>
        </w:rPr>
      </w:pPr>
    </w:p>
    <w:p w14:paraId="172A9B7C" w14:textId="77777777" w:rsidR="00C82817" w:rsidRDefault="00C82817" w:rsidP="00C82817">
      <w:pPr>
        <w:jc w:val="center"/>
        <w:rPr>
          <w:lang w:val="en-US"/>
        </w:rPr>
      </w:pPr>
      <w:r>
        <w:rPr>
          <w:noProof/>
          <w:lang w:val="en-US"/>
        </w:rPr>
        <mc:AlternateContent>
          <mc:Choice Requires="wps">
            <w:drawing>
              <wp:anchor distT="0" distB="0" distL="114300" distR="114300" simplePos="0" relativeHeight="251694080" behindDoc="0" locked="0" layoutInCell="1" allowOverlap="1" wp14:anchorId="350E02F4" wp14:editId="75941AD0">
                <wp:simplePos x="0" y="0"/>
                <wp:positionH relativeFrom="column">
                  <wp:posOffset>4000500</wp:posOffset>
                </wp:positionH>
                <wp:positionV relativeFrom="paragraph">
                  <wp:posOffset>31750</wp:posOffset>
                </wp:positionV>
                <wp:extent cx="419100" cy="57150"/>
                <wp:effectExtent l="0" t="19050" r="76200" b="76200"/>
                <wp:wrapNone/>
                <wp:docPr id="37" name="Straight Arrow Connector 37"/>
                <wp:cNvGraphicFramePr/>
                <a:graphic xmlns:a="http://schemas.openxmlformats.org/drawingml/2006/main">
                  <a:graphicData uri="http://schemas.microsoft.com/office/word/2010/wordprocessingShape">
                    <wps:wsp>
                      <wps:cNvCnPr/>
                      <wps:spPr>
                        <a:xfrm>
                          <a:off x="0" y="0"/>
                          <a:ext cx="41910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69766F" id="_x0000_t32" coordsize="21600,21600" o:spt="32" o:oned="t" path="m,l21600,21600e" filled="f">
                <v:path arrowok="t" fillok="f" o:connecttype="none"/>
                <o:lock v:ext="edit" shapetype="t"/>
              </v:shapetype>
              <v:shape id="Straight Arrow Connector 37" o:spid="_x0000_s1026" type="#_x0000_t32" style="position:absolute;margin-left:315pt;margin-top:2.5pt;width:3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" strokecolor="#4472c4 [3204]" strokeweight=".5pt">
                <v:stroke endarrow="block" joinstyle="miter"/>
              </v:shape>
            </w:pict>
          </mc:Fallback>
        </mc:AlternateContent>
      </w:r>
    </w:p>
    <w:p w14:paraId="589BAB4D" w14:textId="77777777" w:rsidR="00C82817" w:rsidRPr="00A46A50" w:rsidRDefault="00C82817" w:rsidP="00C82817">
      <w:pPr>
        <w:jc w:val="center"/>
        <w:rPr>
          <w:lang w:val="en-US"/>
        </w:rPr>
      </w:pPr>
    </w:p>
    <w:p w14:paraId="67079F35" w14:textId="77777777" w:rsidR="00C82817" w:rsidRDefault="00C82817" w:rsidP="00C82817">
      <w:pPr>
        <w:pStyle w:val="Heading2"/>
        <w:spacing w:before="0" w:after="0"/>
        <w:ind w:left="680"/>
        <w:jc w:val="center"/>
        <w:rPr>
          <w:bCs/>
          <w:i/>
          <w:iCs/>
          <w:caps w:val="0"/>
        </w:rPr>
      </w:pPr>
    </w:p>
    <w:p w14:paraId="2A73A639" w14:textId="3E1DE53B" w:rsidR="00C82817" w:rsidRDefault="00C82817" w:rsidP="00C82817">
      <w:pPr>
        <w:jc w:val="center"/>
        <w:rPr>
          <w:lang w:val="en-US"/>
        </w:rPr>
      </w:pPr>
    </w:p>
    <w:p w14:paraId="1BEFE99E" w14:textId="5DE21C6D" w:rsidR="00870899" w:rsidRDefault="00870899" w:rsidP="00C82817">
      <w:pPr>
        <w:jc w:val="center"/>
        <w:rPr>
          <w:lang w:val="en-US"/>
        </w:rPr>
      </w:pPr>
    </w:p>
    <w:p w14:paraId="46696D1F" w14:textId="558C0AD6" w:rsidR="00870899" w:rsidRDefault="00870899" w:rsidP="00C82817">
      <w:pPr>
        <w:jc w:val="center"/>
        <w:rPr>
          <w:lang w:val="en-US"/>
        </w:rPr>
      </w:pPr>
    </w:p>
    <w:p w14:paraId="7888A601" w14:textId="77777777" w:rsidR="00870899" w:rsidRPr="00A46A50" w:rsidRDefault="00870899" w:rsidP="00C82817">
      <w:pPr>
        <w:jc w:val="center"/>
        <w:rPr>
          <w:lang w:val="en-US"/>
        </w:rPr>
      </w:pPr>
    </w:p>
    <w:p w14:paraId="42689038" w14:textId="77777777" w:rsidR="00870899" w:rsidRDefault="00870899" w:rsidP="00C82817">
      <w:pPr>
        <w:pStyle w:val="NormalWeb"/>
        <w:spacing w:after="0"/>
        <w:ind w:left="720"/>
        <w:jc w:val="center"/>
        <w:rPr>
          <w:rFonts w:ascii="Calibri" w:hAnsi="Calibri" w:cs="Arial"/>
          <w:color w:val="101010"/>
          <w:lang w:val="en"/>
        </w:rPr>
      </w:pPr>
    </w:p>
    <w:p w14:paraId="31BC96C0" w14:textId="73D1B3FA" w:rsidR="00C82817" w:rsidRDefault="00C82817" w:rsidP="00C82817">
      <w:pPr>
        <w:pStyle w:val="NormalWeb"/>
        <w:spacing w:after="0"/>
        <w:ind w:left="720"/>
        <w:jc w:val="center"/>
        <w:rPr>
          <w:rFonts w:ascii="Calibri" w:hAnsi="Calibri" w:cs="Arial"/>
          <w:color w:val="101010"/>
          <w:lang w:val="en"/>
        </w:rPr>
      </w:pPr>
    </w:p>
    <w:p w14:paraId="2AF00683" w14:textId="483A8EDC" w:rsidR="00C82817" w:rsidRDefault="00B34CA1" w:rsidP="00C82817">
      <w:pPr>
        <w:pStyle w:val="NormalWeb"/>
        <w:spacing w:after="0"/>
        <w:ind w:left="720"/>
        <w:jc w:val="center"/>
        <w:rPr>
          <w:rFonts w:ascii="Calibri" w:hAnsi="Calibri" w:cs="Arial"/>
          <w:color w:val="101010"/>
          <w:lang w:val="en"/>
        </w:rPr>
      </w:pPr>
      <w:r>
        <w:rPr>
          <w:rFonts w:ascii="Calibri" w:hAnsi="Calibri" w:cs="Arial"/>
          <w:noProof/>
          <w:color w:val="101010"/>
          <w:lang w:val="en"/>
        </w:rPr>
        <mc:AlternateContent>
          <mc:Choice Requires="wps">
            <w:drawing>
              <wp:anchor distT="0" distB="0" distL="114300" distR="114300" simplePos="0" relativeHeight="251703296" behindDoc="0" locked="0" layoutInCell="1" allowOverlap="1" wp14:anchorId="09876A2A" wp14:editId="589A65B4">
                <wp:simplePos x="0" y="0"/>
                <wp:positionH relativeFrom="column">
                  <wp:posOffset>2828925</wp:posOffset>
                </wp:positionH>
                <wp:positionV relativeFrom="paragraph">
                  <wp:posOffset>45720</wp:posOffset>
                </wp:positionV>
                <wp:extent cx="0" cy="504825"/>
                <wp:effectExtent l="76200" t="0" r="57150" b="47625"/>
                <wp:wrapNone/>
                <wp:docPr id="41" name="Straight Arrow Connector 41"/>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DCBDE6" id="_x0000_t32" coordsize="21600,21600" o:spt="32" o:oned="t" path="m,l21600,21600e" filled="f">
                <v:path arrowok="t" fillok="f" o:connecttype="none"/>
                <o:lock v:ext="edit" shapetype="t"/>
              </v:shapetype>
              <v:shape id="Straight Arrow Connector 41" o:spid="_x0000_s1026" type="#_x0000_t32" style="position:absolute;margin-left:222.75pt;margin-top:3.6pt;width:0;height:39.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" strokecolor="#4472c4 [3204]" strokeweight=".5pt">
                <v:stroke endarrow="block" joinstyle="miter"/>
              </v:shape>
            </w:pict>
          </mc:Fallback>
        </mc:AlternateContent>
      </w:r>
    </w:p>
    <w:p w14:paraId="04FB1EDE" w14:textId="77777777" w:rsidR="00870899" w:rsidRDefault="00870899" w:rsidP="00C82817">
      <w:pPr>
        <w:pStyle w:val="NormalWeb"/>
        <w:spacing w:after="0"/>
        <w:ind w:left="720"/>
        <w:jc w:val="center"/>
        <w:rPr>
          <w:rFonts w:ascii="Calibri" w:hAnsi="Calibri" w:cs="Arial"/>
          <w:color w:val="101010"/>
          <w:lang w:val="en"/>
        </w:rPr>
      </w:pPr>
    </w:p>
    <w:p w14:paraId="5536A35C" w14:textId="61834BAD" w:rsidR="00C82817" w:rsidRDefault="00C82817" w:rsidP="00C82817">
      <w:pPr>
        <w:pStyle w:val="NormalWeb"/>
        <w:spacing w:after="0"/>
        <w:ind w:left="720"/>
        <w:jc w:val="center"/>
        <w:rPr>
          <w:rFonts w:ascii="Calibri" w:hAnsi="Calibri" w:cs="Arial"/>
          <w:color w:val="101010"/>
          <w:lang w:val="en"/>
        </w:rPr>
      </w:pPr>
      <w:r w:rsidRPr="00B861F0">
        <w:rPr>
          <w:rFonts w:ascii="Calibri" w:hAnsi="Calibri" w:cs="Arial"/>
          <w:noProof/>
          <w:color w:val="101010"/>
          <w:lang w:val="en"/>
        </w:rPr>
        <mc:AlternateContent>
          <mc:Choice Requires="wps">
            <w:drawing>
              <wp:anchor distT="45720" distB="45720" distL="114300" distR="114300" simplePos="0" relativeHeight="251692032" behindDoc="0" locked="0" layoutInCell="1" allowOverlap="1" wp14:anchorId="0A817FB8" wp14:editId="250D7768">
                <wp:simplePos x="0" y="0"/>
                <wp:positionH relativeFrom="column">
                  <wp:align>center</wp:align>
                </wp:positionH>
                <wp:positionV relativeFrom="paragraph">
                  <wp:posOffset>182880</wp:posOffset>
                </wp:positionV>
                <wp:extent cx="2360930" cy="1404620"/>
                <wp:effectExtent l="0" t="0" r="22860" b="114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8F5978" w14:textId="77777777" w:rsidR="00C7145E" w:rsidRDefault="00C7145E" w:rsidP="00C82817">
                            <w:r>
                              <w:t xml:space="preserve">Yes, is the item material - above 5% of the total revenue received by the Agency?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817FB8" id="_x0000_s1028" type="#_x0000_t202" style="position:absolute;left:0;text-align:left;margin-left:0;margin-top:14.4pt;width:185.9pt;height:110.6pt;z-index:25169203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style="mso-fit-shape-to-text:t">
                  <w:txbxContent>
                    <w:p w14:paraId="6E8F5978" w14:textId="77777777" w:rsidR="00C7145E" w:rsidRDefault="00C7145E" w:rsidP="00C82817">
                      <w:r>
                        <w:t xml:space="preserve">Yes, is the item material - above 5% of the total revenue received by the Agency? </w:t>
                      </w:r>
                    </w:p>
                  </w:txbxContent>
                </v:textbox>
                <w10:wrap type="square"/>
              </v:shape>
            </w:pict>
          </mc:Fallback>
        </mc:AlternateContent>
      </w:r>
    </w:p>
    <w:p w14:paraId="2C25DD1C" w14:textId="77777777" w:rsidR="00C82817" w:rsidRDefault="00C82817" w:rsidP="00C82817">
      <w:pPr>
        <w:pStyle w:val="NormalWeb"/>
        <w:spacing w:after="0"/>
        <w:ind w:left="720"/>
        <w:jc w:val="center"/>
        <w:rPr>
          <w:rFonts w:ascii="Calibri" w:hAnsi="Calibri" w:cs="Arial"/>
          <w:color w:val="101010"/>
          <w:lang w:val="en"/>
        </w:rPr>
      </w:pPr>
      <w:r w:rsidRPr="00493A46">
        <w:rPr>
          <w:rFonts w:ascii="Calibri" w:hAnsi="Calibri" w:cs="Arial"/>
          <w:noProof/>
          <w:color w:val="101010"/>
          <w:lang w:val="en"/>
        </w:rPr>
        <mc:AlternateContent>
          <mc:Choice Requires="wps">
            <w:drawing>
              <wp:anchor distT="45720" distB="45720" distL="114300" distR="114300" simplePos="0" relativeHeight="251696128" behindDoc="0" locked="0" layoutInCell="1" allowOverlap="1" wp14:anchorId="10AAA827" wp14:editId="00D88304">
                <wp:simplePos x="0" y="0"/>
                <wp:positionH relativeFrom="margin">
                  <wp:posOffset>4438650</wp:posOffset>
                </wp:positionH>
                <wp:positionV relativeFrom="paragraph">
                  <wp:posOffset>144780</wp:posOffset>
                </wp:positionV>
                <wp:extent cx="1276350" cy="106680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66800"/>
                        </a:xfrm>
                        <a:prstGeom prst="rect">
                          <a:avLst/>
                        </a:prstGeom>
                        <a:solidFill>
                          <a:srgbClr val="FFFFFF"/>
                        </a:solidFill>
                        <a:ln w="9525">
                          <a:solidFill>
                            <a:srgbClr val="000000"/>
                          </a:solidFill>
                          <a:miter lim="800000"/>
                          <a:headEnd/>
                          <a:tailEnd/>
                        </a:ln>
                      </wps:spPr>
                      <wps:txbx>
                        <w:txbxContent>
                          <w:p w14:paraId="165E318D" w14:textId="77777777" w:rsidR="00C7145E" w:rsidRDefault="00C7145E" w:rsidP="00C82817">
                            <w:bookmarkStart w:id="103" w:name="_Hlk40942924"/>
                            <w:bookmarkStart w:id="104" w:name="_Hlk40942925"/>
                            <w:r>
                              <w:t>No, do not disaggregate in the assessment under the new standards</w:t>
                            </w:r>
                            <w:bookmarkEnd w:id="103"/>
                            <w:bookmarkEnd w:id="10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AA827" id="_x0000_s1029" type="#_x0000_t202" style="position:absolute;left:0;text-align:left;margin-left:349.5pt;margin-top:11.4pt;width:100.5pt;height:8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">
                <v:textbox>
                  <w:txbxContent>
                    <w:p w14:paraId="165E318D" w14:textId="77777777" w:rsidR="00C7145E" w:rsidRDefault="00C7145E" w:rsidP="00C82817">
                      <w:bookmarkStart w:id="105" w:name="_Hlk40942924"/>
                      <w:bookmarkStart w:id="106" w:name="_Hlk40942925"/>
                      <w:r>
                        <w:t>No, do not disaggregate in the assessment under the new standards</w:t>
                      </w:r>
                      <w:bookmarkEnd w:id="105"/>
                      <w:bookmarkEnd w:id="106"/>
                      <w:r>
                        <w:t>.</w:t>
                      </w:r>
                    </w:p>
                  </w:txbxContent>
                </v:textbox>
                <w10:wrap type="square" anchorx="margin"/>
              </v:shape>
            </w:pict>
          </mc:Fallback>
        </mc:AlternateContent>
      </w:r>
    </w:p>
    <w:p w14:paraId="43A04919" w14:textId="77777777" w:rsidR="00C82817" w:rsidRDefault="00C82817" w:rsidP="00C82817">
      <w:pPr>
        <w:pStyle w:val="NormalWeb"/>
        <w:spacing w:after="0"/>
        <w:ind w:left="720"/>
        <w:jc w:val="center"/>
        <w:rPr>
          <w:rFonts w:ascii="Calibri" w:hAnsi="Calibri" w:cs="Arial"/>
          <w:color w:val="101010"/>
          <w:lang w:val="en"/>
        </w:rPr>
      </w:pPr>
      <w:r>
        <w:rPr>
          <w:rFonts w:ascii="Calibri" w:hAnsi="Calibri" w:cs="Arial"/>
          <w:noProof/>
          <w:color w:val="101010"/>
          <w:lang w:val="en"/>
        </w:rPr>
        <mc:AlternateContent>
          <mc:Choice Requires="wps">
            <w:drawing>
              <wp:anchor distT="0" distB="0" distL="114300" distR="114300" simplePos="0" relativeHeight="251697152" behindDoc="0" locked="0" layoutInCell="1" allowOverlap="1" wp14:anchorId="1C594053" wp14:editId="27057204">
                <wp:simplePos x="0" y="0"/>
                <wp:positionH relativeFrom="column">
                  <wp:posOffset>4000500</wp:posOffset>
                </wp:positionH>
                <wp:positionV relativeFrom="paragraph">
                  <wp:posOffset>28575</wp:posOffset>
                </wp:positionV>
                <wp:extent cx="428625" cy="85725"/>
                <wp:effectExtent l="0" t="0" r="47625" b="85725"/>
                <wp:wrapNone/>
                <wp:docPr id="42" name="Straight Arrow Connector 42"/>
                <wp:cNvGraphicFramePr/>
                <a:graphic xmlns:a="http://schemas.openxmlformats.org/drawingml/2006/main">
                  <a:graphicData uri="http://schemas.microsoft.com/office/word/2010/wordprocessingShape">
                    <wps:wsp>
                      <wps:cNvCnPr/>
                      <wps:spPr>
                        <a:xfrm>
                          <a:off x="0" y="0"/>
                          <a:ext cx="42862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FF9090" id="Straight Arrow Connector 42" o:spid="_x0000_s1026" type="#_x0000_t32" style="position:absolute;margin-left:315pt;margin-top:2.25pt;width:33.7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" strokecolor="#4472c4 [3204]" strokeweight=".5pt">
                <v:stroke endarrow="block" joinstyle="miter"/>
              </v:shape>
            </w:pict>
          </mc:Fallback>
        </mc:AlternateContent>
      </w:r>
    </w:p>
    <w:p w14:paraId="77211A52" w14:textId="77777777" w:rsidR="00C82817" w:rsidRDefault="00C82817" w:rsidP="00C82817">
      <w:pPr>
        <w:pStyle w:val="NormalWeb"/>
        <w:spacing w:after="0"/>
        <w:ind w:left="720"/>
        <w:jc w:val="center"/>
        <w:rPr>
          <w:rFonts w:ascii="Calibri" w:hAnsi="Calibri" w:cs="Arial"/>
          <w:color w:val="101010"/>
          <w:lang w:val="en"/>
        </w:rPr>
      </w:pPr>
    </w:p>
    <w:p w14:paraId="4BFBBE9D" w14:textId="55FCBA17" w:rsidR="00C82817" w:rsidRDefault="00B95C59" w:rsidP="00C82817">
      <w:pPr>
        <w:pStyle w:val="NormalWeb"/>
        <w:spacing w:after="0"/>
        <w:ind w:left="720"/>
        <w:jc w:val="center"/>
        <w:rPr>
          <w:rFonts w:ascii="Calibri" w:hAnsi="Calibri" w:cs="Arial"/>
          <w:color w:val="101010"/>
          <w:lang w:val="en"/>
        </w:rPr>
      </w:pPr>
      <w:r>
        <w:rPr>
          <w:rFonts w:ascii="Calibri" w:hAnsi="Calibri" w:cs="Arial"/>
          <w:noProof/>
          <w:color w:val="101010"/>
          <w:lang w:val="en"/>
        </w:rPr>
        <mc:AlternateContent>
          <mc:Choice Requires="wps">
            <w:drawing>
              <wp:anchor distT="0" distB="0" distL="114300" distR="114300" simplePos="0" relativeHeight="251706368" behindDoc="0" locked="0" layoutInCell="1" allowOverlap="1" wp14:anchorId="5B7BEDB4" wp14:editId="1228F8E7">
                <wp:simplePos x="0" y="0"/>
                <wp:positionH relativeFrom="column">
                  <wp:posOffset>2838450</wp:posOffset>
                </wp:positionH>
                <wp:positionV relativeFrom="paragraph">
                  <wp:posOffset>93345</wp:posOffset>
                </wp:positionV>
                <wp:extent cx="9525" cy="465455"/>
                <wp:effectExtent l="38100" t="0" r="66675" b="48895"/>
                <wp:wrapNone/>
                <wp:docPr id="50" name="Straight Arrow Connector 50"/>
                <wp:cNvGraphicFramePr/>
                <a:graphic xmlns:a="http://schemas.openxmlformats.org/drawingml/2006/main">
                  <a:graphicData uri="http://schemas.microsoft.com/office/word/2010/wordprocessingShape">
                    <wps:wsp>
                      <wps:cNvCnPr/>
                      <wps:spPr>
                        <a:xfrm>
                          <a:off x="0" y="0"/>
                          <a:ext cx="9525" cy="465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7B9CB" id="Straight Arrow Connector 50" o:spid="_x0000_s1026" type="#_x0000_t32" style="position:absolute;margin-left:223.5pt;margin-top:7.35pt;width:.75pt;height:36.6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" strokecolor="#4472c4 [3204]" strokeweight=".5pt">
                <v:stroke endarrow="block" joinstyle="miter"/>
              </v:shape>
            </w:pict>
          </mc:Fallback>
        </mc:AlternateContent>
      </w:r>
    </w:p>
    <w:p w14:paraId="13CC6C92" w14:textId="77777777" w:rsidR="00C82817" w:rsidRDefault="00C82817" w:rsidP="00C82817">
      <w:pPr>
        <w:pStyle w:val="NormalWeb"/>
        <w:spacing w:after="0"/>
        <w:ind w:left="720"/>
        <w:jc w:val="center"/>
        <w:rPr>
          <w:rFonts w:ascii="Calibri" w:hAnsi="Calibri" w:cs="Arial"/>
          <w:color w:val="101010"/>
          <w:lang w:val="en"/>
        </w:rPr>
      </w:pPr>
    </w:p>
    <w:p w14:paraId="246DE738" w14:textId="77777777" w:rsidR="00C82817" w:rsidRDefault="00C82817" w:rsidP="00C82817">
      <w:pPr>
        <w:pStyle w:val="NormalWeb"/>
        <w:spacing w:after="0"/>
        <w:ind w:left="720"/>
        <w:jc w:val="center"/>
        <w:rPr>
          <w:rFonts w:ascii="Calibri" w:hAnsi="Calibri" w:cs="Arial"/>
          <w:color w:val="101010"/>
          <w:lang w:val="en"/>
        </w:rPr>
      </w:pPr>
      <w:r w:rsidRPr="00B861F0">
        <w:rPr>
          <w:rFonts w:ascii="Calibri" w:hAnsi="Calibri" w:cs="Arial"/>
          <w:noProof/>
          <w:color w:val="101010"/>
          <w:lang w:val="en"/>
        </w:rPr>
        <mc:AlternateContent>
          <mc:Choice Requires="wps">
            <w:drawing>
              <wp:anchor distT="45720" distB="45720" distL="114300" distR="114300" simplePos="0" relativeHeight="251693056" behindDoc="0" locked="0" layoutInCell="1" allowOverlap="1" wp14:anchorId="720D1CAC" wp14:editId="7C11F2FC">
                <wp:simplePos x="0" y="0"/>
                <wp:positionH relativeFrom="column">
                  <wp:align>center</wp:align>
                </wp:positionH>
                <wp:positionV relativeFrom="paragraph">
                  <wp:posOffset>182880</wp:posOffset>
                </wp:positionV>
                <wp:extent cx="2360930" cy="771525"/>
                <wp:effectExtent l="0" t="0" r="12700"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solidFill>
                            <a:srgbClr val="000000"/>
                          </a:solidFill>
                          <a:miter lim="800000"/>
                          <a:headEnd/>
                          <a:tailEnd/>
                        </a:ln>
                      </wps:spPr>
                      <wps:txbx>
                        <w:txbxContent>
                          <w:p w14:paraId="24C344EF" w14:textId="77777777" w:rsidR="00C7145E" w:rsidRDefault="00C7145E" w:rsidP="00C82817">
                            <w:r>
                              <w:t>Yes, is each sub-line item above 5% of the total revenue of the primary line item?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0D1CAC" id="_x0000_s1030" type="#_x0000_t202" style="position:absolute;left:0;text-align:left;margin-left:0;margin-top:14.4pt;width:185.9pt;height:60.75pt;z-index:251693056;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">
                <v:textbox>
                  <w:txbxContent>
                    <w:p w14:paraId="24C344EF" w14:textId="77777777" w:rsidR="00C7145E" w:rsidRDefault="00C7145E" w:rsidP="00C82817">
                      <w:r>
                        <w:t>Yes, is each sub-line item above 5% of the total revenue of the primary line item?</w:t>
                      </w:r>
                    </w:p>
                  </w:txbxContent>
                </v:textbox>
                <w10:wrap type="square"/>
              </v:shape>
            </w:pict>
          </mc:Fallback>
        </mc:AlternateContent>
      </w:r>
    </w:p>
    <w:p w14:paraId="274C2271" w14:textId="77777777" w:rsidR="00C82817" w:rsidRDefault="00C82817" w:rsidP="00C82817">
      <w:pPr>
        <w:pStyle w:val="NormalWeb"/>
        <w:spacing w:after="0"/>
        <w:ind w:left="720"/>
        <w:jc w:val="center"/>
        <w:rPr>
          <w:rFonts w:ascii="Calibri" w:hAnsi="Calibri" w:cs="Arial"/>
          <w:color w:val="101010"/>
          <w:lang w:val="en"/>
        </w:rPr>
      </w:pPr>
    </w:p>
    <w:p w14:paraId="2ED20D63" w14:textId="77777777" w:rsidR="00C82817" w:rsidRDefault="00C82817" w:rsidP="00C82817">
      <w:pPr>
        <w:pStyle w:val="NormalWeb"/>
        <w:spacing w:after="0"/>
        <w:ind w:left="720"/>
        <w:jc w:val="center"/>
        <w:rPr>
          <w:rFonts w:ascii="Calibri" w:hAnsi="Calibri" w:cs="Arial"/>
          <w:color w:val="101010"/>
          <w:lang w:val="en"/>
        </w:rPr>
      </w:pPr>
      <w:r>
        <w:rPr>
          <w:rFonts w:ascii="Calibri" w:hAnsi="Calibri" w:cs="Arial"/>
          <w:noProof/>
          <w:color w:val="101010"/>
          <w:lang w:val="en"/>
        </w:rPr>
        <mc:AlternateContent>
          <mc:Choice Requires="wps">
            <w:drawing>
              <wp:anchor distT="0" distB="0" distL="114300" distR="114300" simplePos="0" relativeHeight="251702272" behindDoc="0" locked="0" layoutInCell="1" allowOverlap="1" wp14:anchorId="57A39B2A" wp14:editId="3A849092">
                <wp:simplePos x="0" y="0"/>
                <wp:positionH relativeFrom="column">
                  <wp:posOffset>4000500</wp:posOffset>
                </wp:positionH>
                <wp:positionV relativeFrom="paragraph">
                  <wp:posOffset>112395</wp:posOffset>
                </wp:positionV>
                <wp:extent cx="447675" cy="104775"/>
                <wp:effectExtent l="0" t="0" r="47625" b="85725"/>
                <wp:wrapNone/>
                <wp:docPr id="46" name="Straight Arrow Connector 46"/>
                <wp:cNvGraphicFramePr/>
                <a:graphic xmlns:a="http://schemas.openxmlformats.org/drawingml/2006/main">
                  <a:graphicData uri="http://schemas.microsoft.com/office/word/2010/wordprocessingShape">
                    <wps:wsp>
                      <wps:cNvCnPr/>
                      <wps:spPr>
                        <a:xfrm>
                          <a:off x="0" y="0"/>
                          <a:ext cx="4476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E64201" id="Straight Arrow Connector 46" o:spid="_x0000_s1026" type="#_x0000_t32" style="position:absolute;margin-left:315pt;margin-top:8.85pt;width:35.25pt;height:8.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" strokecolor="#4472c4 [3204]" strokeweight=".5pt">
                <v:stroke endarrow="block" joinstyle="miter"/>
              </v:shape>
            </w:pict>
          </mc:Fallback>
        </mc:AlternateContent>
      </w:r>
      <w:r w:rsidRPr="00A147CF">
        <w:rPr>
          <w:rFonts w:ascii="Calibri" w:hAnsi="Calibri" w:cs="Arial"/>
          <w:noProof/>
          <w:color w:val="101010"/>
          <w:lang w:val="en"/>
        </w:rPr>
        <mc:AlternateContent>
          <mc:Choice Requires="wps">
            <w:drawing>
              <wp:anchor distT="45720" distB="45720" distL="114300" distR="114300" simplePos="0" relativeHeight="251701248" behindDoc="0" locked="0" layoutInCell="1" allowOverlap="1" wp14:anchorId="0AAB039D" wp14:editId="5DB657F4">
                <wp:simplePos x="0" y="0"/>
                <wp:positionH relativeFrom="margin">
                  <wp:align>right</wp:align>
                </wp:positionH>
                <wp:positionV relativeFrom="paragraph">
                  <wp:posOffset>7620</wp:posOffset>
                </wp:positionV>
                <wp:extent cx="1257300" cy="1019175"/>
                <wp:effectExtent l="0" t="0" r="1905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19175"/>
                        </a:xfrm>
                        <a:prstGeom prst="rect">
                          <a:avLst/>
                        </a:prstGeom>
                        <a:solidFill>
                          <a:srgbClr val="FFFFFF"/>
                        </a:solidFill>
                        <a:ln w="9525">
                          <a:solidFill>
                            <a:srgbClr val="000000"/>
                          </a:solidFill>
                          <a:miter lim="800000"/>
                          <a:headEnd/>
                          <a:tailEnd/>
                        </a:ln>
                      </wps:spPr>
                      <wps:txbx>
                        <w:txbxContent>
                          <w:p w14:paraId="75B46706" w14:textId="77777777" w:rsidR="00C7145E" w:rsidRDefault="00C7145E" w:rsidP="00C82817">
                            <w:r w:rsidRPr="00A147CF">
                              <w:t>No, do not disaggregate in the assessment under the new standards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B039D" id="_x0000_s1031" type="#_x0000_t202" style="position:absolute;left:0;text-align:left;margin-left:47.8pt;margin-top:.6pt;width:99pt;height:80.2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">
                <v:textbox>
                  <w:txbxContent>
                    <w:p w14:paraId="75B46706" w14:textId="77777777" w:rsidR="00C7145E" w:rsidRDefault="00C7145E" w:rsidP="00C82817">
                      <w:r w:rsidRPr="00A147CF">
                        <w:t>No, do not disaggregate in the assessment under the new standards</w:t>
                      </w:r>
                      <w:r>
                        <w:t>.</w:t>
                      </w:r>
                    </w:p>
                  </w:txbxContent>
                </v:textbox>
                <w10:wrap type="square" anchorx="margin"/>
              </v:shape>
            </w:pict>
          </mc:Fallback>
        </mc:AlternateContent>
      </w:r>
    </w:p>
    <w:p w14:paraId="4B585B9E" w14:textId="77777777" w:rsidR="00C82817" w:rsidRDefault="00C82817" w:rsidP="00C82817">
      <w:pPr>
        <w:pStyle w:val="NormalWeb"/>
        <w:spacing w:after="0"/>
        <w:ind w:left="720"/>
        <w:jc w:val="center"/>
        <w:rPr>
          <w:rFonts w:ascii="Calibri" w:hAnsi="Calibri" w:cs="Arial"/>
          <w:color w:val="101010"/>
          <w:lang w:val="en"/>
        </w:rPr>
      </w:pPr>
    </w:p>
    <w:p w14:paraId="17BF8F46" w14:textId="3E3ECA1E" w:rsidR="00C82817" w:rsidRDefault="00C82817" w:rsidP="00C82817">
      <w:pPr>
        <w:pStyle w:val="NormalWeb"/>
        <w:spacing w:after="0"/>
        <w:ind w:left="720"/>
        <w:jc w:val="center"/>
        <w:rPr>
          <w:rFonts w:ascii="Calibri" w:hAnsi="Calibri" w:cs="Arial"/>
          <w:color w:val="101010"/>
          <w:lang w:val="en"/>
        </w:rPr>
      </w:pPr>
    </w:p>
    <w:p w14:paraId="2AE81FDC" w14:textId="330210D4" w:rsidR="00C82817" w:rsidRDefault="00B34CA1" w:rsidP="00C82817">
      <w:pPr>
        <w:pStyle w:val="NormalWeb"/>
        <w:spacing w:after="0"/>
        <w:ind w:left="720"/>
        <w:jc w:val="center"/>
        <w:rPr>
          <w:rFonts w:ascii="Calibri" w:hAnsi="Calibri" w:cs="Arial"/>
          <w:color w:val="101010"/>
          <w:lang w:val="en"/>
        </w:rPr>
      </w:pPr>
      <w:r>
        <w:rPr>
          <w:rFonts w:ascii="Calibri" w:hAnsi="Calibri" w:cs="Arial"/>
          <w:noProof/>
          <w:color w:val="101010"/>
          <w:lang w:val="en"/>
        </w:rPr>
        <mc:AlternateContent>
          <mc:Choice Requires="wps">
            <w:drawing>
              <wp:anchor distT="0" distB="0" distL="114300" distR="114300" simplePos="0" relativeHeight="251705344" behindDoc="0" locked="0" layoutInCell="1" allowOverlap="1" wp14:anchorId="714C6F4D" wp14:editId="58F9F8B4">
                <wp:simplePos x="0" y="0"/>
                <wp:positionH relativeFrom="column">
                  <wp:posOffset>2847975</wp:posOffset>
                </wp:positionH>
                <wp:positionV relativeFrom="paragraph">
                  <wp:posOffset>27940</wp:posOffset>
                </wp:positionV>
                <wp:extent cx="9525" cy="333375"/>
                <wp:effectExtent l="38100" t="0" r="66675" b="47625"/>
                <wp:wrapNone/>
                <wp:docPr id="47" name="Straight Arrow Connector 47"/>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11FF1" id="Straight Arrow Connector 47" o:spid="_x0000_s1026" type="#_x0000_t32" style="position:absolute;margin-left:224.25pt;margin-top:2.2pt;width:.75pt;height:26.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" strokecolor="#4472c4 [3204]" strokeweight=".5pt">
                <v:stroke endarrow="block" joinstyle="miter"/>
              </v:shape>
            </w:pict>
          </mc:Fallback>
        </mc:AlternateContent>
      </w:r>
    </w:p>
    <w:p w14:paraId="261B13F0" w14:textId="77777777" w:rsidR="00C82817" w:rsidRDefault="00C82817" w:rsidP="00C82817">
      <w:pPr>
        <w:pStyle w:val="NormalWeb"/>
        <w:spacing w:after="0"/>
        <w:ind w:left="720"/>
        <w:jc w:val="center"/>
        <w:rPr>
          <w:rFonts w:ascii="Calibri" w:hAnsi="Calibri" w:cs="Arial"/>
          <w:color w:val="101010"/>
          <w:lang w:val="en"/>
        </w:rPr>
      </w:pPr>
      <w:r w:rsidRPr="002C52FC">
        <w:rPr>
          <w:rFonts w:ascii="Calibri" w:hAnsi="Calibri" w:cs="Arial"/>
          <w:noProof/>
          <w:color w:val="101010"/>
          <w:lang w:val="en"/>
        </w:rPr>
        <mc:AlternateContent>
          <mc:Choice Requires="wps">
            <w:drawing>
              <wp:anchor distT="45720" distB="45720" distL="114300" distR="114300" simplePos="0" relativeHeight="251699200" behindDoc="0" locked="0" layoutInCell="1" allowOverlap="1" wp14:anchorId="09071C9A" wp14:editId="70E0E987">
                <wp:simplePos x="0" y="0"/>
                <wp:positionH relativeFrom="column">
                  <wp:posOffset>1748155</wp:posOffset>
                </wp:positionH>
                <wp:positionV relativeFrom="paragraph">
                  <wp:posOffset>153035</wp:posOffset>
                </wp:positionV>
                <wp:extent cx="2360930" cy="1404620"/>
                <wp:effectExtent l="0" t="0" r="22860" b="1143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2947300" w14:textId="77777777" w:rsidR="00C7145E" w:rsidRDefault="00C7145E" w:rsidP="00C82817">
                            <w:r w:rsidRPr="002C52FC">
                              <w:t>Yes,</w:t>
                            </w:r>
                            <w:r>
                              <w:t xml:space="preserve"> then</w:t>
                            </w:r>
                            <w:r w:rsidRPr="002C52FC">
                              <w:t xml:space="preserve"> the revenue should be </w:t>
                            </w:r>
                            <w:r>
                              <w:t xml:space="preserve">disaggregated and </w:t>
                            </w:r>
                            <w:r w:rsidRPr="002C52FC">
                              <w:t>dealt with in accordance with this ACT Government policy</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071C9A" id="_x0000_s1032" type="#_x0000_t202" style="position:absolute;left:0;text-align:left;margin-left:137.65pt;margin-top:12.05pt;width:185.9pt;height:110.6pt;z-index:251699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K4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">
                <v:textbox style="mso-fit-shape-to-text:t">
                  <w:txbxContent>
                    <w:p w14:paraId="72947300" w14:textId="77777777" w:rsidR="00C7145E" w:rsidRDefault="00C7145E" w:rsidP="00C82817">
                      <w:r w:rsidRPr="002C52FC">
                        <w:t>Yes,</w:t>
                      </w:r>
                      <w:r>
                        <w:t xml:space="preserve"> then</w:t>
                      </w:r>
                      <w:r w:rsidRPr="002C52FC">
                        <w:t xml:space="preserve"> the revenue should be </w:t>
                      </w:r>
                      <w:r>
                        <w:t xml:space="preserve">disaggregated and </w:t>
                      </w:r>
                      <w:r w:rsidRPr="002C52FC">
                        <w:t>dealt with in accordance with this ACT Government policy</w:t>
                      </w:r>
                      <w:r>
                        <w:t>.</w:t>
                      </w:r>
                    </w:p>
                  </w:txbxContent>
                </v:textbox>
                <w10:wrap type="square"/>
              </v:shape>
            </w:pict>
          </mc:Fallback>
        </mc:AlternateContent>
      </w:r>
    </w:p>
    <w:p w14:paraId="77D8AFEE" w14:textId="77777777" w:rsidR="00C82817" w:rsidRDefault="00C82817" w:rsidP="00C82817">
      <w:pPr>
        <w:pStyle w:val="NormalWeb"/>
        <w:spacing w:after="0"/>
        <w:ind w:left="720"/>
        <w:jc w:val="center"/>
        <w:rPr>
          <w:rFonts w:ascii="Calibri" w:hAnsi="Calibri" w:cs="Arial"/>
          <w:color w:val="101010"/>
          <w:lang w:val="en"/>
        </w:rPr>
      </w:pPr>
    </w:p>
    <w:p w14:paraId="4EE2442E" w14:textId="77777777" w:rsidR="00C82817" w:rsidRDefault="00C82817" w:rsidP="00C82817">
      <w:pPr>
        <w:pStyle w:val="NormalWeb"/>
        <w:spacing w:after="0"/>
        <w:ind w:left="720"/>
        <w:jc w:val="center"/>
        <w:rPr>
          <w:rFonts w:ascii="Calibri" w:hAnsi="Calibri" w:cs="Arial"/>
          <w:color w:val="101010"/>
          <w:lang w:val="en"/>
        </w:rPr>
      </w:pPr>
    </w:p>
    <w:p w14:paraId="595E8954" w14:textId="77777777" w:rsidR="00C82817" w:rsidRDefault="00C82817" w:rsidP="00C82817">
      <w:pPr>
        <w:pStyle w:val="NormalWeb"/>
        <w:spacing w:after="0"/>
        <w:ind w:left="720"/>
        <w:rPr>
          <w:rFonts w:ascii="Calibri" w:hAnsi="Calibri" w:cs="Arial"/>
          <w:color w:val="101010"/>
          <w:lang w:val="en"/>
        </w:rPr>
      </w:pPr>
    </w:p>
    <w:p w14:paraId="1AC73595" w14:textId="77777777" w:rsidR="00C82817" w:rsidRDefault="00C82817" w:rsidP="00C82817">
      <w:pPr>
        <w:pStyle w:val="NormalWeb"/>
        <w:spacing w:after="0"/>
        <w:ind w:left="720"/>
        <w:rPr>
          <w:rFonts w:ascii="Calibri" w:hAnsi="Calibri" w:cs="Arial"/>
          <w:color w:val="101010"/>
          <w:lang w:val="en"/>
        </w:rPr>
      </w:pPr>
    </w:p>
    <w:p w14:paraId="675F5557" w14:textId="77777777" w:rsidR="00C82817" w:rsidRDefault="00C82817" w:rsidP="00C82817">
      <w:pPr>
        <w:pStyle w:val="NormalWeb"/>
        <w:spacing w:after="0"/>
        <w:ind w:left="720"/>
        <w:rPr>
          <w:rFonts w:ascii="Calibri" w:hAnsi="Calibri" w:cs="Arial"/>
          <w:color w:val="101010"/>
          <w:lang w:val="en"/>
        </w:rPr>
      </w:pPr>
    </w:p>
    <w:p w14:paraId="4F59DDFF" w14:textId="09DD170A" w:rsidR="00870899" w:rsidRDefault="00870899">
      <w:pPr>
        <w:spacing w:after="160" w:line="259" w:lineRule="auto"/>
        <w:rPr>
          <w:rFonts w:ascii="Calibri" w:eastAsia="Times New Roman" w:hAnsi="Calibri" w:cs="Arial"/>
          <w:color w:val="101010"/>
          <w:szCs w:val="24"/>
          <w:lang w:val="en" w:eastAsia="en-AU"/>
        </w:rPr>
      </w:pPr>
      <w:r>
        <w:rPr>
          <w:rFonts w:ascii="Calibri" w:hAnsi="Calibri" w:cs="Arial"/>
          <w:color w:val="101010"/>
          <w:lang w:val="en"/>
        </w:rPr>
        <w:br w:type="page"/>
      </w:r>
    </w:p>
    <w:p w14:paraId="2B03F6F9" w14:textId="7F811352" w:rsidR="00C82817" w:rsidRPr="00FE6C1C" w:rsidRDefault="00870899" w:rsidP="00044B9F">
      <w:pPr>
        <w:pStyle w:val="Heading1"/>
      </w:pPr>
      <w:bookmarkStart w:id="105" w:name="_Toc45622620"/>
      <w:r>
        <w:lastRenderedPageBreak/>
        <w:t>A</w:t>
      </w:r>
      <w:r w:rsidR="00ED0FA9">
        <w:t>6</w:t>
      </w:r>
      <w:r>
        <w:t>.</w:t>
      </w:r>
      <w:r>
        <w:tab/>
      </w:r>
      <w:r w:rsidR="00C82817" w:rsidRPr="00FE6C1C">
        <w:t>Principal versus agent considerations (AASB</w:t>
      </w:r>
      <w:r w:rsidR="00C82817">
        <w:t xml:space="preserve"> </w:t>
      </w:r>
      <w:r w:rsidR="00C82817" w:rsidRPr="00FE6C1C">
        <w:t>15.B34-B38)</w:t>
      </w:r>
      <w:bookmarkEnd w:id="105"/>
    </w:p>
    <w:p w14:paraId="52266E98" w14:textId="77777777" w:rsidR="00C82817" w:rsidRPr="00CF565E" w:rsidRDefault="00C82817" w:rsidP="00C82817">
      <w:pPr>
        <w:pStyle w:val="NormalWeb"/>
        <w:spacing w:after="0"/>
        <w:rPr>
          <w:rFonts w:ascii="Calibri" w:hAnsi="Calibri" w:cs="Arial"/>
          <w:color w:val="101010"/>
          <w:lang w:val="en"/>
        </w:rPr>
      </w:pPr>
      <w:r w:rsidRPr="001D1968">
        <w:rPr>
          <w:rFonts w:ascii="Calibri" w:hAnsi="Calibri" w:cs="Arial"/>
          <w:color w:val="101010"/>
          <w:lang w:val="en"/>
        </w:rPr>
        <w:t>An entity needs to determine whether it is the principal in the arrangement (i.e. it will provide goods/services to the customer) or it is an agent (i.e. its role is to arrange for another party to provide the goods/services</w:t>
      </w:r>
      <w:r>
        <w:rPr>
          <w:rFonts w:ascii="Calibri" w:hAnsi="Calibri" w:cs="Arial"/>
          <w:color w:val="101010"/>
          <w:lang w:val="en"/>
        </w:rPr>
        <w:t>).</w:t>
      </w:r>
      <w:r w:rsidRPr="00CF565E">
        <w:rPr>
          <w:rFonts w:ascii="Calibri" w:hAnsi="Calibri" w:cs="Arial"/>
          <w:color w:val="101010"/>
          <w:lang w:val="en"/>
        </w:rPr>
        <w:t xml:space="preserve"> (AASB</w:t>
      </w:r>
      <w:r>
        <w:rPr>
          <w:rFonts w:ascii="Calibri" w:hAnsi="Calibri" w:cs="Arial"/>
          <w:color w:val="101010"/>
          <w:lang w:val="en"/>
        </w:rPr>
        <w:t xml:space="preserve"> </w:t>
      </w:r>
      <w:r w:rsidRPr="00CF565E">
        <w:rPr>
          <w:rFonts w:ascii="Calibri" w:hAnsi="Calibri" w:cs="Arial"/>
          <w:color w:val="101010"/>
          <w:lang w:val="en"/>
        </w:rPr>
        <w:t>15.B34)</w:t>
      </w:r>
    </w:p>
    <w:p w14:paraId="276DA9A4" w14:textId="77777777" w:rsidR="00C82817" w:rsidRDefault="00C82817" w:rsidP="00C82817">
      <w:pPr>
        <w:pStyle w:val="NormalWeb"/>
        <w:spacing w:after="0"/>
        <w:rPr>
          <w:rFonts w:ascii="Calibri" w:hAnsi="Calibri" w:cs="Arial"/>
          <w:color w:val="101010"/>
          <w:lang w:val="en"/>
        </w:rPr>
      </w:pPr>
    </w:p>
    <w:p w14:paraId="3511CC0D" w14:textId="77777777" w:rsidR="00C82817" w:rsidRPr="00CF565E" w:rsidRDefault="00C82817" w:rsidP="00C82817">
      <w:pPr>
        <w:pStyle w:val="NormalWeb"/>
        <w:spacing w:after="0"/>
        <w:rPr>
          <w:rFonts w:ascii="Calibri" w:hAnsi="Calibri" w:cs="Arial"/>
          <w:color w:val="101010"/>
          <w:lang w:val="en"/>
        </w:rPr>
      </w:pPr>
      <w:r w:rsidRPr="00CF565E">
        <w:rPr>
          <w:rFonts w:ascii="Calibri" w:hAnsi="Calibri" w:cs="Arial"/>
          <w:color w:val="101010"/>
          <w:lang w:val="en"/>
        </w:rPr>
        <w:t>An entity is a principal if it controls the specified good or service before they are transferred to a customer. An entity that is a principal recognises revenue in the gross amount of consideration when it satisfies the performance obligations.</w:t>
      </w:r>
      <w:r>
        <w:rPr>
          <w:rFonts w:ascii="Calibri" w:hAnsi="Calibri" w:cs="Arial"/>
          <w:color w:val="101010"/>
          <w:lang w:val="en"/>
        </w:rPr>
        <w:t xml:space="preserve"> </w:t>
      </w:r>
      <w:r w:rsidRPr="00CF565E">
        <w:rPr>
          <w:rFonts w:ascii="Calibri" w:hAnsi="Calibri" w:cs="Arial"/>
          <w:color w:val="101010"/>
          <w:lang w:val="en"/>
        </w:rPr>
        <w:t>(AASB</w:t>
      </w:r>
      <w:r>
        <w:rPr>
          <w:rFonts w:ascii="Calibri" w:hAnsi="Calibri" w:cs="Arial"/>
          <w:color w:val="101010"/>
          <w:lang w:val="en"/>
        </w:rPr>
        <w:t xml:space="preserve"> </w:t>
      </w:r>
      <w:r w:rsidRPr="00CF565E">
        <w:rPr>
          <w:rFonts w:ascii="Calibri" w:hAnsi="Calibri" w:cs="Arial"/>
          <w:color w:val="101010"/>
          <w:lang w:val="en"/>
        </w:rPr>
        <w:t>15.B3</w:t>
      </w:r>
      <w:r>
        <w:rPr>
          <w:rFonts w:ascii="Calibri" w:hAnsi="Calibri" w:cs="Arial"/>
          <w:color w:val="101010"/>
          <w:lang w:val="en"/>
        </w:rPr>
        <w:t>5</w:t>
      </w:r>
      <w:r w:rsidRPr="00CF565E">
        <w:rPr>
          <w:rFonts w:ascii="Calibri" w:hAnsi="Calibri" w:cs="Arial"/>
          <w:color w:val="101010"/>
          <w:lang w:val="en"/>
        </w:rPr>
        <w:t>)</w:t>
      </w:r>
    </w:p>
    <w:p w14:paraId="06CDCF8A" w14:textId="77777777" w:rsidR="00C82817" w:rsidRDefault="00C82817" w:rsidP="00C82817">
      <w:pPr>
        <w:pStyle w:val="NormalWeb"/>
        <w:spacing w:after="0"/>
        <w:rPr>
          <w:rFonts w:ascii="Calibri" w:hAnsi="Calibri" w:cs="Arial"/>
          <w:color w:val="101010"/>
          <w:lang w:val="en"/>
        </w:rPr>
      </w:pPr>
    </w:p>
    <w:p w14:paraId="209F992E" w14:textId="4137C027" w:rsidR="00C82817" w:rsidRPr="00CF565E" w:rsidRDefault="00C82817" w:rsidP="00C82817">
      <w:pPr>
        <w:pStyle w:val="NormalWeb"/>
        <w:spacing w:after="0"/>
        <w:rPr>
          <w:rFonts w:ascii="Calibri" w:hAnsi="Calibri" w:cs="Arial"/>
          <w:color w:val="101010"/>
          <w:lang w:val="en"/>
        </w:rPr>
      </w:pPr>
      <w:r w:rsidRPr="00CF565E">
        <w:rPr>
          <w:rFonts w:ascii="Calibri" w:hAnsi="Calibri" w:cs="Arial"/>
          <w:color w:val="101010"/>
          <w:lang w:val="en"/>
        </w:rPr>
        <w:t>An entity that is an agent recognises revenue in the amount of any fee or commission</w:t>
      </w:r>
      <w:r>
        <w:rPr>
          <w:rFonts w:ascii="Calibri" w:hAnsi="Calibri" w:cs="Arial"/>
          <w:color w:val="101010"/>
          <w:lang w:val="en"/>
        </w:rPr>
        <w:t xml:space="preserve"> (if any)</w:t>
      </w:r>
      <w:r w:rsidRPr="00CF565E">
        <w:rPr>
          <w:rFonts w:ascii="Calibri" w:hAnsi="Calibri" w:cs="Arial"/>
          <w:color w:val="101010"/>
          <w:lang w:val="en"/>
        </w:rPr>
        <w:t xml:space="preserve"> to which it expects to be entitled in exchange for arranging for the specified goods or services to be provided by the other party, when it satisfies its performance obligations.</w:t>
      </w:r>
      <w:r>
        <w:rPr>
          <w:rFonts w:ascii="Calibri" w:hAnsi="Calibri" w:cs="Arial"/>
          <w:color w:val="101010"/>
          <w:lang w:val="en"/>
        </w:rPr>
        <w:t xml:space="preserve"> </w:t>
      </w:r>
      <w:r w:rsidRPr="00CF565E">
        <w:rPr>
          <w:rFonts w:ascii="Calibri" w:hAnsi="Calibri" w:cs="Arial"/>
          <w:color w:val="101010"/>
          <w:lang w:val="en"/>
        </w:rPr>
        <w:t>(AASB</w:t>
      </w:r>
      <w:r>
        <w:rPr>
          <w:rFonts w:ascii="Calibri" w:hAnsi="Calibri" w:cs="Arial"/>
          <w:color w:val="101010"/>
          <w:lang w:val="en"/>
        </w:rPr>
        <w:t xml:space="preserve"> </w:t>
      </w:r>
      <w:r w:rsidRPr="00CF565E">
        <w:rPr>
          <w:rFonts w:ascii="Calibri" w:hAnsi="Calibri" w:cs="Arial"/>
          <w:color w:val="101010"/>
          <w:lang w:val="en"/>
        </w:rPr>
        <w:t>15.B3</w:t>
      </w:r>
      <w:r>
        <w:rPr>
          <w:rFonts w:ascii="Calibri" w:hAnsi="Calibri" w:cs="Arial"/>
          <w:color w:val="101010"/>
          <w:lang w:val="en"/>
        </w:rPr>
        <w:t>6</w:t>
      </w:r>
      <w:r w:rsidRPr="00CF565E">
        <w:rPr>
          <w:rFonts w:ascii="Calibri" w:hAnsi="Calibri" w:cs="Arial"/>
          <w:color w:val="101010"/>
          <w:lang w:val="en"/>
        </w:rPr>
        <w:t>)</w:t>
      </w:r>
      <w:r w:rsidR="00BC67B4">
        <w:rPr>
          <w:rFonts w:ascii="Calibri" w:hAnsi="Calibri" w:cs="Arial"/>
          <w:color w:val="101010"/>
          <w:lang w:val="en"/>
        </w:rPr>
        <w:t xml:space="preserve"> Agencies should</w:t>
      </w:r>
      <w:r w:rsidR="00BC67B4" w:rsidRPr="00BC67B4">
        <w:rPr>
          <w:rFonts w:ascii="Calibri" w:hAnsi="Calibri" w:cs="Arial"/>
          <w:color w:val="101010"/>
          <w:lang w:val="en"/>
        </w:rPr>
        <w:t xml:space="preserve"> note that this may need to be considered for some commonwealth grants where the ACT Government is effectively acting as a passthrough</w:t>
      </w:r>
      <w:r w:rsidR="00BC67B4">
        <w:rPr>
          <w:rFonts w:ascii="Calibri" w:hAnsi="Calibri" w:cs="Arial"/>
          <w:color w:val="101010"/>
          <w:lang w:val="en"/>
        </w:rPr>
        <w:t>.</w:t>
      </w:r>
    </w:p>
    <w:p w14:paraId="25C44E75" w14:textId="77777777" w:rsidR="00C82817" w:rsidRPr="00CF565E" w:rsidRDefault="00C82817" w:rsidP="00C82817">
      <w:pPr>
        <w:pStyle w:val="NormalWeb"/>
        <w:spacing w:after="0"/>
        <w:rPr>
          <w:rFonts w:ascii="Calibri" w:hAnsi="Calibri" w:cs="Arial"/>
          <w:color w:val="101010"/>
          <w:lang w:val="en"/>
        </w:rPr>
      </w:pPr>
    </w:p>
    <w:p w14:paraId="7702A2B0" w14:textId="77777777" w:rsidR="00C82817" w:rsidRPr="00CF565E" w:rsidRDefault="00C82817" w:rsidP="00C82817">
      <w:pPr>
        <w:pStyle w:val="NormalWeb"/>
        <w:spacing w:after="0"/>
        <w:rPr>
          <w:rFonts w:ascii="Calibri" w:hAnsi="Calibri" w:cs="Arial"/>
          <w:color w:val="101010"/>
          <w:lang w:val="en"/>
        </w:rPr>
      </w:pPr>
      <w:r w:rsidRPr="00CF565E">
        <w:rPr>
          <w:rFonts w:ascii="Calibri" w:hAnsi="Calibri" w:cs="Arial"/>
          <w:color w:val="101010"/>
          <w:lang w:val="en"/>
        </w:rPr>
        <w:t>Indicators that an entity controls the specified good or service before it is transferred to the customer (and is therefore a principal</w:t>
      </w:r>
      <w:r>
        <w:rPr>
          <w:rFonts w:ascii="Calibri" w:hAnsi="Calibri" w:cs="Arial"/>
          <w:color w:val="101010"/>
          <w:lang w:val="en"/>
        </w:rPr>
        <w:t>)</w:t>
      </w:r>
      <w:r w:rsidRPr="00CF565E">
        <w:rPr>
          <w:rFonts w:ascii="Calibri" w:hAnsi="Calibri" w:cs="Arial"/>
          <w:color w:val="101010"/>
          <w:lang w:val="en"/>
        </w:rPr>
        <w:t xml:space="preserve"> include, but are not limited to, the following</w:t>
      </w:r>
      <w:r>
        <w:rPr>
          <w:rFonts w:ascii="Calibri" w:hAnsi="Calibri" w:cs="Arial"/>
          <w:color w:val="101010"/>
          <w:lang w:val="en"/>
        </w:rPr>
        <w:t xml:space="preserve"> </w:t>
      </w:r>
      <w:r>
        <w:rPr>
          <w:rFonts w:ascii="Calibri" w:hAnsi="Calibri" w:cs="Arial"/>
          <w:color w:val="101010"/>
          <w:lang w:val="en"/>
        </w:rPr>
        <w:br/>
        <w:t>(AASB 15.B37)</w:t>
      </w:r>
      <w:r w:rsidRPr="00CF565E">
        <w:rPr>
          <w:rFonts w:ascii="Calibri" w:hAnsi="Calibri" w:cs="Arial"/>
          <w:color w:val="101010"/>
          <w:lang w:val="en"/>
        </w:rPr>
        <w:t>:</w:t>
      </w:r>
    </w:p>
    <w:p w14:paraId="3B281F04" w14:textId="77777777" w:rsidR="00C82817" w:rsidRPr="00CF565E" w:rsidRDefault="00C82817" w:rsidP="00C82817">
      <w:pPr>
        <w:pStyle w:val="ListParagraph"/>
        <w:numPr>
          <w:ilvl w:val="0"/>
          <w:numId w:val="21"/>
        </w:numPr>
        <w:ind w:left="709" w:hanging="567"/>
        <w:rPr>
          <w:rFonts w:eastAsia="Times" w:cs="Calibri"/>
          <w:szCs w:val="24"/>
          <w:lang w:val="en-US"/>
        </w:rPr>
      </w:pPr>
      <w:r w:rsidRPr="00CF565E">
        <w:rPr>
          <w:rFonts w:eastAsia="Times" w:cs="Calibri"/>
          <w:szCs w:val="24"/>
          <w:lang w:val="en-US"/>
        </w:rPr>
        <w:t xml:space="preserve">the entity is primarily responsible for fulfilling the promise to provide the specified good or service. </w:t>
      </w:r>
    </w:p>
    <w:p w14:paraId="0D3AB7A5" w14:textId="77777777" w:rsidR="00C82817" w:rsidRPr="00CF565E" w:rsidRDefault="00C82817" w:rsidP="00C82817">
      <w:pPr>
        <w:pStyle w:val="ListParagraph"/>
        <w:numPr>
          <w:ilvl w:val="0"/>
          <w:numId w:val="21"/>
        </w:numPr>
        <w:ind w:left="709" w:hanging="567"/>
        <w:rPr>
          <w:rFonts w:eastAsia="Times" w:cs="Calibri"/>
          <w:szCs w:val="24"/>
          <w:lang w:val="en-US"/>
        </w:rPr>
      </w:pPr>
      <w:r w:rsidRPr="00CF565E">
        <w:rPr>
          <w:rFonts w:eastAsia="Times" w:cs="Calibri"/>
          <w:szCs w:val="24"/>
          <w:lang w:val="en-US"/>
        </w:rPr>
        <w:t xml:space="preserve">the entity has inventory risk before the specified good or service has been transferred to a customer or after transfer of control to the customer (for example, if the customer has a right of return). </w:t>
      </w:r>
    </w:p>
    <w:p w14:paraId="20A3EA98" w14:textId="77777777" w:rsidR="00C82817" w:rsidRDefault="00C82817" w:rsidP="00C82817">
      <w:pPr>
        <w:pStyle w:val="ListParagraph"/>
        <w:numPr>
          <w:ilvl w:val="0"/>
          <w:numId w:val="21"/>
        </w:numPr>
        <w:ind w:left="709" w:hanging="567"/>
        <w:rPr>
          <w:rFonts w:eastAsia="Times" w:cs="Calibri"/>
          <w:szCs w:val="24"/>
          <w:lang w:val="en-US"/>
        </w:rPr>
      </w:pPr>
      <w:r w:rsidRPr="00CF565E">
        <w:rPr>
          <w:rFonts w:eastAsia="Times" w:cs="Calibri"/>
          <w:szCs w:val="24"/>
          <w:lang w:val="en-US"/>
        </w:rPr>
        <w:t>the entity has discretion in establishing the price for the specified good or service.</w:t>
      </w:r>
      <w:r w:rsidRPr="000C4BE5">
        <w:rPr>
          <w:rFonts w:eastAsia="Times" w:cs="Calibri"/>
          <w:szCs w:val="24"/>
          <w:lang w:val="en-US"/>
        </w:rPr>
        <w:t xml:space="preserve"> Sometimes an agent can have discretion in establishing prices in some cases. For example, an agent may have some flexibility in setting prices in order to generate additional revenue from its service of arranging for goods or services to be provided by other parties to customers.</w:t>
      </w:r>
    </w:p>
    <w:p w14:paraId="4B6B7ECB" w14:textId="77777777" w:rsidR="00C82817" w:rsidRPr="000C4BE5" w:rsidRDefault="00C82817" w:rsidP="00C82817">
      <w:pPr>
        <w:pStyle w:val="ListParagraph"/>
        <w:ind w:left="709"/>
        <w:rPr>
          <w:rFonts w:eastAsia="Times" w:cs="Calibri"/>
          <w:szCs w:val="24"/>
          <w:lang w:val="en-US"/>
        </w:rPr>
      </w:pPr>
    </w:p>
    <w:p w14:paraId="75EC06B6" w14:textId="45A633E7" w:rsidR="00C82817" w:rsidRDefault="00870899" w:rsidP="00044B9F">
      <w:pPr>
        <w:pStyle w:val="Heading1"/>
      </w:pPr>
      <w:bookmarkStart w:id="106" w:name="_Toc45622621"/>
      <w:r>
        <w:t>A</w:t>
      </w:r>
      <w:r w:rsidR="00ED0FA9">
        <w:t>7</w:t>
      </w:r>
      <w:r>
        <w:t>.</w:t>
      </w:r>
      <w:r>
        <w:tab/>
      </w:r>
      <w:r w:rsidR="00C82817">
        <w:t>Licences (AASB15.</w:t>
      </w:r>
      <w:r w:rsidR="00CE0DE9">
        <w:t xml:space="preserve">26(i), B52-B63B and </w:t>
      </w:r>
      <w:r w:rsidR="00C82817">
        <w:t>Appendix G</w:t>
      </w:r>
      <w:r w:rsidR="00FF2EC4">
        <w:t xml:space="preserve"> (NFP)</w:t>
      </w:r>
      <w:r w:rsidR="00C82817">
        <w:t>)</w:t>
      </w:r>
      <w:bookmarkEnd w:id="106"/>
    </w:p>
    <w:p w14:paraId="7ACA7391" w14:textId="77777777" w:rsidR="00C82817" w:rsidRPr="00A46A50" w:rsidRDefault="00C82817" w:rsidP="00C82817">
      <w:pPr>
        <w:rPr>
          <w:szCs w:val="24"/>
        </w:rPr>
      </w:pPr>
      <w:r w:rsidRPr="00A46A50">
        <w:rPr>
          <w:szCs w:val="24"/>
        </w:rPr>
        <w:t>In determining whether a transaction is a licence and subject to AASB 15, the entity will need to consider the following features:</w:t>
      </w:r>
    </w:p>
    <w:p w14:paraId="43C080D4" w14:textId="77777777" w:rsidR="00C82817" w:rsidRPr="00A46A50" w:rsidRDefault="00C82817" w:rsidP="00C82817">
      <w:pPr>
        <w:pStyle w:val="ListParagraph"/>
        <w:numPr>
          <w:ilvl w:val="0"/>
          <w:numId w:val="25"/>
        </w:numPr>
        <w:rPr>
          <w:szCs w:val="24"/>
        </w:rPr>
      </w:pPr>
      <w:r w:rsidRPr="00A46A50">
        <w:rPr>
          <w:szCs w:val="24"/>
        </w:rPr>
        <w:t>Is the arrangement discretionary, rather than compulsory?</w:t>
      </w:r>
    </w:p>
    <w:p w14:paraId="4B1B284C" w14:textId="77777777" w:rsidR="00C82817" w:rsidRPr="00A46A50" w:rsidRDefault="00C82817" w:rsidP="00C82817">
      <w:pPr>
        <w:pStyle w:val="ListParagraph"/>
        <w:numPr>
          <w:ilvl w:val="0"/>
          <w:numId w:val="25"/>
        </w:numPr>
        <w:rPr>
          <w:szCs w:val="24"/>
        </w:rPr>
      </w:pPr>
      <w:r w:rsidRPr="00A46A50">
        <w:rPr>
          <w:szCs w:val="24"/>
        </w:rPr>
        <w:t>What is the primary purpose?</w:t>
      </w:r>
    </w:p>
    <w:p w14:paraId="6BE5B8EF" w14:textId="77777777" w:rsidR="00C82817" w:rsidRPr="00A46A50" w:rsidRDefault="00C82817" w:rsidP="00C82817">
      <w:pPr>
        <w:pStyle w:val="ListParagraph"/>
        <w:numPr>
          <w:ilvl w:val="0"/>
          <w:numId w:val="25"/>
        </w:numPr>
        <w:rPr>
          <w:szCs w:val="24"/>
        </w:rPr>
      </w:pPr>
      <w:r w:rsidRPr="00A46A50">
        <w:rPr>
          <w:szCs w:val="24"/>
        </w:rPr>
        <w:t>Does the arrangement create direct rights and obligations?</w:t>
      </w:r>
    </w:p>
    <w:p w14:paraId="66F4940B" w14:textId="77777777" w:rsidR="00C82817" w:rsidRPr="00A46A50" w:rsidRDefault="00C82817" w:rsidP="00C82817">
      <w:pPr>
        <w:pStyle w:val="ListParagraph"/>
        <w:numPr>
          <w:ilvl w:val="0"/>
          <w:numId w:val="25"/>
        </w:numPr>
        <w:rPr>
          <w:szCs w:val="24"/>
        </w:rPr>
      </w:pPr>
      <w:r w:rsidRPr="00A46A50">
        <w:rPr>
          <w:szCs w:val="24"/>
        </w:rPr>
        <w:t>Does the arrangement give specific permission that must be obtained prior to performing an activity?</w:t>
      </w:r>
    </w:p>
    <w:p w14:paraId="4FE06780" w14:textId="77777777" w:rsidR="00C82817" w:rsidRPr="00A46A50" w:rsidRDefault="00C82817" w:rsidP="00C82817">
      <w:pPr>
        <w:pStyle w:val="ListParagraph"/>
        <w:numPr>
          <w:ilvl w:val="0"/>
          <w:numId w:val="25"/>
        </w:numPr>
        <w:rPr>
          <w:szCs w:val="24"/>
        </w:rPr>
      </w:pPr>
      <w:r w:rsidRPr="00A46A50">
        <w:rPr>
          <w:szCs w:val="24"/>
        </w:rPr>
        <w:t>Does the arrangement transfer control of an underlying asset?</w:t>
      </w:r>
    </w:p>
    <w:p w14:paraId="6EEF7CDA" w14:textId="77777777" w:rsidR="00C82817" w:rsidRPr="00A46A50" w:rsidRDefault="00C82817" w:rsidP="00C82817">
      <w:pPr>
        <w:rPr>
          <w:szCs w:val="24"/>
        </w:rPr>
      </w:pPr>
      <w:r w:rsidRPr="00A46A50">
        <w:rPr>
          <w:szCs w:val="24"/>
        </w:rPr>
        <w:t xml:space="preserve">For non-IP licences which do not involve assets of the licensor, which is distinct from other goods or services shall be accounted for as a separate performance obligation (AASB15. G15 (c)) and revenue should be recognised under AASB15. 31-38, either over time or at a point in time. </w:t>
      </w:r>
    </w:p>
    <w:p w14:paraId="7495B1DA" w14:textId="77777777" w:rsidR="00C82817" w:rsidRPr="00A46A50" w:rsidRDefault="00C82817" w:rsidP="00C82817">
      <w:pPr>
        <w:rPr>
          <w:szCs w:val="24"/>
        </w:rPr>
      </w:pPr>
      <w:r w:rsidRPr="00A46A50">
        <w:rPr>
          <w:szCs w:val="24"/>
        </w:rPr>
        <w:t>Table 1 below is a flowchart to assist in determining the distinction between a tax and a licence for licences issued by not-for-profit public sector licensors. Licences are accounted for under AASB 15 whereas taxes are accounted for in accordance with AASB 1058.</w:t>
      </w:r>
    </w:p>
    <w:p w14:paraId="607F2EB2" w14:textId="7905F553" w:rsidR="00870899" w:rsidRDefault="00597E3B" w:rsidP="00597E3B">
      <w:pPr>
        <w:jc w:val="both"/>
        <w:rPr>
          <w:b/>
          <w:bCs/>
          <w:szCs w:val="24"/>
        </w:rPr>
      </w:pPr>
      <w:r w:rsidRPr="00597E3B">
        <w:rPr>
          <w:b/>
          <w:bCs/>
          <w:szCs w:val="24"/>
        </w:rPr>
        <w:lastRenderedPageBreak/>
        <w:t>A</w:t>
      </w:r>
      <w:r w:rsidR="00ED0FA9">
        <w:rPr>
          <w:b/>
          <w:bCs/>
          <w:szCs w:val="24"/>
        </w:rPr>
        <w:t>7</w:t>
      </w:r>
      <w:r w:rsidRPr="00597E3B">
        <w:rPr>
          <w:b/>
          <w:bCs/>
          <w:szCs w:val="24"/>
        </w:rPr>
        <w:t xml:space="preserve"> Licen</w:t>
      </w:r>
      <w:r>
        <w:rPr>
          <w:b/>
          <w:bCs/>
          <w:szCs w:val="24"/>
        </w:rPr>
        <w:t>c</w:t>
      </w:r>
      <w:r w:rsidRPr="00597E3B">
        <w:rPr>
          <w:b/>
          <w:bCs/>
          <w:szCs w:val="24"/>
        </w:rPr>
        <w:t>es continued</w:t>
      </w:r>
    </w:p>
    <w:p w14:paraId="2DD4DF5F" w14:textId="1C48CDC8" w:rsidR="00C82817" w:rsidRDefault="00C82817" w:rsidP="00C82817">
      <w:pPr>
        <w:rPr>
          <w:szCs w:val="24"/>
        </w:rPr>
      </w:pPr>
      <w:r w:rsidRPr="00597E3B">
        <w:rPr>
          <w:szCs w:val="24"/>
        </w:rPr>
        <w:t>The standard also contains exemptions for low-value and short-term</w:t>
      </w:r>
      <w:r w:rsidRPr="00A46A50">
        <w:rPr>
          <w:szCs w:val="24"/>
        </w:rPr>
        <w:t xml:space="preserve"> licences (AASB</w:t>
      </w:r>
      <w:r>
        <w:rPr>
          <w:szCs w:val="24"/>
        </w:rPr>
        <w:t xml:space="preserve"> </w:t>
      </w:r>
      <w:r w:rsidRPr="00A46A50">
        <w:rPr>
          <w:szCs w:val="24"/>
        </w:rPr>
        <w:t xml:space="preserve">15. </w:t>
      </w:r>
      <w:proofErr w:type="spellStart"/>
      <w:r w:rsidRPr="00A46A50">
        <w:rPr>
          <w:szCs w:val="24"/>
        </w:rPr>
        <w:t>Aus</w:t>
      </w:r>
      <w:proofErr w:type="spellEnd"/>
      <w:r>
        <w:rPr>
          <w:szCs w:val="24"/>
        </w:rPr>
        <w:t xml:space="preserve"> </w:t>
      </w:r>
      <w:r w:rsidRPr="00A46A50">
        <w:rPr>
          <w:szCs w:val="24"/>
        </w:rPr>
        <w:t xml:space="preserve">8.1 </w:t>
      </w:r>
      <w:r w:rsidR="00597E3B">
        <w:rPr>
          <w:szCs w:val="24"/>
        </w:rPr>
        <w:t>-</w:t>
      </w:r>
      <w:r w:rsidRPr="00A46A50">
        <w:rPr>
          <w:szCs w:val="24"/>
        </w:rPr>
        <w:t xml:space="preserve"> </w:t>
      </w:r>
      <w:proofErr w:type="spellStart"/>
      <w:r w:rsidRPr="00A46A50">
        <w:rPr>
          <w:szCs w:val="24"/>
        </w:rPr>
        <w:t>Aus</w:t>
      </w:r>
      <w:proofErr w:type="spellEnd"/>
      <w:r>
        <w:rPr>
          <w:szCs w:val="24"/>
        </w:rPr>
        <w:t xml:space="preserve"> </w:t>
      </w:r>
      <w:r w:rsidRPr="00A46A50">
        <w:rPr>
          <w:szCs w:val="24"/>
        </w:rPr>
        <w:t>8.5). An entity can choose to apply expedients under AASB</w:t>
      </w:r>
      <w:r>
        <w:rPr>
          <w:szCs w:val="24"/>
        </w:rPr>
        <w:t xml:space="preserve"> </w:t>
      </w:r>
      <w:r w:rsidRPr="00A46A50">
        <w:rPr>
          <w:szCs w:val="24"/>
        </w:rPr>
        <w:t xml:space="preserve">15 to short-term licences and low value licences (AASB G22-G27), unless the licences have variable </w:t>
      </w:r>
      <w:r>
        <w:rPr>
          <w:szCs w:val="24"/>
        </w:rPr>
        <w:t>consideration</w:t>
      </w:r>
      <w:r w:rsidRPr="00A46A50">
        <w:rPr>
          <w:szCs w:val="24"/>
        </w:rPr>
        <w:t xml:space="preserve"> in their terms and conditions. With short-term and / or low value licences agencies can recognise the revenue associated with those licences either at the point in time the licence is issued, or on a straight-line basis over the licence term or another systematic basis.  Further conditions are included at </w:t>
      </w:r>
      <w:proofErr w:type="spellStart"/>
      <w:r w:rsidRPr="00A46A50">
        <w:rPr>
          <w:szCs w:val="24"/>
        </w:rPr>
        <w:t>Aus</w:t>
      </w:r>
      <w:proofErr w:type="spellEnd"/>
      <w:r>
        <w:rPr>
          <w:szCs w:val="24"/>
        </w:rPr>
        <w:t xml:space="preserve"> </w:t>
      </w:r>
      <w:r w:rsidRPr="00A46A50">
        <w:rPr>
          <w:szCs w:val="24"/>
        </w:rPr>
        <w:t>8.4 for modifications, changes in consideration and any change in terms of a licence.</w:t>
      </w:r>
    </w:p>
    <w:p w14:paraId="4C261AF0" w14:textId="77777777" w:rsidR="00870899" w:rsidRPr="00A46A50" w:rsidRDefault="00870899" w:rsidP="00C82817">
      <w:pPr>
        <w:rPr>
          <w:szCs w:val="24"/>
        </w:rPr>
      </w:pPr>
    </w:p>
    <w:p w14:paraId="5A8A1DFF" w14:textId="60EF8FBC" w:rsidR="00C82817" w:rsidRPr="00A46A50" w:rsidRDefault="00C82817" w:rsidP="00C82817">
      <w:pPr>
        <w:pStyle w:val="ListParagraph"/>
        <w:pBdr>
          <w:top w:val="single" w:sz="4" w:space="1" w:color="auto"/>
          <w:left w:val="single" w:sz="4" w:space="1" w:color="auto"/>
          <w:bottom w:val="single" w:sz="4" w:space="1" w:color="auto"/>
          <w:right w:val="single" w:sz="4" w:space="1" w:color="auto"/>
        </w:pBdr>
        <w:ind w:left="0"/>
        <w:rPr>
          <w:rFonts w:eastAsia="Times New Roman" w:cs="Calibri"/>
          <w:bCs/>
          <w:szCs w:val="24"/>
        </w:rPr>
      </w:pPr>
      <w:r w:rsidRPr="00A46A50">
        <w:rPr>
          <w:rFonts w:eastAsia="Times New Roman" w:cs="Calibri"/>
          <w:bCs/>
          <w:szCs w:val="24"/>
        </w:rPr>
        <w:t xml:space="preserve">ACT Government agencies shall apply a threshold of $10,000 and/or less than 12 months to determine whether a licence is a low value and/or short term.   </w:t>
      </w:r>
      <w:r w:rsidR="008D700F">
        <w:rPr>
          <w:rFonts w:eastAsia="Times New Roman" w:cs="Calibri"/>
          <w:bCs/>
          <w:szCs w:val="24"/>
        </w:rPr>
        <w:t>W</w:t>
      </w:r>
      <w:r w:rsidR="003541FB">
        <w:rPr>
          <w:rFonts w:eastAsia="Times New Roman" w:cs="Calibri"/>
          <w:bCs/>
          <w:szCs w:val="24"/>
        </w:rPr>
        <w:t xml:space="preserve">hen applying these thresholds revenue recognition should be at a point in time (up-front). </w:t>
      </w:r>
    </w:p>
    <w:p w14:paraId="2E077E80" w14:textId="77777777" w:rsidR="00870899" w:rsidRDefault="00870899" w:rsidP="003541FB">
      <w:pPr>
        <w:rPr>
          <w:szCs w:val="24"/>
        </w:rPr>
      </w:pPr>
    </w:p>
    <w:p w14:paraId="4BC00F67" w14:textId="012CC829" w:rsidR="003541FB" w:rsidRDefault="003541FB" w:rsidP="003541FB">
      <w:pPr>
        <w:rPr>
          <w:szCs w:val="24"/>
        </w:rPr>
      </w:pPr>
      <w:r>
        <w:rPr>
          <w:szCs w:val="24"/>
        </w:rPr>
        <w:t>A</w:t>
      </w:r>
      <w:r w:rsidRPr="003541FB">
        <w:rPr>
          <w:szCs w:val="24"/>
        </w:rPr>
        <w:t xml:space="preserve"> licence shall be treated as if it is a new licence for the purposes of AASB 15 if there is:</w:t>
      </w:r>
    </w:p>
    <w:p w14:paraId="3AACE576" w14:textId="77777777" w:rsidR="003541FB" w:rsidRDefault="003541FB" w:rsidP="003541FB">
      <w:pPr>
        <w:ind w:firstLine="720"/>
        <w:rPr>
          <w:szCs w:val="24"/>
        </w:rPr>
      </w:pPr>
      <w:r w:rsidRPr="003541FB">
        <w:rPr>
          <w:szCs w:val="24"/>
        </w:rPr>
        <w:t xml:space="preserve">(a) a modification to the scope of, or the consideration for, the licence; or  </w:t>
      </w:r>
    </w:p>
    <w:p w14:paraId="5A6D0F9F" w14:textId="77777777" w:rsidR="003541FB" w:rsidRDefault="003541FB" w:rsidP="003541FB">
      <w:pPr>
        <w:ind w:firstLine="720"/>
        <w:rPr>
          <w:szCs w:val="24"/>
        </w:rPr>
      </w:pPr>
      <w:r w:rsidRPr="003541FB">
        <w:rPr>
          <w:szCs w:val="24"/>
        </w:rPr>
        <w:t xml:space="preserve">(b) any change in the term of the licence. </w:t>
      </w:r>
      <w:r>
        <w:rPr>
          <w:szCs w:val="24"/>
        </w:rPr>
        <w:t>(</w:t>
      </w:r>
      <w:r w:rsidRPr="003541FB">
        <w:rPr>
          <w:szCs w:val="24"/>
        </w:rPr>
        <w:t>Aus8.</w:t>
      </w:r>
      <w:r>
        <w:rPr>
          <w:szCs w:val="24"/>
        </w:rPr>
        <w:t>4)</w:t>
      </w:r>
      <w:r w:rsidRPr="003541FB">
        <w:rPr>
          <w:szCs w:val="24"/>
        </w:rPr>
        <w:t xml:space="preserve"> </w:t>
      </w:r>
    </w:p>
    <w:p w14:paraId="3509692B" w14:textId="39BA7D0D" w:rsidR="003541FB" w:rsidRDefault="003541FB" w:rsidP="003541FB">
      <w:pPr>
        <w:rPr>
          <w:szCs w:val="24"/>
        </w:rPr>
      </w:pPr>
      <w:r w:rsidRPr="003541FB">
        <w:rPr>
          <w:szCs w:val="24"/>
        </w:rPr>
        <w:t>The election for short-term licences shall be made by class of licence. A class of licences is a grouping of licences of a similar nature and similar rights and obligations attached to the licence. The election for licences for which the transaction price is of low value can be made on a licence-by-licence basis</w:t>
      </w:r>
      <w:r>
        <w:rPr>
          <w:szCs w:val="24"/>
        </w:rPr>
        <w:t xml:space="preserve"> </w:t>
      </w:r>
      <w:r w:rsidRPr="00A46A50">
        <w:rPr>
          <w:szCs w:val="24"/>
        </w:rPr>
        <w:t>(Aus8.5).</w:t>
      </w:r>
    </w:p>
    <w:p w14:paraId="2E84F5E9" w14:textId="6BE5913F" w:rsidR="00F33F85" w:rsidRDefault="00F33F85" w:rsidP="003541FB">
      <w:pPr>
        <w:rPr>
          <w:b/>
          <w:bCs/>
          <w:szCs w:val="24"/>
        </w:rPr>
      </w:pPr>
      <w:r w:rsidRPr="00F33F85">
        <w:rPr>
          <w:b/>
          <w:bCs/>
          <w:szCs w:val="24"/>
        </w:rPr>
        <w:t>Table 1</w:t>
      </w:r>
      <w:r>
        <w:rPr>
          <w:b/>
          <w:bCs/>
          <w:szCs w:val="24"/>
        </w:rPr>
        <w:t xml:space="preserve"> Licence or Tax Flowchart</w:t>
      </w:r>
    </w:p>
    <w:p w14:paraId="7E7D3FEB" w14:textId="66AD69A8" w:rsidR="00C32A26" w:rsidRDefault="00AD427D">
      <w:r>
        <w:rPr>
          <w:noProof/>
        </w:rPr>
        <w:drawing>
          <wp:inline distT="0" distB="0" distL="0" distR="0" wp14:anchorId="47C868F5" wp14:editId="4A48FF38">
            <wp:extent cx="5085779" cy="476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5779" cy="4762500"/>
                    </a:xfrm>
                    <a:prstGeom prst="rect">
                      <a:avLst/>
                    </a:prstGeom>
                  </pic:spPr>
                </pic:pic>
              </a:graphicData>
            </a:graphic>
          </wp:inline>
        </w:drawing>
      </w:r>
    </w:p>
    <w:p w14:paraId="260A236B" w14:textId="6EC3362F" w:rsidR="00C82817" w:rsidRPr="00794EE5" w:rsidRDefault="00F33F85" w:rsidP="00044B9F">
      <w:pPr>
        <w:pStyle w:val="Heading1"/>
      </w:pPr>
      <w:bookmarkStart w:id="107" w:name="_Toc45622622"/>
      <w:r>
        <w:lastRenderedPageBreak/>
        <w:t>A</w:t>
      </w:r>
      <w:r w:rsidR="00ED0FA9">
        <w:t>8</w:t>
      </w:r>
      <w:r>
        <w:t>.</w:t>
      </w:r>
      <w:r>
        <w:tab/>
      </w:r>
      <w:r w:rsidR="00C82817" w:rsidRPr="000B559E">
        <w:t>Transition</w:t>
      </w:r>
      <w:bookmarkEnd w:id="107"/>
    </w:p>
    <w:p w14:paraId="6DFD7BE3" w14:textId="46A70E45" w:rsidR="00C82817" w:rsidRPr="00F33F85" w:rsidRDefault="00F33F85" w:rsidP="00F33F85">
      <w:pPr>
        <w:pStyle w:val="Heading2"/>
      </w:pPr>
      <w:bookmarkStart w:id="108" w:name="_Toc45622623"/>
      <w:r w:rsidRPr="00F33F85">
        <w:t>A</w:t>
      </w:r>
      <w:r w:rsidR="00ED0FA9">
        <w:t>8</w:t>
      </w:r>
      <w:r w:rsidRPr="00F33F85">
        <w:t>.1</w:t>
      </w:r>
      <w:r w:rsidRPr="00F33F85">
        <w:tab/>
      </w:r>
      <w:r w:rsidR="00C82817" w:rsidRPr="00F33F85">
        <w:t>Date of initial application</w:t>
      </w:r>
      <w:bookmarkEnd w:id="108"/>
    </w:p>
    <w:p w14:paraId="37BEFA4A" w14:textId="77777777" w:rsidR="00C82817" w:rsidRDefault="00C82817" w:rsidP="00C82817">
      <w:pPr>
        <w:rPr>
          <w:rFonts w:eastAsia="Times New Roman" w:cs="Arial"/>
          <w:color w:val="101010"/>
          <w:szCs w:val="24"/>
          <w:lang w:val="en" w:eastAsia="en-AU"/>
        </w:rPr>
      </w:pPr>
      <w:r w:rsidRPr="00834489">
        <w:rPr>
          <w:rFonts w:eastAsia="Times New Roman" w:cs="Arial"/>
          <w:color w:val="101010"/>
          <w:szCs w:val="24"/>
          <w:lang w:val="en" w:eastAsia="en-AU"/>
        </w:rPr>
        <w:t xml:space="preserve">The date of initial application is the start of the reporting period in which an entity first applies this Standard.  For most </w:t>
      </w:r>
      <w:r>
        <w:rPr>
          <w:rFonts w:eastAsia="Times New Roman" w:cs="Arial"/>
          <w:color w:val="101010"/>
          <w:szCs w:val="24"/>
          <w:lang w:val="en" w:eastAsia="en-AU"/>
        </w:rPr>
        <w:t xml:space="preserve">NFP </w:t>
      </w:r>
      <w:r w:rsidRPr="00834489">
        <w:rPr>
          <w:rFonts w:eastAsia="Times New Roman" w:cs="Arial"/>
          <w:color w:val="101010"/>
          <w:szCs w:val="24"/>
          <w:lang w:val="en" w:eastAsia="en-AU"/>
        </w:rPr>
        <w:t>agencies this will be 1 July 2019.</w:t>
      </w:r>
    </w:p>
    <w:p w14:paraId="3494BB74" w14:textId="77777777" w:rsidR="00C82817" w:rsidRPr="00834489" w:rsidRDefault="00C82817" w:rsidP="00C82817">
      <w:pPr>
        <w:rPr>
          <w:rFonts w:eastAsia="Times New Roman" w:cs="Arial"/>
          <w:color w:val="101010"/>
          <w:szCs w:val="24"/>
          <w:lang w:val="en" w:eastAsia="en-AU"/>
        </w:rPr>
      </w:pPr>
    </w:p>
    <w:p w14:paraId="48E8316C" w14:textId="25081AC6" w:rsidR="00C82817" w:rsidRPr="00C05BC1" w:rsidRDefault="00F33F85" w:rsidP="00F33F85">
      <w:pPr>
        <w:pStyle w:val="Heading2"/>
        <w:ind w:left="709" w:hanging="709"/>
      </w:pPr>
      <w:bookmarkStart w:id="109" w:name="_Toc45622624"/>
      <w:r w:rsidRPr="00F33F85">
        <w:t>A</w:t>
      </w:r>
      <w:r w:rsidR="00ED0FA9">
        <w:t>8</w:t>
      </w:r>
      <w:r>
        <w:t>.2</w:t>
      </w:r>
      <w:r>
        <w:tab/>
      </w:r>
      <w:r w:rsidR="00C82817" w:rsidRPr="00834489">
        <w:t xml:space="preserve">Transitional Option – </w:t>
      </w:r>
      <w:r w:rsidR="00C82817">
        <w:t>PARTIAL</w:t>
      </w:r>
      <w:r w:rsidR="00C82817" w:rsidRPr="00834489">
        <w:t xml:space="preserve"> Retrospective Approach</w:t>
      </w:r>
      <w:r w:rsidR="00C82817">
        <w:t xml:space="preserve"> (AASB 15.C3(b) &amp; 15.</w:t>
      </w:r>
      <w:r w:rsidR="00C82817" w:rsidRPr="00C05BC1">
        <w:t>C7-C7A)</w:t>
      </w:r>
      <w:bookmarkEnd w:id="109"/>
    </w:p>
    <w:p w14:paraId="7FC62D8B" w14:textId="77777777" w:rsidR="00C82817" w:rsidRPr="00694E4F" w:rsidRDefault="00C82817" w:rsidP="00C82817">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694E4F">
        <w:rPr>
          <w:rFonts w:eastAsia="Times New Roman" w:cs="Calibri"/>
          <w:bCs/>
          <w:szCs w:val="24"/>
        </w:rPr>
        <w:t xml:space="preserve">ACT Government agencies shall apply the partial retrospective approach under C5(b) i.e. they shall not restate comparative information; and shall recognise the cumulative effect of initially applying </w:t>
      </w:r>
      <w:r>
        <w:rPr>
          <w:rFonts w:eastAsia="Times New Roman" w:cs="Calibri"/>
          <w:bCs/>
          <w:szCs w:val="24"/>
        </w:rPr>
        <w:t>AASB 15</w:t>
      </w:r>
      <w:r w:rsidRPr="00694E4F">
        <w:rPr>
          <w:rFonts w:eastAsia="Times New Roman" w:cs="Calibri"/>
          <w:bCs/>
          <w:szCs w:val="24"/>
        </w:rPr>
        <w:t xml:space="preserve"> as an adjustment to the opening balance of retained earnings at the date of initial application</w:t>
      </w:r>
      <w:r>
        <w:rPr>
          <w:rFonts w:eastAsia="Times New Roman" w:cs="Calibri"/>
          <w:bCs/>
          <w:szCs w:val="24"/>
        </w:rPr>
        <w:t xml:space="preserve"> (i.e. 1 July 2019 for most NFP agencies)</w:t>
      </w:r>
      <w:r w:rsidRPr="00694E4F">
        <w:rPr>
          <w:rFonts w:eastAsia="Times New Roman" w:cs="Calibri"/>
          <w:bCs/>
          <w:szCs w:val="24"/>
        </w:rPr>
        <w:t>.</w:t>
      </w:r>
    </w:p>
    <w:p w14:paraId="70CE1BF0" w14:textId="77777777" w:rsidR="00C82817" w:rsidRDefault="00C82817" w:rsidP="00C82817">
      <w:pPr>
        <w:rPr>
          <w:szCs w:val="24"/>
        </w:rPr>
      </w:pPr>
    </w:p>
    <w:p w14:paraId="2E12BC80" w14:textId="1FA78B02" w:rsidR="00C82817" w:rsidRDefault="00C82817" w:rsidP="00C82817">
      <w:pPr>
        <w:rPr>
          <w:szCs w:val="24"/>
        </w:rPr>
      </w:pPr>
      <w:r w:rsidRPr="00694E4F">
        <w:rPr>
          <w:szCs w:val="24"/>
        </w:rPr>
        <w:t>Agencies are required to apply this transitional approach to all their revenue from contracts with customer</w:t>
      </w:r>
      <w:r>
        <w:rPr>
          <w:szCs w:val="24"/>
        </w:rPr>
        <w:t>s</w:t>
      </w:r>
      <w:r w:rsidRPr="00694E4F">
        <w:rPr>
          <w:szCs w:val="24"/>
        </w:rPr>
        <w:t xml:space="preserve">.  </w:t>
      </w:r>
    </w:p>
    <w:p w14:paraId="1FD64D26" w14:textId="77777777" w:rsidR="00C82817" w:rsidRPr="00694E4F" w:rsidRDefault="00C82817" w:rsidP="00C82817">
      <w:pPr>
        <w:rPr>
          <w:szCs w:val="24"/>
        </w:rPr>
      </w:pPr>
    </w:p>
    <w:p w14:paraId="7B5A6BB0" w14:textId="3A3D1C87" w:rsidR="00C82817" w:rsidRPr="009762D9" w:rsidRDefault="00F33F85" w:rsidP="00F33F85">
      <w:pPr>
        <w:pStyle w:val="Heading2"/>
      </w:pPr>
      <w:bookmarkStart w:id="110" w:name="_Toc45622625"/>
      <w:r>
        <w:t>A</w:t>
      </w:r>
      <w:r w:rsidR="00ED0FA9">
        <w:t>8</w:t>
      </w:r>
      <w:r>
        <w:t>.3</w:t>
      </w:r>
      <w:r>
        <w:tab/>
      </w:r>
      <w:r w:rsidR="00C82817" w:rsidRPr="009762D9">
        <w:t>Practical Expedients (AASB 15.C7)</w:t>
      </w:r>
      <w:bookmarkEnd w:id="110"/>
    </w:p>
    <w:p w14:paraId="4257C5E9" w14:textId="00F06223" w:rsidR="00C82817" w:rsidRDefault="00C82817" w:rsidP="00C82817">
      <w:pPr>
        <w:rPr>
          <w:szCs w:val="24"/>
        </w:rPr>
      </w:pPr>
      <w:r w:rsidRPr="009762D9">
        <w:rPr>
          <w:szCs w:val="24"/>
        </w:rPr>
        <w:t>AASB 15 allows entities to apply</w:t>
      </w:r>
      <w:r>
        <w:rPr>
          <w:szCs w:val="24"/>
        </w:rPr>
        <w:t xml:space="preserve"> </w:t>
      </w:r>
      <w:r w:rsidRPr="009762D9">
        <w:rPr>
          <w:szCs w:val="24"/>
        </w:rPr>
        <w:t>the following practical expedient</w:t>
      </w:r>
      <w:r w:rsidR="00E41F1E">
        <w:rPr>
          <w:szCs w:val="24"/>
        </w:rPr>
        <w:t>s</w:t>
      </w:r>
      <w:r w:rsidRPr="009762D9">
        <w:rPr>
          <w:szCs w:val="24"/>
        </w:rPr>
        <w:t xml:space="preserve"> when applying the partial retrospective approach:</w:t>
      </w:r>
    </w:p>
    <w:p w14:paraId="6EC7406B" w14:textId="6E396CCD" w:rsidR="00C82817" w:rsidRDefault="00C82817" w:rsidP="00C82817">
      <w:pPr>
        <w:numPr>
          <w:ilvl w:val="0"/>
          <w:numId w:val="16"/>
        </w:numPr>
        <w:ind w:left="851" w:hanging="567"/>
        <w:rPr>
          <w:szCs w:val="24"/>
        </w:rPr>
      </w:pPr>
      <w:r w:rsidRPr="009762D9">
        <w:rPr>
          <w:szCs w:val="24"/>
        </w:rPr>
        <w:t>Apply Standard retrospectively only to contracts that are not complete</w:t>
      </w:r>
      <w:r>
        <w:rPr>
          <w:szCs w:val="24"/>
        </w:rPr>
        <w:t>d contracts at the date of initial application (rather than all the contracts).</w:t>
      </w:r>
      <w:r w:rsidR="00E41F1E">
        <w:rPr>
          <w:szCs w:val="24"/>
        </w:rPr>
        <w:t xml:space="preserve"> See section 3 for further information about completed contracts.</w:t>
      </w:r>
    </w:p>
    <w:p w14:paraId="6CFF361D" w14:textId="77777777" w:rsidR="00C82817" w:rsidRPr="009762D9" w:rsidRDefault="00C82817" w:rsidP="00F33F85"/>
    <w:p w14:paraId="15CBF072" w14:textId="77777777" w:rsidR="00C82817" w:rsidRDefault="00C82817" w:rsidP="00C82817">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9762D9">
        <w:rPr>
          <w:rFonts w:eastAsia="Times New Roman" w:cs="Calibri"/>
          <w:bCs/>
          <w:szCs w:val="24"/>
        </w:rPr>
        <w:t xml:space="preserve">ACT Government agencies shall apply the practical expedient AASB15.C7 on transition and therefore apply this Standard retrospectively only to contracts that are not completed </w:t>
      </w:r>
      <w:r>
        <w:rPr>
          <w:rFonts w:eastAsia="Times New Roman" w:cs="Calibri"/>
          <w:bCs/>
          <w:szCs w:val="24"/>
        </w:rPr>
        <w:t xml:space="preserve">contracts </w:t>
      </w:r>
      <w:r w:rsidRPr="009762D9">
        <w:rPr>
          <w:rFonts w:eastAsia="Times New Roman" w:cs="Calibri"/>
          <w:bCs/>
          <w:szCs w:val="24"/>
        </w:rPr>
        <w:t>at the date of initial application.</w:t>
      </w:r>
    </w:p>
    <w:p w14:paraId="4BD40D45" w14:textId="77777777" w:rsidR="00C82817" w:rsidRDefault="00C82817" w:rsidP="00C82817">
      <w:pPr>
        <w:pStyle w:val="Default"/>
        <w:rPr>
          <w:rFonts w:ascii="Calibri" w:hAnsi="Calibri"/>
          <w:color w:val="auto"/>
        </w:rPr>
      </w:pPr>
    </w:p>
    <w:p w14:paraId="210DF153" w14:textId="77777777" w:rsidR="00C82817" w:rsidRDefault="00C82817" w:rsidP="00C82817">
      <w:pPr>
        <w:pStyle w:val="Default"/>
        <w:rPr>
          <w:rFonts w:ascii="Calibri" w:hAnsi="Calibri"/>
          <w:color w:val="auto"/>
        </w:rPr>
      </w:pPr>
      <w:r>
        <w:rPr>
          <w:rFonts w:ascii="Calibri" w:hAnsi="Calibri"/>
          <w:color w:val="auto"/>
        </w:rPr>
        <w:t xml:space="preserve">For the purposes of transition </w:t>
      </w:r>
      <w:r w:rsidRPr="002628CE">
        <w:rPr>
          <w:rFonts w:ascii="Calibri" w:hAnsi="Calibri"/>
          <w:color w:val="auto"/>
        </w:rPr>
        <w:t xml:space="preserve">a completed contract is a contract for which the entity has transferred all of the goods or services identified in accordance with AASB 111 </w:t>
      </w:r>
      <w:r w:rsidRPr="002628CE">
        <w:rPr>
          <w:rFonts w:ascii="Calibri" w:hAnsi="Calibri"/>
          <w:i/>
          <w:color w:val="auto"/>
        </w:rPr>
        <w:t>Construction Contracts</w:t>
      </w:r>
      <w:r w:rsidRPr="002628CE">
        <w:rPr>
          <w:rFonts w:ascii="Calibri" w:hAnsi="Calibri"/>
          <w:color w:val="auto"/>
        </w:rPr>
        <w:t xml:space="preserve">, AASB 118 </w:t>
      </w:r>
      <w:r w:rsidRPr="002628CE">
        <w:rPr>
          <w:rFonts w:ascii="Calibri" w:hAnsi="Calibri"/>
          <w:i/>
          <w:color w:val="auto"/>
        </w:rPr>
        <w:t>Revenue</w:t>
      </w:r>
      <w:r w:rsidRPr="002628CE">
        <w:rPr>
          <w:rFonts w:ascii="Calibri" w:hAnsi="Calibri"/>
          <w:color w:val="auto"/>
        </w:rPr>
        <w:t xml:space="preserve"> and related Interpretations.</w:t>
      </w:r>
      <w:r>
        <w:rPr>
          <w:rFonts w:ascii="Calibri" w:hAnsi="Calibri"/>
          <w:color w:val="auto"/>
        </w:rPr>
        <w:t xml:space="preserve"> (AASB 15.C2(b))</w:t>
      </w:r>
    </w:p>
    <w:p w14:paraId="2EEFCE27" w14:textId="77777777" w:rsidR="00C82817" w:rsidRDefault="00C82817" w:rsidP="00C82817">
      <w:pPr>
        <w:pStyle w:val="Default"/>
        <w:rPr>
          <w:rFonts w:ascii="Calibri" w:hAnsi="Calibri"/>
          <w:color w:val="auto"/>
        </w:rPr>
      </w:pPr>
    </w:p>
    <w:p w14:paraId="40C46F35" w14:textId="77777777" w:rsidR="00C82817" w:rsidRDefault="00C82817" w:rsidP="00C82817">
      <w:pPr>
        <w:pStyle w:val="Default"/>
        <w:rPr>
          <w:rFonts w:ascii="Calibri" w:hAnsi="Calibri"/>
          <w:color w:val="auto"/>
        </w:rPr>
      </w:pPr>
      <w:r w:rsidRPr="002628CE">
        <w:rPr>
          <w:rFonts w:ascii="Calibri" w:hAnsi="Calibri"/>
          <w:color w:val="auto"/>
        </w:rPr>
        <w:t xml:space="preserve">In respect of </w:t>
      </w:r>
      <w:r>
        <w:rPr>
          <w:rFonts w:ascii="Calibri" w:hAnsi="Calibri"/>
          <w:color w:val="auto"/>
        </w:rPr>
        <w:t>NFP</w:t>
      </w:r>
      <w:r w:rsidRPr="002628CE">
        <w:rPr>
          <w:rFonts w:ascii="Calibri" w:hAnsi="Calibri"/>
          <w:color w:val="auto"/>
        </w:rPr>
        <w:t xml:space="preserve"> entities, a completed contract also includes contracts for which the entity has recognised all of the revenue in accordance with AASB 1004</w:t>
      </w:r>
      <w:r>
        <w:rPr>
          <w:rFonts w:ascii="Calibri" w:hAnsi="Calibri"/>
          <w:color w:val="auto"/>
        </w:rPr>
        <w:t xml:space="preserve"> </w:t>
      </w:r>
      <w:r w:rsidRPr="002C65CA">
        <w:rPr>
          <w:rFonts w:ascii="Calibri" w:hAnsi="Calibri"/>
          <w:i/>
          <w:color w:val="auto"/>
        </w:rPr>
        <w:t>Contributions</w:t>
      </w:r>
      <w:r w:rsidRPr="002628CE">
        <w:rPr>
          <w:rFonts w:ascii="Calibri" w:hAnsi="Calibri"/>
          <w:color w:val="auto"/>
        </w:rPr>
        <w:t>, or revenue in combination with a provision in accordance with AASB 137</w:t>
      </w:r>
      <w:r>
        <w:rPr>
          <w:rFonts w:ascii="Calibri" w:hAnsi="Calibri"/>
          <w:color w:val="auto"/>
        </w:rPr>
        <w:t xml:space="preserve"> </w:t>
      </w:r>
      <w:r w:rsidRPr="0066083A">
        <w:rPr>
          <w:rFonts w:ascii="Calibri" w:hAnsi="Calibri"/>
          <w:i/>
          <w:color w:val="auto"/>
        </w:rPr>
        <w:t>Provisions, Contingent Liabilities and Contingent Assets</w:t>
      </w:r>
      <w:r w:rsidRPr="002628CE">
        <w:rPr>
          <w:rFonts w:ascii="Calibri" w:hAnsi="Calibri"/>
          <w:color w:val="auto"/>
        </w:rPr>
        <w:t xml:space="preserve"> </w:t>
      </w:r>
      <w:r>
        <w:rPr>
          <w:rFonts w:ascii="Calibri" w:hAnsi="Calibri"/>
          <w:color w:val="auto"/>
        </w:rPr>
        <w:t>(AASB 15.AusC2.1).</w:t>
      </w:r>
    </w:p>
    <w:p w14:paraId="4AEB1134" w14:textId="77777777" w:rsidR="00C82817" w:rsidRDefault="00C82817" w:rsidP="00C82817">
      <w:pPr>
        <w:pStyle w:val="Default"/>
        <w:rPr>
          <w:rFonts w:ascii="Calibri" w:hAnsi="Calibri"/>
          <w:color w:val="auto"/>
        </w:rPr>
      </w:pPr>
    </w:p>
    <w:p w14:paraId="36FFE6A3" w14:textId="77777777" w:rsidR="00C82817" w:rsidRDefault="00C82817" w:rsidP="00C82817">
      <w:pPr>
        <w:pStyle w:val="Default"/>
        <w:rPr>
          <w:rFonts w:ascii="Calibri" w:hAnsi="Calibri"/>
          <w:color w:val="auto"/>
        </w:rPr>
      </w:pPr>
      <w:r>
        <w:rPr>
          <w:rFonts w:ascii="Calibri" w:hAnsi="Calibri"/>
          <w:color w:val="auto"/>
        </w:rPr>
        <w:t>This expedient eliminates the need to review contracts completed prior to the date of initial application (1 July 2019 for most ACT Government agencies) even though AASB 15 would have required the income to be recognised beyond that date.</w:t>
      </w:r>
      <w:r w:rsidRPr="00DB05D5">
        <w:rPr>
          <w:rFonts w:ascii="Calibri" w:hAnsi="Calibri"/>
          <w:color w:val="auto"/>
        </w:rPr>
        <w:t xml:space="preserve"> </w:t>
      </w:r>
      <w:r>
        <w:rPr>
          <w:rFonts w:ascii="Calibri" w:hAnsi="Calibri"/>
          <w:color w:val="auto"/>
        </w:rPr>
        <w:t>This expedient does not apply to contracts entered into after the date of initial application.</w:t>
      </w:r>
    </w:p>
    <w:p w14:paraId="123FC087" w14:textId="77777777" w:rsidR="00C82817" w:rsidRDefault="00C82817" w:rsidP="00C82817">
      <w:pPr>
        <w:pStyle w:val="Default"/>
        <w:rPr>
          <w:rFonts w:ascii="Calibri" w:hAnsi="Calibri"/>
          <w:color w:val="auto"/>
        </w:rPr>
      </w:pPr>
    </w:p>
    <w:p w14:paraId="32C9AF32" w14:textId="5606B5CB" w:rsidR="00F33F85" w:rsidRDefault="00C82817" w:rsidP="00C82817">
      <w:pPr>
        <w:pStyle w:val="Default"/>
        <w:rPr>
          <w:rFonts w:ascii="Calibri" w:hAnsi="Calibri"/>
          <w:color w:val="auto"/>
        </w:rPr>
      </w:pPr>
      <w:r>
        <w:rPr>
          <w:rFonts w:ascii="Calibri" w:hAnsi="Calibri"/>
          <w:color w:val="auto"/>
        </w:rPr>
        <w:t>The assessment of whether a contract is completed or not needs to be made at the date of initial application.</w:t>
      </w:r>
    </w:p>
    <w:p w14:paraId="5A790AC8" w14:textId="77777777" w:rsidR="00F33F85" w:rsidRDefault="00F33F85">
      <w:pPr>
        <w:spacing w:after="160" w:line="259" w:lineRule="auto"/>
        <w:rPr>
          <w:rFonts w:ascii="Calibri" w:eastAsia="Calibri" w:hAnsi="Calibri" w:cs="EYInterstate"/>
          <w:szCs w:val="24"/>
          <w:lang w:eastAsia="en-AU"/>
        </w:rPr>
      </w:pPr>
      <w:r>
        <w:rPr>
          <w:rFonts w:ascii="Calibri" w:hAnsi="Calibri"/>
        </w:rPr>
        <w:br w:type="page"/>
      </w:r>
    </w:p>
    <w:p w14:paraId="7E52D4D2" w14:textId="1B7B8825" w:rsidR="00C82817" w:rsidRPr="00F33F85" w:rsidRDefault="00F33F85" w:rsidP="00C82817">
      <w:pPr>
        <w:pStyle w:val="Default"/>
        <w:rPr>
          <w:rFonts w:ascii="Calibri" w:hAnsi="Calibri"/>
          <w:b/>
          <w:bCs/>
          <w:color w:val="auto"/>
        </w:rPr>
      </w:pPr>
      <w:r w:rsidRPr="00F33F85">
        <w:rPr>
          <w:rFonts w:ascii="Calibri" w:hAnsi="Calibri"/>
          <w:b/>
          <w:bCs/>
          <w:color w:val="auto"/>
        </w:rPr>
        <w:lastRenderedPageBreak/>
        <w:t>A</w:t>
      </w:r>
      <w:r w:rsidR="00ED0FA9">
        <w:rPr>
          <w:rFonts w:ascii="Calibri" w:hAnsi="Calibri"/>
          <w:b/>
          <w:bCs/>
          <w:color w:val="auto"/>
        </w:rPr>
        <w:t>8</w:t>
      </w:r>
      <w:r w:rsidRPr="00F33F85">
        <w:rPr>
          <w:rFonts w:ascii="Calibri" w:hAnsi="Calibri"/>
          <w:b/>
          <w:bCs/>
          <w:color w:val="auto"/>
        </w:rPr>
        <w:t>.3 Practical Expedien</w:t>
      </w:r>
      <w:r>
        <w:rPr>
          <w:rFonts w:ascii="Calibri" w:hAnsi="Calibri"/>
          <w:b/>
          <w:bCs/>
          <w:color w:val="auto"/>
        </w:rPr>
        <w:t>ts</w:t>
      </w:r>
      <w:r w:rsidRPr="00F33F85">
        <w:rPr>
          <w:rFonts w:ascii="Calibri" w:hAnsi="Calibri"/>
          <w:b/>
          <w:bCs/>
          <w:color w:val="auto"/>
        </w:rPr>
        <w:t xml:space="preserve"> continued</w:t>
      </w:r>
    </w:p>
    <w:p w14:paraId="4ABB7D51" w14:textId="77777777" w:rsidR="00C82817" w:rsidRDefault="00C82817" w:rsidP="00C82817">
      <w:pPr>
        <w:numPr>
          <w:ilvl w:val="0"/>
          <w:numId w:val="16"/>
        </w:numPr>
        <w:ind w:left="851" w:hanging="567"/>
        <w:rPr>
          <w:szCs w:val="24"/>
        </w:rPr>
      </w:pPr>
      <w:r>
        <w:rPr>
          <w:szCs w:val="24"/>
        </w:rPr>
        <w:t>Reflect the aggregate effect of all previous contract modifications (rather than evaluating the effect of each contract modification).</w:t>
      </w:r>
    </w:p>
    <w:p w14:paraId="15C35E2D" w14:textId="77777777" w:rsidR="00C82817" w:rsidRDefault="00C82817" w:rsidP="00C82817">
      <w:pPr>
        <w:ind w:left="720"/>
        <w:rPr>
          <w:szCs w:val="24"/>
        </w:rPr>
      </w:pPr>
    </w:p>
    <w:p w14:paraId="03009E59" w14:textId="77777777" w:rsidR="00C82817" w:rsidRPr="009762D9" w:rsidRDefault="00C82817" w:rsidP="00C82817">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9762D9">
        <w:rPr>
          <w:rFonts w:eastAsia="Times New Roman" w:cs="Calibri"/>
          <w:bCs/>
          <w:szCs w:val="24"/>
        </w:rPr>
        <w:t>ACT Government agencies shall apply the practical expedient AASB</w:t>
      </w:r>
      <w:r>
        <w:rPr>
          <w:rFonts w:eastAsia="Times New Roman" w:cs="Calibri"/>
          <w:bCs/>
          <w:szCs w:val="24"/>
        </w:rPr>
        <w:t xml:space="preserve"> </w:t>
      </w:r>
      <w:r w:rsidRPr="009762D9">
        <w:rPr>
          <w:rFonts w:eastAsia="Times New Roman" w:cs="Calibri"/>
          <w:bCs/>
          <w:szCs w:val="24"/>
        </w:rPr>
        <w:t>15.C</w:t>
      </w:r>
      <w:r>
        <w:rPr>
          <w:rFonts w:eastAsia="Times New Roman" w:cs="Calibri"/>
          <w:bCs/>
          <w:szCs w:val="24"/>
        </w:rPr>
        <w:t>7A</w:t>
      </w:r>
      <w:r w:rsidRPr="009762D9">
        <w:rPr>
          <w:rFonts w:eastAsia="Times New Roman" w:cs="Calibri"/>
          <w:bCs/>
          <w:szCs w:val="24"/>
        </w:rPr>
        <w:t xml:space="preserve"> on transition and therefore </w:t>
      </w:r>
      <w:r>
        <w:rPr>
          <w:rFonts w:eastAsia="Times New Roman" w:cs="Calibri"/>
          <w:bCs/>
          <w:szCs w:val="24"/>
        </w:rPr>
        <w:t>reflect the aggregate effect of all contract modifications that occur before the date of initial application</w:t>
      </w:r>
      <w:r w:rsidRPr="009762D9">
        <w:rPr>
          <w:rFonts w:eastAsia="Times New Roman" w:cs="Calibri"/>
          <w:bCs/>
          <w:szCs w:val="24"/>
        </w:rPr>
        <w:t>.</w:t>
      </w:r>
    </w:p>
    <w:p w14:paraId="49C76013" w14:textId="77777777" w:rsidR="00C82817" w:rsidRDefault="00C82817" w:rsidP="00C82817">
      <w:pPr>
        <w:pStyle w:val="Default"/>
        <w:rPr>
          <w:rFonts w:ascii="Calibri" w:hAnsi="Calibri"/>
          <w:color w:val="auto"/>
        </w:rPr>
      </w:pPr>
    </w:p>
    <w:p w14:paraId="00BD8509" w14:textId="77777777" w:rsidR="00C82817" w:rsidRPr="009762D9" w:rsidRDefault="00C82817" w:rsidP="00C82817">
      <w:pPr>
        <w:pStyle w:val="Default"/>
        <w:rPr>
          <w:rFonts w:ascii="Calibri" w:hAnsi="Calibri"/>
          <w:color w:val="auto"/>
        </w:rPr>
      </w:pPr>
      <w:r>
        <w:rPr>
          <w:rFonts w:ascii="Calibri" w:hAnsi="Calibri"/>
          <w:color w:val="auto"/>
        </w:rPr>
        <w:t xml:space="preserve">Agencies </w:t>
      </w:r>
      <w:r w:rsidRPr="009762D9">
        <w:rPr>
          <w:rFonts w:ascii="Calibri" w:hAnsi="Calibri"/>
          <w:color w:val="auto"/>
        </w:rPr>
        <w:t xml:space="preserve">shall reflect the aggregate effect of all of the modifications that occur before the beginning of the earliest period presented when: </w:t>
      </w:r>
    </w:p>
    <w:p w14:paraId="01A5635E" w14:textId="77777777" w:rsidR="00C82817" w:rsidRPr="0012560C" w:rsidRDefault="00C82817" w:rsidP="00C82817">
      <w:pPr>
        <w:pStyle w:val="ListParagraph"/>
        <w:numPr>
          <w:ilvl w:val="0"/>
          <w:numId w:val="21"/>
        </w:numPr>
        <w:ind w:left="709" w:hanging="425"/>
        <w:rPr>
          <w:rFonts w:eastAsia="Times" w:cs="Calibri"/>
          <w:szCs w:val="24"/>
          <w:lang w:val="en-US"/>
        </w:rPr>
      </w:pPr>
      <w:r w:rsidRPr="0012560C">
        <w:rPr>
          <w:rFonts w:eastAsia="Times" w:cs="Calibri"/>
          <w:szCs w:val="24"/>
          <w:lang w:val="en-US"/>
        </w:rPr>
        <w:t xml:space="preserve">identifying the satisfied and unsatisfied performance obligations; </w:t>
      </w:r>
    </w:p>
    <w:p w14:paraId="40E1D05C" w14:textId="77777777" w:rsidR="00C82817" w:rsidRPr="0012560C" w:rsidRDefault="00C82817" w:rsidP="00C82817">
      <w:pPr>
        <w:pStyle w:val="ListParagraph"/>
        <w:numPr>
          <w:ilvl w:val="0"/>
          <w:numId w:val="21"/>
        </w:numPr>
        <w:ind w:left="709" w:hanging="425"/>
        <w:rPr>
          <w:rFonts w:eastAsia="Times" w:cs="Calibri"/>
          <w:szCs w:val="24"/>
          <w:lang w:val="en-US"/>
        </w:rPr>
      </w:pPr>
      <w:r w:rsidRPr="0012560C">
        <w:rPr>
          <w:rFonts w:eastAsia="Times" w:cs="Calibri"/>
          <w:szCs w:val="24"/>
          <w:lang w:val="en-US"/>
        </w:rPr>
        <w:t xml:space="preserve">determining the transaction price; and </w:t>
      </w:r>
    </w:p>
    <w:p w14:paraId="32033C24" w14:textId="77777777" w:rsidR="00C82817" w:rsidRPr="0012560C" w:rsidRDefault="00C82817" w:rsidP="00C82817">
      <w:pPr>
        <w:pStyle w:val="ListParagraph"/>
        <w:numPr>
          <w:ilvl w:val="0"/>
          <w:numId w:val="21"/>
        </w:numPr>
        <w:ind w:left="709" w:hanging="425"/>
        <w:rPr>
          <w:rFonts w:eastAsia="Times" w:cs="Calibri"/>
          <w:szCs w:val="24"/>
          <w:lang w:val="en-US"/>
        </w:rPr>
      </w:pPr>
      <w:r w:rsidRPr="0012560C">
        <w:rPr>
          <w:rFonts w:eastAsia="Times" w:cs="Calibri"/>
          <w:szCs w:val="24"/>
          <w:lang w:val="en-US"/>
        </w:rPr>
        <w:t>allocating the transaction price to the satisfied and unsatisfied performance obligations.</w:t>
      </w:r>
    </w:p>
    <w:p w14:paraId="4126ECB9" w14:textId="77777777" w:rsidR="00C82817" w:rsidRDefault="00C82817" w:rsidP="00C82817">
      <w:pPr>
        <w:pStyle w:val="Default"/>
        <w:rPr>
          <w:rFonts w:ascii="Calibri" w:hAnsi="Calibri"/>
          <w:color w:val="auto"/>
        </w:rPr>
      </w:pPr>
    </w:p>
    <w:p w14:paraId="0D543F2A" w14:textId="77777777" w:rsidR="00C82817" w:rsidRDefault="00C82817" w:rsidP="00C82817">
      <w:pPr>
        <w:pStyle w:val="Default"/>
        <w:rPr>
          <w:sz w:val="19"/>
          <w:szCs w:val="19"/>
        </w:rPr>
      </w:pPr>
      <w:r w:rsidRPr="00C44B3E">
        <w:rPr>
          <w:rFonts w:ascii="Calibri" w:hAnsi="Calibri"/>
          <w:color w:val="auto"/>
        </w:rPr>
        <w:t>Under the Standard entities are required to apply th</w:t>
      </w:r>
      <w:r>
        <w:rPr>
          <w:rFonts w:ascii="Calibri" w:hAnsi="Calibri"/>
          <w:color w:val="auto"/>
        </w:rPr>
        <w:t>is</w:t>
      </w:r>
      <w:r w:rsidRPr="00C44B3E">
        <w:rPr>
          <w:rFonts w:ascii="Calibri" w:hAnsi="Calibri"/>
          <w:color w:val="auto"/>
        </w:rPr>
        <w:t xml:space="preserve"> expedient consistently to all contracts.</w:t>
      </w:r>
      <w:r>
        <w:rPr>
          <w:sz w:val="19"/>
          <w:szCs w:val="19"/>
        </w:rPr>
        <w:t xml:space="preserve">   </w:t>
      </w:r>
    </w:p>
    <w:p w14:paraId="7407EC72" w14:textId="77777777" w:rsidR="00C82817" w:rsidRDefault="00C82817" w:rsidP="00F33F85"/>
    <w:p w14:paraId="6F06C879" w14:textId="7C768B04" w:rsidR="00C82817" w:rsidRPr="007617C1" w:rsidRDefault="00C82817" w:rsidP="00044B9F">
      <w:pPr>
        <w:pStyle w:val="Heading1"/>
      </w:pPr>
      <w:bookmarkStart w:id="111" w:name="_Toc45622626"/>
      <w:r>
        <w:t xml:space="preserve">Part B: </w:t>
      </w:r>
      <w:r w:rsidRPr="007617C1">
        <w:t>AASB 1</w:t>
      </w:r>
      <w:r>
        <w:t>0</w:t>
      </w:r>
      <w:r w:rsidRPr="007617C1">
        <w:t>5</w:t>
      </w:r>
      <w:r>
        <w:t>8</w:t>
      </w:r>
      <w:r w:rsidRPr="007617C1">
        <w:t xml:space="preserve"> </w:t>
      </w:r>
      <w:r>
        <w:t>I</w:t>
      </w:r>
      <w:r w:rsidRPr="004C55D6">
        <w:t xml:space="preserve">ncome of </w:t>
      </w:r>
      <w:r w:rsidR="002E14A0">
        <w:t>No</w:t>
      </w:r>
      <w:r w:rsidRPr="004C55D6">
        <w:t>t-for-</w:t>
      </w:r>
      <w:r w:rsidR="002E14A0">
        <w:t>P</w:t>
      </w:r>
      <w:r w:rsidRPr="004C55D6">
        <w:t xml:space="preserve">rofit </w:t>
      </w:r>
      <w:r w:rsidR="002E14A0">
        <w:t>E</w:t>
      </w:r>
      <w:r w:rsidRPr="004C55D6">
        <w:t>ntities</w:t>
      </w:r>
      <w:bookmarkEnd w:id="111"/>
    </w:p>
    <w:p w14:paraId="78473136" w14:textId="77777777" w:rsidR="00C82817" w:rsidRDefault="00C82817" w:rsidP="00C82817">
      <w:pPr>
        <w:pStyle w:val="Default"/>
        <w:rPr>
          <w:rFonts w:ascii="Calibri" w:hAnsi="Calibri"/>
          <w:color w:val="auto"/>
        </w:rPr>
      </w:pPr>
      <w:r>
        <w:rPr>
          <w:rFonts w:ascii="Calibri" w:hAnsi="Calibri"/>
          <w:color w:val="auto"/>
        </w:rPr>
        <w:t xml:space="preserve">AASB 1058 replaces most of the income recognition requirements in AASB 1004 </w:t>
      </w:r>
      <w:r w:rsidRPr="005D6296">
        <w:rPr>
          <w:rFonts w:ascii="Calibri" w:hAnsi="Calibri"/>
          <w:i/>
          <w:color w:val="auto"/>
        </w:rPr>
        <w:t>Contributions</w:t>
      </w:r>
      <w:r>
        <w:rPr>
          <w:rFonts w:ascii="Calibri" w:hAnsi="Calibri"/>
          <w:color w:val="auto"/>
        </w:rPr>
        <w:t xml:space="preserve">.  It </w:t>
      </w:r>
      <w:r w:rsidRPr="00F47F04">
        <w:rPr>
          <w:rFonts w:ascii="Calibri" w:hAnsi="Calibri"/>
          <w:color w:val="auto"/>
        </w:rPr>
        <w:t xml:space="preserve">clarifies and simplifies the income recognition requirements that apply to </w:t>
      </w:r>
      <w:r>
        <w:rPr>
          <w:rFonts w:ascii="Calibri" w:hAnsi="Calibri"/>
          <w:color w:val="auto"/>
        </w:rPr>
        <w:t>NFP</w:t>
      </w:r>
      <w:r w:rsidRPr="00F47F04">
        <w:rPr>
          <w:rFonts w:ascii="Calibri" w:hAnsi="Calibri"/>
          <w:color w:val="auto"/>
        </w:rPr>
        <w:t xml:space="preserve"> entities, in conjunction with AASB 15</w:t>
      </w:r>
      <w:r>
        <w:rPr>
          <w:rFonts w:ascii="Calibri" w:hAnsi="Calibri"/>
          <w:color w:val="auto"/>
        </w:rPr>
        <w:t>.</w:t>
      </w:r>
    </w:p>
    <w:p w14:paraId="5E37D4C9" w14:textId="77777777" w:rsidR="00C82817" w:rsidRPr="00F33F85" w:rsidRDefault="00C82817" w:rsidP="00F33F85">
      <w:pPr>
        <w:rPr>
          <w:lang w:val="en-US"/>
        </w:rPr>
      </w:pPr>
    </w:p>
    <w:p w14:paraId="1EEAF9B7" w14:textId="650F4E5A" w:rsidR="00C82817" w:rsidRPr="00F33F85" w:rsidRDefault="00F33F85" w:rsidP="00C82817">
      <w:pPr>
        <w:rPr>
          <w:rFonts w:cs="Calibri"/>
          <w:iCs/>
          <w:szCs w:val="24"/>
          <w:lang w:val="en-US"/>
        </w:rPr>
      </w:pPr>
      <w:r w:rsidRPr="00F33F85">
        <w:rPr>
          <w:rFonts w:cs="Calibri"/>
          <w:iCs/>
          <w:szCs w:val="24"/>
          <w:lang w:val="en-US"/>
        </w:rPr>
        <w:t>“</w:t>
      </w:r>
      <w:r w:rsidR="00C82817" w:rsidRPr="00F33F85">
        <w:rPr>
          <w:rFonts w:cs="Calibri"/>
          <w:iCs/>
          <w:szCs w:val="24"/>
          <w:lang w:val="en-US"/>
        </w:rPr>
        <w:t xml:space="preserve">This Standard establishes principles for not-for-profit entities that apply to (AASB 1058.1): </w:t>
      </w:r>
    </w:p>
    <w:p w14:paraId="377A9B07" w14:textId="77777777" w:rsidR="00C82817" w:rsidRPr="00F33F85" w:rsidRDefault="00C82817" w:rsidP="00C82817">
      <w:pPr>
        <w:numPr>
          <w:ilvl w:val="0"/>
          <w:numId w:val="17"/>
        </w:numPr>
        <w:ind w:left="709" w:hanging="567"/>
        <w:rPr>
          <w:rFonts w:cs="Calibri"/>
          <w:iCs/>
          <w:szCs w:val="24"/>
          <w:lang w:val="en-US"/>
        </w:rPr>
      </w:pPr>
      <w:r w:rsidRPr="00F33F85">
        <w:rPr>
          <w:rFonts w:cs="Calibri"/>
          <w:iCs/>
          <w:szCs w:val="24"/>
          <w:lang w:val="en-US"/>
        </w:rPr>
        <w:t xml:space="preserve">transactions where the consideration to acquire an asset is significantly less than fair value principally to enable a not-for-profit entity to further its objectives; and </w:t>
      </w:r>
    </w:p>
    <w:p w14:paraId="759A2233" w14:textId="68A43627" w:rsidR="00C82817" w:rsidRPr="00F33F85" w:rsidRDefault="00C82817" w:rsidP="00C82817">
      <w:pPr>
        <w:numPr>
          <w:ilvl w:val="0"/>
          <w:numId w:val="17"/>
        </w:numPr>
        <w:ind w:left="709" w:hanging="567"/>
        <w:rPr>
          <w:rFonts w:cs="Calibri"/>
          <w:iCs/>
          <w:szCs w:val="24"/>
          <w:lang w:val="en-US"/>
        </w:rPr>
      </w:pPr>
      <w:r w:rsidRPr="00F33F85">
        <w:rPr>
          <w:rFonts w:cs="Calibri"/>
          <w:iCs/>
          <w:szCs w:val="24"/>
          <w:lang w:val="en-US"/>
        </w:rPr>
        <w:t>the receipt of volunteer services.</w:t>
      </w:r>
      <w:r w:rsidR="00F33F85" w:rsidRPr="00F33F85">
        <w:rPr>
          <w:rFonts w:cs="Calibri"/>
          <w:iCs/>
          <w:szCs w:val="24"/>
          <w:lang w:val="en-US"/>
        </w:rPr>
        <w:t>”</w:t>
      </w:r>
      <w:r w:rsidRPr="00F33F85">
        <w:rPr>
          <w:rFonts w:cs="Calibri"/>
          <w:iCs/>
          <w:szCs w:val="24"/>
          <w:lang w:val="en-US"/>
        </w:rPr>
        <w:t xml:space="preserve"> </w:t>
      </w:r>
    </w:p>
    <w:p w14:paraId="351EE362" w14:textId="77777777" w:rsidR="00C82817" w:rsidRPr="00F47F04" w:rsidRDefault="00C82817" w:rsidP="00C82817">
      <w:pPr>
        <w:pStyle w:val="Default"/>
        <w:rPr>
          <w:rFonts w:ascii="Calibri" w:hAnsi="Calibri"/>
          <w:color w:val="auto"/>
        </w:rPr>
      </w:pPr>
    </w:p>
    <w:p w14:paraId="7D05ECF5" w14:textId="30AE3B1B" w:rsidR="00C82817" w:rsidRPr="00794EE5" w:rsidRDefault="009065FF" w:rsidP="00044B9F">
      <w:pPr>
        <w:pStyle w:val="Heading1"/>
      </w:pPr>
      <w:bookmarkStart w:id="112" w:name="_Toc45622627"/>
      <w:r>
        <w:t>B1.</w:t>
      </w:r>
      <w:r>
        <w:tab/>
      </w:r>
      <w:r w:rsidR="00C82817">
        <w:t>Application date</w:t>
      </w:r>
      <w:bookmarkEnd w:id="112"/>
    </w:p>
    <w:p w14:paraId="67606258" w14:textId="77777777" w:rsidR="00C82817" w:rsidRDefault="00C82817" w:rsidP="00C82817">
      <w:pPr>
        <w:rPr>
          <w:rFonts w:cs="Calibri"/>
          <w:szCs w:val="24"/>
          <w:lang w:val="en-US"/>
        </w:rPr>
      </w:pPr>
      <w:r>
        <w:rPr>
          <w:rFonts w:cs="Calibri"/>
          <w:szCs w:val="24"/>
          <w:lang w:val="en-US"/>
        </w:rPr>
        <w:t>AASB 1058 applies only to NFP entities.</w:t>
      </w:r>
    </w:p>
    <w:p w14:paraId="77A9C72C" w14:textId="77777777" w:rsidR="00C82817" w:rsidRDefault="00C82817" w:rsidP="00C82817">
      <w:pPr>
        <w:rPr>
          <w:rFonts w:cs="Calibri"/>
          <w:szCs w:val="24"/>
          <w:lang w:val="en-US"/>
        </w:rPr>
      </w:pPr>
    </w:p>
    <w:p w14:paraId="474AD0D4" w14:textId="77777777" w:rsidR="00C82817" w:rsidRPr="007617C1" w:rsidRDefault="00C82817" w:rsidP="00C82817">
      <w:pPr>
        <w:rPr>
          <w:rFonts w:cs="Calibri"/>
          <w:szCs w:val="24"/>
          <w:lang w:val="en-US"/>
        </w:rPr>
      </w:pPr>
      <w:r w:rsidRPr="007617C1">
        <w:rPr>
          <w:rFonts w:cs="Calibri"/>
          <w:szCs w:val="24"/>
          <w:lang w:val="en-US"/>
        </w:rPr>
        <w:t>AASB 1058 is applicable to entities for reporting periods beginning on or after 1 January 2019.</w:t>
      </w:r>
      <w:r>
        <w:rPr>
          <w:rFonts w:cs="Calibri"/>
          <w:szCs w:val="24"/>
          <w:lang w:val="en-US"/>
        </w:rPr>
        <w:t xml:space="preserve">  For most ACT Government agencies this will be the reporting period 2019-20 with an opening balance sheet of 1 July 2019</w:t>
      </w:r>
    </w:p>
    <w:p w14:paraId="1C3A39F2" w14:textId="77777777" w:rsidR="00C82817" w:rsidRDefault="00C82817" w:rsidP="009065FF">
      <w:pPr>
        <w:rPr>
          <w:lang w:val="en-US"/>
        </w:rPr>
      </w:pPr>
    </w:p>
    <w:p w14:paraId="00CDC618" w14:textId="77777777" w:rsidR="00C82817" w:rsidRPr="00A46A50" w:rsidRDefault="00C82817" w:rsidP="00C82817">
      <w:pPr>
        <w:pBdr>
          <w:top w:val="single" w:sz="4" w:space="1" w:color="auto"/>
          <w:left w:val="single" w:sz="4" w:space="4" w:color="auto"/>
          <w:bottom w:val="single" w:sz="4" w:space="1" w:color="auto"/>
          <w:right w:val="single" w:sz="4" w:space="4" w:color="auto"/>
        </w:pBdr>
        <w:rPr>
          <w:rFonts w:cs="Calibri"/>
          <w:szCs w:val="24"/>
          <w:lang w:val="en-US"/>
        </w:rPr>
      </w:pPr>
      <w:r w:rsidRPr="00A46A50">
        <w:rPr>
          <w:rFonts w:cs="Calibri"/>
          <w:szCs w:val="24"/>
          <w:lang w:val="en-US"/>
        </w:rPr>
        <w:t xml:space="preserve">ACT Government agencies shall not early adopt this Standard.   </w:t>
      </w:r>
    </w:p>
    <w:p w14:paraId="1C69D303" w14:textId="77777777" w:rsidR="00A452C5" w:rsidRDefault="00A452C5" w:rsidP="009065FF"/>
    <w:p w14:paraId="71353DA3" w14:textId="2E445E18" w:rsidR="00C82817" w:rsidRPr="00794EE5" w:rsidRDefault="009065FF" w:rsidP="00044B9F">
      <w:pPr>
        <w:pStyle w:val="Heading1"/>
      </w:pPr>
      <w:bookmarkStart w:id="113" w:name="_Toc45622628"/>
      <w:r>
        <w:t>B2</w:t>
      </w:r>
      <w:r>
        <w:tab/>
      </w:r>
      <w:r w:rsidR="00C82817">
        <w:t>Scope (AASB 1058.7 &amp; 1058.B2-B11)</w:t>
      </w:r>
      <w:bookmarkEnd w:id="113"/>
    </w:p>
    <w:p w14:paraId="228A9BE4" w14:textId="76499318" w:rsidR="00C82817" w:rsidRPr="00F47F04" w:rsidRDefault="009065FF" w:rsidP="00C82817">
      <w:pPr>
        <w:rPr>
          <w:rFonts w:cs="Calibri"/>
          <w:szCs w:val="24"/>
          <w:lang w:val="en-US"/>
        </w:rPr>
      </w:pPr>
      <w:r w:rsidRPr="00AD427D">
        <w:rPr>
          <w:rFonts w:cs="Calibri"/>
          <w:iCs/>
          <w:szCs w:val="24"/>
          <w:lang w:val="en-US"/>
        </w:rPr>
        <w:t>“</w:t>
      </w:r>
      <w:r w:rsidR="00C82817" w:rsidRPr="00AD427D">
        <w:rPr>
          <w:rFonts w:cs="Calibri"/>
          <w:iCs/>
          <w:szCs w:val="24"/>
          <w:lang w:val="en-US"/>
        </w:rPr>
        <w:t>An entity shall apply this Standard to transactions where the consideration to acquire an asset is significantly less than fair value principally to enable the entity to further its objectives, and the receipt of volunteer services.</w:t>
      </w:r>
      <w:r w:rsidRPr="00AD427D">
        <w:rPr>
          <w:rFonts w:cs="Calibri"/>
          <w:iCs/>
          <w:szCs w:val="24"/>
          <w:lang w:val="en-US"/>
        </w:rPr>
        <w:t>”</w:t>
      </w:r>
      <w:r w:rsidR="00C82817" w:rsidRPr="00AD427D">
        <w:rPr>
          <w:rFonts w:cs="Calibri"/>
          <w:szCs w:val="24"/>
          <w:lang w:val="en-US"/>
        </w:rPr>
        <w:t xml:space="preserve">  The Standard lists certain exceptions that are outside its scope, for example, insurance contracts, restructures of administrative arrangements within the scope of AASB 1004.</w:t>
      </w:r>
      <w:r w:rsidR="00C82817" w:rsidRPr="000D3DA2">
        <w:rPr>
          <w:rFonts w:cs="Calibri"/>
          <w:szCs w:val="24"/>
          <w:lang w:val="en-US"/>
        </w:rPr>
        <w:t xml:space="preserve">  </w:t>
      </w:r>
      <w:r w:rsidR="00C82817" w:rsidRPr="00F47F04">
        <w:rPr>
          <w:rFonts w:cs="Calibri"/>
          <w:szCs w:val="24"/>
          <w:lang w:val="en-US"/>
        </w:rPr>
        <w:t xml:space="preserve"> </w:t>
      </w:r>
    </w:p>
    <w:p w14:paraId="3A8B3AA4" w14:textId="152A368D" w:rsidR="00C82817" w:rsidRPr="009065FF" w:rsidRDefault="009065FF" w:rsidP="00C82817">
      <w:pPr>
        <w:rPr>
          <w:rFonts w:eastAsia="Times New Roman" w:cs="Arial"/>
          <w:b/>
          <w:bCs/>
          <w:color w:val="101010"/>
          <w:szCs w:val="24"/>
          <w:lang w:val="en" w:eastAsia="en-AU"/>
        </w:rPr>
      </w:pPr>
      <w:r w:rsidRPr="009065FF">
        <w:rPr>
          <w:rFonts w:eastAsia="Times New Roman" w:cs="Arial"/>
          <w:b/>
          <w:bCs/>
          <w:color w:val="101010"/>
          <w:szCs w:val="24"/>
          <w:lang w:val="en" w:eastAsia="en-AU"/>
        </w:rPr>
        <w:lastRenderedPageBreak/>
        <w:t>B2 Scope continued</w:t>
      </w:r>
    </w:p>
    <w:p w14:paraId="0A5583FE" w14:textId="77777777" w:rsidR="00C82817" w:rsidRPr="00DA4C13" w:rsidRDefault="00C82817" w:rsidP="00C82817">
      <w:pPr>
        <w:pStyle w:val="Default"/>
        <w:rPr>
          <w:rFonts w:ascii="Calibri" w:hAnsi="Calibri"/>
          <w:color w:val="auto"/>
        </w:rPr>
      </w:pPr>
      <w:r w:rsidRPr="00DA4C13">
        <w:rPr>
          <w:rFonts w:ascii="Calibri" w:hAnsi="Calibri"/>
          <w:color w:val="auto"/>
        </w:rPr>
        <w:t xml:space="preserve">AASB 1058 applies to transactions such as grants, donations, appropriations received </w:t>
      </w:r>
      <w:r>
        <w:rPr>
          <w:rFonts w:ascii="Calibri" w:hAnsi="Calibri"/>
          <w:color w:val="auto"/>
        </w:rPr>
        <w:t xml:space="preserve">by an entity </w:t>
      </w:r>
      <w:r w:rsidRPr="00DA4C13">
        <w:rPr>
          <w:rFonts w:ascii="Calibri" w:hAnsi="Calibri"/>
          <w:color w:val="auto"/>
        </w:rPr>
        <w:t xml:space="preserve">to further its objectives, with no consideration provided in exchange.  It also applies to non-contractual receivables arising from statutory requirements such as taxes, fines, rates etc.  </w:t>
      </w:r>
    </w:p>
    <w:p w14:paraId="0DB555A8" w14:textId="77777777" w:rsidR="00C82817" w:rsidRDefault="00C82817" w:rsidP="00C82817">
      <w:pPr>
        <w:pStyle w:val="Default"/>
        <w:rPr>
          <w:rFonts w:ascii="Calibri" w:hAnsi="Calibri"/>
          <w:color w:val="auto"/>
        </w:rPr>
      </w:pPr>
    </w:p>
    <w:p w14:paraId="00A3D238" w14:textId="77777777" w:rsidR="00C82817" w:rsidRDefault="00C82817" w:rsidP="00C82817">
      <w:pPr>
        <w:rPr>
          <w:rFonts w:cs="Calibri"/>
          <w:szCs w:val="24"/>
          <w:lang w:val="en-US"/>
        </w:rPr>
      </w:pPr>
      <w:r>
        <w:rPr>
          <w:rFonts w:cs="Calibri"/>
          <w:szCs w:val="24"/>
          <w:lang w:val="en-US"/>
        </w:rPr>
        <w:t>AASB 1058 applies only to NPF revenue agreements where AASB 15 does not apply.  Accordingly, AASB 1058 does not apply when a contract or transaction:</w:t>
      </w:r>
    </w:p>
    <w:p w14:paraId="27C46D0F" w14:textId="77777777" w:rsidR="00C82817" w:rsidRPr="0012560C" w:rsidRDefault="00C82817" w:rsidP="00C82817">
      <w:pPr>
        <w:pStyle w:val="ListParagraph"/>
        <w:numPr>
          <w:ilvl w:val="0"/>
          <w:numId w:val="21"/>
        </w:numPr>
        <w:ind w:left="851" w:hanging="567"/>
        <w:rPr>
          <w:rFonts w:eastAsia="Times" w:cs="Calibri"/>
          <w:szCs w:val="24"/>
          <w:lang w:val="en-US"/>
        </w:rPr>
      </w:pPr>
      <w:r w:rsidRPr="0012560C">
        <w:rPr>
          <w:rFonts w:eastAsia="Times" w:cs="Calibri"/>
          <w:szCs w:val="24"/>
          <w:lang w:val="en-US"/>
        </w:rPr>
        <w:t>is enforceable;</w:t>
      </w:r>
    </w:p>
    <w:p w14:paraId="3598B390" w14:textId="77777777" w:rsidR="00C82817" w:rsidRPr="0012560C" w:rsidRDefault="00C82817" w:rsidP="00C82817">
      <w:pPr>
        <w:pStyle w:val="ListParagraph"/>
        <w:numPr>
          <w:ilvl w:val="0"/>
          <w:numId w:val="21"/>
        </w:numPr>
        <w:ind w:left="851" w:hanging="567"/>
        <w:rPr>
          <w:rFonts w:eastAsia="Times" w:cs="Calibri"/>
          <w:szCs w:val="24"/>
          <w:lang w:val="en-US"/>
        </w:rPr>
      </w:pPr>
      <w:r w:rsidRPr="0012560C">
        <w:rPr>
          <w:rFonts w:eastAsia="Times" w:cs="Calibri"/>
          <w:szCs w:val="24"/>
          <w:lang w:val="en-US"/>
        </w:rPr>
        <w:t>has sufficiently specific performance obligations;</w:t>
      </w:r>
    </w:p>
    <w:p w14:paraId="3E2D7BDC" w14:textId="77777777" w:rsidR="00C82817" w:rsidRPr="0012560C" w:rsidRDefault="00C82817" w:rsidP="00C82817">
      <w:pPr>
        <w:pStyle w:val="ListParagraph"/>
        <w:numPr>
          <w:ilvl w:val="0"/>
          <w:numId w:val="21"/>
        </w:numPr>
        <w:ind w:left="851" w:hanging="567"/>
        <w:rPr>
          <w:rFonts w:eastAsia="Times" w:cs="Calibri"/>
          <w:szCs w:val="24"/>
          <w:lang w:val="en-US"/>
        </w:rPr>
      </w:pPr>
      <w:r w:rsidRPr="0012560C">
        <w:rPr>
          <w:rFonts w:eastAsia="Times" w:cs="Calibri"/>
          <w:szCs w:val="24"/>
          <w:lang w:val="en-US"/>
        </w:rPr>
        <w:t>involves goods or services that are not retained by the entity for its own use; and</w:t>
      </w:r>
    </w:p>
    <w:p w14:paraId="71F56F4D" w14:textId="77777777" w:rsidR="00C82817" w:rsidRDefault="00C82817" w:rsidP="00C82817">
      <w:pPr>
        <w:pStyle w:val="ListParagraph"/>
        <w:numPr>
          <w:ilvl w:val="0"/>
          <w:numId w:val="21"/>
        </w:numPr>
        <w:ind w:left="851" w:hanging="567"/>
        <w:rPr>
          <w:rFonts w:eastAsia="Times" w:cs="Calibri"/>
          <w:szCs w:val="24"/>
          <w:lang w:val="en-US"/>
        </w:rPr>
      </w:pPr>
      <w:r w:rsidRPr="0012560C">
        <w:rPr>
          <w:rFonts w:eastAsia="Times" w:cs="Calibri"/>
          <w:szCs w:val="24"/>
          <w:lang w:val="en-US"/>
        </w:rPr>
        <w:t xml:space="preserve">is not a donation and does not involve volunteer </w:t>
      </w:r>
      <w:proofErr w:type="gramStart"/>
      <w:r w:rsidRPr="0012560C">
        <w:rPr>
          <w:rFonts w:eastAsia="Times" w:cs="Calibri"/>
          <w:szCs w:val="24"/>
          <w:lang w:val="en-US"/>
        </w:rPr>
        <w:t>services.</w:t>
      </w:r>
      <w:proofErr w:type="gramEnd"/>
      <w:r w:rsidRPr="0012560C">
        <w:rPr>
          <w:rFonts w:eastAsia="Times" w:cs="Calibri"/>
          <w:szCs w:val="24"/>
          <w:lang w:val="en-US"/>
        </w:rPr>
        <w:t xml:space="preserve"> </w:t>
      </w:r>
    </w:p>
    <w:p w14:paraId="6FBBC8A4" w14:textId="77777777" w:rsidR="00C82817" w:rsidRDefault="00C82817" w:rsidP="00C82817">
      <w:pPr>
        <w:pStyle w:val="ListParagraph"/>
        <w:ind w:left="851"/>
        <w:rPr>
          <w:rFonts w:eastAsia="Times" w:cs="Calibri"/>
          <w:szCs w:val="24"/>
          <w:lang w:val="en-US"/>
        </w:rPr>
      </w:pPr>
    </w:p>
    <w:p w14:paraId="120D3C88" w14:textId="0086F3CD" w:rsidR="00C82817" w:rsidRDefault="00C82817" w:rsidP="00C82817">
      <w:pPr>
        <w:rPr>
          <w:rFonts w:cs="Calibri"/>
          <w:szCs w:val="24"/>
          <w:lang w:val="en-US"/>
        </w:rPr>
      </w:pPr>
      <w:r w:rsidRPr="00635CAA">
        <w:rPr>
          <w:rFonts w:cs="Calibri"/>
          <w:szCs w:val="24"/>
          <w:lang w:val="en-US"/>
        </w:rPr>
        <w:t xml:space="preserve">Agencies will need to assess each contract under each income stream to </w:t>
      </w:r>
      <w:r>
        <w:rPr>
          <w:rFonts w:cs="Calibri"/>
          <w:szCs w:val="24"/>
          <w:lang w:val="en-US"/>
        </w:rPr>
        <w:t>determine</w:t>
      </w:r>
      <w:r w:rsidRPr="00635CAA">
        <w:rPr>
          <w:rFonts w:cs="Calibri"/>
          <w:szCs w:val="24"/>
          <w:lang w:val="en-US"/>
        </w:rPr>
        <w:t xml:space="preserve"> whether AASB 15 or AASB 1058 applies.</w:t>
      </w:r>
      <w:r>
        <w:rPr>
          <w:rFonts w:cs="Calibri"/>
          <w:szCs w:val="24"/>
          <w:lang w:val="en-US"/>
        </w:rPr>
        <w:t xml:space="preserve">  This assessment cannot be made at a high level. </w:t>
      </w:r>
      <w:r w:rsidRPr="00635CAA">
        <w:rPr>
          <w:rFonts w:cs="Calibri"/>
          <w:szCs w:val="24"/>
          <w:lang w:val="en-US"/>
        </w:rPr>
        <w:t xml:space="preserve"> </w:t>
      </w:r>
    </w:p>
    <w:p w14:paraId="54439D4B" w14:textId="40F62B53" w:rsidR="00CA6633" w:rsidRDefault="00CA6633" w:rsidP="00C82817">
      <w:pPr>
        <w:rPr>
          <w:rFonts w:cs="Calibri"/>
          <w:szCs w:val="24"/>
          <w:lang w:val="en-US"/>
        </w:rPr>
      </w:pPr>
    </w:p>
    <w:p w14:paraId="36619A1F" w14:textId="77777777" w:rsidR="00B838B7" w:rsidRPr="00CD6840" w:rsidRDefault="00B838B7" w:rsidP="00CA6633">
      <w:pPr>
        <w:pStyle w:val="Default"/>
        <w:rPr>
          <w:rFonts w:ascii="Calibri" w:hAnsi="Calibri"/>
          <w:color w:val="auto"/>
        </w:rPr>
      </w:pPr>
      <w:r w:rsidRPr="00CD6840">
        <w:rPr>
          <w:rFonts w:ascii="Calibri" w:hAnsi="Calibri"/>
          <w:color w:val="auto"/>
        </w:rPr>
        <w:t>Non-refundable consideration</w:t>
      </w:r>
    </w:p>
    <w:p w14:paraId="0A27D3F7" w14:textId="1CD1C43A" w:rsidR="00CA6633" w:rsidRPr="00B838B7" w:rsidRDefault="00CA6633" w:rsidP="00CA6633">
      <w:pPr>
        <w:pStyle w:val="Default"/>
        <w:rPr>
          <w:rFonts w:ascii="Calibri" w:hAnsi="Calibri"/>
          <w:color w:val="auto"/>
        </w:rPr>
      </w:pPr>
      <w:r w:rsidRPr="00B838B7">
        <w:rPr>
          <w:rFonts w:ascii="Calibri" w:hAnsi="Calibri"/>
          <w:color w:val="auto"/>
        </w:rPr>
        <w:t xml:space="preserve">If all or a part of the consideration is non-refundable (in the event the entity does not fulfil its promises), this non-refundable portion would be accounted for up-front as a contribution in accordance with AASB 1058 given the entity does not have to fulfil any obligations in order to retain the contribution.  </w:t>
      </w:r>
    </w:p>
    <w:p w14:paraId="34FB53B8" w14:textId="77777777" w:rsidR="00CA6633" w:rsidRPr="00B838B7" w:rsidRDefault="00CA6633" w:rsidP="00CA6633">
      <w:pPr>
        <w:pStyle w:val="Default"/>
        <w:rPr>
          <w:rFonts w:ascii="Calibri" w:hAnsi="Calibri"/>
          <w:color w:val="auto"/>
        </w:rPr>
      </w:pPr>
    </w:p>
    <w:p w14:paraId="28C77B08" w14:textId="77777777" w:rsidR="00CA6633" w:rsidRPr="00B838B7" w:rsidRDefault="00CA6633" w:rsidP="00CA6633">
      <w:pPr>
        <w:pStyle w:val="Default"/>
        <w:rPr>
          <w:rFonts w:ascii="Calibri" w:hAnsi="Calibri"/>
          <w:color w:val="auto"/>
        </w:rPr>
      </w:pPr>
      <w:r w:rsidRPr="00B838B7">
        <w:rPr>
          <w:rFonts w:ascii="Calibri" w:hAnsi="Calibri"/>
          <w:color w:val="auto"/>
        </w:rPr>
        <w:t xml:space="preserve">But the existence of a refund obligation in an agreement is not considered a performance obligation on its own and therefore does not provide sufficient grounds to defer revenue.  This is because the entity has the discretion to avoid returning the funds by not breaching the agreement.    </w:t>
      </w:r>
    </w:p>
    <w:p w14:paraId="07C7BCCC" w14:textId="77777777" w:rsidR="00CA6633" w:rsidRPr="00B838B7" w:rsidRDefault="00CA6633" w:rsidP="00CA6633">
      <w:pPr>
        <w:pStyle w:val="Default"/>
        <w:rPr>
          <w:rFonts w:ascii="Calibri" w:hAnsi="Calibri"/>
          <w:color w:val="auto"/>
        </w:rPr>
      </w:pPr>
    </w:p>
    <w:p w14:paraId="3EE8F5BB" w14:textId="14A29E40" w:rsidR="00CA6633" w:rsidRPr="00635CAA" w:rsidRDefault="00CA6633" w:rsidP="00CA6633">
      <w:pPr>
        <w:rPr>
          <w:rFonts w:cs="Calibri"/>
          <w:szCs w:val="24"/>
          <w:lang w:val="en-US"/>
        </w:rPr>
      </w:pPr>
      <w:r w:rsidRPr="00B838B7">
        <w:rPr>
          <w:rFonts w:cs="EYInterstate"/>
          <w:szCs w:val="24"/>
          <w:lang w:eastAsia="en-AU"/>
        </w:rPr>
        <w:t>This requirement does not apply to capital injection appropriation as they are recognised as equity contributions, not revenue in agency books.</w:t>
      </w:r>
    </w:p>
    <w:p w14:paraId="20D7F81D" w14:textId="77777777" w:rsidR="00C82817" w:rsidRPr="004E4C41" w:rsidRDefault="00C82817" w:rsidP="00C82817">
      <w:pPr>
        <w:ind w:left="720"/>
        <w:rPr>
          <w:rFonts w:cs="Calibri"/>
          <w:szCs w:val="24"/>
          <w:lang w:val="en-US"/>
        </w:rPr>
      </w:pPr>
    </w:p>
    <w:p w14:paraId="185627AF" w14:textId="315CB32E" w:rsidR="00C82817" w:rsidRPr="00F47F04" w:rsidRDefault="009065FF" w:rsidP="00044B9F">
      <w:pPr>
        <w:pStyle w:val="Heading1"/>
      </w:pPr>
      <w:bookmarkStart w:id="114" w:name="_Toc45622629"/>
      <w:r>
        <w:t xml:space="preserve">B3. </w:t>
      </w:r>
      <w:r w:rsidR="00C82817">
        <w:t>Recognition and Measurement (AASB 1058.8-14)</w:t>
      </w:r>
      <w:bookmarkEnd w:id="114"/>
    </w:p>
    <w:p w14:paraId="3C3D326D" w14:textId="77777777" w:rsidR="00C82817" w:rsidRDefault="00C82817" w:rsidP="009065FF"/>
    <w:p w14:paraId="12C44EE0" w14:textId="343E89AA" w:rsidR="00C82817" w:rsidRPr="009065FF" w:rsidRDefault="009065FF" w:rsidP="009065FF">
      <w:pPr>
        <w:pStyle w:val="Heading2"/>
      </w:pPr>
      <w:bookmarkStart w:id="115" w:name="_Toc45622630"/>
      <w:r w:rsidRPr="009065FF">
        <w:t>B3.1</w:t>
      </w:r>
      <w:r w:rsidRPr="009065FF">
        <w:tab/>
      </w:r>
      <w:r w:rsidR="00C82817" w:rsidRPr="009065FF">
        <w:t>Recognising the asset received (AASB 1058.8)</w:t>
      </w:r>
      <w:bookmarkEnd w:id="115"/>
    </w:p>
    <w:p w14:paraId="35CE233B" w14:textId="77777777" w:rsidR="00C82817" w:rsidRPr="00DA4C13" w:rsidRDefault="00C82817" w:rsidP="00C82817">
      <w:pPr>
        <w:pStyle w:val="Default"/>
        <w:rPr>
          <w:rFonts w:ascii="Calibri" w:hAnsi="Calibri"/>
          <w:color w:val="auto"/>
        </w:rPr>
      </w:pPr>
      <w:r w:rsidRPr="00DA4C13">
        <w:rPr>
          <w:rFonts w:ascii="Calibri" w:hAnsi="Calibri"/>
          <w:color w:val="auto"/>
        </w:rPr>
        <w:t xml:space="preserve">Entities need to recognise the asset from a transaction by applying requirements under </w:t>
      </w:r>
      <w:r>
        <w:rPr>
          <w:rFonts w:ascii="Calibri" w:hAnsi="Calibri"/>
          <w:color w:val="auto"/>
        </w:rPr>
        <w:t xml:space="preserve">other </w:t>
      </w:r>
      <w:r w:rsidRPr="00DA4C13">
        <w:rPr>
          <w:rFonts w:ascii="Calibri" w:hAnsi="Calibri"/>
          <w:color w:val="auto"/>
        </w:rPr>
        <w:t>relevant accounting standards.  Therefore, if the NFP entity receives:</w:t>
      </w:r>
    </w:p>
    <w:p w14:paraId="402A4E33" w14:textId="77777777" w:rsidR="00C82817" w:rsidRPr="0012560C" w:rsidRDefault="00C82817" w:rsidP="00C82817">
      <w:pPr>
        <w:pStyle w:val="ListParagraph"/>
        <w:numPr>
          <w:ilvl w:val="0"/>
          <w:numId w:val="21"/>
        </w:numPr>
        <w:ind w:left="709" w:hanging="425"/>
        <w:rPr>
          <w:rFonts w:eastAsia="Times" w:cs="Calibri"/>
          <w:szCs w:val="24"/>
          <w:lang w:val="en-US"/>
        </w:rPr>
      </w:pPr>
      <w:r w:rsidRPr="0012560C">
        <w:rPr>
          <w:rFonts w:eastAsia="Times" w:cs="Calibri"/>
          <w:szCs w:val="24"/>
          <w:lang w:val="en-US"/>
        </w:rPr>
        <w:t xml:space="preserve">Cash - recognise as a financial asset under AASB 9 </w:t>
      </w:r>
      <w:r w:rsidRPr="0012560C">
        <w:rPr>
          <w:rFonts w:eastAsia="Times" w:cs="Calibri"/>
          <w:i/>
          <w:szCs w:val="24"/>
          <w:lang w:val="en-US"/>
        </w:rPr>
        <w:t>Financial Instruments</w:t>
      </w:r>
      <w:r w:rsidRPr="0012560C">
        <w:rPr>
          <w:rFonts w:eastAsia="Times" w:cs="Calibri"/>
          <w:szCs w:val="24"/>
          <w:lang w:val="en-US"/>
        </w:rPr>
        <w:t>;</w:t>
      </w:r>
    </w:p>
    <w:p w14:paraId="3206C41C" w14:textId="77777777" w:rsidR="00C82817" w:rsidRPr="0012560C" w:rsidRDefault="00C82817" w:rsidP="00C82817">
      <w:pPr>
        <w:pStyle w:val="ListParagraph"/>
        <w:numPr>
          <w:ilvl w:val="0"/>
          <w:numId w:val="21"/>
        </w:numPr>
        <w:ind w:left="709" w:hanging="425"/>
        <w:rPr>
          <w:rFonts w:eastAsia="Times" w:cs="Calibri"/>
          <w:szCs w:val="24"/>
          <w:lang w:val="en-US"/>
        </w:rPr>
      </w:pPr>
      <w:r w:rsidRPr="0012560C">
        <w:rPr>
          <w:rFonts w:eastAsia="Times" w:cs="Calibri"/>
          <w:szCs w:val="24"/>
          <w:lang w:val="en-US"/>
        </w:rPr>
        <w:t xml:space="preserve">Leased assets – recognise a right-of-use asset under AASB 16 </w:t>
      </w:r>
      <w:r w:rsidRPr="0012560C">
        <w:rPr>
          <w:rFonts w:eastAsia="Times" w:cs="Calibri"/>
          <w:i/>
          <w:szCs w:val="24"/>
          <w:lang w:val="en-US"/>
        </w:rPr>
        <w:t>Leases</w:t>
      </w:r>
      <w:r w:rsidRPr="0012560C">
        <w:rPr>
          <w:rFonts w:eastAsia="Times" w:cs="Calibri"/>
          <w:szCs w:val="24"/>
          <w:lang w:val="en-US"/>
        </w:rPr>
        <w:t>;</w:t>
      </w:r>
    </w:p>
    <w:p w14:paraId="489E27E2" w14:textId="77777777" w:rsidR="00C82817" w:rsidRPr="0012560C" w:rsidRDefault="00C82817" w:rsidP="00C82817">
      <w:pPr>
        <w:pStyle w:val="ListParagraph"/>
        <w:numPr>
          <w:ilvl w:val="0"/>
          <w:numId w:val="21"/>
        </w:numPr>
        <w:ind w:left="709" w:hanging="425"/>
        <w:rPr>
          <w:rFonts w:eastAsia="Times" w:cs="Calibri"/>
          <w:szCs w:val="24"/>
          <w:lang w:val="en-US"/>
        </w:rPr>
      </w:pPr>
      <w:r w:rsidRPr="0012560C">
        <w:rPr>
          <w:rFonts w:eastAsia="Times" w:cs="Calibri"/>
          <w:szCs w:val="24"/>
          <w:lang w:val="en-US"/>
        </w:rPr>
        <w:t>Pro</w:t>
      </w:r>
      <w:r>
        <w:rPr>
          <w:rFonts w:eastAsia="Times" w:cs="Calibri"/>
          <w:szCs w:val="24"/>
          <w:lang w:val="en-US"/>
        </w:rPr>
        <w:t>perty, plant and equipment</w:t>
      </w:r>
      <w:r w:rsidRPr="0012560C">
        <w:rPr>
          <w:rFonts w:eastAsia="Times" w:cs="Calibri"/>
          <w:szCs w:val="24"/>
          <w:lang w:val="en-US"/>
        </w:rPr>
        <w:t xml:space="preserve"> - recognise under AASB 116 </w:t>
      </w:r>
      <w:r w:rsidRPr="0012560C">
        <w:rPr>
          <w:rFonts w:eastAsia="Times" w:cs="Calibri"/>
          <w:i/>
          <w:szCs w:val="24"/>
          <w:lang w:val="en-US"/>
        </w:rPr>
        <w:t>Property, Plant and Equipment</w:t>
      </w:r>
      <w:r w:rsidRPr="0012560C">
        <w:rPr>
          <w:rFonts w:eastAsia="Times" w:cs="Calibri"/>
          <w:szCs w:val="24"/>
          <w:lang w:val="en-US"/>
        </w:rPr>
        <w:t>; and</w:t>
      </w:r>
    </w:p>
    <w:p w14:paraId="766CEE67" w14:textId="77777777" w:rsidR="00C82817" w:rsidRPr="0012560C" w:rsidRDefault="00C82817" w:rsidP="00C82817">
      <w:pPr>
        <w:pStyle w:val="ListParagraph"/>
        <w:numPr>
          <w:ilvl w:val="0"/>
          <w:numId w:val="21"/>
        </w:numPr>
        <w:ind w:left="709" w:hanging="425"/>
        <w:rPr>
          <w:rFonts w:eastAsia="Times" w:cs="Calibri"/>
          <w:szCs w:val="24"/>
          <w:lang w:val="en-US"/>
        </w:rPr>
      </w:pPr>
      <w:r w:rsidRPr="0012560C">
        <w:rPr>
          <w:rFonts w:eastAsia="Times" w:cs="Calibri"/>
          <w:szCs w:val="24"/>
          <w:lang w:val="en-US"/>
        </w:rPr>
        <w:t xml:space="preserve">Intangible assets – recognise under AASB 138 </w:t>
      </w:r>
      <w:r w:rsidRPr="0012560C">
        <w:rPr>
          <w:rFonts w:eastAsia="Times" w:cs="Calibri"/>
          <w:i/>
          <w:szCs w:val="24"/>
          <w:lang w:val="en-US"/>
        </w:rPr>
        <w:t>Intangible Assets</w:t>
      </w:r>
      <w:r w:rsidRPr="0012560C">
        <w:rPr>
          <w:rFonts w:eastAsia="Times" w:cs="Calibri"/>
          <w:szCs w:val="24"/>
          <w:lang w:val="en-US"/>
        </w:rPr>
        <w:t>.</w:t>
      </w:r>
    </w:p>
    <w:p w14:paraId="4C02D56F" w14:textId="77777777" w:rsidR="00C82817" w:rsidRDefault="00C82817" w:rsidP="00C82817">
      <w:pPr>
        <w:pStyle w:val="Default"/>
        <w:rPr>
          <w:rFonts w:ascii="Calibri" w:hAnsi="Calibri"/>
          <w:bCs/>
          <w:color w:val="auto"/>
        </w:rPr>
      </w:pPr>
    </w:p>
    <w:p w14:paraId="23C2F272" w14:textId="77777777" w:rsidR="00C82817" w:rsidRPr="00D032A9" w:rsidRDefault="00C82817" w:rsidP="00C82817">
      <w:pPr>
        <w:pStyle w:val="Default"/>
        <w:rPr>
          <w:rFonts w:ascii="Calibri" w:hAnsi="Calibri"/>
          <w:bCs/>
          <w:color w:val="auto"/>
        </w:rPr>
      </w:pPr>
      <w:r>
        <w:rPr>
          <w:rFonts w:ascii="Calibri" w:hAnsi="Calibri"/>
          <w:bCs/>
          <w:color w:val="auto"/>
        </w:rPr>
        <w:t>Where the asset was received for significantly below fair value then it should be recorded at fair value, this is a change from the previous rules which referred to acquisition of an asset at nil or nominal consideration.</w:t>
      </w:r>
    </w:p>
    <w:p w14:paraId="08DBC134" w14:textId="5E3405DD" w:rsidR="009065FF" w:rsidRDefault="009065FF">
      <w:pPr>
        <w:spacing w:after="160" w:line="259" w:lineRule="auto"/>
      </w:pPr>
      <w:r>
        <w:br w:type="page"/>
      </w:r>
    </w:p>
    <w:p w14:paraId="300B5702" w14:textId="6B07EB30" w:rsidR="00C82817" w:rsidRPr="009065FF" w:rsidRDefault="009065FF" w:rsidP="009065FF">
      <w:pPr>
        <w:pStyle w:val="Heading2"/>
      </w:pPr>
      <w:bookmarkStart w:id="116" w:name="_Toc45622631"/>
      <w:r w:rsidRPr="009065FF">
        <w:lastRenderedPageBreak/>
        <w:t>B3.2</w:t>
      </w:r>
      <w:r w:rsidRPr="009065FF">
        <w:tab/>
      </w:r>
      <w:r w:rsidR="00C82817" w:rsidRPr="009065FF">
        <w:t>Recognising the ‘credit entry’ (AASB 1058.9)</w:t>
      </w:r>
      <w:bookmarkEnd w:id="116"/>
    </w:p>
    <w:p w14:paraId="612BC651" w14:textId="77777777" w:rsidR="00C82817" w:rsidRPr="00DA4C13" w:rsidRDefault="00C82817" w:rsidP="00C82817">
      <w:pPr>
        <w:pStyle w:val="Default"/>
        <w:rPr>
          <w:rFonts w:ascii="Calibri" w:hAnsi="Calibri"/>
          <w:color w:val="auto"/>
        </w:rPr>
      </w:pPr>
      <w:r w:rsidRPr="00DA4C13">
        <w:rPr>
          <w:rFonts w:ascii="Calibri" w:hAnsi="Calibri"/>
          <w:color w:val="auto"/>
        </w:rPr>
        <w:t xml:space="preserve">Entities need to recognise the credit entry </w:t>
      </w:r>
      <w:r>
        <w:rPr>
          <w:rFonts w:ascii="Calibri" w:hAnsi="Calibri"/>
          <w:color w:val="auto"/>
        </w:rPr>
        <w:t xml:space="preserve">in the liability / equity section of the balance sheet (if any) </w:t>
      </w:r>
      <w:r w:rsidRPr="00DA4C13">
        <w:rPr>
          <w:rFonts w:ascii="Calibri" w:hAnsi="Calibri"/>
          <w:color w:val="auto"/>
        </w:rPr>
        <w:t>in accordance with other relevant Australian Accounting Standards if / when it meets the relevant criteria:</w:t>
      </w:r>
    </w:p>
    <w:p w14:paraId="6763ED36" w14:textId="77777777" w:rsidR="00C82817" w:rsidRPr="0012560C" w:rsidRDefault="00C82817" w:rsidP="00C82817">
      <w:pPr>
        <w:numPr>
          <w:ilvl w:val="0"/>
          <w:numId w:val="12"/>
        </w:numPr>
        <w:ind w:left="794" w:hanging="567"/>
        <w:rPr>
          <w:rFonts w:eastAsia="Times" w:cs="Calibri"/>
          <w:szCs w:val="24"/>
          <w:lang w:val="en-US"/>
        </w:rPr>
      </w:pPr>
      <w:r w:rsidRPr="0012560C">
        <w:rPr>
          <w:rFonts w:eastAsia="Times" w:cs="Calibri"/>
          <w:szCs w:val="24"/>
          <w:lang w:val="en-US"/>
        </w:rPr>
        <w:t>Contribution by owners (AASB 1004);</w:t>
      </w:r>
    </w:p>
    <w:p w14:paraId="7F901E02" w14:textId="77777777" w:rsidR="00C82817" w:rsidRPr="0012560C" w:rsidRDefault="00C82817" w:rsidP="00C82817">
      <w:pPr>
        <w:numPr>
          <w:ilvl w:val="0"/>
          <w:numId w:val="12"/>
        </w:numPr>
        <w:ind w:left="794" w:hanging="567"/>
        <w:rPr>
          <w:rFonts w:eastAsia="Times" w:cs="Calibri"/>
          <w:szCs w:val="24"/>
          <w:lang w:val="en-US"/>
        </w:rPr>
      </w:pPr>
      <w:r w:rsidRPr="0012560C">
        <w:rPr>
          <w:rFonts w:eastAsia="Times" w:cs="Calibri"/>
          <w:szCs w:val="24"/>
          <w:lang w:val="en-US"/>
        </w:rPr>
        <w:t>Revenue or contract liability (AASB 15);</w:t>
      </w:r>
    </w:p>
    <w:p w14:paraId="56DC3A6C" w14:textId="77777777" w:rsidR="00C82817" w:rsidRPr="0012560C" w:rsidRDefault="00C82817" w:rsidP="00C82817">
      <w:pPr>
        <w:numPr>
          <w:ilvl w:val="0"/>
          <w:numId w:val="12"/>
        </w:numPr>
        <w:ind w:left="794" w:hanging="567"/>
        <w:rPr>
          <w:rFonts w:eastAsia="Times" w:cs="Calibri"/>
          <w:szCs w:val="24"/>
          <w:lang w:val="en-US"/>
        </w:rPr>
      </w:pPr>
      <w:r w:rsidRPr="0012560C">
        <w:rPr>
          <w:rFonts w:eastAsia="Times" w:cs="Calibri"/>
          <w:szCs w:val="24"/>
          <w:lang w:val="en-US"/>
        </w:rPr>
        <w:t>Lease liability (AASB 16);</w:t>
      </w:r>
    </w:p>
    <w:p w14:paraId="59BA1946" w14:textId="77777777" w:rsidR="00C82817" w:rsidRPr="0012560C" w:rsidRDefault="00C82817" w:rsidP="00C82817">
      <w:pPr>
        <w:numPr>
          <w:ilvl w:val="0"/>
          <w:numId w:val="12"/>
        </w:numPr>
        <w:ind w:left="794" w:hanging="567"/>
        <w:rPr>
          <w:rFonts w:eastAsia="Times" w:cs="Calibri"/>
          <w:szCs w:val="24"/>
          <w:lang w:val="en-US"/>
        </w:rPr>
      </w:pPr>
      <w:r w:rsidRPr="0012560C">
        <w:rPr>
          <w:rFonts w:eastAsia="Times" w:cs="Calibri"/>
          <w:szCs w:val="24"/>
          <w:lang w:val="en-US"/>
        </w:rPr>
        <w:t>Financial instrument (AASB 9); or</w:t>
      </w:r>
    </w:p>
    <w:p w14:paraId="53687CAD" w14:textId="77777777" w:rsidR="00C82817" w:rsidRPr="0012560C" w:rsidRDefault="00C82817" w:rsidP="00C82817">
      <w:pPr>
        <w:numPr>
          <w:ilvl w:val="0"/>
          <w:numId w:val="12"/>
        </w:numPr>
        <w:ind w:left="794" w:hanging="567"/>
        <w:rPr>
          <w:rFonts w:eastAsia="Times" w:cs="Calibri"/>
          <w:szCs w:val="24"/>
          <w:lang w:val="en-US"/>
        </w:rPr>
      </w:pPr>
      <w:r w:rsidRPr="0012560C">
        <w:rPr>
          <w:rFonts w:eastAsia="Times" w:cs="Calibri"/>
          <w:szCs w:val="24"/>
          <w:lang w:val="en-US"/>
        </w:rPr>
        <w:t>Provision (AASB 137 Provisions, Contingent Liabilities and Contingent Assets).</w:t>
      </w:r>
    </w:p>
    <w:p w14:paraId="6A83E86A" w14:textId="77777777" w:rsidR="00C82817" w:rsidRDefault="00C82817" w:rsidP="00C82817">
      <w:pPr>
        <w:pStyle w:val="Default"/>
        <w:rPr>
          <w:rFonts w:ascii="Calibri" w:hAnsi="Calibri"/>
          <w:color w:val="auto"/>
        </w:rPr>
      </w:pPr>
      <w:r w:rsidRPr="00DA4C13">
        <w:rPr>
          <w:rFonts w:ascii="Calibri" w:hAnsi="Calibri"/>
          <w:color w:val="auto"/>
        </w:rPr>
        <w:t>Judgement needs to be exercised to determine which ‘bucket’ the credit entry belongs to.</w:t>
      </w:r>
    </w:p>
    <w:p w14:paraId="6178161A" w14:textId="77777777" w:rsidR="00C82817" w:rsidRDefault="00C82817" w:rsidP="00C82817">
      <w:pPr>
        <w:pStyle w:val="Default"/>
        <w:rPr>
          <w:rFonts w:ascii="Calibri" w:hAnsi="Calibri"/>
          <w:color w:val="auto"/>
        </w:rPr>
      </w:pPr>
    </w:p>
    <w:p w14:paraId="56F4DD5A" w14:textId="77777777" w:rsidR="00C82817" w:rsidRPr="00DA4C13" w:rsidRDefault="00C82817" w:rsidP="00C82817">
      <w:pPr>
        <w:pStyle w:val="Default"/>
        <w:rPr>
          <w:rFonts w:ascii="Calibri" w:hAnsi="Calibri"/>
          <w:color w:val="auto"/>
        </w:rPr>
      </w:pPr>
      <w:r>
        <w:rPr>
          <w:rFonts w:ascii="Calibri" w:hAnsi="Calibri"/>
          <w:color w:val="auto"/>
        </w:rPr>
        <w:t>Entities shall recognise as income the excess of the amount of the asset over the liability recognised per above, unless the asset is to enable the entity to acquire or construct a recognisable non-financial asset.</w:t>
      </w:r>
    </w:p>
    <w:p w14:paraId="0ADCB3D8" w14:textId="77777777" w:rsidR="00C82817" w:rsidRPr="00DA4C13" w:rsidRDefault="00C82817" w:rsidP="00C82817">
      <w:pPr>
        <w:pStyle w:val="Default"/>
        <w:rPr>
          <w:rFonts w:ascii="Calibri" w:hAnsi="Calibri"/>
          <w:color w:val="auto"/>
        </w:rPr>
      </w:pPr>
    </w:p>
    <w:p w14:paraId="4FEC1965" w14:textId="43E99B1F" w:rsidR="00C82817" w:rsidRPr="007A5BB5" w:rsidRDefault="007A5BB5" w:rsidP="007A5BB5">
      <w:pPr>
        <w:pStyle w:val="Heading2"/>
        <w:ind w:left="567" w:hanging="567"/>
      </w:pPr>
      <w:bookmarkStart w:id="117" w:name="_Toc45622632"/>
      <w:r w:rsidRPr="007A5BB5">
        <w:t>B3.3</w:t>
      </w:r>
      <w:r w:rsidRPr="007A5BB5">
        <w:tab/>
      </w:r>
      <w:r w:rsidR="00C82817" w:rsidRPr="007A5BB5">
        <w:t>Transfers to enable acquisition or construction of a recognisable non</w:t>
      </w:r>
      <w:r w:rsidR="00C82817" w:rsidRPr="007A5BB5">
        <w:noBreakHyphen/>
        <w:t>financial asset (AASB 1058.15-17 &amp; 1058.B15-B17)</w:t>
      </w:r>
      <w:bookmarkEnd w:id="117"/>
    </w:p>
    <w:p w14:paraId="50D3483A" w14:textId="77777777" w:rsidR="00C82817" w:rsidRPr="00DA4C13" w:rsidRDefault="00C82817" w:rsidP="00C82817">
      <w:pPr>
        <w:pStyle w:val="Default"/>
        <w:rPr>
          <w:rFonts w:ascii="Calibri" w:hAnsi="Calibri"/>
          <w:color w:val="auto"/>
        </w:rPr>
      </w:pPr>
      <w:r w:rsidRPr="00DA4C13">
        <w:rPr>
          <w:rFonts w:ascii="Calibri" w:hAnsi="Calibri"/>
          <w:color w:val="auto"/>
        </w:rPr>
        <w:t xml:space="preserve">An entity may receive cash (or another financial asset) to construct or acquire a non-financial asset (e.g. building) for its own use. This will not fall within the scope of AASB 15 given the asset is for the entity’s own use (i.e. there is no customer). </w:t>
      </w:r>
    </w:p>
    <w:p w14:paraId="5486A98B" w14:textId="77777777" w:rsidR="00C82817" w:rsidRPr="00DA4C13" w:rsidRDefault="00C82817" w:rsidP="00C82817">
      <w:pPr>
        <w:pStyle w:val="Default"/>
        <w:rPr>
          <w:rFonts w:ascii="Calibri" w:hAnsi="Calibri"/>
          <w:color w:val="auto"/>
        </w:rPr>
      </w:pPr>
    </w:p>
    <w:p w14:paraId="4D23167B" w14:textId="77777777" w:rsidR="00C82817" w:rsidRPr="00DA4C13" w:rsidRDefault="00C82817" w:rsidP="00C82817">
      <w:pPr>
        <w:pStyle w:val="Default"/>
        <w:rPr>
          <w:rFonts w:ascii="Calibri" w:hAnsi="Calibri"/>
          <w:color w:val="auto"/>
        </w:rPr>
      </w:pPr>
      <w:r w:rsidRPr="00DA4C13">
        <w:rPr>
          <w:rFonts w:ascii="Calibri" w:hAnsi="Calibri"/>
          <w:color w:val="auto"/>
        </w:rPr>
        <w:t>AASB 1058 requires the entity to defer income until it has acquired or</w:t>
      </w:r>
      <w:r>
        <w:rPr>
          <w:rFonts w:ascii="Calibri" w:hAnsi="Calibri"/>
          <w:color w:val="auto"/>
        </w:rPr>
        <w:t xml:space="preserve"> as it is constructing</w:t>
      </w:r>
      <w:r w:rsidRPr="00DA4C13">
        <w:rPr>
          <w:rFonts w:ascii="Calibri" w:hAnsi="Calibri"/>
          <w:color w:val="auto"/>
        </w:rPr>
        <w:t xml:space="preserve"> the asset in accordance with the terms of the transfer.  Accordingly, the entity will </w:t>
      </w:r>
      <w:r>
        <w:rPr>
          <w:rFonts w:ascii="Calibri" w:hAnsi="Calibri"/>
          <w:color w:val="auto"/>
        </w:rPr>
        <w:t xml:space="preserve">initially </w:t>
      </w:r>
      <w:r w:rsidRPr="00DA4C13">
        <w:rPr>
          <w:rFonts w:ascii="Calibri" w:hAnsi="Calibri"/>
          <w:color w:val="auto"/>
        </w:rPr>
        <w:t xml:space="preserve">recognise a </w:t>
      </w:r>
      <w:r>
        <w:rPr>
          <w:rFonts w:ascii="Calibri" w:hAnsi="Calibri"/>
          <w:color w:val="auto"/>
        </w:rPr>
        <w:t xml:space="preserve">contract </w:t>
      </w:r>
      <w:r w:rsidRPr="00DA4C13">
        <w:rPr>
          <w:rFonts w:ascii="Calibri" w:hAnsi="Calibri"/>
          <w:color w:val="auto"/>
        </w:rPr>
        <w:t xml:space="preserve">liability </w:t>
      </w:r>
      <w:r>
        <w:rPr>
          <w:rFonts w:ascii="Calibri" w:hAnsi="Calibri"/>
          <w:color w:val="auto"/>
        </w:rPr>
        <w:t xml:space="preserve">(rather than income) </w:t>
      </w:r>
      <w:r w:rsidRPr="00DA4C13">
        <w:rPr>
          <w:rFonts w:ascii="Calibri" w:hAnsi="Calibri"/>
          <w:color w:val="auto"/>
        </w:rPr>
        <w:t>for the amount received, representing its obligation to acquire or construct the non-financial asset.  This liability is then recognised as income as the entity satisfies its obligation to purchase or construct the non-financial asset.</w:t>
      </w:r>
    </w:p>
    <w:p w14:paraId="155CB38B" w14:textId="6D2221E5" w:rsidR="00C82817" w:rsidRPr="00794EE5" w:rsidRDefault="007A5BB5" w:rsidP="00044B9F">
      <w:pPr>
        <w:pStyle w:val="Heading1"/>
      </w:pPr>
      <w:bookmarkStart w:id="118" w:name="_Toc45622633"/>
      <w:r>
        <w:t>B4.</w:t>
      </w:r>
      <w:r>
        <w:tab/>
      </w:r>
      <w:r w:rsidR="00C82817" w:rsidRPr="00351489">
        <w:t>Volunteer Services</w:t>
      </w:r>
      <w:r w:rsidR="00C82817">
        <w:t xml:space="preserve"> (AASB 1058.18-22)</w:t>
      </w:r>
      <w:bookmarkEnd w:id="118"/>
    </w:p>
    <w:p w14:paraId="206087DB" w14:textId="77777777" w:rsidR="00C82817" w:rsidRDefault="00C82817" w:rsidP="00C82817">
      <w:pPr>
        <w:pStyle w:val="Default"/>
        <w:rPr>
          <w:rFonts w:ascii="Calibri" w:hAnsi="Calibri"/>
          <w:color w:val="auto"/>
        </w:rPr>
      </w:pPr>
      <w:r>
        <w:rPr>
          <w:rFonts w:ascii="Calibri" w:hAnsi="Calibri"/>
          <w:color w:val="auto"/>
        </w:rPr>
        <w:t>Volunteer services are services received by an entity from individuals or other entities without charge or for consideration significantly less than their fair value.  Examples include volunteer fire fighters, parents volunteering in tuckshops, individuals volunteering at cultural events, etc.</w:t>
      </w:r>
    </w:p>
    <w:p w14:paraId="3248A46A" w14:textId="77777777" w:rsidR="00C82817" w:rsidRDefault="00C82817" w:rsidP="00C82817">
      <w:pPr>
        <w:pStyle w:val="Default"/>
        <w:rPr>
          <w:rFonts w:ascii="Calibri" w:hAnsi="Calibri"/>
          <w:color w:val="auto"/>
        </w:rPr>
      </w:pPr>
    </w:p>
    <w:p w14:paraId="27D857C4" w14:textId="52CF4DF1" w:rsidR="00C82817" w:rsidRDefault="00C82817" w:rsidP="00C82817">
      <w:pPr>
        <w:pStyle w:val="Default"/>
        <w:rPr>
          <w:rFonts w:ascii="Calibri" w:hAnsi="Calibri"/>
          <w:color w:val="auto"/>
        </w:rPr>
      </w:pPr>
      <w:r w:rsidRPr="00DA4C13">
        <w:rPr>
          <w:rFonts w:ascii="Calibri" w:hAnsi="Calibri"/>
          <w:color w:val="auto"/>
        </w:rPr>
        <w:t xml:space="preserve">Entities are required to recognise as income the fair value of volunteer services where fair value can be reliably </w:t>
      </w:r>
      <w:r w:rsidR="00CA6633" w:rsidRPr="00DA4C13">
        <w:rPr>
          <w:rFonts w:ascii="Calibri" w:hAnsi="Calibri"/>
          <w:color w:val="auto"/>
        </w:rPr>
        <w:t>measured,</w:t>
      </w:r>
      <w:r w:rsidRPr="00DA4C13">
        <w:rPr>
          <w:rFonts w:ascii="Calibri" w:hAnsi="Calibri"/>
          <w:color w:val="auto"/>
        </w:rPr>
        <w:t xml:space="preserve"> and services would be purchased if not otherwise donated.</w:t>
      </w:r>
      <w:r>
        <w:rPr>
          <w:rFonts w:ascii="Calibri" w:hAnsi="Calibri"/>
          <w:color w:val="auto"/>
        </w:rPr>
        <w:t xml:space="preserve">  </w:t>
      </w:r>
    </w:p>
    <w:p w14:paraId="31ABCB34" w14:textId="77777777" w:rsidR="00C82817" w:rsidRDefault="00C82817" w:rsidP="00C82817">
      <w:pPr>
        <w:pStyle w:val="Default"/>
        <w:rPr>
          <w:rFonts w:ascii="Calibri" w:hAnsi="Calibri"/>
          <w:color w:val="auto"/>
        </w:rPr>
      </w:pPr>
    </w:p>
    <w:p w14:paraId="269F4AEE" w14:textId="10DBD204" w:rsidR="00C82817" w:rsidRDefault="00C82817" w:rsidP="00C82817">
      <w:pPr>
        <w:pStyle w:val="Default"/>
        <w:rPr>
          <w:rFonts w:ascii="Calibri" w:hAnsi="Calibri"/>
          <w:color w:val="auto"/>
        </w:rPr>
      </w:pPr>
      <w:r>
        <w:rPr>
          <w:rFonts w:ascii="Calibri" w:hAnsi="Calibri"/>
          <w:color w:val="auto"/>
        </w:rPr>
        <w:t xml:space="preserve">A NFP entity may choose to elect to recognise volunteer services if the fair value of those services can be reliably measured whether or not the services would </w:t>
      </w:r>
      <w:r w:rsidRPr="00DA4C13">
        <w:rPr>
          <w:rFonts w:ascii="Calibri" w:hAnsi="Calibri"/>
          <w:color w:val="auto"/>
        </w:rPr>
        <w:t>be purchased if not otherwise donated</w:t>
      </w:r>
      <w:r>
        <w:rPr>
          <w:rFonts w:ascii="Calibri" w:hAnsi="Calibri"/>
          <w:color w:val="auto"/>
        </w:rPr>
        <w:t xml:space="preserve"> (AASB 1058.19).</w:t>
      </w:r>
      <w:r w:rsidR="008C2439">
        <w:rPr>
          <w:rFonts w:ascii="Calibri" w:hAnsi="Calibri"/>
          <w:color w:val="auto"/>
        </w:rPr>
        <w:t xml:space="preserve"> Where a readily observable market price exists for the service or where services would have been purchased if they were not donated </w:t>
      </w:r>
      <w:r w:rsidR="008C2439">
        <w:rPr>
          <w:rFonts w:ascii="Calibri" w:hAnsi="Calibri"/>
          <w:color w:val="auto"/>
        </w:rPr>
        <w:br/>
        <w:t>(AASB 1058.20) – this is not the case for most ACT Government agencies.</w:t>
      </w:r>
    </w:p>
    <w:p w14:paraId="480A596A" w14:textId="77777777" w:rsidR="00C82817" w:rsidRDefault="00C82817" w:rsidP="00C82817">
      <w:pPr>
        <w:pStyle w:val="Default"/>
        <w:rPr>
          <w:rFonts w:ascii="Calibri" w:hAnsi="Calibri"/>
          <w:color w:val="auto"/>
        </w:rPr>
      </w:pPr>
    </w:p>
    <w:p w14:paraId="5014FFE3" w14:textId="611AFF21" w:rsidR="00C82817" w:rsidRDefault="00C82817" w:rsidP="00C82817">
      <w:pPr>
        <w:pStyle w:val="Default"/>
        <w:pBdr>
          <w:top w:val="single" w:sz="4" w:space="1" w:color="auto"/>
          <w:left w:val="single" w:sz="4" w:space="4" w:color="auto"/>
          <w:bottom w:val="single" w:sz="4" w:space="1" w:color="auto"/>
          <w:right w:val="single" w:sz="4" w:space="4" w:color="auto"/>
        </w:pBdr>
        <w:rPr>
          <w:rFonts w:ascii="Calibri" w:hAnsi="Calibri"/>
          <w:color w:val="auto"/>
        </w:rPr>
      </w:pPr>
      <w:r>
        <w:rPr>
          <w:rFonts w:ascii="Calibri" w:hAnsi="Calibri"/>
          <w:color w:val="auto"/>
        </w:rPr>
        <w:t xml:space="preserve">ACT Government agencies shall not recognise volunteer services unless the fair value of those services can be reliably </w:t>
      </w:r>
      <w:r w:rsidR="00CA6633">
        <w:rPr>
          <w:rFonts w:ascii="Calibri" w:hAnsi="Calibri"/>
          <w:color w:val="auto"/>
        </w:rPr>
        <w:t>measured,</w:t>
      </w:r>
      <w:r>
        <w:rPr>
          <w:rFonts w:ascii="Calibri" w:hAnsi="Calibri"/>
          <w:color w:val="auto"/>
        </w:rPr>
        <w:t xml:space="preserve"> </w:t>
      </w:r>
      <w:r w:rsidRPr="00D26B5C">
        <w:rPr>
          <w:rFonts w:ascii="Calibri" w:hAnsi="Calibri"/>
          <w:color w:val="auto"/>
          <w:u w:val="single"/>
        </w:rPr>
        <w:t>and</w:t>
      </w:r>
      <w:r>
        <w:rPr>
          <w:rFonts w:ascii="Calibri" w:hAnsi="Calibri"/>
          <w:color w:val="auto"/>
        </w:rPr>
        <w:t xml:space="preserve"> the services would be purchased if not volunteered.</w:t>
      </w:r>
    </w:p>
    <w:p w14:paraId="147E803B" w14:textId="66DA67D6" w:rsidR="00C82817" w:rsidRPr="00213CE8" w:rsidRDefault="007A5BB5" w:rsidP="00044B9F">
      <w:pPr>
        <w:pStyle w:val="Heading1"/>
      </w:pPr>
      <w:bookmarkStart w:id="119" w:name="_Toc45622634"/>
      <w:r>
        <w:lastRenderedPageBreak/>
        <w:t>B5.</w:t>
      </w:r>
      <w:r>
        <w:tab/>
      </w:r>
      <w:r w:rsidR="0073294C" w:rsidRPr="0073294C">
        <w:t>C</w:t>
      </w:r>
      <w:r w:rsidR="002E0F8F">
        <w:t>oncessionary (Peppercorn</w:t>
      </w:r>
      <w:r w:rsidR="00070A39">
        <w:t>) Leases</w:t>
      </w:r>
      <w:bookmarkEnd w:id="119"/>
      <w:r w:rsidR="00C82817">
        <w:t xml:space="preserve"> </w:t>
      </w:r>
    </w:p>
    <w:p w14:paraId="540A1B18" w14:textId="77777777" w:rsidR="00C82817" w:rsidRPr="0080329C" w:rsidRDefault="00C82817" w:rsidP="00C82817">
      <w:pPr>
        <w:pStyle w:val="Default"/>
        <w:rPr>
          <w:rFonts w:ascii="Calibri" w:eastAsia="Times New Roman" w:hAnsi="Calibri" w:cs="Arial"/>
          <w:color w:val="101010"/>
          <w:lang w:val="en"/>
        </w:rPr>
      </w:pPr>
      <w:r w:rsidRPr="0080329C">
        <w:rPr>
          <w:rFonts w:ascii="Calibri" w:eastAsia="Times New Roman" w:hAnsi="Calibri" w:cs="Arial"/>
          <w:color w:val="101010"/>
          <w:lang w:val="en"/>
        </w:rPr>
        <w:t>AASB 1058 requires entities to</w:t>
      </w:r>
      <w:r>
        <w:rPr>
          <w:rFonts w:ascii="Calibri" w:eastAsia="Times New Roman" w:hAnsi="Calibri" w:cs="Arial"/>
          <w:color w:val="101010"/>
          <w:lang w:val="en"/>
        </w:rPr>
        <w:t xml:space="preserve"> </w:t>
      </w:r>
      <w:r w:rsidRPr="0080329C">
        <w:rPr>
          <w:rFonts w:ascii="Calibri" w:eastAsia="Times New Roman" w:hAnsi="Calibri" w:cs="Arial"/>
          <w:color w:val="101010"/>
          <w:lang w:val="en"/>
        </w:rPr>
        <w:t>record a right-of-use asset at fair value, a liability for the present value of contractual lease payments and income for the difference between the asset and liability, either:</w:t>
      </w:r>
    </w:p>
    <w:p w14:paraId="22BE4262" w14:textId="77777777" w:rsidR="00C82817" w:rsidRPr="0012560C" w:rsidRDefault="00C82817" w:rsidP="00C82817">
      <w:pPr>
        <w:numPr>
          <w:ilvl w:val="0"/>
          <w:numId w:val="12"/>
        </w:numPr>
        <w:ind w:left="794" w:hanging="567"/>
        <w:rPr>
          <w:rFonts w:eastAsia="Times" w:cs="Calibri"/>
          <w:szCs w:val="24"/>
          <w:lang w:val="en-US"/>
        </w:rPr>
      </w:pPr>
      <w:r w:rsidRPr="0012560C">
        <w:rPr>
          <w:rFonts w:eastAsia="Times" w:cs="Calibri"/>
          <w:szCs w:val="24"/>
          <w:lang w:val="en-US"/>
        </w:rPr>
        <w:t>upfront (if the entity has no ongoing obligations); or</w:t>
      </w:r>
    </w:p>
    <w:p w14:paraId="78057B32" w14:textId="77777777" w:rsidR="00C82817" w:rsidRPr="0012560C" w:rsidRDefault="00C82817" w:rsidP="00C82817">
      <w:pPr>
        <w:numPr>
          <w:ilvl w:val="0"/>
          <w:numId w:val="12"/>
        </w:numPr>
        <w:ind w:left="794" w:hanging="567"/>
        <w:rPr>
          <w:rFonts w:eastAsia="Times" w:cs="Calibri"/>
          <w:szCs w:val="24"/>
          <w:lang w:val="en-US"/>
        </w:rPr>
      </w:pPr>
      <w:r w:rsidRPr="0012560C">
        <w:rPr>
          <w:rFonts w:eastAsia="Times" w:cs="Calibri"/>
          <w:szCs w:val="24"/>
          <w:lang w:val="en-US"/>
        </w:rPr>
        <w:t>as and when the entity satisfies any obligations attached to the lease.</w:t>
      </w:r>
    </w:p>
    <w:p w14:paraId="055425F4" w14:textId="77777777" w:rsidR="00C82817" w:rsidRPr="0080329C" w:rsidRDefault="00C82817" w:rsidP="00C82817">
      <w:pPr>
        <w:pStyle w:val="Default"/>
        <w:rPr>
          <w:rFonts w:ascii="Calibri" w:eastAsia="Times New Roman" w:hAnsi="Calibri" w:cs="Arial"/>
          <w:color w:val="101010"/>
          <w:lang w:val="en"/>
        </w:rPr>
      </w:pPr>
    </w:p>
    <w:p w14:paraId="0840ADA1" w14:textId="77777777" w:rsidR="00C82817" w:rsidRDefault="00C82817" w:rsidP="00C82817">
      <w:pPr>
        <w:pStyle w:val="Default"/>
        <w:rPr>
          <w:rFonts w:ascii="Calibri" w:eastAsia="Times New Roman" w:hAnsi="Calibri" w:cs="Arial"/>
          <w:color w:val="101010"/>
          <w:lang w:val="en"/>
        </w:rPr>
      </w:pPr>
      <w:r w:rsidRPr="00484978">
        <w:rPr>
          <w:rFonts w:ascii="Calibri" w:eastAsia="Times New Roman" w:hAnsi="Calibri" w:cs="Arial"/>
          <w:color w:val="101010"/>
          <w:lang w:val="en"/>
        </w:rPr>
        <w:t>AASB 2018-8</w:t>
      </w:r>
      <w:r>
        <w:t xml:space="preserve"> </w:t>
      </w:r>
      <w:r w:rsidRPr="0080329C">
        <w:rPr>
          <w:rFonts w:ascii="Calibri" w:eastAsia="Times New Roman" w:hAnsi="Calibri" w:cs="Arial"/>
          <w:i/>
          <w:color w:val="101010"/>
          <w:lang w:val="en"/>
        </w:rPr>
        <w:t>Amendments to Australian Accounting Standards-Right-of-Use Assets of Not-for-Profit Entities</w:t>
      </w:r>
      <w:r w:rsidRPr="0080329C">
        <w:rPr>
          <w:rFonts w:ascii="Calibri" w:eastAsia="Times New Roman" w:hAnsi="Calibri" w:cs="Arial"/>
          <w:color w:val="101010"/>
          <w:lang w:val="en"/>
        </w:rPr>
        <w:t xml:space="preserve"> amend</w:t>
      </w:r>
      <w:r>
        <w:rPr>
          <w:rFonts w:ascii="Calibri" w:eastAsia="Times New Roman" w:hAnsi="Calibri" w:cs="Arial"/>
          <w:color w:val="101010"/>
          <w:lang w:val="en"/>
        </w:rPr>
        <w:t>s</w:t>
      </w:r>
      <w:r w:rsidRPr="0080329C">
        <w:rPr>
          <w:rFonts w:ascii="Calibri" w:eastAsia="Times New Roman" w:hAnsi="Calibri" w:cs="Arial"/>
          <w:color w:val="101010"/>
          <w:lang w:val="en"/>
        </w:rPr>
        <w:t xml:space="preserve"> the requirements by providing a temporary option for </w:t>
      </w:r>
      <w:r>
        <w:rPr>
          <w:rFonts w:ascii="Calibri" w:eastAsia="Times New Roman" w:hAnsi="Calibri" w:cs="Arial"/>
          <w:color w:val="101010"/>
          <w:lang w:val="en"/>
        </w:rPr>
        <w:t>NFP</w:t>
      </w:r>
      <w:r w:rsidRPr="0080329C">
        <w:rPr>
          <w:rFonts w:ascii="Calibri" w:eastAsia="Times New Roman" w:hAnsi="Calibri" w:cs="Arial"/>
          <w:color w:val="101010"/>
          <w:lang w:val="en"/>
        </w:rPr>
        <w:t xml:space="preserve"> entities to not apply the fair value initial measureme</w:t>
      </w:r>
      <w:r>
        <w:rPr>
          <w:rFonts w:ascii="Calibri" w:eastAsia="Times New Roman" w:hAnsi="Calibri" w:cs="Arial"/>
          <w:color w:val="101010"/>
          <w:lang w:val="en"/>
        </w:rPr>
        <w:t>nt, and instead measure at cost</w:t>
      </w:r>
      <w:r w:rsidRPr="0080329C">
        <w:rPr>
          <w:rFonts w:ascii="Calibri" w:eastAsia="Times New Roman" w:hAnsi="Calibri" w:cs="Arial"/>
          <w:color w:val="101010"/>
          <w:lang w:val="en"/>
        </w:rPr>
        <w:t xml:space="preserve"> </w:t>
      </w:r>
      <w:r>
        <w:rPr>
          <w:rFonts w:ascii="Calibri" w:eastAsia="Times New Roman" w:hAnsi="Calibri" w:cs="Arial"/>
          <w:color w:val="101010"/>
          <w:lang w:val="en"/>
        </w:rPr>
        <w:t xml:space="preserve">the </w:t>
      </w:r>
      <w:r w:rsidRPr="0080329C">
        <w:rPr>
          <w:rFonts w:ascii="Calibri" w:eastAsia="Times New Roman" w:hAnsi="Calibri" w:cs="Arial"/>
          <w:color w:val="101010"/>
          <w:lang w:val="en"/>
        </w:rPr>
        <w:t>right-of-use assets arising under leases</w:t>
      </w:r>
      <w:r>
        <w:rPr>
          <w:rFonts w:ascii="Calibri" w:eastAsia="Times New Roman" w:hAnsi="Calibri" w:cs="Arial"/>
          <w:color w:val="101010"/>
          <w:lang w:val="en"/>
        </w:rPr>
        <w:t xml:space="preserve"> with significantly below market terms and conditions </w:t>
      </w:r>
      <w:r w:rsidRPr="0080329C">
        <w:rPr>
          <w:rFonts w:ascii="Calibri" w:eastAsia="Times New Roman" w:hAnsi="Calibri" w:cs="Arial"/>
          <w:color w:val="101010"/>
          <w:lang w:val="en"/>
        </w:rPr>
        <w:t xml:space="preserve"> principally to enable the entity to further its objectives.</w:t>
      </w:r>
    </w:p>
    <w:p w14:paraId="34519E81" w14:textId="77777777" w:rsidR="00C82817" w:rsidRDefault="00C82817" w:rsidP="00C82817">
      <w:pPr>
        <w:pStyle w:val="Default"/>
        <w:rPr>
          <w:rFonts w:ascii="Calibri" w:eastAsia="Times New Roman" w:hAnsi="Calibri" w:cs="Arial"/>
          <w:color w:val="101010"/>
          <w:lang w:val="en"/>
        </w:rPr>
      </w:pPr>
    </w:p>
    <w:p w14:paraId="3A3A8A5D" w14:textId="77777777" w:rsidR="00C82817" w:rsidRPr="00484978" w:rsidRDefault="00C82817" w:rsidP="00C82817">
      <w:pPr>
        <w:pStyle w:val="Default"/>
        <w:pBdr>
          <w:top w:val="single" w:sz="4" w:space="1" w:color="auto"/>
          <w:left w:val="single" w:sz="4" w:space="4" w:color="auto"/>
          <w:bottom w:val="single" w:sz="4" w:space="1" w:color="auto"/>
          <w:right w:val="single" w:sz="4" w:space="4" w:color="auto"/>
        </w:pBdr>
        <w:rPr>
          <w:rFonts w:ascii="Calibri" w:eastAsia="Times New Roman" w:hAnsi="Calibri" w:cs="Arial"/>
          <w:color w:val="101010"/>
          <w:lang w:val="en"/>
        </w:rPr>
      </w:pPr>
      <w:r>
        <w:rPr>
          <w:rFonts w:ascii="Calibri" w:hAnsi="Calibri"/>
          <w:color w:val="auto"/>
        </w:rPr>
        <w:t xml:space="preserve">ACT Government agencies shall measure at cost the right-of-use assets arising </w:t>
      </w:r>
      <w:r w:rsidRPr="0080329C">
        <w:rPr>
          <w:rFonts w:ascii="Calibri" w:eastAsia="Times New Roman" w:hAnsi="Calibri" w:cs="Arial"/>
          <w:color w:val="101010"/>
          <w:lang w:val="en"/>
        </w:rPr>
        <w:t>under leases</w:t>
      </w:r>
      <w:r>
        <w:rPr>
          <w:rFonts w:ascii="Calibri" w:eastAsia="Times New Roman" w:hAnsi="Calibri" w:cs="Arial"/>
          <w:color w:val="101010"/>
          <w:lang w:val="en"/>
        </w:rPr>
        <w:t xml:space="preserve"> with significantly below market terms and conditions </w:t>
      </w:r>
      <w:r w:rsidRPr="0080329C">
        <w:rPr>
          <w:rFonts w:ascii="Calibri" w:eastAsia="Times New Roman" w:hAnsi="Calibri" w:cs="Arial"/>
          <w:color w:val="101010"/>
          <w:lang w:val="en"/>
        </w:rPr>
        <w:t>principally to enable the entity to further its objectives</w:t>
      </w:r>
      <w:r>
        <w:rPr>
          <w:rFonts w:ascii="Calibri" w:eastAsia="Times New Roman" w:hAnsi="Calibri" w:cs="Arial"/>
          <w:color w:val="101010"/>
          <w:lang w:val="en"/>
        </w:rPr>
        <w:t>.</w:t>
      </w:r>
    </w:p>
    <w:p w14:paraId="72DAE0E8" w14:textId="77777777" w:rsidR="00C82817" w:rsidRDefault="00C82817" w:rsidP="00C82817">
      <w:pPr>
        <w:pStyle w:val="Default"/>
        <w:rPr>
          <w:rFonts w:ascii="Calibri" w:eastAsia="Times New Roman" w:hAnsi="Calibri" w:cs="Arial"/>
          <w:color w:val="101010"/>
          <w:lang w:val="en"/>
        </w:rPr>
      </w:pPr>
    </w:p>
    <w:p w14:paraId="51F31D4A" w14:textId="459900B9" w:rsidR="00C82817" w:rsidRDefault="00C82817" w:rsidP="00C82817">
      <w:pPr>
        <w:pStyle w:val="Default"/>
        <w:rPr>
          <w:rFonts w:ascii="Calibri" w:eastAsia="Times New Roman" w:hAnsi="Calibri" w:cs="Arial"/>
          <w:color w:val="101010"/>
          <w:lang w:val="en"/>
        </w:rPr>
      </w:pPr>
      <w:r w:rsidRPr="00484978">
        <w:rPr>
          <w:rFonts w:ascii="Calibri" w:eastAsia="Times New Roman" w:hAnsi="Calibri" w:cs="Arial"/>
          <w:color w:val="101010"/>
          <w:lang w:val="en"/>
        </w:rPr>
        <w:t xml:space="preserve">Accordingly, until the AASB reviews this, agencies will measure their </w:t>
      </w:r>
      <w:r w:rsidR="0073294C">
        <w:rPr>
          <w:rFonts w:ascii="Calibri" w:eastAsia="Times New Roman" w:hAnsi="Calibri" w:cs="Arial"/>
          <w:color w:val="101010"/>
          <w:lang w:val="en"/>
        </w:rPr>
        <w:t>concessionary</w:t>
      </w:r>
      <w:r w:rsidRPr="00484978">
        <w:rPr>
          <w:rFonts w:ascii="Calibri" w:eastAsia="Times New Roman" w:hAnsi="Calibri" w:cs="Arial"/>
          <w:color w:val="101010"/>
          <w:lang w:val="en"/>
        </w:rPr>
        <w:t xml:space="preserve"> leases at cost (the amounts are likely to be immaterial).  This basically means agencies will continue to account for such leases as per current arrangements.  </w:t>
      </w:r>
    </w:p>
    <w:p w14:paraId="76B78735" w14:textId="77777777" w:rsidR="00C82817" w:rsidRDefault="00C82817" w:rsidP="00C82817">
      <w:pPr>
        <w:pStyle w:val="Default"/>
        <w:rPr>
          <w:rFonts w:ascii="Calibri" w:eastAsia="Times New Roman" w:hAnsi="Calibri" w:cs="Arial"/>
          <w:color w:val="101010"/>
          <w:lang w:val="en"/>
        </w:rPr>
      </w:pPr>
    </w:p>
    <w:p w14:paraId="79CAE899" w14:textId="493A11DA" w:rsidR="00C82817" w:rsidRDefault="00C82817" w:rsidP="00C82817">
      <w:pPr>
        <w:pStyle w:val="Default"/>
        <w:rPr>
          <w:rFonts w:ascii="Calibri" w:eastAsia="Times New Roman" w:hAnsi="Calibri" w:cs="Arial"/>
          <w:color w:val="101010"/>
          <w:lang w:val="en"/>
        </w:rPr>
      </w:pPr>
      <w:r w:rsidRPr="001E6D6A">
        <w:rPr>
          <w:rFonts w:ascii="Calibri" w:eastAsia="Times New Roman" w:hAnsi="Calibri" w:cs="Arial"/>
          <w:color w:val="101010"/>
          <w:lang w:val="en"/>
        </w:rPr>
        <w:t xml:space="preserve">As AASB 1058 does not provide a quantitative threshold for a difference to be considered ‘significantly’ less than fair value, the determination of what constitutes ‘significantly’ less than fair value will require the application of judgement. </w:t>
      </w:r>
    </w:p>
    <w:p w14:paraId="53CBBB2D" w14:textId="49D8852A" w:rsidR="00AD291C" w:rsidRDefault="00AD291C" w:rsidP="00C82817">
      <w:pPr>
        <w:pStyle w:val="Default"/>
        <w:rPr>
          <w:rFonts w:ascii="Calibri" w:eastAsia="Times New Roman" w:hAnsi="Calibri" w:cs="Arial"/>
          <w:color w:val="101010"/>
          <w:lang w:val="en"/>
        </w:rPr>
      </w:pPr>
    </w:p>
    <w:p w14:paraId="784A2898" w14:textId="4CFAE32B" w:rsidR="00C82817" w:rsidRPr="00484978" w:rsidRDefault="00AD291C" w:rsidP="00C82817">
      <w:pPr>
        <w:pStyle w:val="Default"/>
        <w:rPr>
          <w:rFonts w:ascii="Calibri" w:eastAsia="Times New Roman" w:hAnsi="Calibri" w:cs="Arial"/>
          <w:color w:val="101010"/>
          <w:lang w:val="en"/>
        </w:rPr>
      </w:pPr>
      <w:r>
        <w:rPr>
          <w:rFonts w:ascii="Calibri" w:eastAsia="Times New Roman" w:hAnsi="Calibri" w:cs="Arial"/>
          <w:color w:val="101010"/>
          <w:lang w:val="en"/>
        </w:rPr>
        <w:t>Aus59.1 and AASB 2018-8 specify additional disclosure requirements associated with concessionary leases. This additional qualitative and quantitative information relating to the agency’s dependence on leases that are concessionary, nature and terms of the leases.</w:t>
      </w:r>
    </w:p>
    <w:p w14:paraId="50044887" w14:textId="77777777" w:rsidR="00C82817" w:rsidRPr="00DA4C13" w:rsidRDefault="00C82817" w:rsidP="00C82817">
      <w:pPr>
        <w:pStyle w:val="Default"/>
        <w:rPr>
          <w:rFonts w:ascii="Calibri" w:hAnsi="Calibri"/>
          <w:color w:val="auto"/>
        </w:rPr>
      </w:pPr>
    </w:p>
    <w:p w14:paraId="4F5F3FE1" w14:textId="714B344B" w:rsidR="00C82817" w:rsidRPr="00213CE8" w:rsidRDefault="007A5BB5" w:rsidP="00044B9F">
      <w:pPr>
        <w:pStyle w:val="Heading1"/>
      </w:pPr>
      <w:bookmarkStart w:id="120" w:name="_Toc45622635"/>
      <w:r>
        <w:t>B6.</w:t>
      </w:r>
      <w:r>
        <w:tab/>
      </w:r>
      <w:r w:rsidR="00C82817" w:rsidRPr="00213CE8">
        <w:t>Contract with a customer that includes a donation component</w:t>
      </w:r>
      <w:bookmarkEnd w:id="120"/>
    </w:p>
    <w:p w14:paraId="1422769A" w14:textId="77777777" w:rsidR="00C82817" w:rsidRPr="00DA4C13" w:rsidRDefault="00C82817" w:rsidP="00C82817">
      <w:pPr>
        <w:pStyle w:val="Default"/>
        <w:rPr>
          <w:rFonts w:ascii="Calibri" w:hAnsi="Calibri"/>
          <w:color w:val="auto"/>
        </w:rPr>
      </w:pPr>
      <w:r>
        <w:rPr>
          <w:rFonts w:ascii="Calibri" w:hAnsi="Calibri"/>
          <w:color w:val="auto"/>
        </w:rPr>
        <w:t>C</w:t>
      </w:r>
      <w:r w:rsidRPr="00DA4C13">
        <w:rPr>
          <w:rFonts w:ascii="Calibri" w:hAnsi="Calibri"/>
          <w:color w:val="auto"/>
        </w:rPr>
        <w:t xml:space="preserve">ustomers </w:t>
      </w:r>
      <w:r>
        <w:rPr>
          <w:rFonts w:ascii="Calibri" w:hAnsi="Calibri"/>
          <w:color w:val="auto"/>
        </w:rPr>
        <w:t xml:space="preserve">may </w:t>
      </w:r>
      <w:r w:rsidRPr="00DA4C13">
        <w:rPr>
          <w:rFonts w:ascii="Calibri" w:hAnsi="Calibri"/>
          <w:color w:val="auto"/>
        </w:rPr>
        <w:t>enter into contracts with NFPs with a dual purpose of obtaining goods and services from the NFP as well as assisting the NFP achieve its objectives by providing a donation. In such circumstances, the transaction price needs to be split and:</w:t>
      </w:r>
    </w:p>
    <w:p w14:paraId="092CBFF3" w14:textId="77777777" w:rsidR="00C82817" w:rsidRPr="0012560C" w:rsidRDefault="00C82817" w:rsidP="00C82817">
      <w:pPr>
        <w:numPr>
          <w:ilvl w:val="0"/>
          <w:numId w:val="12"/>
        </w:numPr>
        <w:ind w:left="709" w:hanging="425"/>
        <w:rPr>
          <w:rFonts w:eastAsia="Times" w:cs="Calibri"/>
          <w:szCs w:val="24"/>
          <w:lang w:val="en-US"/>
        </w:rPr>
      </w:pPr>
      <w:r w:rsidRPr="0012560C">
        <w:rPr>
          <w:rFonts w:eastAsia="Times" w:cs="Calibri"/>
          <w:szCs w:val="24"/>
          <w:lang w:val="en-US"/>
        </w:rPr>
        <w:t xml:space="preserve">the portion that relates to the transfer of the promised goods and/or services </w:t>
      </w:r>
      <w:r>
        <w:rPr>
          <w:rFonts w:eastAsia="Times" w:cs="Calibri"/>
          <w:szCs w:val="24"/>
          <w:lang w:val="en-US"/>
        </w:rPr>
        <w:t xml:space="preserve">be </w:t>
      </w:r>
      <w:r w:rsidRPr="0012560C">
        <w:rPr>
          <w:rFonts w:eastAsia="Times" w:cs="Calibri"/>
          <w:szCs w:val="24"/>
          <w:lang w:val="en-US"/>
        </w:rPr>
        <w:t>accounted for as a contract with a customer in accordance with AASB 15; and</w:t>
      </w:r>
    </w:p>
    <w:p w14:paraId="14CC8421" w14:textId="77777777" w:rsidR="00C82817" w:rsidRPr="0012560C" w:rsidRDefault="00C82817" w:rsidP="00C82817">
      <w:pPr>
        <w:numPr>
          <w:ilvl w:val="0"/>
          <w:numId w:val="12"/>
        </w:numPr>
        <w:ind w:left="709" w:hanging="425"/>
        <w:rPr>
          <w:rFonts w:eastAsia="Times" w:cs="Calibri"/>
          <w:szCs w:val="24"/>
          <w:lang w:val="en-US"/>
        </w:rPr>
      </w:pPr>
      <w:r w:rsidRPr="0012560C">
        <w:rPr>
          <w:rFonts w:eastAsia="Times" w:cs="Calibri"/>
          <w:szCs w:val="24"/>
          <w:lang w:val="en-US"/>
        </w:rPr>
        <w:t xml:space="preserve">the balance of the transaction price (donation component) </w:t>
      </w:r>
      <w:r>
        <w:rPr>
          <w:rFonts w:eastAsia="Times" w:cs="Calibri"/>
          <w:szCs w:val="24"/>
          <w:lang w:val="en-US"/>
        </w:rPr>
        <w:t>be</w:t>
      </w:r>
      <w:r w:rsidRPr="0012560C">
        <w:rPr>
          <w:rFonts w:eastAsia="Times" w:cs="Calibri"/>
          <w:szCs w:val="24"/>
          <w:lang w:val="en-US"/>
        </w:rPr>
        <w:t xml:space="preserve"> accounted for in accordance with AASB 1058, which normally requires such amounts to be recognised as income immediately.</w:t>
      </w:r>
    </w:p>
    <w:p w14:paraId="04F597F8" w14:textId="754203D1" w:rsidR="007A5BB5" w:rsidRDefault="007A5BB5">
      <w:pPr>
        <w:spacing w:after="160" w:line="259" w:lineRule="auto"/>
        <w:rPr>
          <w:rFonts w:eastAsia="Times New Roman" w:cs="Helvetica"/>
          <w:szCs w:val="24"/>
          <w:lang w:val="en-US" w:eastAsia="en-AU"/>
        </w:rPr>
      </w:pPr>
      <w:r>
        <w:rPr>
          <w:rFonts w:eastAsia="Times New Roman" w:cs="Helvetica"/>
          <w:szCs w:val="24"/>
          <w:lang w:val="en-US" w:eastAsia="en-AU"/>
        </w:rPr>
        <w:br w:type="page"/>
      </w:r>
    </w:p>
    <w:p w14:paraId="00996DED" w14:textId="0310901A" w:rsidR="00C82817" w:rsidRPr="007A5BB5" w:rsidRDefault="007A5BB5" w:rsidP="007A5BB5">
      <w:pPr>
        <w:rPr>
          <w:b/>
          <w:bCs/>
          <w:lang w:val="en-US" w:eastAsia="en-AU"/>
        </w:rPr>
      </w:pPr>
      <w:r w:rsidRPr="007A5BB5">
        <w:rPr>
          <w:b/>
          <w:bCs/>
          <w:lang w:val="en-US" w:eastAsia="en-AU"/>
        </w:rPr>
        <w:lastRenderedPageBreak/>
        <w:t>B6 Contract with a Customer that includes a Donation Component continued</w:t>
      </w:r>
    </w:p>
    <w:p w14:paraId="5CD3BE7D" w14:textId="77777777" w:rsidR="00C82817" w:rsidRPr="00DA4C13" w:rsidRDefault="00C82817" w:rsidP="00C82817">
      <w:pPr>
        <w:pStyle w:val="Default"/>
        <w:rPr>
          <w:rFonts w:ascii="Calibri" w:hAnsi="Calibri"/>
          <w:color w:val="auto"/>
        </w:rPr>
      </w:pPr>
      <w:r w:rsidRPr="00DA4C13">
        <w:rPr>
          <w:rFonts w:ascii="Calibri" w:hAnsi="Calibri"/>
          <w:color w:val="auto"/>
        </w:rPr>
        <w:t>The following factors may indicate that a component of the transaction price is not related to the promised goods or services, and therefore may be in the nature of a donation:</w:t>
      </w:r>
    </w:p>
    <w:p w14:paraId="423FA07F" w14:textId="77777777" w:rsidR="00C82817" w:rsidRPr="00A766A0" w:rsidRDefault="00C82817" w:rsidP="00C82817">
      <w:pPr>
        <w:numPr>
          <w:ilvl w:val="0"/>
          <w:numId w:val="12"/>
        </w:numPr>
        <w:ind w:left="709" w:hanging="425"/>
        <w:rPr>
          <w:rFonts w:eastAsia="Times New Roman" w:cs="Helvetica"/>
          <w:szCs w:val="24"/>
          <w:lang w:val="en-US" w:eastAsia="en-AU"/>
        </w:rPr>
      </w:pPr>
      <w:r w:rsidRPr="00A766A0">
        <w:rPr>
          <w:rFonts w:eastAsia="Times New Roman" w:cs="Helvetica"/>
          <w:szCs w:val="24"/>
          <w:lang w:val="en-US" w:eastAsia="en-AU"/>
        </w:rPr>
        <w:t xml:space="preserve">the component is not refundable; </w:t>
      </w:r>
    </w:p>
    <w:p w14:paraId="1DFCEEDF" w14:textId="77777777" w:rsidR="00C82817" w:rsidRPr="00A766A0" w:rsidRDefault="00C82817" w:rsidP="00C82817">
      <w:pPr>
        <w:numPr>
          <w:ilvl w:val="0"/>
          <w:numId w:val="12"/>
        </w:numPr>
        <w:ind w:left="709" w:hanging="425"/>
        <w:rPr>
          <w:rFonts w:eastAsia="Times New Roman" w:cs="Helvetica"/>
          <w:szCs w:val="24"/>
          <w:lang w:val="en-US" w:eastAsia="en-AU"/>
        </w:rPr>
      </w:pPr>
      <w:r w:rsidRPr="00A766A0">
        <w:rPr>
          <w:rFonts w:eastAsia="Times New Roman" w:cs="Helvetica"/>
          <w:szCs w:val="24"/>
          <w:lang w:val="en-US" w:eastAsia="en-AU"/>
        </w:rPr>
        <w:t>where the NFP has the status of a deductible gift recipient, the customer can claim part of the transaction price as a tax deduction for a donation;</w:t>
      </w:r>
    </w:p>
    <w:p w14:paraId="0B64A679" w14:textId="77777777" w:rsidR="00C82817" w:rsidRPr="00A766A0" w:rsidRDefault="00C82817" w:rsidP="00C82817">
      <w:pPr>
        <w:numPr>
          <w:ilvl w:val="0"/>
          <w:numId w:val="12"/>
        </w:numPr>
        <w:ind w:left="709" w:hanging="425"/>
        <w:rPr>
          <w:rFonts w:eastAsia="Times New Roman" w:cs="Helvetica"/>
          <w:szCs w:val="24"/>
          <w:lang w:val="en-US" w:eastAsia="en-AU"/>
        </w:rPr>
      </w:pPr>
      <w:r w:rsidRPr="00A766A0">
        <w:rPr>
          <w:rFonts w:eastAsia="Times New Roman" w:cs="Helvetica"/>
          <w:szCs w:val="24"/>
          <w:lang w:val="en-US" w:eastAsia="en-AU"/>
        </w:rPr>
        <w:t xml:space="preserve">the consideration is promised as part of a fund-raising event; </w:t>
      </w:r>
    </w:p>
    <w:p w14:paraId="2F53320C" w14:textId="77777777" w:rsidR="00C82817" w:rsidRPr="00A766A0" w:rsidRDefault="00C82817" w:rsidP="00C82817">
      <w:pPr>
        <w:numPr>
          <w:ilvl w:val="0"/>
          <w:numId w:val="12"/>
        </w:numPr>
        <w:ind w:left="709" w:hanging="425"/>
        <w:rPr>
          <w:rFonts w:eastAsia="Times New Roman" w:cs="Helvetica"/>
          <w:szCs w:val="24"/>
          <w:lang w:val="en-US" w:eastAsia="en-AU"/>
        </w:rPr>
      </w:pPr>
      <w:r w:rsidRPr="00A766A0">
        <w:rPr>
          <w:rFonts w:eastAsia="Times New Roman" w:cs="Helvetica"/>
          <w:szCs w:val="24"/>
          <w:lang w:val="en-US" w:eastAsia="en-AU"/>
        </w:rPr>
        <w:t xml:space="preserve">the consideration is increased specifically for the purpose of </w:t>
      </w:r>
      <w:proofErr w:type="gramStart"/>
      <w:r w:rsidRPr="00A766A0">
        <w:rPr>
          <w:rFonts w:eastAsia="Times New Roman" w:cs="Helvetica"/>
          <w:szCs w:val="24"/>
          <w:lang w:val="en-US" w:eastAsia="en-AU"/>
        </w:rPr>
        <w:t>making a donation</w:t>
      </w:r>
      <w:proofErr w:type="gramEnd"/>
      <w:r w:rsidRPr="00A766A0">
        <w:rPr>
          <w:rFonts w:eastAsia="Times New Roman" w:cs="Helvetica"/>
          <w:szCs w:val="24"/>
          <w:lang w:val="en-US" w:eastAsia="en-AU"/>
        </w:rPr>
        <w:t>; or</w:t>
      </w:r>
    </w:p>
    <w:p w14:paraId="25B3B1C8" w14:textId="77777777" w:rsidR="00C82817" w:rsidRPr="00A766A0" w:rsidRDefault="00C82817" w:rsidP="00C82817">
      <w:pPr>
        <w:numPr>
          <w:ilvl w:val="0"/>
          <w:numId w:val="12"/>
        </w:numPr>
        <w:ind w:left="709" w:hanging="425"/>
        <w:rPr>
          <w:rFonts w:eastAsia="Times New Roman" w:cs="Helvetica"/>
          <w:szCs w:val="24"/>
          <w:lang w:val="en-US" w:eastAsia="en-AU"/>
        </w:rPr>
      </w:pPr>
      <w:r w:rsidRPr="00A766A0">
        <w:rPr>
          <w:rFonts w:eastAsia="Times New Roman" w:cs="Helvetica"/>
          <w:szCs w:val="24"/>
          <w:lang w:val="en-US" w:eastAsia="en-AU"/>
        </w:rPr>
        <w:t xml:space="preserve">there is a substantial difference between the consideration and stand-alone selling price of the delivered good/service. </w:t>
      </w:r>
    </w:p>
    <w:p w14:paraId="79B7FAB4" w14:textId="77777777" w:rsidR="00C82817" w:rsidRPr="00DA4C13" w:rsidRDefault="00C82817" w:rsidP="00C82817">
      <w:pPr>
        <w:pStyle w:val="Default"/>
        <w:rPr>
          <w:rFonts w:ascii="Calibri" w:hAnsi="Calibri"/>
          <w:color w:val="auto"/>
        </w:rPr>
      </w:pPr>
    </w:p>
    <w:p w14:paraId="2219BC4F" w14:textId="77777777" w:rsidR="00C82817" w:rsidRDefault="00C82817" w:rsidP="00C82817">
      <w:pPr>
        <w:pStyle w:val="Default"/>
        <w:rPr>
          <w:rFonts w:ascii="Calibri" w:hAnsi="Calibri"/>
          <w:color w:val="auto"/>
        </w:rPr>
      </w:pPr>
      <w:r w:rsidRPr="00DA4C13">
        <w:rPr>
          <w:rFonts w:ascii="Calibri" w:hAnsi="Calibri"/>
          <w:color w:val="auto"/>
        </w:rPr>
        <w:t xml:space="preserve">If the donation component is not material at the individual contract level, the NFP </w:t>
      </w:r>
      <w:r>
        <w:rPr>
          <w:rFonts w:ascii="Calibri" w:hAnsi="Calibri"/>
          <w:color w:val="auto"/>
        </w:rPr>
        <w:t xml:space="preserve">entity </w:t>
      </w:r>
      <w:r w:rsidRPr="00DA4C13">
        <w:rPr>
          <w:rFonts w:ascii="Calibri" w:hAnsi="Calibri"/>
          <w:color w:val="auto"/>
        </w:rPr>
        <w:t>need not account for it separately.</w:t>
      </w:r>
      <w:r>
        <w:rPr>
          <w:rFonts w:ascii="Calibri" w:hAnsi="Calibri"/>
          <w:color w:val="auto"/>
        </w:rPr>
        <w:t xml:space="preserve">  </w:t>
      </w:r>
    </w:p>
    <w:p w14:paraId="5059F259" w14:textId="77777777" w:rsidR="00C82817" w:rsidRDefault="00C82817" w:rsidP="00C82817">
      <w:pPr>
        <w:pStyle w:val="Default"/>
        <w:rPr>
          <w:rFonts w:ascii="Calibri" w:hAnsi="Calibri"/>
          <w:color w:val="auto"/>
        </w:rPr>
      </w:pPr>
    </w:p>
    <w:p w14:paraId="25B31D65" w14:textId="7645DD64" w:rsidR="00C82817" w:rsidRPr="00213CE8" w:rsidRDefault="007A5BB5" w:rsidP="00044B9F">
      <w:pPr>
        <w:pStyle w:val="Heading1"/>
      </w:pPr>
      <w:bookmarkStart w:id="121" w:name="_Toc45622636"/>
      <w:r>
        <w:t>B7.</w:t>
      </w:r>
      <w:r>
        <w:tab/>
      </w:r>
      <w:r w:rsidR="00C82817" w:rsidRPr="00213CE8">
        <w:t>Transition</w:t>
      </w:r>
      <w:bookmarkEnd w:id="121"/>
    </w:p>
    <w:p w14:paraId="637B7618" w14:textId="10BA3098" w:rsidR="00C82817" w:rsidRPr="007A5BB5" w:rsidRDefault="007A5BB5" w:rsidP="007A5BB5">
      <w:pPr>
        <w:pStyle w:val="Heading2"/>
      </w:pPr>
      <w:bookmarkStart w:id="122" w:name="_Toc45622637"/>
      <w:r w:rsidRPr="007A5BB5">
        <w:t>B7.1</w:t>
      </w:r>
      <w:r w:rsidRPr="007A5BB5">
        <w:tab/>
      </w:r>
      <w:r w:rsidR="00C82817" w:rsidRPr="007A5BB5">
        <w:t>Date of initial application</w:t>
      </w:r>
      <w:bookmarkEnd w:id="122"/>
    </w:p>
    <w:p w14:paraId="2F34972E" w14:textId="77777777" w:rsidR="00C82817" w:rsidRDefault="00C82817" w:rsidP="00C82817">
      <w:pPr>
        <w:rPr>
          <w:rFonts w:eastAsia="Times New Roman" w:cs="Arial"/>
          <w:color w:val="101010"/>
          <w:szCs w:val="24"/>
          <w:lang w:val="en" w:eastAsia="en-AU"/>
        </w:rPr>
      </w:pPr>
      <w:r w:rsidRPr="00834489">
        <w:rPr>
          <w:rFonts w:eastAsia="Times New Roman" w:cs="Arial"/>
          <w:color w:val="101010"/>
          <w:szCs w:val="24"/>
          <w:lang w:val="en" w:eastAsia="en-AU"/>
        </w:rPr>
        <w:t>The date of initial application is the start of the reporting period in which an entity first applies this Standard.  For most agencies this will be 1 July 2019.</w:t>
      </w:r>
    </w:p>
    <w:p w14:paraId="34EC9D2F" w14:textId="77777777" w:rsidR="00C82817" w:rsidRDefault="00C82817" w:rsidP="00C82817">
      <w:pPr>
        <w:rPr>
          <w:rFonts w:eastAsia="Times New Roman" w:cs="Arial"/>
          <w:color w:val="101010"/>
          <w:szCs w:val="24"/>
          <w:lang w:val="en" w:eastAsia="en-AU"/>
        </w:rPr>
      </w:pPr>
    </w:p>
    <w:p w14:paraId="7456F2B5" w14:textId="583BED51" w:rsidR="00C82817" w:rsidRPr="007A5BB5" w:rsidRDefault="007A5BB5" w:rsidP="007A5BB5">
      <w:pPr>
        <w:pStyle w:val="Heading2"/>
        <w:ind w:left="709" w:hanging="709"/>
      </w:pPr>
      <w:bookmarkStart w:id="123" w:name="_Toc45622638"/>
      <w:r w:rsidRPr="007A5BB5">
        <w:t>B7.2</w:t>
      </w:r>
      <w:r w:rsidRPr="007A5BB5">
        <w:tab/>
      </w:r>
      <w:r w:rsidR="00C82817" w:rsidRPr="007A5BB5">
        <w:t xml:space="preserve">Transitional Option – PARTIAL Retrospective Approach </w:t>
      </w:r>
      <w:r w:rsidR="00314788" w:rsidRPr="007A5BB5">
        <w:br/>
      </w:r>
      <w:r w:rsidR="00C82817" w:rsidRPr="007A5BB5">
        <w:t>(AASB 1058.C3(b) &amp; 1058.C6-C11)</w:t>
      </w:r>
      <w:bookmarkEnd w:id="123"/>
    </w:p>
    <w:p w14:paraId="00EB94C2" w14:textId="77777777" w:rsidR="00C82817" w:rsidRPr="00D12C01" w:rsidRDefault="00C82817" w:rsidP="00C82817">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D12C01">
        <w:rPr>
          <w:rFonts w:eastAsia="Times New Roman" w:cs="Calibri"/>
          <w:bCs/>
          <w:szCs w:val="24"/>
        </w:rPr>
        <w:t xml:space="preserve">ACT Government agencies shall apply the </w:t>
      </w:r>
      <w:r>
        <w:rPr>
          <w:rFonts w:eastAsia="Times New Roman" w:cs="Calibri"/>
          <w:bCs/>
          <w:szCs w:val="24"/>
        </w:rPr>
        <w:t>partial</w:t>
      </w:r>
      <w:r w:rsidRPr="00D12C01">
        <w:rPr>
          <w:rFonts w:eastAsia="Times New Roman" w:cs="Calibri"/>
          <w:bCs/>
          <w:szCs w:val="24"/>
        </w:rPr>
        <w:t xml:space="preserve"> retrospective approach under C</w:t>
      </w:r>
      <w:r>
        <w:rPr>
          <w:rFonts w:eastAsia="Times New Roman" w:cs="Calibri"/>
          <w:bCs/>
          <w:szCs w:val="24"/>
        </w:rPr>
        <w:t>3</w:t>
      </w:r>
      <w:r w:rsidRPr="00D12C01">
        <w:rPr>
          <w:rFonts w:eastAsia="Times New Roman" w:cs="Calibri"/>
          <w:bCs/>
          <w:szCs w:val="24"/>
        </w:rPr>
        <w:t>(b) i.e. they shall not restate comparative information; and shall recognise the cumulative effect of initially applying this Standard as an adjustment to the opening balance of retained earnings at the date of initial application.</w:t>
      </w:r>
    </w:p>
    <w:p w14:paraId="68B67DE3" w14:textId="77777777" w:rsidR="00C82817" w:rsidRPr="00D12C01" w:rsidRDefault="00C82817" w:rsidP="00C82817">
      <w:pPr>
        <w:rPr>
          <w:szCs w:val="24"/>
        </w:rPr>
      </w:pPr>
    </w:p>
    <w:p w14:paraId="3C085C23" w14:textId="77777777" w:rsidR="00C82817" w:rsidRPr="00D12C01" w:rsidRDefault="00C82817" w:rsidP="00C82817">
      <w:pPr>
        <w:rPr>
          <w:szCs w:val="24"/>
        </w:rPr>
      </w:pPr>
      <w:r w:rsidRPr="00D12C01">
        <w:rPr>
          <w:szCs w:val="24"/>
        </w:rPr>
        <w:t>Under this transitional approach an entity records the cumulative effect of initially applying AASB 1058 as an adjustment to the opening balance of retained earnings (i.e. 1 July 2019 for most ACT Government agencies).</w:t>
      </w:r>
    </w:p>
    <w:p w14:paraId="27C37485" w14:textId="77777777" w:rsidR="00C82817" w:rsidRDefault="00C82817" w:rsidP="00C82817"/>
    <w:p w14:paraId="1059E8F0" w14:textId="2A40872E" w:rsidR="00C82817" w:rsidRPr="007A5BB5" w:rsidRDefault="007A5BB5" w:rsidP="007A5BB5">
      <w:pPr>
        <w:pStyle w:val="Heading2"/>
      </w:pPr>
      <w:bookmarkStart w:id="124" w:name="_Toc45622639"/>
      <w:r w:rsidRPr="007A5BB5">
        <w:t>B7.3</w:t>
      </w:r>
      <w:r w:rsidRPr="007A5BB5">
        <w:tab/>
      </w:r>
      <w:r w:rsidR="00C82817" w:rsidRPr="007A5BB5">
        <w:t>Practical Expedients (AASB 1058.C6 &amp;C8)</w:t>
      </w:r>
      <w:bookmarkEnd w:id="124"/>
    </w:p>
    <w:p w14:paraId="03CCB6FC" w14:textId="439CCF7A" w:rsidR="00C82817" w:rsidRDefault="00C82817" w:rsidP="00C82817">
      <w:pPr>
        <w:rPr>
          <w:szCs w:val="24"/>
        </w:rPr>
      </w:pPr>
      <w:r w:rsidRPr="009762D9">
        <w:rPr>
          <w:szCs w:val="24"/>
        </w:rPr>
        <w:t>AASB 1</w:t>
      </w:r>
      <w:r>
        <w:rPr>
          <w:szCs w:val="24"/>
        </w:rPr>
        <w:t>058</w:t>
      </w:r>
      <w:r w:rsidRPr="009762D9">
        <w:rPr>
          <w:szCs w:val="24"/>
        </w:rPr>
        <w:t xml:space="preserve"> allows entities to apply</w:t>
      </w:r>
      <w:r w:rsidR="00FA1B88">
        <w:rPr>
          <w:szCs w:val="24"/>
        </w:rPr>
        <w:t xml:space="preserve"> </w:t>
      </w:r>
      <w:r w:rsidRPr="009762D9">
        <w:rPr>
          <w:szCs w:val="24"/>
        </w:rPr>
        <w:t xml:space="preserve">the following practical expedient when applying the </w:t>
      </w:r>
      <w:r>
        <w:rPr>
          <w:szCs w:val="24"/>
        </w:rPr>
        <w:t>partial</w:t>
      </w:r>
      <w:r w:rsidRPr="009762D9">
        <w:rPr>
          <w:szCs w:val="24"/>
        </w:rPr>
        <w:t xml:space="preserve"> retrospective approach:</w:t>
      </w:r>
    </w:p>
    <w:p w14:paraId="5F949FA9" w14:textId="77777777" w:rsidR="00C82817" w:rsidRPr="009762D9" w:rsidRDefault="00C82817" w:rsidP="00C82817">
      <w:pPr>
        <w:rPr>
          <w:szCs w:val="24"/>
        </w:rPr>
      </w:pPr>
    </w:p>
    <w:p w14:paraId="63BE067C" w14:textId="77777777" w:rsidR="00C82817" w:rsidRDefault="00C82817" w:rsidP="00C82817">
      <w:pPr>
        <w:numPr>
          <w:ilvl w:val="0"/>
          <w:numId w:val="18"/>
        </w:numPr>
        <w:ind w:left="851" w:hanging="567"/>
        <w:rPr>
          <w:szCs w:val="24"/>
        </w:rPr>
      </w:pPr>
      <w:r w:rsidRPr="009762D9">
        <w:rPr>
          <w:szCs w:val="24"/>
        </w:rPr>
        <w:t xml:space="preserve">Apply Standard retrospectively only to contracts </w:t>
      </w:r>
      <w:r>
        <w:rPr>
          <w:szCs w:val="24"/>
        </w:rPr>
        <w:t xml:space="preserve">and transactions </w:t>
      </w:r>
      <w:r w:rsidRPr="009762D9">
        <w:rPr>
          <w:szCs w:val="24"/>
        </w:rPr>
        <w:t>that are not complete</w:t>
      </w:r>
      <w:r>
        <w:rPr>
          <w:szCs w:val="24"/>
        </w:rPr>
        <w:t>d contracts (rather than all the contracts) at the date of initial application. (AASB 1058.C6)</w:t>
      </w:r>
    </w:p>
    <w:p w14:paraId="0C0BB910" w14:textId="77777777" w:rsidR="00C82817" w:rsidRPr="009762D9" w:rsidRDefault="00C82817" w:rsidP="00C82817">
      <w:pPr>
        <w:ind w:left="720"/>
        <w:rPr>
          <w:szCs w:val="24"/>
        </w:rPr>
      </w:pPr>
    </w:p>
    <w:p w14:paraId="38C75183" w14:textId="77777777" w:rsidR="00C82817" w:rsidRPr="00D52F99" w:rsidRDefault="00C82817" w:rsidP="00C82817">
      <w:pPr>
        <w:pBdr>
          <w:top w:val="single" w:sz="4" w:space="1" w:color="auto"/>
          <w:left w:val="single" w:sz="4" w:space="4" w:color="auto"/>
          <w:bottom w:val="single" w:sz="4" w:space="1" w:color="auto"/>
          <w:right w:val="single" w:sz="4" w:space="4" w:color="auto"/>
        </w:pBdr>
        <w:tabs>
          <w:tab w:val="left" w:pos="2461"/>
        </w:tabs>
        <w:rPr>
          <w:rFonts w:eastAsia="Times New Roman" w:cs="Calibri"/>
          <w:bCs/>
          <w:szCs w:val="24"/>
        </w:rPr>
      </w:pPr>
      <w:r w:rsidRPr="009762D9">
        <w:rPr>
          <w:rFonts w:eastAsia="Times New Roman" w:cs="Calibri"/>
          <w:bCs/>
          <w:szCs w:val="24"/>
        </w:rPr>
        <w:t>ACT Government agencies shall apply the practical expedient AASB</w:t>
      </w:r>
      <w:r>
        <w:rPr>
          <w:rFonts w:eastAsia="Times New Roman" w:cs="Calibri"/>
          <w:bCs/>
          <w:szCs w:val="24"/>
        </w:rPr>
        <w:t xml:space="preserve"> </w:t>
      </w:r>
      <w:r w:rsidRPr="009762D9">
        <w:rPr>
          <w:rFonts w:eastAsia="Times New Roman" w:cs="Calibri"/>
          <w:bCs/>
          <w:szCs w:val="24"/>
        </w:rPr>
        <w:t>1</w:t>
      </w:r>
      <w:r>
        <w:rPr>
          <w:rFonts w:eastAsia="Times New Roman" w:cs="Calibri"/>
          <w:bCs/>
          <w:szCs w:val="24"/>
        </w:rPr>
        <w:t>058</w:t>
      </w:r>
      <w:r w:rsidRPr="009762D9">
        <w:rPr>
          <w:rFonts w:eastAsia="Times New Roman" w:cs="Calibri"/>
          <w:bCs/>
          <w:szCs w:val="24"/>
        </w:rPr>
        <w:t>.C</w:t>
      </w:r>
      <w:r>
        <w:rPr>
          <w:rFonts w:eastAsia="Times New Roman" w:cs="Calibri"/>
          <w:bCs/>
          <w:szCs w:val="24"/>
        </w:rPr>
        <w:t>6</w:t>
      </w:r>
      <w:r w:rsidRPr="009762D9">
        <w:rPr>
          <w:rFonts w:eastAsia="Times New Roman" w:cs="Calibri"/>
          <w:bCs/>
          <w:szCs w:val="24"/>
        </w:rPr>
        <w:t xml:space="preserve"> on transition and therefore apply this Standard retrospectively only to contracts </w:t>
      </w:r>
      <w:r>
        <w:rPr>
          <w:rFonts w:eastAsia="Times New Roman" w:cs="Calibri"/>
          <w:bCs/>
          <w:szCs w:val="24"/>
        </w:rPr>
        <w:t xml:space="preserve">and transactions </w:t>
      </w:r>
      <w:r w:rsidRPr="009762D9">
        <w:rPr>
          <w:rFonts w:eastAsia="Times New Roman" w:cs="Calibri"/>
          <w:bCs/>
          <w:szCs w:val="24"/>
        </w:rPr>
        <w:t xml:space="preserve">that are not completed </w:t>
      </w:r>
      <w:r>
        <w:rPr>
          <w:rFonts w:eastAsia="Times New Roman" w:cs="Calibri"/>
          <w:bCs/>
          <w:szCs w:val="24"/>
        </w:rPr>
        <w:t xml:space="preserve">contracts </w:t>
      </w:r>
      <w:r w:rsidRPr="009762D9">
        <w:rPr>
          <w:rFonts w:eastAsia="Times New Roman" w:cs="Calibri"/>
          <w:bCs/>
          <w:szCs w:val="24"/>
        </w:rPr>
        <w:t>at the date of initial application.</w:t>
      </w:r>
    </w:p>
    <w:p w14:paraId="478AB436" w14:textId="015DC8FE" w:rsidR="007A5BB5" w:rsidRDefault="007A5BB5">
      <w:pPr>
        <w:spacing w:after="160" w:line="259" w:lineRule="auto"/>
        <w:rPr>
          <w:rFonts w:ascii="Calibri" w:eastAsia="Calibri" w:hAnsi="Calibri" w:cs="EYInterstate"/>
          <w:szCs w:val="24"/>
          <w:lang w:eastAsia="en-AU"/>
        </w:rPr>
      </w:pPr>
      <w:r>
        <w:rPr>
          <w:rFonts w:ascii="Calibri" w:hAnsi="Calibri"/>
        </w:rPr>
        <w:br w:type="page"/>
      </w:r>
    </w:p>
    <w:p w14:paraId="05F469CE" w14:textId="6A3A9780" w:rsidR="007A5BB5" w:rsidRPr="007A5BB5" w:rsidRDefault="007A5BB5" w:rsidP="00C82817">
      <w:pPr>
        <w:pStyle w:val="Default"/>
        <w:rPr>
          <w:rFonts w:ascii="Calibri" w:hAnsi="Calibri"/>
          <w:b/>
          <w:bCs/>
          <w:color w:val="auto"/>
        </w:rPr>
      </w:pPr>
      <w:r w:rsidRPr="007A5BB5">
        <w:rPr>
          <w:rFonts w:ascii="Calibri" w:hAnsi="Calibri"/>
          <w:b/>
          <w:bCs/>
          <w:color w:val="auto"/>
        </w:rPr>
        <w:lastRenderedPageBreak/>
        <w:t>B7.3 Practical Expedients continued</w:t>
      </w:r>
    </w:p>
    <w:p w14:paraId="70277045" w14:textId="07FB1CC0" w:rsidR="00C82817" w:rsidRDefault="00C82817" w:rsidP="00C82817">
      <w:pPr>
        <w:pStyle w:val="Default"/>
        <w:rPr>
          <w:rFonts w:ascii="Calibri" w:hAnsi="Calibri"/>
          <w:color w:val="auto"/>
        </w:rPr>
      </w:pPr>
      <w:r>
        <w:rPr>
          <w:rFonts w:ascii="Calibri" w:hAnsi="Calibri"/>
          <w:color w:val="auto"/>
        </w:rPr>
        <w:t xml:space="preserve">For the purposes of transition </w:t>
      </w:r>
      <w:r w:rsidRPr="002628CE">
        <w:rPr>
          <w:rFonts w:ascii="Calibri" w:hAnsi="Calibri"/>
          <w:color w:val="auto"/>
        </w:rPr>
        <w:t xml:space="preserve">a completed contract is a contract </w:t>
      </w:r>
      <w:r>
        <w:rPr>
          <w:rFonts w:ascii="Calibri" w:hAnsi="Calibri"/>
          <w:color w:val="auto"/>
        </w:rPr>
        <w:t xml:space="preserve">or transaction </w:t>
      </w:r>
      <w:r w:rsidRPr="002628CE">
        <w:rPr>
          <w:rFonts w:ascii="Calibri" w:hAnsi="Calibri"/>
          <w:color w:val="auto"/>
        </w:rPr>
        <w:t xml:space="preserve">for which the entity has </w:t>
      </w:r>
      <w:r>
        <w:rPr>
          <w:rFonts w:ascii="Calibri" w:hAnsi="Calibri"/>
          <w:color w:val="auto"/>
        </w:rPr>
        <w:t xml:space="preserve">recognised all of the income in accordance with AASB 1004 </w:t>
      </w:r>
      <w:r w:rsidRPr="00BD5838">
        <w:rPr>
          <w:rFonts w:ascii="Calibri" w:hAnsi="Calibri"/>
          <w:i/>
          <w:color w:val="auto"/>
        </w:rPr>
        <w:t>Contributions</w:t>
      </w:r>
      <w:r>
        <w:rPr>
          <w:rFonts w:ascii="Calibri" w:hAnsi="Calibri"/>
          <w:color w:val="auto"/>
        </w:rPr>
        <w:t>.  (AASB 1058.C2(b))</w:t>
      </w:r>
    </w:p>
    <w:p w14:paraId="340B0BC4" w14:textId="77777777" w:rsidR="00C82817" w:rsidRDefault="00C82817" w:rsidP="00C82817">
      <w:pPr>
        <w:pStyle w:val="Default"/>
        <w:rPr>
          <w:rFonts w:ascii="Calibri" w:hAnsi="Calibri"/>
          <w:color w:val="auto"/>
        </w:rPr>
      </w:pPr>
    </w:p>
    <w:p w14:paraId="26CF2C0E" w14:textId="77777777" w:rsidR="00C82817" w:rsidRDefault="00C82817" w:rsidP="00C82817">
      <w:pPr>
        <w:pStyle w:val="Default"/>
        <w:rPr>
          <w:rFonts w:ascii="Calibri" w:hAnsi="Calibri"/>
          <w:color w:val="auto"/>
        </w:rPr>
      </w:pPr>
      <w:r>
        <w:rPr>
          <w:rFonts w:ascii="Calibri" w:hAnsi="Calibri"/>
          <w:color w:val="auto"/>
        </w:rPr>
        <w:t xml:space="preserve">This expedient eliminates the need to review contracts that were completed prior to the date of initial application (1 July 2019 for most ACT Government agencies) for which the revenue has been recognised in full prior to the application of AASB 1058 (i.e. under </w:t>
      </w:r>
      <w:r>
        <w:rPr>
          <w:rFonts w:ascii="Calibri" w:hAnsi="Calibri"/>
          <w:color w:val="auto"/>
        </w:rPr>
        <w:br/>
        <w:t>AASB 1004).  Accordingly, no adjustment is required for completed contracts even though AASB 1058 would have required the income to be recognised beyond that date.</w:t>
      </w:r>
      <w:r w:rsidRPr="00DB05D5">
        <w:rPr>
          <w:rFonts w:ascii="Calibri" w:hAnsi="Calibri"/>
          <w:color w:val="auto"/>
        </w:rPr>
        <w:t xml:space="preserve"> </w:t>
      </w:r>
      <w:r>
        <w:rPr>
          <w:rFonts w:ascii="Calibri" w:hAnsi="Calibri"/>
          <w:color w:val="auto"/>
        </w:rPr>
        <w:t>This expedient does not apply to contracts entered into after the date of initial application.</w:t>
      </w:r>
    </w:p>
    <w:p w14:paraId="74D9E45B" w14:textId="77777777" w:rsidR="00C82817" w:rsidRDefault="00C82817" w:rsidP="00C82817">
      <w:pPr>
        <w:pStyle w:val="Default"/>
        <w:rPr>
          <w:rFonts w:ascii="Calibri" w:hAnsi="Calibri"/>
          <w:color w:val="auto"/>
        </w:rPr>
      </w:pPr>
    </w:p>
    <w:p w14:paraId="661A7E01" w14:textId="77777777" w:rsidR="00C82817" w:rsidRPr="002628CE" w:rsidRDefault="00C82817" w:rsidP="00C82817">
      <w:pPr>
        <w:pStyle w:val="Default"/>
        <w:rPr>
          <w:rFonts w:ascii="Calibri" w:hAnsi="Calibri"/>
          <w:color w:val="auto"/>
        </w:rPr>
      </w:pPr>
      <w:r>
        <w:rPr>
          <w:rFonts w:ascii="Calibri" w:hAnsi="Calibri"/>
          <w:color w:val="auto"/>
        </w:rPr>
        <w:t>The assessment of whether a contract is completed or not needs to be made at the date of initial application.</w:t>
      </w:r>
    </w:p>
    <w:p w14:paraId="2160CB73" w14:textId="77777777" w:rsidR="00C82817" w:rsidRPr="002628CE" w:rsidRDefault="00C82817" w:rsidP="00C82817">
      <w:pPr>
        <w:pStyle w:val="Default"/>
        <w:rPr>
          <w:rFonts w:ascii="Calibri" w:hAnsi="Calibri"/>
          <w:color w:val="auto"/>
        </w:rPr>
      </w:pPr>
    </w:p>
    <w:p w14:paraId="1969C183" w14:textId="77777777" w:rsidR="00C82817" w:rsidRDefault="00C82817" w:rsidP="00C82817">
      <w:pPr>
        <w:numPr>
          <w:ilvl w:val="0"/>
          <w:numId w:val="18"/>
        </w:numPr>
        <w:ind w:left="851" w:hanging="567"/>
        <w:rPr>
          <w:szCs w:val="24"/>
        </w:rPr>
      </w:pPr>
      <w:r>
        <w:rPr>
          <w:rFonts w:eastAsia="Times New Roman" w:cs="Calibri"/>
          <w:bCs/>
          <w:szCs w:val="24"/>
        </w:rPr>
        <w:t>N</w:t>
      </w:r>
      <w:r>
        <w:rPr>
          <w:szCs w:val="24"/>
        </w:rPr>
        <w:t>ot apply standard retrospectively to a</w:t>
      </w:r>
      <w:r w:rsidRPr="00DB79D6">
        <w:rPr>
          <w:szCs w:val="24"/>
        </w:rPr>
        <w:t>ssets acquired for consideration that was significantly less than fair value</w:t>
      </w:r>
      <w:r>
        <w:rPr>
          <w:szCs w:val="24"/>
        </w:rPr>
        <w:t>. (AASB 1058.C8)</w:t>
      </w:r>
    </w:p>
    <w:p w14:paraId="4BA3A8CF" w14:textId="77777777" w:rsidR="00C82817" w:rsidRDefault="00C82817" w:rsidP="00C82817">
      <w:pPr>
        <w:ind w:left="720"/>
        <w:rPr>
          <w:szCs w:val="24"/>
        </w:rPr>
      </w:pPr>
    </w:p>
    <w:p w14:paraId="608FEEFB" w14:textId="77777777" w:rsidR="00C82817" w:rsidRPr="00DB79D6" w:rsidRDefault="00C82817" w:rsidP="00C82817">
      <w:pPr>
        <w:pBdr>
          <w:top w:val="single" w:sz="4" w:space="1" w:color="auto"/>
          <w:left w:val="single" w:sz="4" w:space="4" w:color="auto"/>
          <w:bottom w:val="single" w:sz="4" w:space="1" w:color="auto"/>
          <w:right w:val="single" w:sz="4" w:space="4" w:color="auto"/>
        </w:pBdr>
        <w:ind w:left="360"/>
        <w:rPr>
          <w:szCs w:val="24"/>
        </w:rPr>
      </w:pPr>
      <w:r w:rsidRPr="009762D9">
        <w:rPr>
          <w:rFonts w:eastAsia="Times New Roman" w:cs="Calibri"/>
          <w:bCs/>
          <w:szCs w:val="24"/>
        </w:rPr>
        <w:t xml:space="preserve">ACT Government agencies shall </w:t>
      </w:r>
      <w:r>
        <w:rPr>
          <w:rFonts w:eastAsia="Times New Roman" w:cs="Calibri"/>
          <w:bCs/>
          <w:szCs w:val="24"/>
        </w:rPr>
        <w:t>n</w:t>
      </w:r>
      <w:r>
        <w:rPr>
          <w:szCs w:val="24"/>
        </w:rPr>
        <w:t>ot apply standard retrospectively to a</w:t>
      </w:r>
      <w:r w:rsidRPr="00DB79D6">
        <w:rPr>
          <w:szCs w:val="24"/>
        </w:rPr>
        <w:t xml:space="preserve">ssets acquired for consideration that was significantly less than fair value principally to enable the entity to further its objectives </w:t>
      </w:r>
      <w:r>
        <w:rPr>
          <w:szCs w:val="24"/>
        </w:rPr>
        <w:t xml:space="preserve">that were </w:t>
      </w:r>
      <w:r w:rsidRPr="00DB79D6">
        <w:rPr>
          <w:szCs w:val="24"/>
        </w:rPr>
        <w:t xml:space="preserve">measured on initial recognition under other Australian Accounting Standards at a cost that was significantly less than fair value. </w:t>
      </w:r>
    </w:p>
    <w:p w14:paraId="0CCFEE99" w14:textId="77777777" w:rsidR="00C82817" w:rsidRDefault="00C82817" w:rsidP="00C82817">
      <w:pPr>
        <w:rPr>
          <w:szCs w:val="24"/>
        </w:rPr>
      </w:pPr>
    </w:p>
    <w:p w14:paraId="20012E23" w14:textId="77777777" w:rsidR="00C82817" w:rsidRDefault="00C82817" w:rsidP="00C82817">
      <w:pPr>
        <w:rPr>
          <w:szCs w:val="24"/>
        </w:rPr>
      </w:pPr>
      <w:r>
        <w:rPr>
          <w:szCs w:val="24"/>
        </w:rPr>
        <w:t>Agencies will not remeasure a</w:t>
      </w:r>
      <w:r w:rsidRPr="00DB79D6">
        <w:rPr>
          <w:szCs w:val="24"/>
        </w:rPr>
        <w:t>ssets acquired for consideration that was significantly less than fair value principally to enable the entity to further its objectives</w:t>
      </w:r>
      <w:r>
        <w:rPr>
          <w:szCs w:val="24"/>
        </w:rPr>
        <w:t>, at fair value.</w:t>
      </w:r>
    </w:p>
    <w:p w14:paraId="6853C449" w14:textId="77777777" w:rsidR="00C82817" w:rsidRDefault="00C82817" w:rsidP="00C82817">
      <w:pPr>
        <w:pStyle w:val="Default"/>
        <w:rPr>
          <w:sz w:val="19"/>
          <w:szCs w:val="19"/>
        </w:rPr>
      </w:pPr>
    </w:p>
    <w:p w14:paraId="709E20F9" w14:textId="77777777" w:rsidR="00C82817" w:rsidRDefault="00C82817" w:rsidP="00C82817">
      <w:pPr>
        <w:rPr>
          <w:szCs w:val="24"/>
        </w:rPr>
      </w:pPr>
      <w:r>
        <w:rPr>
          <w:rFonts w:ascii="Calibri" w:hAnsi="Calibri"/>
          <w:b/>
          <w:sz w:val="28"/>
          <w:szCs w:val="28"/>
        </w:rPr>
        <w:br w:type="page"/>
      </w:r>
    </w:p>
    <w:p w14:paraId="7C624897" w14:textId="77777777" w:rsidR="00C82817" w:rsidRPr="00D12C01" w:rsidRDefault="00C82817" w:rsidP="00044B9F">
      <w:pPr>
        <w:pStyle w:val="Heading1"/>
      </w:pPr>
      <w:bookmarkStart w:id="125" w:name="_Toc45622640"/>
      <w:r w:rsidRPr="00D12C01">
        <w:lastRenderedPageBreak/>
        <w:t>Part C: Decision Tree for whether to apply AASB 15 or AASB 1058 to a transaction (other than volunteer services)</w:t>
      </w:r>
      <w:bookmarkEnd w:id="125"/>
    </w:p>
    <w:p w14:paraId="6187D126" w14:textId="77777777" w:rsidR="00C82817" w:rsidRPr="00DA4C13" w:rsidRDefault="00C82817" w:rsidP="00C82817">
      <w:pPr>
        <w:pStyle w:val="Default"/>
        <w:rPr>
          <w:rFonts w:ascii="Calibri" w:hAnsi="Calibri"/>
          <w:color w:val="auto"/>
        </w:rPr>
      </w:pPr>
    </w:p>
    <w:p w14:paraId="326F883B" w14:textId="77777777" w:rsidR="00C82817" w:rsidRPr="00DA4C13" w:rsidRDefault="00C82817" w:rsidP="00C82817">
      <w:pPr>
        <w:pStyle w:val="Default"/>
        <w:rPr>
          <w:rFonts w:ascii="Calibri" w:hAnsi="Calibri"/>
          <w:color w:val="auto"/>
        </w:rPr>
      </w:pPr>
    </w:p>
    <w:p w14:paraId="7BCA08B6"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59264" behindDoc="0" locked="0" layoutInCell="1" allowOverlap="1" wp14:anchorId="476EC1C3" wp14:editId="7F0C24D0">
                <wp:simplePos x="0" y="0"/>
                <wp:positionH relativeFrom="column">
                  <wp:posOffset>583565</wp:posOffset>
                </wp:positionH>
                <wp:positionV relativeFrom="paragraph">
                  <wp:posOffset>15875</wp:posOffset>
                </wp:positionV>
                <wp:extent cx="1938655" cy="532765"/>
                <wp:effectExtent l="12065" t="12700" r="11430"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32765"/>
                        </a:xfrm>
                        <a:prstGeom prst="rect">
                          <a:avLst/>
                        </a:prstGeom>
                        <a:solidFill>
                          <a:srgbClr val="FFFFFF"/>
                        </a:solidFill>
                        <a:ln w="9525">
                          <a:solidFill>
                            <a:srgbClr val="000000"/>
                          </a:solidFill>
                          <a:miter lim="800000"/>
                          <a:headEnd/>
                          <a:tailEnd/>
                        </a:ln>
                      </wps:spPr>
                      <wps:txbx>
                        <w:txbxContent>
                          <w:p w14:paraId="39798541" w14:textId="77777777" w:rsidR="00C7145E" w:rsidRDefault="00C7145E" w:rsidP="00C82817">
                            <w:pPr>
                              <w:jc w:val="center"/>
                            </w:pPr>
                            <w:r>
                              <w:t>Enforceable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EC1C3" id="Text Box 32" o:spid="_x0000_s1033" type="#_x0000_t202" style="position:absolute;margin-left:45.95pt;margin-top:1.25pt;width:152.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">
                <v:textbox>
                  <w:txbxContent>
                    <w:p w14:paraId="39798541" w14:textId="77777777" w:rsidR="00C7145E" w:rsidRDefault="00C7145E" w:rsidP="00C82817">
                      <w:pPr>
                        <w:jc w:val="center"/>
                      </w:pPr>
                      <w:r>
                        <w:t>Enforceable Contract?</w:t>
                      </w:r>
                    </w:p>
                  </w:txbxContent>
                </v:textbox>
              </v:shape>
            </w:pict>
          </mc:Fallback>
        </mc:AlternateContent>
      </w:r>
    </w:p>
    <w:p w14:paraId="10BD20B0"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72576" behindDoc="0" locked="0" layoutInCell="1" allowOverlap="1" wp14:anchorId="0FED2AA3" wp14:editId="1889786C">
                <wp:simplePos x="0" y="0"/>
                <wp:positionH relativeFrom="column">
                  <wp:posOffset>2522220</wp:posOffset>
                </wp:positionH>
                <wp:positionV relativeFrom="paragraph">
                  <wp:posOffset>44450</wp:posOffset>
                </wp:positionV>
                <wp:extent cx="2279015" cy="0"/>
                <wp:effectExtent l="7620" t="55880" r="18415" b="584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108D1" id="Straight Arrow Connector 31" o:spid="_x0000_s1026" type="#_x0000_t32" style="position:absolute;margin-left:198.6pt;margin-top:3.5pt;width:17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">
                <v:stroke endarrow="block"/>
              </v:shape>
            </w:pict>
          </mc:Fallback>
        </mc:AlternateContent>
      </w:r>
      <w:r w:rsidRPr="00DA4C13">
        <w:rPr>
          <w:rFonts w:ascii="Calibri" w:hAnsi="Calibri"/>
          <w:noProof/>
          <w:color w:val="auto"/>
        </w:rPr>
        <mc:AlternateContent>
          <mc:Choice Requires="wps">
            <w:drawing>
              <wp:anchor distT="0" distB="0" distL="114300" distR="114300" simplePos="0" relativeHeight="251671552" behindDoc="0" locked="0" layoutInCell="1" allowOverlap="1" wp14:anchorId="6CDD8C77" wp14:editId="0A62AB24">
                <wp:simplePos x="0" y="0"/>
                <wp:positionH relativeFrom="column">
                  <wp:posOffset>4800600</wp:posOffset>
                </wp:positionH>
                <wp:positionV relativeFrom="paragraph">
                  <wp:posOffset>44450</wp:posOffset>
                </wp:positionV>
                <wp:extent cx="635" cy="3322955"/>
                <wp:effectExtent l="57150" t="8255" r="56515" b="2159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2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E61CB" id="Straight Arrow Connector 30" o:spid="_x0000_s1026" type="#_x0000_t32" style="position:absolute;margin-left:378pt;margin-top:3.5pt;width:.05pt;height:26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">
                <v:stroke endarrow="block"/>
              </v:shape>
            </w:pict>
          </mc:Fallback>
        </mc:AlternateContent>
      </w:r>
      <w:r w:rsidRPr="00DA4C13">
        <w:rPr>
          <w:rFonts w:ascii="Calibri" w:hAnsi="Calibri"/>
          <w:noProof/>
          <w:color w:val="auto"/>
        </w:rPr>
        <mc:AlternateContent>
          <mc:Choice Requires="wps">
            <w:drawing>
              <wp:anchor distT="0" distB="0" distL="114300" distR="114300" simplePos="0" relativeHeight="251669504" behindDoc="0" locked="0" layoutInCell="1" allowOverlap="1" wp14:anchorId="064C4BF0" wp14:editId="3809F115">
                <wp:simplePos x="0" y="0"/>
                <wp:positionH relativeFrom="column">
                  <wp:posOffset>3093720</wp:posOffset>
                </wp:positionH>
                <wp:positionV relativeFrom="paragraph">
                  <wp:posOffset>189230</wp:posOffset>
                </wp:positionV>
                <wp:extent cx="413385" cy="264160"/>
                <wp:effectExtent l="7620" t="10160" r="762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6120873F" w14:textId="77777777" w:rsidR="00C7145E" w:rsidRPr="00DB0C80" w:rsidRDefault="00C7145E" w:rsidP="00C82817">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C4BF0" id="Text Box 29" o:spid="_x0000_s1034" type="#_x0000_t202" style="position:absolute;margin-left:243.6pt;margin-top:14.9pt;width:32.55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" strokecolor="white">
                <v:textbox>
                  <w:txbxContent>
                    <w:p w14:paraId="6120873F" w14:textId="77777777" w:rsidR="00C7145E" w:rsidRPr="00DB0C80" w:rsidRDefault="00C7145E" w:rsidP="00C82817">
                      <w:r>
                        <w:t>No</w:t>
                      </w:r>
                    </w:p>
                  </w:txbxContent>
                </v:textbox>
              </v:shape>
            </w:pict>
          </mc:Fallback>
        </mc:AlternateContent>
      </w:r>
    </w:p>
    <w:p w14:paraId="429BA913"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64384" behindDoc="0" locked="0" layoutInCell="1" allowOverlap="1" wp14:anchorId="707283A0" wp14:editId="74307886">
                <wp:simplePos x="0" y="0"/>
                <wp:positionH relativeFrom="column">
                  <wp:posOffset>1571625</wp:posOffset>
                </wp:positionH>
                <wp:positionV relativeFrom="paragraph">
                  <wp:posOffset>176530</wp:posOffset>
                </wp:positionV>
                <wp:extent cx="0" cy="623570"/>
                <wp:effectExtent l="57150" t="12065" r="57150" b="215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686D0" id="Straight Arrow Connector 28" o:spid="_x0000_s1026" type="#_x0000_t32" style="position:absolute;margin-left:123.75pt;margin-top:13.9pt;width:0;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">
                <v:stroke endarrow="block"/>
              </v:shape>
            </w:pict>
          </mc:Fallback>
        </mc:AlternateContent>
      </w:r>
    </w:p>
    <w:p w14:paraId="68B20D06"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67456" behindDoc="0" locked="0" layoutInCell="1" allowOverlap="1" wp14:anchorId="028CA000" wp14:editId="67E2C217">
                <wp:simplePos x="0" y="0"/>
                <wp:positionH relativeFrom="column">
                  <wp:posOffset>908685</wp:posOffset>
                </wp:positionH>
                <wp:positionV relativeFrom="paragraph">
                  <wp:posOffset>161925</wp:posOffset>
                </wp:positionV>
                <wp:extent cx="413385" cy="264160"/>
                <wp:effectExtent l="13335" t="12065" r="1143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45AB361B" w14:textId="77777777" w:rsidR="00C7145E" w:rsidRPr="00DB0C80" w:rsidRDefault="00C7145E" w:rsidP="00C82817">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CA000" id="Text Box 27" o:spid="_x0000_s1035" type="#_x0000_t202" style="position:absolute;margin-left:71.55pt;margin-top:12.75pt;width:32.5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" strokecolor="white">
                <v:textbox>
                  <w:txbxContent>
                    <w:p w14:paraId="45AB361B" w14:textId="77777777" w:rsidR="00C7145E" w:rsidRPr="00DB0C80" w:rsidRDefault="00C7145E" w:rsidP="00C82817">
                      <w:r>
                        <w:t>Yes</w:t>
                      </w:r>
                    </w:p>
                  </w:txbxContent>
                </v:textbox>
              </v:shape>
            </w:pict>
          </mc:Fallback>
        </mc:AlternateContent>
      </w:r>
    </w:p>
    <w:p w14:paraId="11AA9831" w14:textId="77777777" w:rsidR="00C82817" w:rsidRPr="00DA4C13" w:rsidRDefault="00C82817" w:rsidP="00C82817">
      <w:pPr>
        <w:pStyle w:val="Default"/>
        <w:rPr>
          <w:rFonts w:ascii="Calibri" w:hAnsi="Calibri"/>
          <w:color w:val="auto"/>
        </w:rPr>
      </w:pPr>
    </w:p>
    <w:p w14:paraId="589D50B0" w14:textId="77777777" w:rsidR="00C82817" w:rsidRPr="00DA4C13" w:rsidRDefault="00C82817" w:rsidP="00C82817">
      <w:pPr>
        <w:pStyle w:val="Default"/>
        <w:rPr>
          <w:rFonts w:ascii="Calibri" w:hAnsi="Calibri"/>
          <w:color w:val="auto"/>
        </w:rPr>
      </w:pPr>
    </w:p>
    <w:p w14:paraId="262D5551" w14:textId="77777777" w:rsidR="00C82817" w:rsidRPr="00DA4C13" w:rsidRDefault="00C82817" w:rsidP="00C82817">
      <w:pPr>
        <w:pStyle w:val="Default"/>
        <w:rPr>
          <w:rFonts w:ascii="Calibri" w:hAnsi="Calibri"/>
          <w:color w:val="auto"/>
        </w:rPr>
      </w:pPr>
      <w:r>
        <w:rPr>
          <w:rFonts w:ascii="Calibri" w:hAnsi="Calibri"/>
          <w:noProof/>
          <w:color w:val="auto"/>
        </w:rPr>
        <mc:AlternateContent>
          <mc:Choice Requires="wps">
            <w:drawing>
              <wp:anchor distT="0" distB="0" distL="114300" distR="114300" simplePos="0" relativeHeight="251685888" behindDoc="0" locked="0" layoutInCell="1" allowOverlap="1" wp14:anchorId="013CDF01" wp14:editId="1743CA09">
                <wp:simplePos x="0" y="0"/>
                <wp:positionH relativeFrom="column">
                  <wp:posOffset>642620</wp:posOffset>
                </wp:positionH>
                <wp:positionV relativeFrom="paragraph">
                  <wp:posOffset>56515</wp:posOffset>
                </wp:positionV>
                <wp:extent cx="1938655" cy="532765"/>
                <wp:effectExtent l="13970" t="7620" r="952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532765"/>
                        </a:xfrm>
                        <a:prstGeom prst="rect">
                          <a:avLst/>
                        </a:prstGeom>
                        <a:solidFill>
                          <a:srgbClr val="FFFFFF"/>
                        </a:solidFill>
                        <a:ln w="9525">
                          <a:solidFill>
                            <a:srgbClr val="000000"/>
                          </a:solidFill>
                          <a:miter lim="800000"/>
                          <a:headEnd/>
                          <a:tailEnd/>
                        </a:ln>
                      </wps:spPr>
                      <wps:txbx>
                        <w:txbxContent>
                          <w:p w14:paraId="56C8E685" w14:textId="77777777" w:rsidR="00C7145E" w:rsidRDefault="00C7145E" w:rsidP="00C82817">
                            <w:pPr>
                              <w:jc w:val="center"/>
                            </w:pPr>
                            <w:r>
                              <w:t>Performance Obligations sufficiently specific?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CDF01" id="Text Box 26" o:spid="_x0000_s1036" type="#_x0000_t202" style="position:absolute;margin-left:50.6pt;margin-top:4.45pt;width:152.65pt;height:4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">
                <v:textbox>
                  <w:txbxContent>
                    <w:p w14:paraId="56C8E685" w14:textId="77777777" w:rsidR="00C7145E" w:rsidRDefault="00C7145E" w:rsidP="00C82817">
                      <w:pPr>
                        <w:jc w:val="center"/>
                      </w:pPr>
                      <w:r>
                        <w:t>Performance Obligations sufficiently specific?</w:t>
                      </w:r>
                    </w:p>
                  </w:txbxContent>
                </v:textbox>
              </v:shape>
            </w:pict>
          </mc:Fallback>
        </mc:AlternateContent>
      </w:r>
    </w:p>
    <w:p w14:paraId="342ED50D"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73600" behindDoc="0" locked="0" layoutInCell="1" allowOverlap="1" wp14:anchorId="1EAA763E" wp14:editId="0C86E5A2">
                <wp:simplePos x="0" y="0"/>
                <wp:positionH relativeFrom="column">
                  <wp:posOffset>2585720</wp:posOffset>
                </wp:positionH>
                <wp:positionV relativeFrom="paragraph">
                  <wp:posOffset>99695</wp:posOffset>
                </wp:positionV>
                <wp:extent cx="2214880" cy="0"/>
                <wp:effectExtent l="13970" t="55880" r="19050" b="584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5CB5E" id="Straight Arrow Connector 25" o:spid="_x0000_s1026" type="#_x0000_t32" style="position:absolute;margin-left:203.6pt;margin-top:7.85pt;width:174.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">
                <v:stroke endarrow="block"/>
              </v:shape>
            </w:pict>
          </mc:Fallback>
        </mc:AlternateContent>
      </w:r>
    </w:p>
    <w:p w14:paraId="03B01849"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68480" behindDoc="0" locked="0" layoutInCell="1" allowOverlap="1" wp14:anchorId="2E241D0E" wp14:editId="3A7B6FD3">
                <wp:simplePos x="0" y="0"/>
                <wp:positionH relativeFrom="column">
                  <wp:posOffset>3177540</wp:posOffset>
                </wp:positionH>
                <wp:positionV relativeFrom="paragraph">
                  <wp:posOffset>37465</wp:posOffset>
                </wp:positionV>
                <wp:extent cx="413385" cy="264160"/>
                <wp:effectExtent l="5715" t="825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62E871B1" w14:textId="77777777" w:rsidR="00C7145E" w:rsidRPr="00DB0C80" w:rsidRDefault="00C7145E" w:rsidP="00C82817">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41D0E" id="Text Box 24" o:spid="_x0000_s1037" type="#_x0000_t202" style="position:absolute;margin-left:250.2pt;margin-top:2.95pt;width:32.55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" strokecolor="white">
                <v:textbox>
                  <w:txbxContent>
                    <w:p w14:paraId="62E871B1" w14:textId="77777777" w:rsidR="00C7145E" w:rsidRPr="00DB0C80" w:rsidRDefault="00C7145E" w:rsidP="00C82817">
                      <w:r>
                        <w:t>No</w:t>
                      </w:r>
                    </w:p>
                  </w:txbxContent>
                </v:textbox>
              </v:shape>
            </w:pict>
          </mc:Fallback>
        </mc:AlternateContent>
      </w:r>
    </w:p>
    <w:p w14:paraId="15A063B7" w14:textId="77777777" w:rsidR="00C82817" w:rsidRPr="00DA4C13" w:rsidRDefault="00C82817" w:rsidP="00C82817">
      <w:pPr>
        <w:pStyle w:val="Default"/>
        <w:rPr>
          <w:rFonts w:ascii="Calibri" w:hAnsi="Calibri"/>
          <w:color w:val="auto"/>
        </w:rPr>
      </w:pPr>
      <w:r>
        <w:rPr>
          <w:rFonts w:ascii="Calibri" w:hAnsi="Calibri"/>
          <w:noProof/>
          <w:color w:val="auto"/>
        </w:rPr>
        <mc:AlternateContent>
          <mc:Choice Requires="wps">
            <w:drawing>
              <wp:anchor distT="0" distB="0" distL="114300" distR="114300" simplePos="0" relativeHeight="251686912" behindDoc="0" locked="0" layoutInCell="1" allowOverlap="1" wp14:anchorId="2C7DC9A8" wp14:editId="70AE05A6">
                <wp:simplePos x="0" y="0"/>
                <wp:positionH relativeFrom="column">
                  <wp:posOffset>908685</wp:posOffset>
                </wp:positionH>
                <wp:positionV relativeFrom="paragraph">
                  <wp:posOffset>186690</wp:posOffset>
                </wp:positionV>
                <wp:extent cx="413385" cy="264160"/>
                <wp:effectExtent l="13335" t="10160" r="1143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68AC94C6" w14:textId="77777777" w:rsidR="00C7145E" w:rsidRPr="00DB0C80" w:rsidRDefault="00C7145E" w:rsidP="00C82817">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DC9A8" id="Text Box 23" o:spid="_x0000_s1038" type="#_x0000_t202" style="position:absolute;margin-left:71.55pt;margin-top:14.7pt;width:32.55pt;height:2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" strokecolor="white">
                <v:textbox>
                  <w:txbxContent>
                    <w:p w14:paraId="68AC94C6" w14:textId="77777777" w:rsidR="00C7145E" w:rsidRPr="00DB0C80" w:rsidRDefault="00C7145E" w:rsidP="00C82817">
                      <w:r>
                        <w:t>Yes</w:t>
                      </w:r>
                    </w:p>
                  </w:txbxContent>
                </v:textbox>
              </v:shape>
            </w:pict>
          </mc:Fallback>
        </mc:AlternateContent>
      </w:r>
      <w:r w:rsidRPr="00DA4C13">
        <w:rPr>
          <w:rFonts w:ascii="Calibri" w:hAnsi="Calibri"/>
          <w:noProof/>
          <w:color w:val="auto"/>
        </w:rPr>
        <mc:AlternateContent>
          <mc:Choice Requires="wps">
            <w:drawing>
              <wp:anchor distT="0" distB="0" distL="114300" distR="114300" simplePos="0" relativeHeight="251665408" behindDoc="0" locked="0" layoutInCell="1" allowOverlap="1" wp14:anchorId="5F1BA66B" wp14:editId="42CC2D1D">
                <wp:simplePos x="0" y="0"/>
                <wp:positionH relativeFrom="column">
                  <wp:posOffset>1581150</wp:posOffset>
                </wp:positionH>
                <wp:positionV relativeFrom="paragraph">
                  <wp:posOffset>31115</wp:posOffset>
                </wp:positionV>
                <wp:extent cx="0" cy="569595"/>
                <wp:effectExtent l="57150" t="6985" r="57150" b="234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9DC04" id="Straight Arrow Connector 22" o:spid="_x0000_s1026" type="#_x0000_t32" style="position:absolute;margin-left:124.5pt;margin-top:2.45pt;width:0;height: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">
                <v:stroke endarrow="block"/>
              </v:shape>
            </w:pict>
          </mc:Fallback>
        </mc:AlternateContent>
      </w:r>
    </w:p>
    <w:p w14:paraId="451E29FD" w14:textId="77777777" w:rsidR="00C82817" w:rsidRPr="00DA4C13" w:rsidRDefault="00C82817" w:rsidP="00C82817">
      <w:pPr>
        <w:pStyle w:val="Default"/>
        <w:rPr>
          <w:rFonts w:ascii="Calibri" w:hAnsi="Calibri"/>
          <w:color w:val="auto"/>
        </w:rPr>
      </w:pPr>
    </w:p>
    <w:p w14:paraId="313DA5D4" w14:textId="77777777" w:rsidR="00C82817" w:rsidRPr="00DA4C13" w:rsidRDefault="00C82817" w:rsidP="00C82817">
      <w:pPr>
        <w:pStyle w:val="Default"/>
        <w:rPr>
          <w:rFonts w:ascii="Calibri" w:hAnsi="Calibri"/>
          <w:color w:val="auto"/>
        </w:rPr>
      </w:pPr>
    </w:p>
    <w:p w14:paraId="250F8478"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60288" behindDoc="0" locked="0" layoutInCell="1" allowOverlap="1" wp14:anchorId="2DEB8E00" wp14:editId="40B34F05">
                <wp:simplePos x="0" y="0"/>
                <wp:positionH relativeFrom="column">
                  <wp:posOffset>575945</wp:posOffset>
                </wp:positionH>
                <wp:positionV relativeFrom="paragraph">
                  <wp:posOffset>42545</wp:posOffset>
                </wp:positionV>
                <wp:extent cx="2005330" cy="679450"/>
                <wp:effectExtent l="13970" t="5080" r="952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679450"/>
                        </a:xfrm>
                        <a:prstGeom prst="rect">
                          <a:avLst/>
                        </a:prstGeom>
                        <a:solidFill>
                          <a:srgbClr val="FFFFFF"/>
                        </a:solidFill>
                        <a:ln w="9525">
                          <a:solidFill>
                            <a:srgbClr val="000000"/>
                          </a:solidFill>
                          <a:miter lim="800000"/>
                          <a:headEnd/>
                          <a:tailEnd/>
                        </a:ln>
                      </wps:spPr>
                      <wps:txbx>
                        <w:txbxContent>
                          <w:p w14:paraId="53E459C4" w14:textId="77777777" w:rsidR="00C7145E" w:rsidRDefault="00C7145E" w:rsidP="00C82817">
                            <w:pPr>
                              <w:jc w:val="center"/>
                            </w:pPr>
                            <w:r>
                              <w:t>Entity retains specified goods or services for own use (i.e. no customer)?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B8E00" id="Text Box 21" o:spid="_x0000_s1039" type="#_x0000_t202" style="position:absolute;margin-left:45.35pt;margin-top:3.35pt;width:157.9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">
                <v:textbox>
                  <w:txbxContent>
                    <w:p w14:paraId="53E459C4" w14:textId="77777777" w:rsidR="00C7145E" w:rsidRDefault="00C7145E" w:rsidP="00C82817">
                      <w:pPr>
                        <w:jc w:val="center"/>
                      </w:pPr>
                      <w:r>
                        <w:t>Entity retains specified goods or services for own use (i.e. no customer)?</w:t>
                      </w:r>
                    </w:p>
                  </w:txbxContent>
                </v:textbox>
              </v:shape>
            </w:pict>
          </mc:Fallback>
        </mc:AlternateContent>
      </w:r>
    </w:p>
    <w:p w14:paraId="5F59A9E3" w14:textId="77777777" w:rsidR="00C82817" w:rsidRPr="00DA4C13" w:rsidRDefault="00C82817" w:rsidP="00C82817">
      <w:pPr>
        <w:pStyle w:val="Default"/>
        <w:rPr>
          <w:rFonts w:ascii="Calibri" w:hAnsi="Calibri"/>
          <w:color w:val="auto"/>
        </w:rPr>
      </w:pPr>
      <w:r>
        <w:rPr>
          <w:rFonts w:ascii="Calibri" w:hAnsi="Calibri"/>
          <w:noProof/>
          <w:color w:val="auto"/>
        </w:rPr>
        <mc:AlternateContent>
          <mc:Choice Requires="wps">
            <w:drawing>
              <wp:anchor distT="0" distB="0" distL="114300" distR="114300" simplePos="0" relativeHeight="251688960" behindDoc="0" locked="0" layoutInCell="1" allowOverlap="1" wp14:anchorId="39EB556C" wp14:editId="1438EB93">
                <wp:simplePos x="0" y="0"/>
                <wp:positionH relativeFrom="column">
                  <wp:posOffset>2585720</wp:posOffset>
                </wp:positionH>
                <wp:positionV relativeFrom="paragraph">
                  <wp:posOffset>164465</wp:posOffset>
                </wp:positionV>
                <wp:extent cx="2215515" cy="0"/>
                <wp:effectExtent l="13970" t="55880" r="18415" b="584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89675" id="Straight Arrow Connector 20" o:spid="_x0000_s1026" type="#_x0000_t32" style="position:absolute;margin-left:203.6pt;margin-top:12.95pt;width:174.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">
                <v:stroke endarrow="block"/>
              </v:shape>
            </w:pict>
          </mc:Fallback>
        </mc:AlternateContent>
      </w:r>
    </w:p>
    <w:p w14:paraId="0DD74F72" w14:textId="77777777" w:rsidR="00C82817" w:rsidRPr="00DA4C13" w:rsidRDefault="00C82817" w:rsidP="00C82817">
      <w:pPr>
        <w:pStyle w:val="Default"/>
        <w:rPr>
          <w:rFonts w:ascii="Calibri" w:hAnsi="Calibri"/>
          <w:color w:val="auto"/>
        </w:rPr>
      </w:pPr>
      <w:r>
        <w:rPr>
          <w:rFonts w:ascii="Calibri" w:hAnsi="Calibri"/>
          <w:noProof/>
          <w:color w:val="auto"/>
        </w:rPr>
        <mc:AlternateContent>
          <mc:Choice Requires="wps">
            <w:drawing>
              <wp:anchor distT="0" distB="0" distL="114300" distR="114300" simplePos="0" relativeHeight="251689984" behindDoc="0" locked="0" layoutInCell="1" allowOverlap="1" wp14:anchorId="66B229FC" wp14:editId="5C01A29B">
                <wp:simplePos x="0" y="0"/>
                <wp:positionH relativeFrom="column">
                  <wp:posOffset>3177540</wp:posOffset>
                </wp:positionH>
                <wp:positionV relativeFrom="paragraph">
                  <wp:posOffset>85725</wp:posOffset>
                </wp:positionV>
                <wp:extent cx="413385" cy="264160"/>
                <wp:effectExtent l="5715" t="10795" r="952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178C9CAC" w14:textId="77777777" w:rsidR="00C7145E" w:rsidRPr="00DB0C80" w:rsidRDefault="00C7145E" w:rsidP="00C82817">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229FC" id="Text Box 19" o:spid="_x0000_s1040" type="#_x0000_t202" style="position:absolute;margin-left:250.2pt;margin-top:6.75pt;width:32.55pt;height:2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" strokecolor="white">
                <v:textbox>
                  <w:txbxContent>
                    <w:p w14:paraId="178C9CAC" w14:textId="77777777" w:rsidR="00C7145E" w:rsidRPr="00DB0C80" w:rsidRDefault="00C7145E" w:rsidP="00C82817">
                      <w:r>
                        <w:t>Yes</w:t>
                      </w:r>
                    </w:p>
                  </w:txbxContent>
                </v:textbox>
              </v:shape>
            </w:pict>
          </mc:Fallback>
        </mc:AlternateContent>
      </w:r>
    </w:p>
    <w:p w14:paraId="180F840F" w14:textId="77777777" w:rsidR="00C82817" w:rsidRPr="00DA4C13" w:rsidRDefault="00C82817" w:rsidP="00C82817">
      <w:pPr>
        <w:pStyle w:val="Default"/>
        <w:rPr>
          <w:rFonts w:ascii="Calibri" w:hAnsi="Calibri"/>
          <w:color w:val="auto"/>
        </w:rPr>
      </w:pPr>
      <w:r>
        <w:rPr>
          <w:rFonts w:ascii="Calibri" w:hAnsi="Calibri"/>
          <w:noProof/>
          <w:color w:val="auto"/>
        </w:rPr>
        <mc:AlternateContent>
          <mc:Choice Requires="wps">
            <w:drawing>
              <wp:anchor distT="0" distB="0" distL="114300" distR="114300" simplePos="0" relativeHeight="251687936" behindDoc="0" locked="0" layoutInCell="1" allowOverlap="1" wp14:anchorId="45C7EA07" wp14:editId="2169E097">
                <wp:simplePos x="0" y="0"/>
                <wp:positionH relativeFrom="column">
                  <wp:posOffset>1581150</wp:posOffset>
                </wp:positionH>
                <wp:positionV relativeFrom="paragraph">
                  <wp:posOffset>163830</wp:posOffset>
                </wp:positionV>
                <wp:extent cx="0" cy="569595"/>
                <wp:effectExtent l="57150" t="8255" r="57150" b="222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167C2" id="Straight Arrow Connector 18" o:spid="_x0000_s1026" type="#_x0000_t32" style="position:absolute;margin-left:124.5pt;margin-top:12.9pt;width:0;height:4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">
                <v:stroke endarrow="block"/>
              </v:shape>
            </w:pict>
          </mc:Fallback>
        </mc:AlternateContent>
      </w:r>
    </w:p>
    <w:p w14:paraId="2649FD68"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75648" behindDoc="0" locked="0" layoutInCell="1" allowOverlap="1" wp14:anchorId="75D9D6B8" wp14:editId="410F5731">
                <wp:simplePos x="0" y="0"/>
                <wp:positionH relativeFrom="column">
                  <wp:posOffset>908685</wp:posOffset>
                </wp:positionH>
                <wp:positionV relativeFrom="paragraph">
                  <wp:posOffset>149225</wp:posOffset>
                </wp:positionV>
                <wp:extent cx="413385" cy="264160"/>
                <wp:effectExtent l="13335" t="8255" r="11430"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614F0209" w14:textId="77777777" w:rsidR="00C7145E" w:rsidRPr="00DB0C80" w:rsidRDefault="00C7145E" w:rsidP="00C82817">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9D6B8" id="Text Box 17" o:spid="_x0000_s1041" type="#_x0000_t202" style="position:absolute;margin-left:71.55pt;margin-top:11.75pt;width:32.55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" strokecolor="white">
                <v:textbox>
                  <w:txbxContent>
                    <w:p w14:paraId="614F0209" w14:textId="77777777" w:rsidR="00C7145E" w:rsidRPr="00DB0C80" w:rsidRDefault="00C7145E" w:rsidP="00C82817">
                      <w:r>
                        <w:t>No</w:t>
                      </w:r>
                    </w:p>
                  </w:txbxContent>
                </v:textbox>
              </v:shape>
            </w:pict>
          </mc:Fallback>
        </mc:AlternateContent>
      </w:r>
    </w:p>
    <w:p w14:paraId="7F8B3CF8" w14:textId="77777777" w:rsidR="00C82817" w:rsidRPr="00DA4C13" w:rsidRDefault="00C82817" w:rsidP="00C82817">
      <w:pPr>
        <w:pStyle w:val="Default"/>
        <w:rPr>
          <w:rFonts w:ascii="Calibri" w:hAnsi="Calibri"/>
          <w:color w:val="auto"/>
        </w:rPr>
      </w:pPr>
    </w:p>
    <w:p w14:paraId="1BAEED28"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61312" behindDoc="0" locked="0" layoutInCell="1" allowOverlap="1" wp14:anchorId="0490C081" wp14:editId="57B445B2">
                <wp:simplePos x="0" y="0"/>
                <wp:positionH relativeFrom="column">
                  <wp:posOffset>640080</wp:posOffset>
                </wp:positionH>
                <wp:positionV relativeFrom="paragraph">
                  <wp:posOffset>177165</wp:posOffset>
                </wp:positionV>
                <wp:extent cx="1943100" cy="2169160"/>
                <wp:effectExtent l="0" t="0" r="19050"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69160"/>
                        </a:xfrm>
                        <a:prstGeom prst="rect">
                          <a:avLst/>
                        </a:prstGeom>
                        <a:solidFill>
                          <a:srgbClr val="FFFFFF"/>
                        </a:solidFill>
                        <a:ln w="9525">
                          <a:solidFill>
                            <a:srgbClr val="000000"/>
                          </a:solidFill>
                          <a:miter lim="800000"/>
                          <a:headEnd/>
                          <a:tailEnd/>
                        </a:ln>
                      </wps:spPr>
                      <wps:txbx>
                        <w:txbxContent>
                          <w:p w14:paraId="0486A9DF" w14:textId="77777777" w:rsidR="00C7145E" w:rsidRDefault="00C7145E" w:rsidP="00C82817">
                            <w:pPr>
                              <w:jc w:val="center"/>
                            </w:pPr>
                            <w:r>
                              <w:t>Material donation component (i.e. consideration significantly less than the fair value of the asset principally to enable entity to further its objectives)?</w:t>
                            </w:r>
                          </w:p>
                          <w:p w14:paraId="44AFD872" w14:textId="79CEC8DE" w:rsidR="00C7145E" w:rsidRPr="00202291" w:rsidRDefault="00C7145E" w:rsidP="00C82817">
                            <w:pPr>
                              <w:jc w:val="center"/>
                              <w:rPr>
                                <w:i/>
                                <w:iCs/>
                              </w:rPr>
                            </w:pPr>
                            <w:r w:rsidRPr="007A5BB5">
                              <w:t>Note:</w:t>
                            </w:r>
                            <w:r w:rsidRPr="00202291">
                              <w:rPr>
                                <w:i/>
                                <w:iCs/>
                              </w:rPr>
                              <w:t xml:space="preserve"> </w:t>
                            </w:r>
                            <w:r w:rsidRPr="007A5BB5">
                              <w:t>there may still be a component in the contract for AASB 15 and therefore both standards can apply</w:t>
                            </w:r>
                          </w:p>
                          <w:p w14:paraId="290F7424" w14:textId="77777777" w:rsidR="00C7145E" w:rsidRPr="000B2153" w:rsidRDefault="00C7145E" w:rsidP="00C82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0C081" id="Text Box 16" o:spid="_x0000_s1042" type="#_x0000_t202" style="position:absolute;margin-left:50.4pt;margin-top:13.95pt;width:153pt;height:1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">
                <v:textbox>
                  <w:txbxContent>
                    <w:p w14:paraId="0486A9DF" w14:textId="77777777" w:rsidR="00C7145E" w:rsidRDefault="00C7145E" w:rsidP="00C82817">
                      <w:pPr>
                        <w:jc w:val="center"/>
                      </w:pPr>
                      <w:r>
                        <w:t>Material donation component (i.e. consideration significantly less than the fair value of the asset principally to enable entity to further its objectives)?</w:t>
                      </w:r>
                    </w:p>
                    <w:p w14:paraId="44AFD872" w14:textId="79CEC8DE" w:rsidR="00C7145E" w:rsidRPr="00202291" w:rsidRDefault="00C7145E" w:rsidP="00C82817">
                      <w:pPr>
                        <w:jc w:val="center"/>
                        <w:rPr>
                          <w:i/>
                          <w:iCs/>
                        </w:rPr>
                      </w:pPr>
                      <w:r w:rsidRPr="007A5BB5">
                        <w:t>Note:</w:t>
                      </w:r>
                      <w:r w:rsidRPr="00202291">
                        <w:rPr>
                          <w:i/>
                          <w:iCs/>
                        </w:rPr>
                        <w:t xml:space="preserve"> </w:t>
                      </w:r>
                      <w:r w:rsidRPr="007A5BB5">
                        <w:t>there may still be a component in the contract for AASB 15 and therefore both standards can apply</w:t>
                      </w:r>
                    </w:p>
                    <w:p w14:paraId="290F7424" w14:textId="77777777" w:rsidR="00C7145E" w:rsidRPr="000B2153" w:rsidRDefault="00C7145E" w:rsidP="00C82817"/>
                  </w:txbxContent>
                </v:textbox>
              </v:shape>
            </w:pict>
          </mc:Fallback>
        </mc:AlternateContent>
      </w:r>
    </w:p>
    <w:p w14:paraId="20CCE323" w14:textId="77777777"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63360" behindDoc="0" locked="0" layoutInCell="1" allowOverlap="1" wp14:anchorId="6C674B5A" wp14:editId="51C299F4">
                <wp:simplePos x="0" y="0"/>
                <wp:positionH relativeFrom="column">
                  <wp:posOffset>4100195</wp:posOffset>
                </wp:positionH>
                <wp:positionV relativeFrom="paragraph">
                  <wp:posOffset>19050</wp:posOffset>
                </wp:positionV>
                <wp:extent cx="1476375" cy="988695"/>
                <wp:effectExtent l="13970" t="6985" r="508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88695"/>
                        </a:xfrm>
                        <a:prstGeom prst="rect">
                          <a:avLst/>
                        </a:prstGeom>
                        <a:solidFill>
                          <a:srgbClr val="FFFFFF"/>
                        </a:solidFill>
                        <a:ln w="9525">
                          <a:solidFill>
                            <a:srgbClr val="000000"/>
                          </a:solidFill>
                          <a:miter lim="800000"/>
                          <a:headEnd/>
                          <a:tailEnd/>
                        </a:ln>
                      </wps:spPr>
                      <wps:txbx>
                        <w:txbxContent>
                          <w:p w14:paraId="57F5C11A" w14:textId="77777777" w:rsidR="00C7145E" w:rsidRPr="00BE5376" w:rsidRDefault="00C7145E" w:rsidP="00C82817">
                            <w:pPr>
                              <w:jc w:val="center"/>
                              <w:rPr>
                                <w:b/>
                              </w:rPr>
                            </w:pPr>
                            <w:r w:rsidRPr="00BE5376">
                              <w:rPr>
                                <w:b/>
                              </w:rPr>
                              <w:t>Apply AASB 1058</w:t>
                            </w:r>
                          </w:p>
                          <w:p w14:paraId="09FDEAC0" w14:textId="77777777" w:rsidR="00C7145E" w:rsidRDefault="00C7145E" w:rsidP="00C82817">
                            <w:r>
                              <w:t>Recognise asset and credit entry per relevant accounting standards.</w:t>
                            </w:r>
                          </w:p>
                          <w:p w14:paraId="6D23753B" w14:textId="77777777" w:rsidR="00C7145E" w:rsidRPr="000B2153" w:rsidRDefault="00C7145E" w:rsidP="00C82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74B5A" id="Text Box 15" o:spid="_x0000_s1043" type="#_x0000_t202" style="position:absolute;margin-left:322.85pt;margin-top:1.5pt;width:116.25pt;height: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">
                <v:textbox>
                  <w:txbxContent>
                    <w:p w14:paraId="57F5C11A" w14:textId="77777777" w:rsidR="00C7145E" w:rsidRPr="00BE5376" w:rsidRDefault="00C7145E" w:rsidP="00C82817">
                      <w:pPr>
                        <w:jc w:val="center"/>
                        <w:rPr>
                          <w:b/>
                        </w:rPr>
                      </w:pPr>
                      <w:r w:rsidRPr="00BE5376">
                        <w:rPr>
                          <w:b/>
                        </w:rPr>
                        <w:t>Apply AASB 1058</w:t>
                      </w:r>
                    </w:p>
                    <w:p w14:paraId="09FDEAC0" w14:textId="77777777" w:rsidR="00C7145E" w:rsidRDefault="00C7145E" w:rsidP="00C82817">
                      <w:r>
                        <w:t>Recognise asset and credit entry per relevant accounting standards.</w:t>
                      </w:r>
                    </w:p>
                    <w:p w14:paraId="6D23753B" w14:textId="77777777" w:rsidR="00C7145E" w:rsidRPr="000B2153" w:rsidRDefault="00C7145E" w:rsidP="00C82817"/>
                  </w:txbxContent>
                </v:textbox>
              </v:shape>
            </w:pict>
          </mc:Fallback>
        </mc:AlternateContent>
      </w:r>
    </w:p>
    <w:p w14:paraId="6F3273C1" w14:textId="77777777" w:rsidR="00C82817" w:rsidRPr="00DA4C13" w:rsidRDefault="00C82817" w:rsidP="00C82817">
      <w:pPr>
        <w:pStyle w:val="Default"/>
        <w:rPr>
          <w:rFonts w:ascii="Calibri" w:hAnsi="Calibri"/>
          <w:color w:val="auto"/>
        </w:rPr>
      </w:pPr>
    </w:p>
    <w:p w14:paraId="7D8F9C3C" w14:textId="77777777" w:rsidR="00C82817" w:rsidRPr="00DA4C13" w:rsidRDefault="00C82817" w:rsidP="00C82817">
      <w:pPr>
        <w:pStyle w:val="Default"/>
        <w:rPr>
          <w:rFonts w:ascii="Calibri" w:hAnsi="Calibri"/>
          <w:color w:val="auto"/>
        </w:rPr>
      </w:pPr>
    </w:p>
    <w:p w14:paraId="0969A402" w14:textId="7C78DFE6" w:rsidR="00C82817" w:rsidRPr="00DA4C13" w:rsidRDefault="00C82817"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74624" behindDoc="0" locked="0" layoutInCell="1" allowOverlap="1" wp14:anchorId="319912F6" wp14:editId="587941BB">
                <wp:simplePos x="0" y="0"/>
                <wp:positionH relativeFrom="column">
                  <wp:posOffset>2585720</wp:posOffset>
                </wp:positionH>
                <wp:positionV relativeFrom="paragraph">
                  <wp:posOffset>13970</wp:posOffset>
                </wp:positionV>
                <wp:extent cx="1514475" cy="635"/>
                <wp:effectExtent l="13970" t="55245" r="14605" b="584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46D64" id="Straight Arrow Connector 14" o:spid="_x0000_s1026" type="#_x0000_t32" style="position:absolute;margin-left:203.6pt;margin-top:1.1pt;width:119.2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">
                <v:stroke endarrow="block"/>
              </v:shape>
            </w:pict>
          </mc:Fallback>
        </mc:AlternateContent>
      </w:r>
      <w:r w:rsidRPr="00DA4C13">
        <w:rPr>
          <w:rFonts w:ascii="Calibri" w:hAnsi="Calibri"/>
          <w:noProof/>
          <w:color w:val="auto"/>
        </w:rPr>
        <mc:AlternateContent>
          <mc:Choice Requires="wps">
            <w:drawing>
              <wp:anchor distT="0" distB="0" distL="114300" distR="114300" simplePos="0" relativeHeight="251670528" behindDoc="0" locked="0" layoutInCell="1" allowOverlap="1" wp14:anchorId="3EDB7F05" wp14:editId="05A4C5BA">
                <wp:simplePos x="0" y="0"/>
                <wp:positionH relativeFrom="column">
                  <wp:posOffset>3177540</wp:posOffset>
                </wp:positionH>
                <wp:positionV relativeFrom="paragraph">
                  <wp:posOffset>185420</wp:posOffset>
                </wp:positionV>
                <wp:extent cx="413385" cy="264160"/>
                <wp:effectExtent l="5715" t="7620"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54EF084F" w14:textId="77777777" w:rsidR="00C7145E" w:rsidRPr="00DB0C80" w:rsidRDefault="00C7145E" w:rsidP="00C82817">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B7F05" id="Text Box 13" o:spid="_x0000_s1044" type="#_x0000_t202" style="position:absolute;margin-left:250.2pt;margin-top:14.6pt;width:32.55pt;height:2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" strokecolor="white">
                <v:textbox>
                  <w:txbxContent>
                    <w:p w14:paraId="54EF084F" w14:textId="77777777" w:rsidR="00C7145E" w:rsidRPr="00DB0C80" w:rsidRDefault="00C7145E" w:rsidP="00C82817">
                      <w:r>
                        <w:t>Yes</w:t>
                      </w:r>
                    </w:p>
                  </w:txbxContent>
                </v:textbox>
              </v:shape>
            </w:pict>
          </mc:Fallback>
        </mc:AlternateContent>
      </w:r>
    </w:p>
    <w:p w14:paraId="34C59E18" w14:textId="77777777" w:rsidR="00C82817" w:rsidRPr="00DA4C13" w:rsidRDefault="00C82817" w:rsidP="00C82817">
      <w:pPr>
        <w:pStyle w:val="Default"/>
        <w:rPr>
          <w:rFonts w:ascii="Calibri" w:hAnsi="Calibri"/>
          <w:color w:val="auto"/>
        </w:rPr>
      </w:pPr>
    </w:p>
    <w:p w14:paraId="1C4ECF7E" w14:textId="77025206" w:rsidR="00C82817" w:rsidRPr="00DA4C13" w:rsidRDefault="007A5BB5" w:rsidP="00C82817">
      <w:pPr>
        <w:pStyle w:val="Default"/>
        <w:rPr>
          <w:rFonts w:ascii="Calibri" w:hAnsi="Calibri"/>
          <w:color w:val="auto"/>
        </w:rPr>
      </w:pPr>
      <w:r w:rsidRPr="00DA4C13">
        <w:rPr>
          <w:rFonts w:ascii="Calibri" w:hAnsi="Calibri"/>
          <w:noProof/>
          <w:color w:val="auto"/>
        </w:rPr>
        <mc:AlternateContent>
          <mc:Choice Requires="wps">
            <w:drawing>
              <wp:anchor distT="0" distB="0" distL="114300" distR="114300" simplePos="0" relativeHeight="251677696" behindDoc="0" locked="0" layoutInCell="1" allowOverlap="1" wp14:anchorId="673EE131" wp14:editId="448017FF">
                <wp:simplePos x="0" y="0"/>
                <wp:positionH relativeFrom="column">
                  <wp:posOffset>4098290</wp:posOffset>
                </wp:positionH>
                <wp:positionV relativeFrom="paragraph">
                  <wp:posOffset>501015</wp:posOffset>
                </wp:positionV>
                <wp:extent cx="1476375" cy="640080"/>
                <wp:effectExtent l="0" t="0" r="2857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40080"/>
                        </a:xfrm>
                        <a:prstGeom prst="rect">
                          <a:avLst/>
                        </a:prstGeom>
                        <a:solidFill>
                          <a:srgbClr val="FFFFFF"/>
                        </a:solidFill>
                        <a:ln w="9525">
                          <a:solidFill>
                            <a:srgbClr val="000000"/>
                          </a:solidFill>
                          <a:prstDash val="dashDot"/>
                          <a:miter lim="800000"/>
                          <a:headEnd/>
                          <a:tailEnd/>
                        </a:ln>
                      </wps:spPr>
                      <wps:txbx>
                        <w:txbxContent>
                          <w:p w14:paraId="6D799840" w14:textId="77777777" w:rsidR="00C7145E" w:rsidRPr="000B2153" w:rsidRDefault="00C7145E" w:rsidP="00C82817">
                            <w:pPr>
                              <w:jc w:val="center"/>
                            </w:pPr>
                            <w:r>
                              <w:t>Enables entity to acquire or construct a non-financial asset?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EE131" id="Text Box 3" o:spid="_x0000_s1045" type="#_x0000_t202" style="position:absolute;margin-left:322.7pt;margin-top:39.45pt;width:116.25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">
                <v:stroke dashstyle="dashDot"/>
                <v:textbox>
                  <w:txbxContent>
                    <w:p w14:paraId="6D799840" w14:textId="77777777" w:rsidR="00C7145E" w:rsidRPr="000B2153" w:rsidRDefault="00C7145E" w:rsidP="00C82817">
                      <w:pPr>
                        <w:jc w:val="center"/>
                      </w:pPr>
                      <w:r>
                        <w:t>Enables entity to acquire or construct a non-financial asset?</w:t>
                      </w:r>
                    </w:p>
                  </w:txbxContent>
                </v:textbox>
              </v:shape>
            </w:pict>
          </mc:Fallback>
        </mc:AlternateContent>
      </w:r>
      <w:r w:rsidR="00202291" w:rsidRPr="00DA4C13">
        <w:rPr>
          <w:rFonts w:ascii="Calibri" w:hAnsi="Calibri"/>
          <w:noProof/>
          <w:color w:val="auto"/>
        </w:rPr>
        <mc:AlternateContent>
          <mc:Choice Requires="wps">
            <w:drawing>
              <wp:anchor distT="0" distB="0" distL="114300" distR="114300" simplePos="0" relativeHeight="251666432" behindDoc="0" locked="0" layoutInCell="1" allowOverlap="1" wp14:anchorId="68525B6D" wp14:editId="53F4FE8F">
                <wp:simplePos x="0" y="0"/>
                <wp:positionH relativeFrom="column">
                  <wp:posOffset>1619250</wp:posOffset>
                </wp:positionH>
                <wp:positionV relativeFrom="paragraph">
                  <wp:posOffset>1240155</wp:posOffset>
                </wp:positionV>
                <wp:extent cx="45719" cy="558800"/>
                <wp:effectExtent l="38100" t="0" r="50165" b="508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C8A51" id="_x0000_t32" coordsize="21600,21600" o:spt="32" o:oned="t" path="m,l21600,21600e" filled="f">
                <v:path arrowok="t" fillok="f" o:connecttype="none"/>
                <o:lock v:ext="edit" shapetype="t"/>
              </v:shapetype>
              <v:shape id="Straight Arrow Connector 4" o:spid="_x0000_s1026" type="#_x0000_t32" style="position:absolute;margin-left:127.5pt;margin-top:97.65pt;width:3.6pt;height:4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">
                <v:stroke endarrow="block"/>
              </v:shape>
            </w:pict>
          </mc:Fallback>
        </mc:AlternateContent>
      </w:r>
      <w:r w:rsidR="00202291" w:rsidRPr="00DA4C13">
        <w:rPr>
          <w:rFonts w:ascii="Calibri" w:hAnsi="Calibri"/>
          <w:noProof/>
          <w:color w:val="auto"/>
        </w:rPr>
        <mc:AlternateContent>
          <mc:Choice Requires="wps">
            <w:drawing>
              <wp:anchor distT="0" distB="0" distL="114300" distR="114300" simplePos="0" relativeHeight="251676672" behindDoc="0" locked="0" layoutInCell="1" allowOverlap="1" wp14:anchorId="1D421B0F" wp14:editId="494F8357">
                <wp:simplePos x="0" y="0"/>
                <wp:positionH relativeFrom="column">
                  <wp:posOffset>1070610</wp:posOffset>
                </wp:positionH>
                <wp:positionV relativeFrom="paragraph">
                  <wp:posOffset>1356360</wp:posOffset>
                </wp:positionV>
                <wp:extent cx="413385" cy="264160"/>
                <wp:effectExtent l="13335" t="7620" r="1143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3F69C550" w14:textId="77777777" w:rsidR="00C7145E" w:rsidRPr="00DB0C80" w:rsidRDefault="00C7145E" w:rsidP="00C82817">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21B0F" id="Text Box 12" o:spid="_x0000_s1046" type="#_x0000_t202" style="position:absolute;margin-left:84.3pt;margin-top:106.8pt;width:32.55pt;height:2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" strokecolor="white">
                <v:textbox>
                  <w:txbxContent>
                    <w:p w14:paraId="3F69C550" w14:textId="77777777" w:rsidR="00C7145E" w:rsidRPr="00DB0C80" w:rsidRDefault="00C7145E" w:rsidP="00C82817">
                      <w:r>
                        <w:t>No</w:t>
                      </w:r>
                    </w:p>
                  </w:txbxContent>
                </v:textbox>
              </v:shape>
            </w:pict>
          </mc:Fallback>
        </mc:AlternateContent>
      </w:r>
      <w:r w:rsidR="00202291" w:rsidRPr="00DA4C13">
        <w:rPr>
          <w:rFonts w:ascii="Calibri" w:hAnsi="Calibri"/>
          <w:noProof/>
          <w:color w:val="auto"/>
        </w:rPr>
        <mc:AlternateContent>
          <mc:Choice Requires="wps">
            <w:drawing>
              <wp:anchor distT="0" distB="0" distL="114300" distR="114300" simplePos="0" relativeHeight="251662336" behindDoc="0" locked="0" layoutInCell="1" allowOverlap="1" wp14:anchorId="4CCF74A7" wp14:editId="4E2629C6">
                <wp:simplePos x="0" y="0"/>
                <wp:positionH relativeFrom="column">
                  <wp:posOffset>581025</wp:posOffset>
                </wp:positionH>
                <wp:positionV relativeFrom="paragraph">
                  <wp:posOffset>1799590</wp:posOffset>
                </wp:positionV>
                <wp:extent cx="2000250" cy="86423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64235"/>
                        </a:xfrm>
                        <a:prstGeom prst="rect">
                          <a:avLst/>
                        </a:prstGeom>
                        <a:solidFill>
                          <a:srgbClr val="FFFFFF"/>
                        </a:solidFill>
                        <a:ln w="9525">
                          <a:solidFill>
                            <a:srgbClr val="000000"/>
                          </a:solidFill>
                          <a:miter lim="800000"/>
                          <a:headEnd/>
                          <a:tailEnd/>
                        </a:ln>
                      </wps:spPr>
                      <wps:txbx>
                        <w:txbxContent>
                          <w:p w14:paraId="6EE90166" w14:textId="77777777" w:rsidR="00C7145E" w:rsidRPr="00BE5376" w:rsidRDefault="00C7145E" w:rsidP="00C82817">
                            <w:pPr>
                              <w:jc w:val="center"/>
                              <w:rPr>
                                <w:b/>
                              </w:rPr>
                            </w:pPr>
                            <w:r w:rsidRPr="00BE5376">
                              <w:rPr>
                                <w:b/>
                              </w:rPr>
                              <w:t>Apply AASB 15</w:t>
                            </w:r>
                          </w:p>
                          <w:p w14:paraId="7BE79C10" w14:textId="77777777" w:rsidR="00C7145E" w:rsidRPr="000B2153" w:rsidRDefault="00C7145E" w:rsidP="00C82817">
                            <w:r>
                              <w:t>Recognise revenue as the performance obligations are satisfied.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F74A7" id="_x0000_s1047" type="#_x0000_t202" style="position:absolute;margin-left:45.75pt;margin-top:141.7pt;width:157.5pt;height:6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">
                <v:textbox>
                  <w:txbxContent>
                    <w:p w14:paraId="6EE90166" w14:textId="77777777" w:rsidR="00C7145E" w:rsidRPr="00BE5376" w:rsidRDefault="00C7145E" w:rsidP="00C82817">
                      <w:pPr>
                        <w:jc w:val="center"/>
                        <w:rPr>
                          <w:b/>
                        </w:rPr>
                      </w:pPr>
                      <w:r w:rsidRPr="00BE5376">
                        <w:rPr>
                          <w:b/>
                        </w:rPr>
                        <w:t>Apply AASB 15</w:t>
                      </w:r>
                    </w:p>
                    <w:p w14:paraId="7BE79C10" w14:textId="77777777" w:rsidR="00C7145E" w:rsidRPr="000B2153" w:rsidRDefault="00C7145E" w:rsidP="00C82817">
                      <w:r>
                        <w:t>Recognise revenue as the performance obligations are satisfied.</w:t>
                      </w:r>
                    </w:p>
                  </w:txbxContent>
                </v:textbox>
              </v:shape>
            </w:pict>
          </mc:Fallback>
        </mc:AlternateContent>
      </w:r>
      <w:r w:rsidR="00202291" w:rsidRPr="00DA4C13">
        <w:rPr>
          <w:rFonts w:ascii="Calibri" w:hAnsi="Calibri"/>
          <w:noProof/>
          <w:color w:val="auto"/>
        </w:rPr>
        <mc:AlternateContent>
          <mc:Choice Requires="wps">
            <w:drawing>
              <wp:anchor distT="0" distB="0" distL="114300" distR="114300" simplePos="0" relativeHeight="251681792" behindDoc="0" locked="0" layoutInCell="1" allowOverlap="1" wp14:anchorId="74831B38" wp14:editId="1CC128DC">
                <wp:simplePos x="0" y="0"/>
                <wp:positionH relativeFrom="column">
                  <wp:posOffset>3752849</wp:posOffset>
                </wp:positionH>
                <wp:positionV relativeFrom="paragraph">
                  <wp:posOffset>1107440</wp:posOffset>
                </wp:positionV>
                <wp:extent cx="1047750" cy="1244600"/>
                <wp:effectExtent l="38100" t="0" r="19050" b="508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124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B3251" id="Straight Arrow Connector 6" o:spid="_x0000_s1026" type="#_x0000_t32" style="position:absolute;margin-left:295.5pt;margin-top:87.2pt;width:82.5pt;height:9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">
                <v:stroke endarrow="block"/>
              </v:shape>
            </w:pict>
          </mc:Fallback>
        </mc:AlternateContent>
      </w:r>
      <w:r w:rsidR="00202291" w:rsidRPr="00DA4C13">
        <w:rPr>
          <w:rFonts w:ascii="Calibri" w:hAnsi="Calibri"/>
          <w:noProof/>
          <w:color w:val="auto"/>
        </w:rPr>
        <mc:AlternateContent>
          <mc:Choice Requires="wps">
            <w:drawing>
              <wp:anchor distT="0" distB="0" distL="114300" distR="114300" simplePos="0" relativeHeight="251678720" behindDoc="0" locked="0" layoutInCell="1" allowOverlap="1" wp14:anchorId="2BEF9C37" wp14:editId="0BC3E558">
                <wp:simplePos x="0" y="0"/>
                <wp:positionH relativeFrom="column">
                  <wp:posOffset>2819400</wp:posOffset>
                </wp:positionH>
                <wp:positionV relativeFrom="paragraph">
                  <wp:posOffset>2327910</wp:posOffset>
                </wp:positionV>
                <wp:extent cx="1743075" cy="333375"/>
                <wp:effectExtent l="9525" t="762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3375"/>
                        </a:xfrm>
                        <a:prstGeom prst="rect">
                          <a:avLst/>
                        </a:prstGeom>
                        <a:solidFill>
                          <a:srgbClr val="FFFFFF"/>
                        </a:solidFill>
                        <a:ln w="9525">
                          <a:solidFill>
                            <a:srgbClr val="000000"/>
                          </a:solidFill>
                          <a:miter lim="800000"/>
                          <a:headEnd/>
                          <a:tailEnd/>
                        </a:ln>
                      </wps:spPr>
                      <wps:txbx>
                        <w:txbxContent>
                          <w:p w14:paraId="12AD1B0D" w14:textId="77777777" w:rsidR="00C7145E" w:rsidRDefault="00C7145E" w:rsidP="00C82817">
                            <w:r>
                              <w:t>Recognise as income.</w:t>
                            </w:r>
                          </w:p>
                          <w:p w14:paraId="15F38B88" w14:textId="77777777" w:rsidR="00C7145E" w:rsidRPr="000B2153" w:rsidRDefault="00C7145E" w:rsidP="00C82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F9C37" id="Text Box 10" o:spid="_x0000_s1048" type="#_x0000_t202" style="position:absolute;margin-left:222pt;margin-top:183.3pt;width:137.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">
                <v:textbox>
                  <w:txbxContent>
                    <w:p w14:paraId="12AD1B0D" w14:textId="77777777" w:rsidR="00C7145E" w:rsidRDefault="00C7145E" w:rsidP="00C82817">
                      <w:r>
                        <w:t>Recognise as income.</w:t>
                      </w:r>
                    </w:p>
                    <w:p w14:paraId="15F38B88" w14:textId="77777777" w:rsidR="00C7145E" w:rsidRPr="000B2153" w:rsidRDefault="00C7145E" w:rsidP="00C82817"/>
                  </w:txbxContent>
                </v:textbox>
              </v:shape>
            </w:pict>
          </mc:Fallback>
        </mc:AlternateContent>
      </w:r>
      <w:r w:rsidR="00C82817" w:rsidRPr="00DA4C13">
        <w:rPr>
          <w:rFonts w:ascii="Calibri" w:hAnsi="Calibri"/>
          <w:noProof/>
          <w:color w:val="auto"/>
        </w:rPr>
        <mc:AlternateContent>
          <mc:Choice Requires="wps">
            <w:drawing>
              <wp:anchor distT="0" distB="0" distL="114300" distR="114300" simplePos="0" relativeHeight="251679744" behindDoc="0" locked="0" layoutInCell="1" allowOverlap="1" wp14:anchorId="1352136B" wp14:editId="38EE8989">
                <wp:simplePos x="0" y="0"/>
                <wp:positionH relativeFrom="column">
                  <wp:posOffset>4648200</wp:posOffset>
                </wp:positionH>
                <wp:positionV relativeFrom="paragraph">
                  <wp:posOffset>1975485</wp:posOffset>
                </wp:positionV>
                <wp:extent cx="1695450" cy="828675"/>
                <wp:effectExtent l="9525" t="7620"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28675"/>
                        </a:xfrm>
                        <a:prstGeom prst="rect">
                          <a:avLst/>
                        </a:prstGeom>
                        <a:solidFill>
                          <a:srgbClr val="FFFFFF"/>
                        </a:solidFill>
                        <a:ln w="9525">
                          <a:solidFill>
                            <a:srgbClr val="000000"/>
                          </a:solidFill>
                          <a:miter lim="800000"/>
                          <a:headEnd/>
                          <a:tailEnd/>
                        </a:ln>
                      </wps:spPr>
                      <wps:txbx>
                        <w:txbxContent>
                          <w:p w14:paraId="7C53B329" w14:textId="77777777" w:rsidR="00C7145E" w:rsidRDefault="00C7145E" w:rsidP="00C82817">
                            <w:r>
                              <w:t>Recognise as liability;</w:t>
                            </w:r>
                          </w:p>
                          <w:p w14:paraId="320D1505" w14:textId="77777777" w:rsidR="00C7145E" w:rsidRPr="000B2153" w:rsidRDefault="00C7145E" w:rsidP="00C82817">
                            <w:r>
                              <w:t>Recognise as income as the performance obligations are satisfied.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2136B" id="Text Box 11" o:spid="_x0000_s1049" type="#_x0000_t202" style="position:absolute;margin-left:366pt;margin-top:155.55pt;width:133.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">
                <v:textbox>
                  <w:txbxContent>
                    <w:p w14:paraId="7C53B329" w14:textId="77777777" w:rsidR="00C7145E" w:rsidRDefault="00C7145E" w:rsidP="00C82817">
                      <w:r>
                        <w:t>Recognise as liability;</w:t>
                      </w:r>
                    </w:p>
                    <w:p w14:paraId="320D1505" w14:textId="77777777" w:rsidR="00C7145E" w:rsidRPr="000B2153" w:rsidRDefault="00C7145E" w:rsidP="00C82817">
                      <w:r>
                        <w:t>Recognise as income as the performance obligations are satisfied.</w:t>
                      </w:r>
                    </w:p>
                  </w:txbxContent>
                </v:textbox>
              </v:shape>
            </w:pict>
          </mc:Fallback>
        </mc:AlternateContent>
      </w:r>
      <w:r w:rsidR="00C82817" w:rsidRPr="00DA4C13">
        <w:rPr>
          <w:rFonts w:ascii="Calibri" w:hAnsi="Calibri"/>
          <w:noProof/>
          <w:color w:val="auto"/>
        </w:rPr>
        <mc:AlternateContent>
          <mc:Choice Requires="wps">
            <w:drawing>
              <wp:anchor distT="0" distB="0" distL="114300" distR="114300" simplePos="0" relativeHeight="251680768" behindDoc="0" locked="0" layoutInCell="1" allowOverlap="1" wp14:anchorId="5D143AE2" wp14:editId="6C23C79E">
                <wp:simplePos x="0" y="0"/>
                <wp:positionH relativeFrom="column">
                  <wp:posOffset>4801235</wp:posOffset>
                </wp:positionH>
                <wp:positionV relativeFrom="paragraph">
                  <wp:posOffset>77470</wp:posOffset>
                </wp:positionV>
                <wp:extent cx="0" cy="421640"/>
                <wp:effectExtent l="10160" t="5080" r="8890"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5B75C" id="Straight Arrow Connector 9" o:spid="_x0000_s1026" type="#_x0000_t32" style="position:absolute;margin-left:378.05pt;margin-top:6.1pt;width:0;height:3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">
                <v:stroke dashstyle="dashDot"/>
              </v:shape>
            </w:pict>
          </mc:Fallback>
        </mc:AlternateContent>
      </w:r>
      <w:r w:rsidR="00C82817" w:rsidRPr="00DA4C13">
        <w:rPr>
          <w:rFonts w:ascii="Calibri" w:hAnsi="Calibri"/>
          <w:noProof/>
          <w:color w:val="auto"/>
        </w:rPr>
        <mc:AlternateContent>
          <mc:Choice Requires="wps">
            <w:drawing>
              <wp:anchor distT="0" distB="0" distL="114300" distR="114300" simplePos="0" relativeHeight="251683840" behindDoc="0" locked="0" layoutInCell="1" allowOverlap="1" wp14:anchorId="33ADD83C" wp14:editId="2F4D3590">
                <wp:simplePos x="0" y="0"/>
                <wp:positionH relativeFrom="column">
                  <wp:posOffset>5250180</wp:posOffset>
                </wp:positionH>
                <wp:positionV relativeFrom="paragraph">
                  <wp:posOffset>1308735</wp:posOffset>
                </wp:positionV>
                <wp:extent cx="413385" cy="264160"/>
                <wp:effectExtent l="11430" t="7620" r="1333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1D867C56" w14:textId="77777777" w:rsidR="00C7145E" w:rsidRPr="00DB0C80" w:rsidRDefault="00C7145E" w:rsidP="00C82817">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DD83C" id="Text Box 8" o:spid="_x0000_s1050" type="#_x0000_t202" style="position:absolute;margin-left:413.4pt;margin-top:103.05pt;width:32.55pt;height:2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" strokecolor="white">
                <v:textbox>
                  <w:txbxContent>
                    <w:p w14:paraId="1D867C56" w14:textId="77777777" w:rsidR="00C7145E" w:rsidRPr="00DB0C80" w:rsidRDefault="00C7145E" w:rsidP="00C82817">
                      <w:r>
                        <w:t>Yes</w:t>
                      </w:r>
                    </w:p>
                  </w:txbxContent>
                </v:textbox>
              </v:shape>
            </w:pict>
          </mc:Fallback>
        </mc:AlternateContent>
      </w:r>
      <w:r w:rsidR="00C82817" w:rsidRPr="00DA4C13">
        <w:rPr>
          <w:rFonts w:ascii="Calibri" w:hAnsi="Calibri"/>
          <w:noProof/>
          <w:color w:val="auto"/>
        </w:rPr>
        <mc:AlternateContent>
          <mc:Choice Requires="wps">
            <w:drawing>
              <wp:anchor distT="0" distB="0" distL="114300" distR="114300" simplePos="0" relativeHeight="251684864" behindDoc="0" locked="0" layoutInCell="1" allowOverlap="1" wp14:anchorId="400C9EE4" wp14:editId="070B4729">
                <wp:simplePos x="0" y="0"/>
                <wp:positionH relativeFrom="column">
                  <wp:posOffset>3507105</wp:posOffset>
                </wp:positionH>
                <wp:positionV relativeFrom="paragraph">
                  <wp:posOffset>1228090</wp:posOffset>
                </wp:positionV>
                <wp:extent cx="413385" cy="264160"/>
                <wp:effectExtent l="11430" t="12700" r="1333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64160"/>
                        </a:xfrm>
                        <a:prstGeom prst="rect">
                          <a:avLst/>
                        </a:prstGeom>
                        <a:solidFill>
                          <a:srgbClr val="FFFFFF"/>
                        </a:solidFill>
                        <a:ln w="9525">
                          <a:solidFill>
                            <a:srgbClr val="FFFFFF"/>
                          </a:solidFill>
                          <a:miter lim="800000"/>
                          <a:headEnd/>
                          <a:tailEnd/>
                        </a:ln>
                      </wps:spPr>
                      <wps:txbx>
                        <w:txbxContent>
                          <w:p w14:paraId="3F59364C" w14:textId="77777777" w:rsidR="00C7145E" w:rsidRPr="00DB0C80" w:rsidRDefault="00C7145E" w:rsidP="00C82817">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C9EE4" id="Text Box 7" o:spid="_x0000_s1051" type="#_x0000_t202" style="position:absolute;margin-left:276.15pt;margin-top:96.7pt;width:32.55pt;height:2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" strokecolor="white">
                <v:textbox>
                  <w:txbxContent>
                    <w:p w14:paraId="3F59364C" w14:textId="77777777" w:rsidR="00C7145E" w:rsidRPr="00DB0C80" w:rsidRDefault="00C7145E" w:rsidP="00C82817">
                      <w:r>
                        <w:t>No</w:t>
                      </w:r>
                    </w:p>
                  </w:txbxContent>
                </v:textbox>
              </v:shape>
            </w:pict>
          </mc:Fallback>
        </mc:AlternateContent>
      </w:r>
      <w:r w:rsidR="00C82817" w:rsidRPr="00DA4C13">
        <w:rPr>
          <w:rFonts w:ascii="Calibri" w:hAnsi="Calibri"/>
          <w:noProof/>
          <w:color w:val="auto"/>
        </w:rPr>
        <mc:AlternateContent>
          <mc:Choice Requires="wps">
            <w:drawing>
              <wp:anchor distT="0" distB="0" distL="114300" distR="114300" simplePos="0" relativeHeight="251682816" behindDoc="0" locked="0" layoutInCell="1" allowOverlap="1" wp14:anchorId="07316F8B" wp14:editId="2327A0D3">
                <wp:simplePos x="0" y="0"/>
                <wp:positionH relativeFrom="column">
                  <wp:posOffset>4801235</wp:posOffset>
                </wp:positionH>
                <wp:positionV relativeFrom="paragraph">
                  <wp:posOffset>1104265</wp:posOffset>
                </wp:positionV>
                <wp:extent cx="504190" cy="871220"/>
                <wp:effectExtent l="10160" t="12700" r="57150" b="400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871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AB347" id="Straight Arrow Connector 5" o:spid="_x0000_s1026" type="#_x0000_t32" style="position:absolute;margin-left:378.05pt;margin-top:86.95pt;width:39.7pt;height:6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">
                <v:stroke endarrow="block"/>
              </v:shape>
            </w:pict>
          </mc:Fallback>
        </mc:AlternateContent>
      </w:r>
    </w:p>
    <w:p w14:paraId="167AE746" w14:textId="77777777" w:rsidR="00C82817" w:rsidRDefault="00C82817" w:rsidP="00C82817">
      <w:pPr>
        <w:pStyle w:val="Default"/>
        <w:rPr>
          <w:rFonts w:ascii="Calibri" w:hAnsi="Calibri"/>
          <w:b/>
          <w:color w:val="auto"/>
          <w:sz w:val="28"/>
          <w:szCs w:val="28"/>
        </w:rPr>
        <w:sectPr w:rsidR="00C82817" w:rsidSect="00EE2E62">
          <w:footerReference w:type="default" r:id="rId21"/>
          <w:pgSz w:w="11906" w:h="16838"/>
          <w:pgMar w:top="1440" w:right="1440" w:bottom="1276" w:left="1440" w:header="708" w:footer="708" w:gutter="0"/>
          <w:cols w:space="708"/>
          <w:docGrid w:linePitch="360"/>
        </w:sectPr>
      </w:pPr>
    </w:p>
    <w:p w14:paraId="04071B63" w14:textId="63D95966" w:rsidR="00C82817" w:rsidRDefault="004251B1" w:rsidP="00044B9F">
      <w:pPr>
        <w:pStyle w:val="Heading1"/>
      </w:pPr>
      <w:bookmarkStart w:id="126" w:name="_Toc45622641"/>
      <w:r>
        <w:lastRenderedPageBreak/>
        <w:t>C1.</w:t>
      </w:r>
      <w:r>
        <w:tab/>
      </w:r>
      <w:r w:rsidR="00C82817" w:rsidRPr="00A876B9">
        <w:t>Commonwealth Grants</w:t>
      </w:r>
      <w:r w:rsidR="00C82817">
        <w:t xml:space="preserve"> funding</w:t>
      </w:r>
      <w:bookmarkEnd w:id="126"/>
    </w:p>
    <w:p w14:paraId="1FB245DC" w14:textId="77777777" w:rsidR="00C82817" w:rsidRPr="0070117B" w:rsidRDefault="00C82817" w:rsidP="00C82817"/>
    <w:p w14:paraId="152ED8CC" w14:textId="4609C42B" w:rsidR="00C82817" w:rsidRPr="004251B1" w:rsidRDefault="004251B1" w:rsidP="004251B1">
      <w:pPr>
        <w:pStyle w:val="Heading2"/>
      </w:pPr>
      <w:bookmarkStart w:id="127" w:name="_Toc45622642"/>
      <w:r w:rsidRPr="004251B1">
        <w:t>C1.</w:t>
      </w:r>
      <w:r>
        <w:t>1</w:t>
      </w:r>
      <w:r w:rsidRPr="004251B1">
        <w:tab/>
      </w:r>
      <w:r w:rsidR="00C82817" w:rsidRPr="004251B1">
        <w:t>Impact from the New Revenue Standards</w:t>
      </w:r>
      <w:bookmarkEnd w:id="127"/>
    </w:p>
    <w:p w14:paraId="413FD5B6" w14:textId="60DB6C61" w:rsidR="00C82817" w:rsidRDefault="00C82817" w:rsidP="006260C4">
      <w:pPr>
        <w:spacing w:before="120"/>
        <w:rPr>
          <w:szCs w:val="24"/>
        </w:rPr>
      </w:pPr>
      <w:r w:rsidRPr="000F0DB0">
        <w:rPr>
          <w:szCs w:val="24"/>
        </w:rPr>
        <w:t>Some of the C</w:t>
      </w:r>
      <w:r>
        <w:rPr>
          <w:szCs w:val="24"/>
        </w:rPr>
        <w:t>ommonwealth</w:t>
      </w:r>
      <w:r w:rsidRPr="000F0DB0">
        <w:rPr>
          <w:szCs w:val="24"/>
        </w:rPr>
        <w:t xml:space="preserve"> funding received is quite general and for a broad purpose.  This includes GST</w:t>
      </w:r>
      <w:r>
        <w:rPr>
          <w:szCs w:val="24"/>
        </w:rPr>
        <w:t xml:space="preserve"> Revenue</w:t>
      </w:r>
      <w:r w:rsidRPr="000F0DB0">
        <w:rPr>
          <w:szCs w:val="24"/>
        </w:rPr>
        <w:t xml:space="preserve">, </w:t>
      </w:r>
      <w:r>
        <w:rPr>
          <w:szCs w:val="24"/>
        </w:rPr>
        <w:t>F</w:t>
      </w:r>
      <w:r w:rsidRPr="000F0DB0">
        <w:rPr>
          <w:szCs w:val="24"/>
        </w:rPr>
        <w:t xml:space="preserve">inancial </w:t>
      </w:r>
      <w:r>
        <w:rPr>
          <w:szCs w:val="24"/>
        </w:rPr>
        <w:t>A</w:t>
      </w:r>
      <w:r w:rsidRPr="000F0DB0">
        <w:rPr>
          <w:szCs w:val="24"/>
        </w:rPr>
        <w:t>ssistance</w:t>
      </w:r>
      <w:r>
        <w:rPr>
          <w:szCs w:val="24"/>
        </w:rPr>
        <w:t>-L</w:t>
      </w:r>
      <w:r w:rsidRPr="000F0DB0">
        <w:rPr>
          <w:szCs w:val="24"/>
        </w:rPr>
        <w:t xml:space="preserve">ocal </w:t>
      </w:r>
      <w:r>
        <w:rPr>
          <w:szCs w:val="24"/>
        </w:rPr>
        <w:t>G</w:t>
      </w:r>
      <w:r w:rsidRPr="000F0DB0">
        <w:rPr>
          <w:szCs w:val="24"/>
        </w:rPr>
        <w:t xml:space="preserve">overnment </w:t>
      </w:r>
      <w:r>
        <w:rPr>
          <w:szCs w:val="24"/>
        </w:rPr>
        <w:t xml:space="preserve">Grants </w:t>
      </w:r>
      <w:r w:rsidRPr="000F0DB0">
        <w:rPr>
          <w:szCs w:val="24"/>
        </w:rPr>
        <w:t>and Specific Purpose Payments (SPP</w:t>
      </w:r>
      <w:r>
        <w:rPr>
          <w:szCs w:val="24"/>
        </w:rPr>
        <w:t>s</w:t>
      </w:r>
      <w:r w:rsidRPr="000F0DB0">
        <w:rPr>
          <w:szCs w:val="24"/>
        </w:rPr>
        <w:t xml:space="preserve">).  These funding arrangements fall </w:t>
      </w:r>
      <w:r>
        <w:rPr>
          <w:szCs w:val="24"/>
        </w:rPr>
        <w:t>outside</w:t>
      </w:r>
      <w:r w:rsidRPr="000F0DB0">
        <w:rPr>
          <w:szCs w:val="24"/>
        </w:rPr>
        <w:t xml:space="preserve"> the scope of AASB 15</w:t>
      </w:r>
      <w:r>
        <w:rPr>
          <w:szCs w:val="24"/>
        </w:rPr>
        <w:t xml:space="preserve"> because the underlying performance obligations are not sufficiently specific.  </w:t>
      </w:r>
    </w:p>
    <w:p w14:paraId="48F68B85" w14:textId="77777777" w:rsidR="00C82817" w:rsidRDefault="00C82817" w:rsidP="00C82817">
      <w:pPr>
        <w:rPr>
          <w:szCs w:val="24"/>
        </w:rPr>
      </w:pPr>
    </w:p>
    <w:p w14:paraId="35535671" w14:textId="727BBE77" w:rsidR="00C82817" w:rsidRDefault="00C82817" w:rsidP="00C82817">
      <w:pPr>
        <w:rPr>
          <w:szCs w:val="24"/>
        </w:rPr>
      </w:pPr>
      <w:r w:rsidRPr="000F0DB0">
        <w:rPr>
          <w:szCs w:val="24"/>
        </w:rPr>
        <w:t xml:space="preserve">However, some </w:t>
      </w:r>
      <w:r>
        <w:rPr>
          <w:szCs w:val="24"/>
        </w:rPr>
        <w:t xml:space="preserve">Commonwealth grants </w:t>
      </w:r>
      <w:r w:rsidRPr="000F0DB0">
        <w:rPr>
          <w:szCs w:val="24"/>
        </w:rPr>
        <w:t>have very specific performance obligations, milestones and benchmarks.  Th</w:t>
      </w:r>
      <w:r>
        <w:rPr>
          <w:szCs w:val="24"/>
        </w:rPr>
        <w:t>ese include</w:t>
      </w:r>
      <w:r w:rsidRPr="000F0DB0">
        <w:rPr>
          <w:szCs w:val="24"/>
        </w:rPr>
        <w:t xml:space="preserve"> the majority of the National Partnership </w:t>
      </w:r>
      <w:r>
        <w:rPr>
          <w:szCs w:val="24"/>
        </w:rPr>
        <w:t xml:space="preserve">(NP) </w:t>
      </w:r>
      <w:r w:rsidRPr="000F0DB0">
        <w:rPr>
          <w:szCs w:val="24"/>
        </w:rPr>
        <w:t xml:space="preserve">Agreements.  These funding arrangements fall within the scope of AASB 15 (where there is an enforceable contract with sufficiently specific performance obligations and goods and services are transferred to a customer) or AASB 1058 (residual approach).  </w:t>
      </w:r>
    </w:p>
    <w:p w14:paraId="1046C33C" w14:textId="05BC8CC6" w:rsidR="006260C4" w:rsidRDefault="006260C4" w:rsidP="00C82817">
      <w:pPr>
        <w:rPr>
          <w:szCs w:val="24"/>
        </w:rPr>
      </w:pPr>
    </w:p>
    <w:p w14:paraId="2D712F58" w14:textId="214310D2" w:rsidR="006260C4" w:rsidRDefault="006260C4" w:rsidP="00C82817">
      <w:pPr>
        <w:rPr>
          <w:szCs w:val="24"/>
        </w:rPr>
      </w:pPr>
      <w:r>
        <w:rPr>
          <w:szCs w:val="24"/>
        </w:rPr>
        <w:t>T</w:t>
      </w:r>
      <w:r w:rsidRPr="006260C4">
        <w:rPr>
          <w:szCs w:val="24"/>
        </w:rPr>
        <w:t xml:space="preserve">he agreement </w:t>
      </w:r>
      <w:r>
        <w:rPr>
          <w:szCs w:val="24"/>
        </w:rPr>
        <w:t xml:space="preserve">components should be </w:t>
      </w:r>
      <w:r w:rsidR="001523BC">
        <w:rPr>
          <w:szCs w:val="24"/>
        </w:rPr>
        <w:t>separated,</w:t>
      </w:r>
      <w:r w:rsidRPr="006260C4">
        <w:rPr>
          <w:szCs w:val="24"/>
        </w:rPr>
        <w:t xml:space="preserve"> and sufficiently specific performance obligations are recognised in accordance with AASB 15 with any residual component being accounted for in accordance with AASB 1058</w:t>
      </w:r>
      <w:r>
        <w:rPr>
          <w:szCs w:val="24"/>
        </w:rPr>
        <w:t>.</w:t>
      </w:r>
    </w:p>
    <w:p w14:paraId="592800D2" w14:textId="77777777" w:rsidR="00C82817" w:rsidRDefault="00C82817" w:rsidP="00C82817">
      <w:pPr>
        <w:rPr>
          <w:szCs w:val="24"/>
        </w:rPr>
      </w:pPr>
    </w:p>
    <w:p w14:paraId="6EB454F9" w14:textId="77777777" w:rsidR="00C82817" w:rsidRDefault="00C82817" w:rsidP="00C82817">
      <w:pPr>
        <w:rPr>
          <w:szCs w:val="24"/>
        </w:rPr>
      </w:pPr>
      <w:r>
        <w:rPr>
          <w:szCs w:val="24"/>
        </w:rPr>
        <w:t>For these grants</w:t>
      </w:r>
      <w:r w:rsidRPr="000F0DB0">
        <w:rPr>
          <w:szCs w:val="24"/>
        </w:rPr>
        <w:t>, a liability needs to be recognised for the amount of C</w:t>
      </w:r>
      <w:r>
        <w:rPr>
          <w:szCs w:val="24"/>
        </w:rPr>
        <w:t>ommonwealth</w:t>
      </w:r>
      <w:r w:rsidRPr="000F0DB0">
        <w:rPr>
          <w:szCs w:val="24"/>
        </w:rPr>
        <w:t xml:space="preserve"> funding received for which the performance obligations remain unsatisfied.</w:t>
      </w:r>
      <w:r>
        <w:rPr>
          <w:szCs w:val="24"/>
        </w:rPr>
        <w:t xml:space="preserve">  </w:t>
      </w:r>
    </w:p>
    <w:p w14:paraId="172CC8C0" w14:textId="77777777" w:rsidR="00C82817" w:rsidRPr="009423F3" w:rsidRDefault="00C82817" w:rsidP="00C82817">
      <w:pPr>
        <w:rPr>
          <w:szCs w:val="24"/>
        </w:rPr>
      </w:pPr>
    </w:p>
    <w:p w14:paraId="2C1E1DA1" w14:textId="3F1A3299" w:rsidR="00C82817" w:rsidRPr="004251B1" w:rsidRDefault="004251B1" w:rsidP="004251B1">
      <w:pPr>
        <w:pStyle w:val="Heading2"/>
      </w:pPr>
      <w:bookmarkStart w:id="128" w:name="_Toc45622643"/>
      <w:r w:rsidRPr="004251B1">
        <w:t>C1.</w:t>
      </w:r>
      <w:r>
        <w:t>2</w:t>
      </w:r>
      <w:r w:rsidRPr="004251B1">
        <w:tab/>
      </w:r>
      <w:r w:rsidR="00C82817" w:rsidRPr="004251B1">
        <w:t>Existing processes</w:t>
      </w:r>
      <w:bookmarkEnd w:id="128"/>
      <w:r w:rsidR="00C82817" w:rsidRPr="004251B1">
        <w:t xml:space="preserve"> </w:t>
      </w:r>
    </w:p>
    <w:p w14:paraId="1A6385F4" w14:textId="77777777" w:rsidR="00C82817" w:rsidRPr="000F0DB0" w:rsidRDefault="00C82817" w:rsidP="006260C4">
      <w:pPr>
        <w:spacing w:before="120"/>
        <w:rPr>
          <w:szCs w:val="24"/>
        </w:rPr>
      </w:pPr>
      <w:r>
        <w:rPr>
          <w:szCs w:val="24"/>
        </w:rPr>
        <w:t>Commonwealth f</w:t>
      </w:r>
      <w:r w:rsidRPr="000F0DB0">
        <w:rPr>
          <w:szCs w:val="24"/>
        </w:rPr>
        <w:t>unding agreement</w:t>
      </w:r>
      <w:r>
        <w:rPr>
          <w:szCs w:val="24"/>
        </w:rPr>
        <w:t>s are</w:t>
      </w:r>
      <w:r w:rsidRPr="000F0DB0">
        <w:rPr>
          <w:szCs w:val="24"/>
        </w:rPr>
        <w:t xml:space="preserve"> signed between the </w:t>
      </w:r>
      <w:r>
        <w:rPr>
          <w:szCs w:val="24"/>
        </w:rPr>
        <w:t>Territory</w:t>
      </w:r>
      <w:r w:rsidRPr="000F0DB0">
        <w:rPr>
          <w:szCs w:val="24"/>
        </w:rPr>
        <w:t xml:space="preserve"> (Chief Minister) and the C</w:t>
      </w:r>
      <w:r>
        <w:rPr>
          <w:szCs w:val="24"/>
        </w:rPr>
        <w:t>ommonwealth</w:t>
      </w:r>
      <w:r w:rsidRPr="000F0DB0">
        <w:rPr>
          <w:szCs w:val="24"/>
        </w:rPr>
        <w:t xml:space="preserve">.  </w:t>
      </w:r>
      <w:r>
        <w:rPr>
          <w:szCs w:val="24"/>
        </w:rPr>
        <w:t>Commonwealth f</w:t>
      </w:r>
      <w:r w:rsidRPr="000F0DB0">
        <w:rPr>
          <w:szCs w:val="24"/>
        </w:rPr>
        <w:t xml:space="preserve">unds are </w:t>
      </w:r>
      <w:r>
        <w:rPr>
          <w:szCs w:val="24"/>
        </w:rPr>
        <w:t xml:space="preserve">largely </w:t>
      </w:r>
      <w:r w:rsidRPr="000F0DB0">
        <w:rPr>
          <w:szCs w:val="24"/>
        </w:rPr>
        <w:t xml:space="preserve">received by </w:t>
      </w:r>
      <w:r>
        <w:rPr>
          <w:szCs w:val="24"/>
        </w:rPr>
        <w:t>the Chief Minister, Treasury and Economic Development Directorate (</w:t>
      </w:r>
      <w:r w:rsidRPr="000F0DB0">
        <w:rPr>
          <w:szCs w:val="24"/>
        </w:rPr>
        <w:t>CMTEDD</w:t>
      </w:r>
      <w:r>
        <w:rPr>
          <w:szCs w:val="24"/>
        </w:rPr>
        <w:t>)</w:t>
      </w:r>
      <w:r w:rsidRPr="000F0DB0">
        <w:rPr>
          <w:szCs w:val="24"/>
        </w:rPr>
        <w:t xml:space="preserve"> and recognised as revenue on behalf of the </w:t>
      </w:r>
      <w:r>
        <w:rPr>
          <w:szCs w:val="24"/>
        </w:rPr>
        <w:t>Territory</w:t>
      </w:r>
      <w:r w:rsidRPr="000F0DB0">
        <w:rPr>
          <w:szCs w:val="24"/>
        </w:rPr>
        <w:t xml:space="preserve"> at the time of receipt</w:t>
      </w:r>
      <w:r>
        <w:rPr>
          <w:szCs w:val="24"/>
        </w:rPr>
        <w:t xml:space="preserve">, as </w:t>
      </w:r>
      <w:r w:rsidRPr="000F0DB0">
        <w:rPr>
          <w:szCs w:val="24"/>
        </w:rPr>
        <w:t xml:space="preserve">CMTEDD administers the grants on behalf of the </w:t>
      </w:r>
      <w:r>
        <w:rPr>
          <w:szCs w:val="24"/>
        </w:rPr>
        <w:t>Territory</w:t>
      </w:r>
      <w:r w:rsidRPr="000F0DB0">
        <w:rPr>
          <w:szCs w:val="24"/>
        </w:rPr>
        <w:t xml:space="preserve"> (i.e. </w:t>
      </w:r>
      <w:r>
        <w:rPr>
          <w:szCs w:val="24"/>
        </w:rPr>
        <w:t xml:space="preserve">it is </w:t>
      </w:r>
      <w:r w:rsidRPr="000F0DB0">
        <w:rPr>
          <w:szCs w:val="24"/>
        </w:rPr>
        <w:t>no</w:t>
      </w:r>
      <w:r>
        <w:rPr>
          <w:szCs w:val="24"/>
        </w:rPr>
        <w:t>t controlled</w:t>
      </w:r>
      <w:r w:rsidRPr="000F0DB0">
        <w:rPr>
          <w:szCs w:val="24"/>
        </w:rPr>
        <w:t>).</w:t>
      </w:r>
      <w:r>
        <w:rPr>
          <w:szCs w:val="24"/>
        </w:rPr>
        <w:t xml:space="preserve">  </w:t>
      </w:r>
      <w:r w:rsidRPr="000F0DB0">
        <w:rPr>
          <w:szCs w:val="24"/>
        </w:rPr>
        <w:t xml:space="preserve">The amount received is immediately </w:t>
      </w:r>
      <w:r>
        <w:rPr>
          <w:szCs w:val="24"/>
        </w:rPr>
        <w:t>transferred</w:t>
      </w:r>
      <w:r w:rsidRPr="000F0DB0">
        <w:rPr>
          <w:szCs w:val="24"/>
        </w:rPr>
        <w:t xml:space="preserve"> to the Territory Banking Account (TBA).  CMTEDD </w:t>
      </w:r>
      <w:r>
        <w:rPr>
          <w:szCs w:val="24"/>
        </w:rPr>
        <w:t>Territorial recognises an expense</w:t>
      </w:r>
      <w:r w:rsidRPr="000F0DB0">
        <w:rPr>
          <w:szCs w:val="24"/>
        </w:rPr>
        <w:t xml:space="preserve"> and </w:t>
      </w:r>
      <w:r>
        <w:rPr>
          <w:szCs w:val="24"/>
        </w:rPr>
        <w:t xml:space="preserve">the </w:t>
      </w:r>
      <w:r w:rsidRPr="000F0DB0">
        <w:rPr>
          <w:szCs w:val="24"/>
        </w:rPr>
        <w:t>TBA recognises revenue for the amount transferred.</w:t>
      </w:r>
      <w:r>
        <w:rPr>
          <w:szCs w:val="24"/>
        </w:rPr>
        <w:t xml:space="preserve">  The Commonwealth funding is then on passed to the relevant ACT Government agency in the form of appropriation.</w:t>
      </w:r>
    </w:p>
    <w:p w14:paraId="77169AA8" w14:textId="77777777" w:rsidR="00C82817" w:rsidRDefault="00C82817" w:rsidP="00C82817">
      <w:pPr>
        <w:rPr>
          <w:szCs w:val="24"/>
        </w:rPr>
      </w:pPr>
    </w:p>
    <w:p w14:paraId="39382800" w14:textId="77777777" w:rsidR="00C82817" w:rsidRDefault="00C82817" w:rsidP="00C82817">
      <w:pPr>
        <w:rPr>
          <w:szCs w:val="24"/>
        </w:rPr>
      </w:pPr>
      <w:r w:rsidRPr="000F0DB0">
        <w:rPr>
          <w:szCs w:val="24"/>
        </w:rPr>
        <w:t xml:space="preserve">Appropriations are allocated to agencies under the </w:t>
      </w:r>
      <w:r w:rsidRPr="000F0DB0">
        <w:rPr>
          <w:i/>
          <w:szCs w:val="24"/>
        </w:rPr>
        <w:t>Financial Management Act 1996</w:t>
      </w:r>
      <w:r w:rsidRPr="000F0DB0">
        <w:rPr>
          <w:szCs w:val="24"/>
        </w:rPr>
        <w:t>.</w:t>
      </w:r>
      <w:r>
        <w:rPr>
          <w:szCs w:val="24"/>
        </w:rPr>
        <w:t xml:space="preserve">  </w:t>
      </w:r>
      <w:r w:rsidRPr="000F0DB0">
        <w:rPr>
          <w:szCs w:val="24"/>
        </w:rPr>
        <w:t xml:space="preserve">Appropriation is for a purpose (‘reasonably considered to be within the usual responsibilities and ordinary business of an entity’) and the Directors-General have the discretion to manage the appropriation within </w:t>
      </w:r>
      <w:r>
        <w:rPr>
          <w:szCs w:val="24"/>
        </w:rPr>
        <w:t>that purpose</w:t>
      </w:r>
      <w:r w:rsidRPr="000F0DB0">
        <w:rPr>
          <w:szCs w:val="24"/>
        </w:rPr>
        <w:t>.</w:t>
      </w:r>
      <w:r>
        <w:rPr>
          <w:szCs w:val="24"/>
        </w:rPr>
        <w:t xml:space="preserve">  </w:t>
      </w:r>
      <w:r w:rsidRPr="000F0DB0">
        <w:rPr>
          <w:szCs w:val="24"/>
        </w:rPr>
        <w:t>Controlled Recurrent Payment appropriation (CRP) and Expenses on Behalf of the Territory appropriation (EBT) are recognised as revenue</w:t>
      </w:r>
      <w:r>
        <w:rPr>
          <w:szCs w:val="24"/>
        </w:rPr>
        <w:t>s</w:t>
      </w:r>
      <w:r w:rsidRPr="000F0DB0">
        <w:rPr>
          <w:szCs w:val="24"/>
        </w:rPr>
        <w:t xml:space="preserve"> and Capital injection </w:t>
      </w:r>
      <w:r>
        <w:rPr>
          <w:szCs w:val="24"/>
        </w:rPr>
        <w:t xml:space="preserve">appropriation </w:t>
      </w:r>
      <w:r w:rsidRPr="000F0DB0">
        <w:rPr>
          <w:szCs w:val="24"/>
        </w:rPr>
        <w:t>is recognised as equity contribution in the agenc</w:t>
      </w:r>
      <w:r>
        <w:rPr>
          <w:szCs w:val="24"/>
        </w:rPr>
        <w:t>ies</w:t>
      </w:r>
      <w:r w:rsidRPr="000F0DB0">
        <w:rPr>
          <w:szCs w:val="24"/>
        </w:rPr>
        <w:t xml:space="preserve">.  Appropriations are </w:t>
      </w:r>
      <w:r>
        <w:rPr>
          <w:szCs w:val="24"/>
        </w:rPr>
        <w:t>provided from the TBA to agencies on a cash needs basis</w:t>
      </w:r>
      <w:r w:rsidRPr="000F0DB0">
        <w:rPr>
          <w:szCs w:val="24"/>
        </w:rPr>
        <w:t>.</w:t>
      </w:r>
      <w:r>
        <w:rPr>
          <w:szCs w:val="24"/>
        </w:rPr>
        <w:t xml:space="preserve">  </w:t>
      </w:r>
      <w:r w:rsidRPr="000F0DB0">
        <w:rPr>
          <w:szCs w:val="24"/>
        </w:rPr>
        <w:t xml:space="preserve">Appropriation drawn does not identify </w:t>
      </w:r>
      <w:r>
        <w:rPr>
          <w:szCs w:val="24"/>
        </w:rPr>
        <w:t xml:space="preserve">appropriation funded </w:t>
      </w:r>
      <w:r w:rsidRPr="000F0DB0">
        <w:rPr>
          <w:szCs w:val="24"/>
        </w:rPr>
        <w:t>from C</w:t>
      </w:r>
      <w:r>
        <w:rPr>
          <w:szCs w:val="24"/>
        </w:rPr>
        <w:t>ommonwealth funds/Territory</w:t>
      </w:r>
      <w:r w:rsidRPr="000F0DB0">
        <w:rPr>
          <w:szCs w:val="24"/>
        </w:rPr>
        <w:t>.</w:t>
      </w:r>
      <w:r>
        <w:rPr>
          <w:szCs w:val="24"/>
        </w:rPr>
        <w:t xml:space="preserve">  </w:t>
      </w:r>
    </w:p>
    <w:p w14:paraId="3A636357" w14:textId="77777777" w:rsidR="00C82817" w:rsidRDefault="00C82817" w:rsidP="00C82817">
      <w:pPr>
        <w:rPr>
          <w:szCs w:val="24"/>
        </w:rPr>
      </w:pPr>
    </w:p>
    <w:p w14:paraId="11E6C432" w14:textId="77777777" w:rsidR="00C82817" w:rsidRDefault="00C82817" w:rsidP="00C82817">
      <w:pPr>
        <w:rPr>
          <w:szCs w:val="24"/>
        </w:rPr>
      </w:pPr>
      <w:r w:rsidRPr="000F0DB0">
        <w:rPr>
          <w:szCs w:val="24"/>
        </w:rPr>
        <w:t xml:space="preserve">Commonwealth SPP and NP funding received is acquitted annually (receipts </w:t>
      </w:r>
      <w:r>
        <w:rPr>
          <w:szCs w:val="24"/>
        </w:rPr>
        <w:t>v</w:t>
      </w:r>
      <w:r w:rsidRPr="000F0DB0">
        <w:rPr>
          <w:szCs w:val="24"/>
        </w:rPr>
        <w:t xml:space="preserve">s expenditure) and the process is coordinated centrally </w:t>
      </w:r>
      <w:r>
        <w:rPr>
          <w:szCs w:val="24"/>
        </w:rPr>
        <w:t xml:space="preserve">by </w:t>
      </w:r>
      <w:r w:rsidRPr="000F0DB0">
        <w:rPr>
          <w:szCs w:val="24"/>
        </w:rPr>
        <w:t>CMTEDD.</w:t>
      </w:r>
    </w:p>
    <w:p w14:paraId="5D015F7F" w14:textId="77777777" w:rsidR="00C82817" w:rsidRPr="000F0DB0" w:rsidRDefault="00C82817" w:rsidP="00C82817">
      <w:pPr>
        <w:rPr>
          <w:szCs w:val="24"/>
        </w:rPr>
      </w:pPr>
    </w:p>
    <w:p w14:paraId="18B960DB" w14:textId="3C6216D0" w:rsidR="00C82817" w:rsidRPr="004251B1" w:rsidRDefault="004251B1" w:rsidP="004251B1">
      <w:pPr>
        <w:pStyle w:val="Heading2"/>
      </w:pPr>
      <w:bookmarkStart w:id="129" w:name="_Toc45622644"/>
      <w:r w:rsidRPr="004251B1">
        <w:lastRenderedPageBreak/>
        <w:t>C1.3</w:t>
      </w:r>
      <w:r w:rsidRPr="004251B1">
        <w:tab/>
      </w:r>
      <w:r w:rsidR="00C82817" w:rsidRPr="004251B1">
        <w:t>Approach</w:t>
      </w:r>
      <w:bookmarkEnd w:id="129"/>
    </w:p>
    <w:p w14:paraId="1AC5839C" w14:textId="77777777" w:rsidR="00C82817" w:rsidRPr="00BC06F9" w:rsidRDefault="00C82817" w:rsidP="00C82817">
      <w:pPr>
        <w:rPr>
          <w:szCs w:val="24"/>
        </w:rPr>
      </w:pPr>
      <w:r w:rsidRPr="00A46A50">
        <w:rPr>
          <w:szCs w:val="24"/>
        </w:rPr>
        <w:t>A liability shall be recognised in CMTEDD Territorial for the amount of Commonwealth funding received for which the performance obligations have not yet been performed.</w:t>
      </w:r>
      <w:r w:rsidRPr="00BC06F9">
        <w:rPr>
          <w:szCs w:val="24"/>
        </w:rPr>
        <w:t xml:space="preserve">  </w:t>
      </w:r>
    </w:p>
    <w:p w14:paraId="2656A72E" w14:textId="77777777" w:rsidR="00C82817" w:rsidRDefault="00C82817" w:rsidP="00C82817">
      <w:pPr>
        <w:rPr>
          <w:szCs w:val="24"/>
        </w:rPr>
      </w:pPr>
    </w:p>
    <w:p w14:paraId="65584954" w14:textId="77777777" w:rsidR="00C82817" w:rsidRPr="000F0DB0" w:rsidRDefault="00C82817" w:rsidP="00C82817">
      <w:pPr>
        <w:rPr>
          <w:szCs w:val="24"/>
        </w:rPr>
      </w:pPr>
      <w:r>
        <w:rPr>
          <w:szCs w:val="24"/>
        </w:rPr>
        <w:t xml:space="preserve">Given </w:t>
      </w:r>
      <w:r w:rsidRPr="000F0DB0">
        <w:rPr>
          <w:szCs w:val="24"/>
        </w:rPr>
        <w:t xml:space="preserve">CMTEDD receives the funding and recognises it as revenue on behalf of the </w:t>
      </w:r>
      <w:r>
        <w:rPr>
          <w:szCs w:val="24"/>
        </w:rPr>
        <w:t>Territory, if</w:t>
      </w:r>
      <w:r w:rsidRPr="000F0DB0">
        <w:rPr>
          <w:szCs w:val="24"/>
        </w:rPr>
        <w:t xml:space="preserve"> the liability </w:t>
      </w:r>
      <w:r>
        <w:rPr>
          <w:szCs w:val="24"/>
        </w:rPr>
        <w:t>is</w:t>
      </w:r>
      <w:r w:rsidRPr="000F0DB0">
        <w:rPr>
          <w:szCs w:val="24"/>
        </w:rPr>
        <w:t xml:space="preserve"> not recognised here, CMTEDD’s territorial revenue </w:t>
      </w:r>
      <w:r w:rsidRPr="00DD6E5E">
        <w:rPr>
          <w:szCs w:val="24"/>
        </w:rPr>
        <w:t>(as well as the consolidated revenue at the Territory level)</w:t>
      </w:r>
      <w:r>
        <w:rPr>
          <w:szCs w:val="24"/>
        </w:rPr>
        <w:t xml:space="preserve"> </w:t>
      </w:r>
      <w:r w:rsidRPr="000F0DB0">
        <w:rPr>
          <w:szCs w:val="24"/>
        </w:rPr>
        <w:t xml:space="preserve">would be overstated.  Also, in the event that underlying obligations are not performed </w:t>
      </w:r>
      <w:r>
        <w:rPr>
          <w:szCs w:val="24"/>
        </w:rPr>
        <w:t xml:space="preserve">and the associated funding needs to be refunded to the Commonwealth, </w:t>
      </w:r>
      <w:r w:rsidRPr="000F0DB0">
        <w:rPr>
          <w:szCs w:val="24"/>
        </w:rPr>
        <w:t xml:space="preserve">it is CMTEDD </w:t>
      </w:r>
      <w:r>
        <w:rPr>
          <w:szCs w:val="24"/>
        </w:rPr>
        <w:t xml:space="preserve">Territorial </w:t>
      </w:r>
      <w:r w:rsidRPr="000F0DB0">
        <w:rPr>
          <w:szCs w:val="24"/>
        </w:rPr>
        <w:t>as recipient of the funds on behalf of the Territory</w:t>
      </w:r>
      <w:r>
        <w:rPr>
          <w:szCs w:val="24"/>
        </w:rPr>
        <w:t>,</w:t>
      </w:r>
      <w:r w:rsidRPr="000F0DB0">
        <w:rPr>
          <w:szCs w:val="24"/>
        </w:rPr>
        <w:t xml:space="preserve"> </w:t>
      </w:r>
      <w:r>
        <w:rPr>
          <w:szCs w:val="24"/>
        </w:rPr>
        <w:t>which</w:t>
      </w:r>
      <w:r w:rsidRPr="000F0DB0">
        <w:rPr>
          <w:szCs w:val="24"/>
        </w:rPr>
        <w:t xml:space="preserve"> would be obliged to return the funding</w:t>
      </w:r>
      <w:r>
        <w:rPr>
          <w:szCs w:val="24"/>
        </w:rPr>
        <w:t xml:space="preserve"> to the Commonwealth</w:t>
      </w:r>
      <w:r w:rsidRPr="000F0DB0">
        <w:rPr>
          <w:szCs w:val="24"/>
        </w:rPr>
        <w:t xml:space="preserve">.  </w:t>
      </w:r>
    </w:p>
    <w:p w14:paraId="07020F82" w14:textId="77777777" w:rsidR="00C82817" w:rsidRDefault="00C82817" w:rsidP="00C82817">
      <w:pPr>
        <w:rPr>
          <w:szCs w:val="24"/>
        </w:rPr>
      </w:pPr>
    </w:p>
    <w:p w14:paraId="7519A898" w14:textId="77777777" w:rsidR="00C82817" w:rsidRPr="000F0DB0" w:rsidRDefault="00C82817" w:rsidP="00C82817">
      <w:pPr>
        <w:rPr>
          <w:szCs w:val="24"/>
        </w:rPr>
      </w:pPr>
      <w:r w:rsidRPr="000F0DB0">
        <w:rPr>
          <w:szCs w:val="24"/>
        </w:rPr>
        <w:t xml:space="preserve">It </w:t>
      </w:r>
      <w:r>
        <w:rPr>
          <w:szCs w:val="24"/>
        </w:rPr>
        <w:t xml:space="preserve">is acknowledged that </w:t>
      </w:r>
      <w:r w:rsidRPr="000F0DB0">
        <w:rPr>
          <w:szCs w:val="24"/>
        </w:rPr>
        <w:t xml:space="preserve">it is the relevant </w:t>
      </w:r>
      <w:r>
        <w:rPr>
          <w:szCs w:val="24"/>
        </w:rPr>
        <w:t xml:space="preserve">delivering </w:t>
      </w:r>
      <w:r w:rsidRPr="000F0DB0">
        <w:rPr>
          <w:szCs w:val="24"/>
        </w:rPr>
        <w:t xml:space="preserve">agency </w:t>
      </w:r>
      <w:r>
        <w:rPr>
          <w:szCs w:val="24"/>
        </w:rPr>
        <w:t>e.g. TCCS</w:t>
      </w:r>
      <w:r w:rsidRPr="000F0DB0">
        <w:rPr>
          <w:szCs w:val="24"/>
        </w:rPr>
        <w:t xml:space="preserve"> that perform</w:t>
      </w:r>
      <w:r>
        <w:rPr>
          <w:szCs w:val="24"/>
        </w:rPr>
        <w:t>s</w:t>
      </w:r>
      <w:r w:rsidRPr="000F0DB0">
        <w:rPr>
          <w:szCs w:val="24"/>
        </w:rPr>
        <w:t xml:space="preserve"> the obligations </w:t>
      </w:r>
      <w:r>
        <w:rPr>
          <w:szCs w:val="24"/>
        </w:rPr>
        <w:t xml:space="preserve">specified in the Commonwealth </w:t>
      </w:r>
      <w:r w:rsidRPr="000F0DB0">
        <w:rPr>
          <w:szCs w:val="24"/>
        </w:rPr>
        <w:t>funding</w:t>
      </w:r>
      <w:r>
        <w:rPr>
          <w:szCs w:val="24"/>
        </w:rPr>
        <w:t xml:space="preserve"> agreement, not CMTEDD.  Ho</w:t>
      </w:r>
      <w:r w:rsidRPr="000F0DB0">
        <w:rPr>
          <w:szCs w:val="24"/>
        </w:rPr>
        <w:t xml:space="preserve">wever, the delivering agency does not receive </w:t>
      </w:r>
      <w:r>
        <w:rPr>
          <w:szCs w:val="24"/>
        </w:rPr>
        <w:t xml:space="preserve">the funds directly and has </w:t>
      </w:r>
      <w:r w:rsidRPr="000F0DB0">
        <w:rPr>
          <w:szCs w:val="24"/>
        </w:rPr>
        <w:t>no control over the C</w:t>
      </w:r>
      <w:r>
        <w:rPr>
          <w:szCs w:val="24"/>
        </w:rPr>
        <w:t xml:space="preserve">ommonwealth </w:t>
      </w:r>
      <w:r w:rsidRPr="000F0DB0">
        <w:rPr>
          <w:szCs w:val="24"/>
        </w:rPr>
        <w:t>funding until it receives appropriation</w:t>
      </w:r>
      <w:r>
        <w:rPr>
          <w:szCs w:val="24"/>
        </w:rPr>
        <w:t xml:space="preserve">, </w:t>
      </w:r>
      <w:r w:rsidRPr="000F0DB0">
        <w:rPr>
          <w:szCs w:val="24"/>
        </w:rPr>
        <w:t xml:space="preserve">drawn </w:t>
      </w:r>
      <w:r>
        <w:rPr>
          <w:szCs w:val="24"/>
        </w:rPr>
        <w:t xml:space="preserve">down </w:t>
      </w:r>
      <w:r w:rsidRPr="000F0DB0">
        <w:rPr>
          <w:szCs w:val="24"/>
        </w:rPr>
        <w:t xml:space="preserve">according to </w:t>
      </w:r>
      <w:r>
        <w:rPr>
          <w:szCs w:val="24"/>
        </w:rPr>
        <w:t>its payment requirements</w:t>
      </w:r>
      <w:r w:rsidRPr="000F0DB0">
        <w:rPr>
          <w:szCs w:val="24"/>
        </w:rPr>
        <w:t xml:space="preserve">.  There is usually no advance </w:t>
      </w:r>
      <w:r>
        <w:rPr>
          <w:szCs w:val="24"/>
        </w:rPr>
        <w:t xml:space="preserve">payment of appropriation to agencies </w:t>
      </w:r>
      <w:r w:rsidRPr="000F0DB0">
        <w:rPr>
          <w:szCs w:val="24"/>
        </w:rPr>
        <w:t>and therefore no deferred revenue liability</w:t>
      </w:r>
      <w:r>
        <w:rPr>
          <w:szCs w:val="24"/>
        </w:rPr>
        <w:t xml:space="preserve"> (contract liability)</w:t>
      </w:r>
      <w:r w:rsidRPr="000F0DB0">
        <w:rPr>
          <w:szCs w:val="24"/>
        </w:rPr>
        <w:t>.  Also, the timing of receipt of the C</w:t>
      </w:r>
      <w:r>
        <w:rPr>
          <w:szCs w:val="24"/>
        </w:rPr>
        <w:t>ommonwealth</w:t>
      </w:r>
      <w:r w:rsidRPr="000F0DB0">
        <w:rPr>
          <w:szCs w:val="24"/>
        </w:rPr>
        <w:t xml:space="preserve"> funds can be different to the timing of drawdown </w:t>
      </w:r>
      <w:r>
        <w:rPr>
          <w:szCs w:val="24"/>
        </w:rPr>
        <w:t xml:space="preserve">of appropriation </w:t>
      </w:r>
      <w:r w:rsidRPr="000F0DB0">
        <w:rPr>
          <w:szCs w:val="24"/>
        </w:rPr>
        <w:t>by the relevant agency, sometimes even across financial years.</w:t>
      </w:r>
    </w:p>
    <w:p w14:paraId="7465BC29" w14:textId="77777777" w:rsidR="00C82817" w:rsidRDefault="00C82817" w:rsidP="00C82817">
      <w:pPr>
        <w:rPr>
          <w:szCs w:val="24"/>
        </w:rPr>
      </w:pPr>
    </w:p>
    <w:p w14:paraId="7DF0754A" w14:textId="77777777" w:rsidR="00C82817" w:rsidRDefault="00C82817" w:rsidP="00C82817">
      <w:pPr>
        <w:rPr>
          <w:szCs w:val="24"/>
        </w:rPr>
      </w:pPr>
      <w:r>
        <w:rPr>
          <w:szCs w:val="24"/>
        </w:rPr>
        <w:t xml:space="preserve">Further, </w:t>
      </w:r>
      <w:r w:rsidRPr="000F0DB0">
        <w:rPr>
          <w:szCs w:val="24"/>
        </w:rPr>
        <w:t>capital injections are recognised as equity contributions</w:t>
      </w:r>
      <w:r>
        <w:rPr>
          <w:szCs w:val="24"/>
        </w:rPr>
        <w:t>, not revenue in agency books</w:t>
      </w:r>
      <w:r w:rsidRPr="000F0DB0">
        <w:rPr>
          <w:szCs w:val="24"/>
        </w:rPr>
        <w:t>.  There cannot be a revenue received in advance</w:t>
      </w:r>
      <w:r>
        <w:rPr>
          <w:szCs w:val="24"/>
        </w:rPr>
        <w:t xml:space="preserve"> (contract liabilities)</w:t>
      </w:r>
      <w:r w:rsidRPr="000F0DB0">
        <w:rPr>
          <w:szCs w:val="24"/>
        </w:rPr>
        <w:t xml:space="preserve"> for equity contributions.  </w:t>
      </w:r>
    </w:p>
    <w:p w14:paraId="0CD09697" w14:textId="77777777" w:rsidR="00C82817" w:rsidRDefault="00C82817" w:rsidP="00C82817">
      <w:pPr>
        <w:rPr>
          <w:szCs w:val="24"/>
        </w:rPr>
      </w:pPr>
    </w:p>
    <w:p w14:paraId="392DD854" w14:textId="77777777" w:rsidR="00C82817" w:rsidRPr="004251B1" w:rsidRDefault="00C82817" w:rsidP="004251B1">
      <w:pPr>
        <w:rPr>
          <w:b/>
          <w:bCs/>
        </w:rPr>
      </w:pPr>
      <w:bookmarkStart w:id="130" w:name="_Hlk39149514"/>
      <w:r w:rsidRPr="004251B1">
        <w:rPr>
          <w:b/>
          <w:bCs/>
        </w:rPr>
        <w:t>Proposed Journal Entries:</w:t>
      </w:r>
    </w:p>
    <w:p w14:paraId="2ED0CE35" w14:textId="77777777" w:rsidR="00C82817" w:rsidRDefault="00C82817" w:rsidP="00C82817">
      <w:pPr>
        <w:rPr>
          <w:szCs w:val="24"/>
        </w:rPr>
      </w:pPr>
      <w:r>
        <w:rPr>
          <w:szCs w:val="24"/>
        </w:rPr>
        <w:t xml:space="preserve">A deferred liability will be recognised in CMTEDD Territorial which represents the Territory’s obligation to either fulfil its performance obligations or refund the funding received.  In the event that the obligations are not performed by the Territory, the Commonwealth is likely to adjust this refund amount against its future grant payments to the Territory rather than requiring a cash refund from the Territory.  Based on this it is considered appropriate that the amount of deferred liability in CMTEDD Territorial have a corresponding adjustment against the payable to TBA.  Also, accounting for the deferred liability in CMTEDD Territorial against a receivable from the TBA is not appropriate given TBA cannot make payments to agencies except under an appropriation. </w:t>
      </w:r>
    </w:p>
    <w:p w14:paraId="1B8389DE" w14:textId="77777777" w:rsidR="00C82817" w:rsidRDefault="00C82817" w:rsidP="00C82817">
      <w:pPr>
        <w:rPr>
          <w:szCs w:val="24"/>
        </w:rPr>
      </w:pPr>
    </w:p>
    <w:p w14:paraId="204CCF7C" w14:textId="77777777" w:rsidR="00C82817" w:rsidRPr="000F0DB0" w:rsidRDefault="00C82817" w:rsidP="00C82817">
      <w:pPr>
        <w:rPr>
          <w:szCs w:val="24"/>
        </w:rPr>
      </w:pPr>
      <w:r>
        <w:rPr>
          <w:szCs w:val="24"/>
        </w:rPr>
        <w:t xml:space="preserve">The proposed journals </w:t>
      </w:r>
      <w:r w:rsidRPr="000F0DB0">
        <w:rPr>
          <w:szCs w:val="24"/>
        </w:rPr>
        <w:t xml:space="preserve">are provided at </w:t>
      </w:r>
      <w:r w:rsidRPr="004251B1">
        <w:rPr>
          <w:b/>
          <w:bCs/>
          <w:szCs w:val="24"/>
        </w:rPr>
        <w:t>Attachment A</w:t>
      </w:r>
      <w:r w:rsidRPr="000F0DB0">
        <w:rPr>
          <w:szCs w:val="24"/>
        </w:rPr>
        <w:t xml:space="preserve">.  </w:t>
      </w:r>
    </w:p>
    <w:bookmarkEnd w:id="130"/>
    <w:p w14:paraId="3DC0869D" w14:textId="77777777" w:rsidR="00C82817" w:rsidRDefault="00C82817" w:rsidP="00C82817">
      <w:pPr>
        <w:rPr>
          <w:szCs w:val="24"/>
        </w:rPr>
      </w:pPr>
      <w:r>
        <w:rPr>
          <w:szCs w:val="24"/>
        </w:rP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D - EXPECTED IMPACT ON REVENUE ITEMS"/>
      </w:tblPr>
      <w:tblGrid>
        <w:gridCol w:w="2110"/>
        <w:gridCol w:w="3346"/>
        <w:gridCol w:w="755"/>
        <w:gridCol w:w="1324"/>
        <w:gridCol w:w="2530"/>
      </w:tblGrid>
      <w:tr w:rsidR="001523BC" w:rsidRPr="00B554D8" w14:paraId="165C2D52" w14:textId="77777777" w:rsidTr="00A452C5">
        <w:trPr>
          <w:cantSplit/>
          <w:tblHeader/>
        </w:trPr>
        <w:tc>
          <w:tcPr>
            <w:tcW w:w="10065" w:type="dxa"/>
            <w:gridSpan w:val="5"/>
          </w:tcPr>
          <w:p w14:paraId="69EF249B" w14:textId="4DB67D4E" w:rsidR="001523BC" w:rsidRPr="00B554D8" w:rsidRDefault="001523BC" w:rsidP="00044B9F">
            <w:pPr>
              <w:pStyle w:val="Heading1"/>
            </w:pPr>
            <w:bookmarkStart w:id="131" w:name="_Toc45622645"/>
            <w:r>
              <w:lastRenderedPageBreak/>
              <w:t>P</w:t>
            </w:r>
            <w:r w:rsidR="00070A39">
              <w:t>art</w:t>
            </w:r>
            <w:r>
              <w:t xml:space="preserve"> D </w:t>
            </w:r>
            <w:r w:rsidR="00070A39">
              <w:t>–</w:t>
            </w:r>
            <w:r>
              <w:t xml:space="preserve"> E</w:t>
            </w:r>
            <w:r w:rsidR="00C22E8A">
              <w:t>x</w:t>
            </w:r>
            <w:r w:rsidR="00070A39">
              <w:t>pected Impact on Revenue Items</w:t>
            </w:r>
            <w:bookmarkEnd w:id="131"/>
          </w:p>
        </w:tc>
      </w:tr>
      <w:tr w:rsidR="00C82817" w:rsidRPr="00B554D8" w14:paraId="296742D6" w14:textId="77777777" w:rsidTr="001523BC">
        <w:trPr>
          <w:cantSplit/>
          <w:tblHeader/>
        </w:trPr>
        <w:tc>
          <w:tcPr>
            <w:tcW w:w="2110" w:type="dxa"/>
          </w:tcPr>
          <w:p w14:paraId="14E893B6" w14:textId="77777777" w:rsidR="00C82817" w:rsidRPr="004251B1" w:rsidRDefault="00C82817" w:rsidP="00E765EF">
            <w:pPr>
              <w:pStyle w:val="Default"/>
              <w:rPr>
                <w:rFonts w:ascii="Calibri" w:hAnsi="Calibri"/>
                <w:b/>
                <w:color w:val="auto"/>
                <w:sz w:val="22"/>
                <w:szCs w:val="22"/>
              </w:rPr>
            </w:pPr>
            <w:r w:rsidRPr="004251B1">
              <w:rPr>
                <w:rFonts w:ascii="Calibri" w:hAnsi="Calibri"/>
                <w:b/>
                <w:color w:val="auto"/>
                <w:sz w:val="22"/>
                <w:szCs w:val="22"/>
              </w:rPr>
              <w:t>Revenue</w:t>
            </w:r>
          </w:p>
        </w:tc>
        <w:tc>
          <w:tcPr>
            <w:tcW w:w="3346" w:type="dxa"/>
          </w:tcPr>
          <w:p w14:paraId="3977664A" w14:textId="77777777" w:rsidR="00C82817" w:rsidRPr="004251B1" w:rsidRDefault="00C82817" w:rsidP="00E765EF">
            <w:pPr>
              <w:pStyle w:val="Default"/>
              <w:rPr>
                <w:rFonts w:ascii="Calibri" w:hAnsi="Calibri"/>
                <w:b/>
                <w:color w:val="auto"/>
                <w:sz w:val="22"/>
                <w:szCs w:val="22"/>
              </w:rPr>
            </w:pPr>
            <w:r w:rsidRPr="004251B1">
              <w:rPr>
                <w:rFonts w:ascii="Calibri" w:hAnsi="Calibri"/>
                <w:b/>
                <w:color w:val="auto"/>
                <w:sz w:val="22"/>
                <w:szCs w:val="22"/>
              </w:rPr>
              <w:t>Assessment of Criteria</w:t>
            </w:r>
          </w:p>
        </w:tc>
        <w:tc>
          <w:tcPr>
            <w:tcW w:w="755" w:type="dxa"/>
          </w:tcPr>
          <w:p w14:paraId="349BEF10" w14:textId="77777777" w:rsidR="00C82817" w:rsidRPr="004251B1" w:rsidRDefault="00C82817" w:rsidP="00E765EF">
            <w:pPr>
              <w:pStyle w:val="Default"/>
              <w:rPr>
                <w:rFonts w:ascii="Calibri" w:hAnsi="Calibri"/>
                <w:b/>
                <w:color w:val="auto"/>
                <w:sz w:val="22"/>
                <w:szCs w:val="22"/>
              </w:rPr>
            </w:pPr>
            <w:r w:rsidRPr="004251B1">
              <w:rPr>
                <w:rFonts w:ascii="Calibri" w:hAnsi="Calibri"/>
                <w:b/>
                <w:color w:val="auto"/>
                <w:sz w:val="22"/>
                <w:szCs w:val="22"/>
              </w:rPr>
              <w:t>AASB</w:t>
            </w:r>
          </w:p>
        </w:tc>
        <w:tc>
          <w:tcPr>
            <w:tcW w:w="1324" w:type="dxa"/>
          </w:tcPr>
          <w:p w14:paraId="5D2F0BE8" w14:textId="77777777" w:rsidR="00C82817" w:rsidRPr="004251B1" w:rsidRDefault="00C82817" w:rsidP="00E765EF">
            <w:pPr>
              <w:pStyle w:val="Default"/>
              <w:rPr>
                <w:rFonts w:ascii="Calibri" w:hAnsi="Calibri"/>
                <w:b/>
                <w:color w:val="auto"/>
                <w:sz w:val="22"/>
                <w:szCs w:val="22"/>
              </w:rPr>
            </w:pPr>
            <w:r w:rsidRPr="004251B1">
              <w:rPr>
                <w:rFonts w:ascii="Calibri" w:hAnsi="Calibri"/>
                <w:b/>
                <w:color w:val="auto"/>
                <w:sz w:val="22"/>
                <w:szCs w:val="22"/>
              </w:rPr>
              <w:t>Impact</w:t>
            </w:r>
          </w:p>
        </w:tc>
        <w:tc>
          <w:tcPr>
            <w:tcW w:w="2530" w:type="dxa"/>
          </w:tcPr>
          <w:p w14:paraId="70E8ADFA" w14:textId="77777777" w:rsidR="00C82817" w:rsidRPr="004251B1" w:rsidRDefault="00C82817" w:rsidP="00E765EF">
            <w:pPr>
              <w:pStyle w:val="Default"/>
              <w:rPr>
                <w:rFonts w:ascii="Calibri" w:hAnsi="Calibri"/>
                <w:b/>
                <w:color w:val="auto"/>
                <w:sz w:val="22"/>
                <w:szCs w:val="22"/>
              </w:rPr>
            </w:pPr>
            <w:r w:rsidRPr="004251B1">
              <w:rPr>
                <w:rFonts w:ascii="Calibri" w:hAnsi="Calibri"/>
                <w:b/>
                <w:color w:val="auto"/>
                <w:sz w:val="22"/>
                <w:szCs w:val="22"/>
              </w:rPr>
              <w:t>Recognition of Revenue</w:t>
            </w:r>
          </w:p>
        </w:tc>
      </w:tr>
      <w:tr w:rsidR="00C82817" w:rsidRPr="00B554D8" w14:paraId="7D36C489" w14:textId="77777777" w:rsidTr="001523BC">
        <w:trPr>
          <w:cantSplit/>
          <w:tblHeader/>
        </w:trPr>
        <w:tc>
          <w:tcPr>
            <w:tcW w:w="2110" w:type="dxa"/>
          </w:tcPr>
          <w:p w14:paraId="797BDEAF"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Appropriations – CRP, EBIT &amp; Capital Injection</w:t>
            </w:r>
          </w:p>
          <w:p w14:paraId="201AE2B3"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(AASB 1058.B26-B27)</w:t>
            </w:r>
          </w:p>
        </w:tc>
        <w:tc>
          <w:tcPr>
            <w:tcW w:w="3346" w:type="dxa"/>
          </w:tcPr>
          <w:p w14:paraId="4277C212"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CRP and EBIT appropriation is for the delivery of outputs, Capital Injection is equity contribution</w:t>
            </w:r>
          </w:p>
          <w:p w14:paraId="075D0C9A"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 xml:space="preserve">Not sufficiently specific </w:t>
            </w:r>
          </w:p>
          <w:p w14:paraId="17B91E2E"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D-G has discretion at entity level</w:t>
            </w:r>
          </w:p>
          <w:p w14:paraId="33C780F6"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Fortnightly drawdowns in accordance with requirements</w:t>
            </w:r>
          </w:p>
        </w:tc>
        <w:tc>
          <w:tcPr>
            <w:tcW w:w="755" w:type="dxa"/>
          </w:tcPr>
          <w:p w14:paraId="07AB2454" w14:textId="77777777" w:rsidR="00C82817" w:rsidRPr="004251B1" w:rsidRDefault="00C82817" w:rsidP="00E765EF">
            <w:pPr>
              <w:rPr>
                <w:sz w:val="20"/>
                <w:szCs w:val="20"/>
              </w:rPr>
            </w:pPr>
            <w:r w:rsidRPr="004251B1">
              <w:rPr>
                <w:sz w:val="20"/>
                <w:szCs w:val="20"/>
              </w:rPr>
              <w:t>1058</w:t>
            </w:r>
          </w:p>
        </w:tc>
        <w:tc>
          <w:tcPr>
            <w:tcW w:w="1324" w:type="dxa"/>
          </w:tcPr>
          <w:p w14:paraId="4B9D5E84" w14:textId="77777777" w:rsidR="00C82817" w:rsidRPr="004251B1" w:rsidRDefault="00C82817" w:rsidP="00E765EF">
            <w:pPr>
              <w:rPr>
                <w:sz w:val="20"/>
                <w:szCs w:val="20"/>
              </w:rPr>
            </w:pPr>
            <w:r w:rsidRPr="004251B1">
              <w:rPr>
                <w:sz w:val="20"/>
                <w:szCs w:val="20"/>
              </w:rPr>
              <w:t>Unchanged</w:t>
            </w:r>
          </w:p>
        </w:tc>
        <w:tc>
          <w:tcPr>
            <w:tcW w:w="2530" w:type="dxa"/>
          </w:tcPr>
          <w:p w14:paraId="6F3FCA0A"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Per current policy - when entity gains control over funds (usually on receipt of funds)</w:t>
            </w:r>
          </w:p>
        </w:tc>
      </w:tr>
      <w:tr w:rsidR="00C82817" w:rsidRPr="00B554D8" w14:paraId="2EB32137" w14:textId="77777777" w:rsidTr="001523BC">
        <w:trPr>
          <w:cantSplit/>
          <w:tblHeader/>
        </w:trPr>
        <w:tc>
          <w:tcPr>
            <w:tcW w:w="2110" w:type="dxa"/>
          </w:tcPr>
          <w:p w14:paraId="391EB2FB"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 xml:space="preserve">General purpose grants </w:t>
            </w:r>
          </w:p>
        </w:tc>
        <w:tc>
          <w:tcPr>
            <w:tcW w:w="3346" w:type="dxa"/>
          </w:tcPr>
          <w:p w14:paraId="69C520B8"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Performance obligations not likely to be sufficiently specific (AASB 15 does not apply)</w:t>
            </w:r>
          </w:p>
          <w:p w14:paraId="4A85355E"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Funds retained for own use to further the entity’s objectives (no customer)</w:t>
            </w:r>
          </w:p>
        </w:tc>
        <w:tc>
          <w:tcPr>
            <w:tcW w:w="755" w:type="dxa"/>
          </w:tcPr>
          <w:p w14:paraId="735D4105"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1058</w:t>
            </w:r>
          </w:p>
        </w:tc>
        <w:tc>
          <w:tcPr>
            <w:tcW w:w="1324" w:type="dxa"/>
          </w:tcPr>
          <w:p w14:paraId="5B944FE8" w14:textId="77777777" w:rsidR="00C82817" w:rsidRPr="004251B1" w:rsidRDefault="00C82817" w:rsidP="00E765EF">
            <w:pPr>
              <w:rPr>
                <w:sz w:val="20"/>
                <w:szCs w:val="20"/>
              </w:rPr>
            </w:pPr>
            <w:r w:rsidRPr="004251B1">
              <w:rPr>
                <w:sz w:val="20"/>
                <w:szCs w:val="20"/>
              </w:rPr>
              <w:t>Unchanged</w:t>
            </w:r>
          </w:p>
        </w:tc>
        <w:tc>
          <w:tcPr>
            <w:tcW w:w="2530" w:type="dxa"/>
          </w:tcPr>
          <w:p w14:paraId="63CA511E"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 xml:space="preserve">Per current policy - on receipt of funds </w:t>
            </w:r>
          </w:p>
          <w:p w14:paraId="6396E3EF" w14:textId="77777777" w:rsidR="00C82817" w:rsidRPr="004251B1" w:rsidRDefault="00C82817" w:rsidP="00E765EF">
            <w:pPr>
              <w:pStyle w:val="Default"/>
              <w:rPr>
                <w:rFonts w:ascii="Calibri" w:hAnsi="Calibri"/>
                <w:color w:val="auto"/>
                <w:sz w:val="20"/>
                <w:szCs w:val="20"/>
              </w:rPr>
            </w:pPr>
          </w:p>
        </w:tc>
      </w:tr>
      <w:tr w:rsidR="00C82817" w:rsidRPr="00B554D8" w14:paraId="2818B1BB" w14:textId="77777777" w:rsidTr="001523BC">
        <w:trPr>
          <w:cantSplit/>
          <w:tblHeader/>
        </w:trPr>
        <w:tc>
          <w:tcPr>
            <w:tcW w:w="2110" w:type="dxa"/>
          </w:tcPr>
          <w:p w14:paraId="290E0935"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Commonwealth Grants -National Partnership Agreements (excluding capital grants)</w:t>
            </w:r>
          </w:p>
        </w:tc>
        <w:tc>
          <w:tcPr>
            <w:tcW w:w="3346" w:type="dxa"/>
          </w:tcPr>
          <w:p w14:paraId="1A840202"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Performance obligations may be sufficiently specific</w:t>
            </w:r>
          </w:p>
          <w:p w14:paraId="554DD2B4"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Transfer of goods or services to customer</w:t>
            </w:r>
          </w:p>
          <w:p w14:paraId="25992446"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Enforceable contract</w:t>
            </w:r>
          </w:p>
          <w:p w14:paraId="7F1165F2" w14:textId="77777777" w:rsidR="00C82817" w:rsidRPr="004251B1" w:rsidRDefault="00C82817" w:rsidP="00E765EF">
            <w:pPr>
              <w:rPr>
                <w:sz w:val="20"/>
                <w:szCs w:val="20"/>
              </w:rPr>
            </w:pPr>
            <w:r w:rsidRPr="004251B1">
              <w:rPr>
                <w:sz w:val="20"/>
                <w:szCs w:val="20"/>
              </w:rPr>
              <w:t>Commonwealth grant agreements even though usually state that they are not legally enforceable are considered enforceable given the commitments by both parties to comply with the terms and conditions in the agreement</w:t>
            </w:r>
          </w:p>
        </w:tc>
        <w:tc>
          <w:tcPr>
            <w:tcW w:w="755" w:type="dxa"/>
          </w:tcPr>
          <w:p w14:paraId="5980F0EB"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15</w:t>
            </w:r>
          </w:p>
        </w:tc>
        <w:tc>
          <w:tcPr>
            <w:tcW w:w="1324" w:type="dxa"/>
          </w:tcPr>
          <w:p w14:paraId="42A758E3"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Likely changed</w:t>
            </w:r>
          </w:p>
        </w:tc>
        <w:tc>
          <w:tcPr>
            <w:tcW w:w="2530" w:type="dxa"/>
          </w:tcPr>
          <w:p w14:paraId="2909DD6C" w14:textId="77777777" w:rsidR="00C82817" w:rsidRPr="004251B1" w:rsidRDefault="00C82817" w:rsidP="00E765EF">
            <w:pPr>
              <w:rPr>
                <w:rFonts w:cs="EYInterstate"/>
                <w:sz w:val="20"/>
                <w:szCs w:val="20"/>
              </w:rPr>
            </w:pPr>
            <w:r w:rsidRPr="004251B1">
              <w:rPr>
                <w:sz w:val="20"/>
                <w:szCs w:val="20"/>
              </w:rPr>
              <w:t xml:space="preserve">If criteria </w:t>
            </w:r>
            <w:proofErr w:type="gramStart"/>
            <w:r w:rsidRPr="004251B1">
              <w:rPr>
                <w:sz w:val="20"/>
                <w:szCs w:val="20"/>
              </w:rPr>
              <w:t>met</w:t>
            </w:r>
            <w:proofErr w:type="gramEnd"/>
            <w:r w:rsidRPr="004251B1">
              <w:rPr>
                <w:sz w:val="20"/>
                <w:szCs w:val="20"/>
              </w:rPr>
              <w:t xml:space="preserve"> then recognition i</w:t>
            </w:r>
            <w:r w:rsidRPr="004251B1">
              <w:rPr>
                <w:rFonts w:cs="EYInterstate"/>
                <w:sz w:val="20"/>
                <w:szCs w:val="20"/>
              </w:rPr>
              <w:t>n accordance with the satisfaction of the performance obligations</w:t>
            </w:r>
          </w:p>
          <w:p w14:paraId="7A8053B8" w14:textId="77777777" w:rsidR="00C82817" w:rsidRPr="004251B1" w:rsidRDefault="00C82817" w:rsidP="00E765EF">
            <w:pPr>
              <w:rPr>
                <w:sz w:val="20"/>
                <w:szCs w:val="20"/>
              </w:rPr>
            </w:pPr>
            <w:r w:rsidRPr="004251B1">
              <w:rPr>
                <w:rFonts w:cs="EYInterstate"/>
                <w:sz w:val="20"/>
                <w:szCs w:val="20"/>
              </w:rPr>
              <w:t xml:space="preserve">For Commonwealth grants received and recognised as revenue in CMTEDD Territorial, adjustments relating to revenue received in advance (contract liabilities) will be taken up in CMTEDD-Territorial  </w:t>
            </w:r>
          </w:p>
        </w:tc>
      </w:tr>
      <w:tr w:rsidR="00C82817" w:rsidRPr="00B554D8" w14:paraId="17DEA3C4" w14:textId="77777777" w:rsidTr="001523BC">
        <w:trPr>
          <w:cantSplit/>
          <w:tblHeader/>
        </w:trPr>
        <w:tc>
          <w:tcPr>
            <w:tcW w:w="2110" w:type="dxa"/>
          </w:tcPr>
          <w:p w14:paraId="56671E63"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Commonwealth Grants - National Partnership Agreements (capital grants for example funding to construct specific infrastructure)</w:t>
            </w:r>
          </w:p>
        </w:tc>
        <w:tc>
          <w:tcPr>
            <w:tcW w:w="3346" w:type="dxa"/>
          </w:tcPr>
          <w:p w14:paraId="4D05926E"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Performance obligations likely to be sufficiently specific</w:t>
            </w:r>
          </w:p>
          <w:p w14:paraId="69CF7753"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Relate to the acquisition or construction of a specified non-financial asset</w:t>
            </w:r>
          </w:p>
          <w:p w14:paraId="5721A489" w14:textId="77777777" w:rsidR="00C82817" w:rsidRPr="004251B1" w:rsidRDefault="00C82817" w:rsidP="00C82817">
            <w:pPr>
              <w:pStyle w:val="Default"/>
              <w:numPr>
                <w:ilvl w:val="0"/>
                <w:numId w:val="23"/>
              </w:numPr>
              <w:ind w:left="328" w:hanging="328"/>
              <w:rPr>
                <w:sz w:val="20"/>
                <w:szCs w:val="20"/>
              </w:rPr>
            </w:pPr>
            <w:r w:rsidRPr="004251B1">
              <w:rPr>
                <w:rFonts w:ascii="Calibri" w:hAnsi="Calibri"/>
                <w:color w:val="auto"/>
                <w:sz w:val="20"/>
                <w:szCs w:val="20"/>
              </w:rPr>
              <w:t>Asset to be retained for own use i.e. no transfer of goods and services to customer (AASB 15 does not apply)</w:t>
            </w:r>
          </w:p>
        </w:tc>
        <w:tc>
          <w:tcPr>
            <w:tcW w:w="755" w:type="dxa"/>
          </w:tcPr>
          <w:p w14:paraId="40B1FF80"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1058</w:t>
            </w:r>
          </w:p>
        </w:tc>
        <w:tc>
          <w:tcPr>
            <w:tcW w:w="1324" w:type="dxa"/>
          </w:tcPr>
          <w:p w14:paraId="07A3A247"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Likely changed</w:t>
            </w:r>
          </w:p>
        </w:tc>
        <w:tc>
          <w:tcPr>
            <w:tcW w:w="2530" w:type="dxa"/>
          </w:tcPr>
          <w:p w14:paraId="2B9529ED" w14:textId="77777777" w:rsidR="00C82817" w:rsidRPr="004251B1" w:rsidRDefault="00C82817" w:rsidP="00E765EF">
            <w:pPr>
              <w:rPr>
                <w:rFonts w:cs="EYInterstate"/>
                <w:sz w:val="20"/>
                <w:szCs w:val="20"/>
              </w:rPr>
            </w:pPr>
            <w:r w:rsidRPr="004251B1">
              <w:rPr>
                <w:sz w:val="20"/>
                <w:szCs w:val="20"/>
              </w:rPr>
              <w:t xml:space="preserve">If criteria </w:t>
            </w:r>
            <w:proofErr w:type="gramStart"/>
            <w:r w:rsidRPr="004251B1">
              <w:rPr>
                <w:sz w:val="20"/>
                <w:szCs w:val="20"/>
              </w:rPr>
              <w:t>met</w:t>
            </w:r>
            <w:proofErr w:type="gramEnd"/>
            <w:r w:rsidRPr="004251B1">
              <w:rPr>
                <w:sz w:val="20"/>
                <w:szCs w:val="20"/>
              </w:rPr>
              <w:t xml:space="preserve"> then i</w:t>
            </w:r>
            <w:r w:rsidRPr="004251B1">
              <w:rPr>
                <w:rFonts w:cs="EYInterstate"/>
                <w:sz w:val="20"/>
                <w:szCs w:val="20"/>
              </w:rPr>
              <w:t>n accordance with the satisfaction of the performance obligations (and not on receipt of the funds)</w:t>
            </w:r>
          </w:p>
          <w:p w14:paraId="1476426A" w14:textId="77777777" w:rsidR="00C82817" w:rsidRPr="004251B1" w:rsidRDefault="00C82817" w:rsidP="00E765EF">
            <w:pPr>
              <w:rPr>
                <w:sz w:val="20"/>
                <w:szCs w:val="20"/>
              </w:rPr>
            </w:pPr>
            <w:r w:rsidRPr="004251B1">
              <w:rPr>
                <w:rFonts w:cs="EYInterstate"/>
                <w:sz w:val="20"/>
                <w:szCs w:val="20"/>
                <w:lang w:eastAsia="en-AU"/>
              </w:rPr>
              <w:t>Initially recognise liability for the amount of grant received; recognise income as the obligations are satisfied (for example, as construction occurs)</w:t>
            </w:r>
          </w:p>
        </w:tc>
      </w:tr>
      <w:tr w:rsidR="00C82817" w:rsidRPr="00B554D8" w14:paraId="6CEBCC67" w14:textId="77777777" w:rsidTr="001523BC">
        <w:trPr>
          <w:cantSplit/>
          <w:tblHeader/>
        </w:trPr>
        <w:tc>
          <w:tcPr>
            <w:tcW w:w="2110" w:type="dxa"/>
          </w:tcPr>
          <w:p w14:paraId="533D6613" w14:textId="77777777" w:rsidR="00C82817" w:rsidRPr="004251B1" w:rsidRDefault="00C82817" w:rsidP="00E765EF">
            <w:pPr>
              <w:rPr>
                <w:sz w:val="20"/>
                <w:szCs w:val="20"/>
              </w:rPr>
            </w:pPr>
            <w:r w:rsidRPr="004251B1">
              <w:rPr>
                <w:rFonts w:eastAsia="Times New Roman" w:cs="Helvetica"/>
                <w:sz w:val="20"/>
                <w:szCs w:val="20"/>
                <w:lang w:val="en-US" w:eastAsia="en-AU"/>
              </w:rPr>
              <w:t xml:space="preserve">User charges - generally relate to the provision of goods or services </w:t>
            </w:r>
          </w:p>
        </w:tc>
        <w:tc>
          <w:tcPr>
            <w:tcW w:w="3346" w:type="dxa"/>
          </w:tcPr>
          <w:p w14:paraId="7581D8DE"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Performance obligations likely to be sufficiently specific</w:t>
            </w:r>
          </w:p>
          <w:p w14:paraId="1169A10E"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Transfer of goods or services to customer</w:t>
            </w:r>
          </w:p>
          <w:p w14:paraId="1C5458D9"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Enforceable contract</w:t>
            </w:r>
          </w:p>
        </w:tc>
        <w:tc>
          <w:tcPr>
            <w:tcW w:w="755" w:type="dxa"/>
          </w:tcPr>
          <w:p w14:paraId="6AE15099"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15</w:t>
            </w:r>
          </w:p>
        </w:tc>
        <w:tc>
          <w:tcPr>
            <w:tcW w:w="1324" w:type="dxa"/>
          </w:tcPr>
          <w:p w14:paraId="60DE00A1" w14:textId="630C39F3"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 xml:space="preserve">Likely </w:t>
            </w:r>
            <w:r w:rsidR="004C29B7" w:rsidRPr="004251B1">
              <w:rPr>
                <w:rFonts w:ascii="Calibri" w:hAnsi="Calibri"/>
                <w:color w:val="auto"/>
                <w:sz w:val="20"/>
                <w:szCs w:val="20"/>
              </w:rPr>
              <w:t>un</w:t>
            </w:r>
            <w:r w:rsidRPr="004251B1">
              <w:rPr>
                <w:rFonts w:ascii="Calibri" w:hAnsi="Calibri"/>
                <w:color w:val="auto"/>
                <w:sz w:val="20"/>
                <w:szCs w:val="20"/>
              </w:rPr>
              <w:t>changed</w:t>
            </w:r>
          </w:p>
        </w:tc>
        <w:tc>
          <w:tcPr>
            <w:tcW w:w="2530" w:type="dxa"/>
          </w:tcPr>
          <w:p w14:paraId="3FCB14DA"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In accordance with the satisfaction of the performance obligations</w:t>
            </w:r>
          </w:p>
        </w:tc>
      </w:tr>
      <w:tr w:rsidR="00C82817" w:rsidRPr="00B554D8" w14:paraId="099311CE" w14:textId="77777777" w:rsidTr="001523BC">
        <w:trPr>
          <w:cantSplit/>
          <w:tblHeader/>
        </w:trPr>
        <w:tc>
          <w:tcPr>
            <w:tcW w:w="2110" w:type="dxa"/>
          </w:tcPr>
          <w:p w14:paraId="2D0D8A20" w14:textId="06D43431"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Taxe</w:t>
            </w:r>
            <w:r w:rsidR="004C29B7" w:rsidRPr="004251B1">
              <w:rPr>
                <w:rFonts w:ascii="Calibri" w:hAnsi="Calibri"/>
                <w:color w:val="auto"/>
                <w:sz w:val="20"/>
                <w:szCs w:val="20"/>
              </w:rPr>
              <w:t xml:space="preserve">s and </w:t>
            </w:r>
            <w:r w:rsidRPr="004251B1">
              <w:rPr>
                <w:rFonts w:ascii="Calibri" w:hAnsi="Calibri"/>
                <w:color w:val="auto"/>
                <w:sz w:val="20"/>
                <w:szCs w:val="20"/>
              </w:rPr>
              <w:t>fines (AASB 1058.B28)</w:t>
            </w:r>
          </w:p>
          <w:p w14:paraId="7B78A717" w14:textId="77777777" w:rsidR="00C82817" w:rsidRPr="004251B1" w:rsidRDefault="00C82817" w:rsidP="00E765EF">
            <w:pPr>
              <w:pStyle w:val="Default"/>
              <w:rPr>
                <w:rFonts w:ascii="Calibri" w:hAnsi="Calibri"/>
                <w:color w:val="auto"/>
                <w:sz w:val="20"/>
                <w:szCs w:val="20"/>
              </w:rPr>
            </w:pPr>
          </w:p>
        </w:tc>
        <w:tc>
          <w:tcPr>
            <w:tcW w:w="3346" w:type="dxa"/>
          </w:tcPr>
          <w:p w14:paraId="5EAF29C5"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No contract, revenue arising from statutory requirements</w:t>
            </w:r>
          </w:p>
          <w:p w14:paraId="00E253B2" w14:textId="77777777" w:rsidR="00C82817" w:rsidRPr="004251B1" w:rsidRDefault="00C8281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Performance obligations not sufficiently specific</w:t>
            </w:r>
          </w:p>
        </w:tc>
        <w:tc>
          <w:tcPr>
            <w:tcW w:w="755" w:type="dxa"/>
          </w:tcPr>
          <w:p w14:paraId="05B18113"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1058</w:t>
            </w:r>
          </w:p>
        </w:tc>
        <w:tc>
          <w:tcPr>
            <w:tcW w:w="1324" w:type="dxa"/>
          </w:tcPr>
          <w:p w14:paraId="05B16C3B" w14:textId="77777777" w:rsidR="00C82817" w:rsidRPr="004251B1" w:rsidRDefault="00C82817" w:rsidP="00E765EF">
            <w:pPr>
              <w:rPr>
                <w:rFonts w:eastAsia="Times New Roman" w:cs="Helvetica"/>
                <w:sz w:val="20"/>
                <w:szCs w:val="20"/>
                <w:lang w:val="en-US" w:eastAsia="en-AU"/>
              </w:rPr>
            </w:pPr>
            <w:r w:rsidRPr="004251B1">
              <w:rPr>
                <w:rFonts w:eastAsia="Times New Roman" w:cs="Helvetica"/>
                <w:sz w:val="20"/>
                <w:szCs w:val="20"/>
                <w:lang w:val="en-US" w:eastAsia="en-AU"/>
              </w:rPr>
              <w:t xml:space="preserve">Unchanged </w:t>
            </w:r>
          </w:p>
        </w:tc>
        <w:tc>
          <w:tcPr>
            <w:tcW w:w="2530" w:type="dxa"/>
          </w:tcPr>
          <w:p w14:paraId="0291C67F" w14:textId="77777777" w:rsidR="00C82817" w:rsidRPr="004251B1" w:rsidRDefault="00C82817" w:rsidP="00E765EF">
            <w:pPr>
              <w:pStyle w:val="Default"/>
              <w:rPr>
                <w:rFonts w:ascii="Calibri" w:hAnsi="Calibri"/>
                <w:color w:val="auto"/>
                <w:sz w:val="20"/>
                <w:szCs w:val="20"/>
              </w:rPr>
            </w:pPr>
            <w:r w:rsidRPr="004251B1">
              <w:rPr>
                <w:rFonts w:ascii="Calibri" w:hAnsi="Calibri"/>
                <w:color w:val="auto"/>
                <w:sz w:val="20"/>
                <w:szCs w:val="20"/>
              </w:rPr>
              <w:t>Per current policy - when taxable event occurs (mostly continue per current recognition policy)</w:t>
            </w:r>
          </w:p>
          <w:p w14:paraId="2D78AD0A" w14:textId="77777777" w:rsidR="00C82817" w:rsidRPr="004251B1" w:rsidRDefault="00C82817" w:rsidP="00E765EF">
            <w:pPr>
              <w:pStyle w:val="Default"/>
              <w:rPr>
                <w:rFonts w:ascii="Calibri" w:hAnsi="Calibri"/>
                <w:color w:val="auto"/>
                <w:sz w:val="20"/>
                <w:szCs w:val="20"/>
              </w:rPr>
            </w:pPr>
          </w:p>
        </w:tc>
      </w:tr>
      <w:tr w:rsidR="004C29B7" w:rsidRPr="00B554D8" w14:paraId="41492FE5" w14:textId="77777777" w:rsidTr="001523BC">
        <w:trPr>
          <w:cantSplit/>
          <w:tblHeader/>
        </w:trPr>
        <w:tc>
          <w:tcPr>
            <w:tcW w:w="2110" w:type="dxa"/>
          </w:tcPr>
          <w:p w14:paraId="6541F22E" w14:textId="13E79ADB" w:rsidR="004C29B7" w:rsidRPr="004251B1" w:rsidRDefault="004C29B7" w:rsidP="00E765EF">
            <w:pPr>
              <w:pStyle w:val="Default"/>
              <w:rPr>
                <w:rFonts w:ascii="Calibri" w:hAnsi="Calibri"/>
                <w:color w:val="auto"/>
                <w:sz w:val="20"/>
                <w:szCs w:val="20"/>
              </w:rPr>
            </w:pPr>
            <w:r w:rsidRPr="004251B1">
              <w:rPr>
                <w:rFonts w:ascii="Calibri" w:hAnsi="Calibri"/>
                <w:color w:val="auto"/>
                <w:sz w:val="20"/>
                <w:szCs w:val="20"/>
              </w:rPr>
              <w:t>Rates (AASB 1058 B28)</w:t>
            </w:r>
          </w:p>
        </w:tc>
        <w:tc>
          <w:tcPr>
            <w:tcW w:w="3346" w:type="dxa"/>
          </w:tcPr>
          <w:p w14:paraId="2DF4BA3C" w14:textId="6531C576" w:rsidR="004C29B7" w:rsidRPr="004251B1" w:rsidRDefault="004C29B7" w:rsidP="00C82817">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When rates are pre-paid a contract liability needs to be created and converted to revenue when the taxable event occurs.</w:t>
            </w:r>
          </w:p>
        </w:tc>
        <w:tc>
          <w:tcPr>
            <w:tcW w:w="755" w:type="dxa"/>
          </w:tcPr>
          <w:p w14:paraId="20995C60" w14:textId="52DCDDBD" w:rsidR="004C29B7" w:rsidRPr="004251B1" w:rsidRDefault="004C29B7" w:rsidP="00E765EF">
            <w:pPr>
              <w:pStyle w:val="Default"/>
              <w:rPr>
                <w:rFonts w:ascii="Calibri" w:hAnsi="Calibri"/>
                <w:color w:val="auto"/>
                <w:sz w:val="20"/>
                <w:szCs w:val="20"/>
              </w:rPr>
            </w:pPr>
            <w:r w:rsidRPr="004251B1">
              <w:rPr>
                <w:rFonts w:ascii="Calibri" w:hAnsi="Calibri"/>
                <w:color w:val="auto"/>
                <w:sz w:val="20"/>
                <w:szCs w:val="20"/>
              </w:rPr>
              <w:t>1058</w:t>
            </w:r>
          </w:p>
        </w:tc>
        <w:tc>
          <w:tcPr>
            <w:tcW w:w="1324" w:type="dxa"/>
          </w:tcPr>
          <w:p w14:paraId="36799AC7" w14:textId="2D882A1D" w:rsidR="004C29B7" w:rsidRPr="004251B1" w:rsidRDefault="004C29B7" w:rsidP="00E765EF">
            <w:pPr>
              <w:rPr>
                <w:rFonts w:eastAsia="Times New Roman" w:cs="Helvetica"/>
                <w:sz w:val="20"/>
                <w:szCs w:val="20"/>
                <w:lang w:val="en-US" w:eastAsia="en-AU"/>
              </w:rPr>
            </w:pPr>
            <w:r w:rsidRPr="004251B1">
              <w:rPr>
                <w:rFonts w:eastAsia="Times New Roman" w:cs="Helvetica"/>
                <w:sz w:val="20"/>
                <w:szCs w:val="20"/>
                <w:lang w:val="en-US" w:eastAsia="en-AU"/>
              </w:rPr>
              <w:t>Changed</w:t>
            </w:r>
          </w:p>
        </w:tc>
        <w:tc>
          <w:tcPr>
            <w:tcW w:w="2530" w:type="dxa"/>
          </w:tcPr>
          <w:p w14:paraId="72339E34" w14:textId="46553F98" w:rsidR="004C29B7" w:rsidRPr="004251B1" w:rsidRDefault="004C29B7" w:rsidP="00E765EF">
            <w:pPr>
              <w:pStyle w:val="Default"/>
              <w:rPr>
                <w:rFonts w:ascii="Calibri" w:hAnsi="Calibri"/>
                <w:color w:val="auto"/>
                <w:sz w:val="20"/>
                <w:szCs w:val="20"/>
              </w:rPr>
            </w:pPr>
            <w:r w:rsidRPr="004251B1">
              <w:rPr>
                <w:rFonts w:ascii="Calibri" w:hAnsi="Calibri"/>
                <w:color w:val="auto"/>
                <w:sz w:val="20"/>
                <w:szCs w:val="20"/>
              </w:rPr>
              <w:t>Creation of a contract liability prior to the beginning of the rating year</w:t>
            </w:r>
          </w:p>
        </w:tc>
      </w:tr>
    </w:tbl>
    <w:p w14:paraId="17EDE5FB" w14:textId="09D6FE0F" w:rsidR="004251B1" w:rsidRDefault="004251B1">
      <w:r>
        <w:br w:type="page"/>
      </w:r>
    </w:p>
    <w:p w14:paraId="17DD38B4" w14:textId="1807095D" w:rsidR="002E0F8F" w:rsidRPr="002E0F8F" w:rsidRDefault="002E0F8F">
      <w:pPr>
        <w:rPr>
          <w:b/>
          <w:bCs/>
        </w:rPr>
      </w:pPr>
      <w:r w:rsidRPr="002E0F8F">
        <w:rPr>
          <w:b/>
          <w:bCs/>
        </w:rPr>
        <w:lastRenderedPageBreak/>
        <w:t>Part D – Expected Impact on Revenue Items - continued</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 D - EXPECTED IMPACT ON REVENUE ITEMS"/>
      </w:tblPr>
      <w:tblGrid>
        <w:gridCol w:w="2110"/>
        <w:gridCol w:w="3346"/>
        <w:gridCol w:w="755"/>
        <w:gridCol w:w="1324"/>
        <w:gridCol w:w="2530"/>
      </w:tblGrid>
      <w:tr w:rsidR="004251B1" w:rsidRPr="00B554D8" w14:paraId="26C8598F" w14:textId="77777777" w:rsidTr="002E0F8F">
        <w:trPr>
          <w:cantSplit/>
          <w:tblHeader/>
        </w:trPr>
        <w:tc>
          <w:tcPr>
            <w:tcW w:w="10065" w:type="dxa"/>
            <w:gridSpan w:val="5"/>
          </w:tcPr>
          <w:p w14:paraId="7C88CA5D" w14:textId="51E369E6" w:rsidR="004251B1" w:rsidRPr="004251B1" w:rsidRDefault="002E0F8F" w:rsidP="00E765EF">
            <w:pPr>
              <w:pStyle w:val="Default"/>
              <w:rPr>
                <w:rFonts w:ascii="Calibri" w:hAnsi="Calibri"/>
                <w:b/>
                <w:bCs/>
                <w:color w:val="auto"/>
                <w:sz w:val="20"/>
                <w:szCs w:val="20"/>
              </w:rPr>
            </w:pPr>
            <w:r>
              <w:rPr>
                <w:rFonts w:ascii="Calibri" w:hAnsi="Calibri"/>
                <w:b/>
                <w:bCs/>
                <w:color w:val="auto"/>
                <w:sz w:val="20"/>
                <w:szCs w:val="20"/>
              </w:rPr>
              <w:t>Expected Impact on Revenue Items</w:t>
            </w:r>
          </w:p>
        </w:tc>
      </w:tr>
      <w:tr w:rsidR="004251B1" w:rsidRPr="00B554D8" w14:paraId="5740DB46" w14:textId="77777777" w:rsidTr="001523BC">
        <w:trPr>
          <w:cantSplit/>
          <w:tblHeader/>
        </w:trPr>
        <w:tc>
          <w:tcPr>
            <w:tcW w:w="2110" w:type="dxa"/>
          </w:tcPr>
          <w:p w14:paraId="6A1EBF02" w14:textId="48770929" w:rsidR="004251B1" w:rsidRPr="004251B1" w:rsidRDefault="004251B1" w:rsidP="004251B1">
            <w:pPr>
              <w:rPr>
                <w:rFonts w:eastAsia="Times New Roman" w:cs="Helvetica"/>
                <w:sz w:val="20"/>
                <w:szCs w:val="20"/>
                <w:lang w:val="en-US" w:eastAsia="en-AU"/>
              </w:rPr>
            </w:pPr>
            <w:r w:rsidRPr="004251B1">
              <w:rPr>
                <w:rFonts w:ascii="Calibri" w:hAnsi="Calibri"/>
                <w:b/>
                <w:sz w:val="22"/>
              </w:rPr>
              <w:t>Revenue</w:t>
            </w:r>
          </w:p>
        </w:tc>
        <w:tc>
          <w:tcPr>
            <w:tcW w:w="3346" w:type="dxa"/>
          </w:tcPr>
          <w:p w14:paraId="4FFC375A" w14:textId="19A742B0" w:rsidR="004251B1" w:rsidRPr="004251B1" w:rsidRDefault="004251B1" w:rsidP="004251B1">
            <w:pPr>
              <w:pStyle w:val="Default"/>
              <w:rPr>
                <w:rFonts w:ascii="Calibri" w:hAnsi="Calibri"/>
                <w:color w:val="auto"/>
                <w:sz w:val="20"/>
                <w:szCs w:val="20"/>
              </w:rPr>
            </w:pPr>
            <w:r w:rsidRPr="004251B1">
              <w:rPr>
                <w:rFonts w:ascii="Calibri" w:hAnsi="Calibri"/>
                <w:b/>
                <w:color w:val="auto"/>
                <w:sz w:val="22"/>
                <w:szCs w:val="22"/>
              </w:rPr>
              <w:t>Assessment of Criteria</w:t>
            </w:r>
          </w:p>
        </w:tc>
        <w:tc>
          <w:tcPr>
            <w:tcW w:w="755" w:type="dxa"/>
          </w:tcPr>
          <w:p w14:paraId="19E45189" w14:textId="40B616C8" w:rsidR="004251B1" w:rsidRPr="004251B1" w:rsidRDefault="004251B1" w:rsidP="004251B1">
            <w:pPr>
              <w:rPr>
                <w:rFonts w:eastAsia="Times New Roman" w:cs="Helvetica"/>
                <w:sz w:val="20"/>
                <w:szCs w:val="20"/>
                <w:lang w:val="en-US" w:eastAsia="en-AU"/>
              </w:rPr>
            </w:pPr>
            <w:r w:rsidRPr="004251B1">
              <w:rPr>
                <w:rFonts w:ascii="Calibri" w:hAnsi="Calibri"/>
                <w:b/>
                <w:sz w:val="22"/>
              </w:rPr>
              <w:t>AASB</w:t>
            </w:r>
          </w:p>
        </w:tc>
        <w:tc>
          <w:tcPr>
            <w:tcW w:w="1324" w:type="dxa"/>
          </w:tcPr>
          <w:p w14:paraId="6718C670" w14:textId="2494BD04" w:rsidR="004251B1" w:rsidRPr="004251B1" w:rsidRDefault="004251B1" w:rsidP="004251B1">
            <w:pPr>
              <w:rPr>
                <w:rFonts w:eastAsia="Times New Roman" w:cs="Helvetica"/>
                <w:sz w:val="20"/>
                <w:szCs w:val="20"/>
                <w:lang w:val="en-US" w:eastAsia="en-AU"/>
              </w:rPr>
            </w:pPr>
            <w:r w:rsidRPr="004251B1">
              <w:rPr>
                <w:rFonts w:ascii="Calibri" w:hAnsi="Calibri"/>
                <w:b/>
                <w:sz w:val="22"/>
              </w:rPr>
              <w:t>Impact</w:t>
            </w:r>
          </w:p>
        </w:tc>
        <w:tc>
          <w:tcPr>
            <w:tcW w:w="2530" w:type="dxa"/>
          </w:tcPr>
          <w:p w14:paraId="3C81B671" w14:textId="79240B6E" w:rsidR="004251B1" w:rsidRPr="004251B1" w:rsidRDefault="004251B1" w:rsidP="004251B1">
            <w:pPr>
              <w:pStyle w:val="Default"/>
              <w:rPr>
                <w:rFonts w:ascii="Calibri" w:hAnsi="Calibri"/>
                <w:color w:val="auto"/>
                <w:sz w:val="20"/>
                <w:szCs w:val="20"/>
              </w:rPr>
            </w:pPr>
            <w:r w:rsidRPr="004251B1">
              <w:rPr>
                <w:rFonts w:ascii="Calibri" w:hAnsi="Calibri"/>
                <w:b/>
                <w:color w:val="auto"/>
                <w:sz w:val="22"/>
                <w:szCs w:val="22"/>
              </w:rPr>
              <w:t>Recognition of Revenue</w:t>
            </w:r>
          </w:p>
        </w:tc>
      </w:tr>
      <w:tr w:rsidR="004251B1" w:rsidRPr="00B554D8" w14:paraId="1A4775C5" w14:textId="77777777" w:rsidTr="001523BC">
        <w:trPr>
          <w:cantSplit/>
          <w:tblHeader/>
        </w:trPr>
        <w:tc>
          <w:tcPr>
            <w:tcW w:w="2110" w:type="dxa"/>
          </w:tcPr>
          <w:p w14:paraId="6E28FE8B" w14:textId="62E9EAF0"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Non</w:t>
            </w:r>
            <w:r>
              <w:rPr>
                <w:rFonts w:eastAsia="Times New Roman" w:cs="Helvetica"/>
                <w:sz w:val="20"/>
                <w:szCs w:val="20"/>
                <w:lang w:val="en-US" w:eastAsia="en-AU"/>
              </w:rPr>
              <w:t>-</w:t>
            </w:r>
            <w:r w:rsidRPr="004251B1">
              <w:rPr>
                <w:rFonts w:eastAsia="Times New Roman" w:cs="Helvetica"/>
                <w:sz w:val="20"/>
                <w:szCs w:val="20"/>
                <w:lang w:val="en-US" w:eastAsia="en-AU"/>
              </w:rPr>
              <w:t>refundable levies and licenses</w:t>
            </w:r>
          </w:p>
        </w:tc>
        <w:tc>
          <w:tcPr>
            <w:tcW w:w="3346" w:type="dxa"/>
          </w:tcPr>
          <w:p w14:paraId="0FDB37DD" w14:textId="77777777" w:rsidR="004251B1" w:rsidRPr="004251B1" w:rsidRDefault="004251B1" w:rsidP="004251B1">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In the nature of taxes</w:t>
            </w:r>
          </w:p>
          <w:p w14:paraId="67FAD41A" w14:textId="77777777" w:rsidR="004251B1" w:rsidRPr="004251B1" w:rsidRDefault="004251B1" w:rsidP="004251B1">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No contract, revenue arising from statutory requirements</w:t>
            </w:r>
          </w:p>
          <w:p w14:paraId="3D8B4EC6" w14:textId="1CA7D9D7" w:rsidR="004251B1" w:rsidRPr="004251B1" w:rsidRDefault="004251B1" w:rsidP="004251B1">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Performance obligations not sufficiently specific</w:t>
            </w:r>
          </w:p>
        </w:tc>
        <w:tc>
          <w:tcPr>
            <w:tcW w:w="755" w:type="dxa"/>
          </w:tcPr>
          <w:p w14:paraId="2459E463" w14:textId="6E5CD243"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1058</w:t>
            </w:r>
          </w:p>
        </w:tc>
        <w:tc>
          <w:tcPr>
            <w:tcW w:w="1324" w:type="dxa"/>
          </w:tcPr>
          <w:p w14:paraId="279B775E" w14:textId="79FB4747"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Unchanged</w:t>
            </w:r>
          </w:p>
        </w:tc>
        <w:tc>
          <w:tcPr>
            <w:tcW w:w="2530" w:type="dxa"/>
          </w:tcPr>
          <w:p w14:paraId="123F1CFB" w14:textId="37EA6136" w:rsidR="004251B1" w:rsidRPr="004251B1" w:rsidRDefault="004251B1" w:rsidP="004251B1">
            <w:pPr>
              <w:rPr>
                <w:rFonts w:eastAsia="Times New Roman" w:cs="Helvetica"/>
                <w:sz w:val="20"/>
                <w:szCs w:val="20"/>
                <w:lang w:val="en-US" w:eastAsia="en-AU"/>
              </w:rPr>
            </w:pPr>
            <w:r w:rsidRPr="004251B1">
              <w:rPr>
                <w:rFonts w:ascii="Calibri" w:hAnsi="Calibri"/>
                <w:sz w:val="20"/>
                <w:szCs w:val="20"/>
              </w:rPr>
              <w:t>Per current policy – on the receipt of cash</w:t>
            </w:r>
          </w:p>
        </w:tc>
      </w:tr>
      <w:tr w:rsidR="004251B1" w:rsidRPr="00B554D8" w14:paraId="7D236957" w14:textId="77777777" w:rsidTr="001523BC">
        <w:trPr>
          <w:cantSplit/>
          <w:tblHeader/>
        </w:trPr>
        <w:tc>
          <w:tcPr>
            <w:tcW w:w="2110" w:type="dxa"/>
          </w:tcPr>
          <w:p w14:paraId="427DBCF7" w14:textId="35A0162E"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Volunteer services (AASB 1058.B32)</w:t>
            </w:r>
          </w:p>
        </w:tc>
        <w:tc>
          <w:tcPr>
            <w:tcW w:w="3346" w:type="dxa"/>
          </w:tcPr>
          <w:p w14:paraId="597FBA13" w14:textId="77777777" w:rsidR="004251B1" w:rsidRPr="004251B1" w:rsidRDefault="004251B1" w:rsidP="004251B1">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Fair value of the voluntary services received can be reliably estimated</w:t>
            </w:r>
          </w:p>
          <w:p w14:paraId="2ED4E03F" w14:textId="1412632A" w:rsidR="004251B1" w:rsidRPr="004251B1" w:rsidRDefault="004251B1" w:rsidP="004251B1">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Would have been purchased if not donated</w:t>
            </w:r>
          </w:p>
        </w:tc>
        <w:tc>
          <w:tcPr>
            <w:tcW w:w="755" w:type="dxa"/>
          </w:tcPr>
          <w:p w14:paraId="37ABADB9" w14:textId="20730A31"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1058</w:t>
            </w:r>
          </w:p>
        </w:tc>
        <w:tc>
          <w:tcPr>
            <w:tcW w:w="1324" w:type="dxa"/>
          </w:tcPr>
          <w:p w14:paraId="50346E12" w14:textId="785ABBA9"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 xml:space="preserve">Unchanged </w:t>
            </w:r>
          </w:p>
        </w:tc>
        <w:tc>
          <w:tcPr>
            <w:tcW w:w="2530" w:type="dxa"/>
          </w:tcPr>
          <w:p w14:paraId="066F768B" w14:textId="4BDE35A2" w:rsidR="004251B1" w:rsidRPr="004251B1" w:rsidRDefault="004251B1" w:rsidP="004251B1">
            <w:pPr>
              <w:pStyle w:val="Default"/>
              <w:rPr>
                <w:rFonts w:ascii="Calibri" w:eastAsia="Times New Roman" w:hAnsi="Calibri" w:cs="Arial"/>
                <w:color w:val="101010"/>
                <w:sz w:val="20"/>
                <w:szCs w:val="20"/>
                <w:lang w:val="en"/>
              </w:rPr>
            </w:pPr>
            <w:r w:rsidRPr="004251B1">
              <w:rPr>
                <w:sz w:val="20"/>
                <w:szCs w:val="20"/>
              </w:rPr>
              <w:t>Currently no significant volunteer services are recognised</w:t>
            </w:r>
          </w:p>
        </w:tc>
      </w:tr>
      <w:tr w:rsidR="004251B1" w:rsidRPr="00B554D8" w14:paraId="29EC7D90" w14:textId="77777777" w:rsidTr="001523BC">
        <w:trPr>
          <w:cantSplit/>
          <w:tblHeader/>
        </w:trPr>
        <w:tc>
          <w:tcPr>
            <w:tcW w:w="2110" w:type="dxa"/>
          </w:tcPr>
          <w:p w14:paraId="43FE7A0C" w14:textId="26BC6FC7"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Peppercorn/ concessionary leases</w:t>
            </w:r>
          </w:p>
        </w:tc>
        <w:tc>
          <w:tcPr>
            <w:tcW w:w="3346" w:type="dxa"/>
          </w:tcPr>
          <w:p w14:paraId="2618FCA9" w14:textId="77777777" w:rsidR="004251B1" w:rsidRPr="004251B1" w:rsidRDefault="004251B1" w:rsidP="004251B1">
            <w:pPr>
              <w:pStyle w:val="Default"/>
              <w:numPr>
                <w:ilvl w:val="0"/>
                <w:numId w:val="23"/>
              </w:numPr>
              <w:ind w:left="328" w:hanging="328"/>
              <w:rPr>
                <w:rFonts w:ascii="Calibri" w:hAnsi="Calibri"/>
                <w:color w:val="auto"/>
                <w:sz w:val="20"/>
                <w:szCs w:val="20"/>
              </w:rPr>
            </w:pPr>
            <w:r w:rsidRPr="004251B1">
              <w:rPr>
                <w:rFonts w:ascii="Calibri" w:hAnsi="Calibri"/>
                <w:color w:val="auto"/>
                <w:sz w:val="20"/>
                <w:szCs w:val="20"/>
              </w:rPr>
              <w:t>Consideration significantly less than the fair value</w:t>
            </w:r>
          </w:p>
          <w:p w14:paraId="149CFA13" w14:textId="27A1B14B" w:rsidR="004251B1" w:rsidRPr="004251B1" w:rsidRDefault="004251B1" w:rsidP="004251B1">
            <w:pPr>
              <w:rPr>
                <w:rFonts w:eastAsia="Times New Roman" w:cs="Helvetica"/>
                <w:sz w:val="20"/>
                <w:szCs w:val="20"/>
                <w:lang w:val="en-US" w:eastAsia="en-AU"/>
              </w:rPr>
            </w:pPr>
            <w:r w:rsidRPr="004251B1">
              <w:rPr>
                <w:rFonts w:ascii="Calibri" w:hAnsi="Calibri"/>
                <w:sz w:val="20"/>
                <w:szCs w:val="20"/>
              </w:rPr>
              <w:t>Asset principally to enable entity to further its objectives</w:t>
            </w:r>
          </w:p>
        </w:tc>
        <w:tc>
          <w:tcPr>
            <w:tcW w:w="755" w:type="dxa"/>
          </w:tcPr>
          <w:p w14:paraId="65326AF7" w14:textId="011B522E"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16 and 1058</w:t>
            </w:r>
          </w:p>
        </w:tc>
        <w:tc>
          <w:tcPr>
            <w:tcW w:w="1324" w:type="dxa"/>
          </w:tcPr>
          <w:p w14:paraId="5A3E6B2F" w14:textId="102C7093" w:rsidR="004251B1" w:rsidRPr="004251B1" w:rsidRDefault="004251B1" w:rsidP="004251B1">
            <w:pPr>
              <w:pStyle w:val="Default"/>
              <w:rPr>
                <w:rFonts w:ascii="Calibri" w:hAnsi="Calibri"/>
                <w:color w:val="auto"/>
                <w:sz w:val="20"/>
                <w:szCs w:val="20"/>
              </w:rPr>
            </w:pPr>
            <w:r w:rsidRPr="004251B1">
              <w:rPr>
                <w:rFonts w:eastAsia="Times New Roman" w:cs="Helvetica"/>
                <w:sz w:val="20"/>
                <w:szCs w:val="20"/>
                <w:lang w:val="en-US"/>
              </w:rPr>
              <w:t>Unchanged – additional disclosure requirements exist (Aus59.1) – see section 14</w:t>
            </w:r>
          </w:p>
        </w:tc>
        <w:tc>
          <w:tcPr>
            <w:tcW w:w="2530" w:type="dxa"/>
          </w:tcPr>
          <w:p w14:paraId="27A2C1AB" w14:textId="13E78448" w:rsidR="004251B1" w:rsidRPr="004251B1" w:rsidRDefault="004251B1" w:rsidP="004251B1">
            <w:pPr>
              <w:pStyle w:val="Default"/>
              <w:rPr>
                <w:rFonts w:ascii="Calibri" w:hAnsi="Calibri"/>
                <w:color w:val="auto"/>
                <w:sz w:val="20"/>
                <w:szCs w:val="20"/>
              </w:rPr>
            </w:pPr>
            <w:r w:rsidRPr="004251B1">
              <w:rPr>
                <w:rFonts w:ascii="Calibri" w:hAnsi="Calibri"/>
                <w:color w:val="auto"/>
                <w:sz w:val="20"/>
                <w:szCs w:val="20"/>
              </w:rPr>
              <w:t xml:space="preserve">Per current policy - </w:t>
            </w:r>
            <w:r w:rsidRPr="004251B1">
              <w:rPr>
                <w:rFonts w:ascii="Calibri" w:eastAsia="Times New Roman" w:hAnsi="Calibri" w:cs="Arial"/>
                <w:color w:val="101010"/>
                <w:sz w:val="20"/>
                <w:szCs w:val="20"/>
                <w:lang w:val="en"/>
              </w:rPr>
              <w:t>AASB 2018-8 provides temporary relief to not apply the fair value initial measurement, and instead measure at cost, right-of-use assets arising under peppercorn leases principally to enable the entity to further its objectives</w:t>
            </w:r>
          </w:p>
        </w:tc>
      </w:tr>
      <w:tr w:rsidR="004251B1" w:rsidRPr="00B554D8" w14:paraId="36C5EBE2" w14:textId="77777777" w:rsidTr="001523BC">
        <w:trPr>
          <w:cantSplit/>
          <w:tblHeader/>
        </w:trPr>
        <w:tc>
          <w:tcPr>
            <w:tcW w:w="2110" w:type="dxa"/>
          </w:tcPr>
          <w:p w14:paraId="528D2D4F" w14:textId="77777777"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Interest and dividends</w:t>
            </w:r>
          </w:p>
        </w:tc>
        <w:tc>
          <w:tcPr>
            <w:tcW w:w="3346" w:type="dxa"/>
          </w:tcPr>
          <w:p w14:paraId="0D100F89" w14:textId="77777777"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Out of Scope of AASB 15 and AASB 1058</w:t>
            </w:r>
          </w:p>
        </w:tc>
        <w:tc>
          <w:tcPr>
            <w:tcW w:w="755" w:type="dxa"/>
          </w:tcPr>
          <w:p w14:paraId="3C30BA76" w14:textId="77777777" w:rsidR="004251B1" w:rsidRPr="004251B1" w:rsidRDefault="004251B1" w:rsidP="004251B1">
            <w:pPr>
              <w:rPr>
                <w:rFonts w:eastAsia="Times New Roman" w:cs="Helvetica"/>
                <w:sz w:val="20"/>
                <w:szCs w:val="20"/>
                <w:lang w:val="en-US" w:eastAsia="en-AU"/>
              </w:rPr>
            </w:pPr>
            <w:r w:rsidRPr="004251B1">
              <w:rPr>
                <w:rFonts w:eastAsia="Times New Roman" w:cs="Helvetica"/>
                <w:sz w:val="20"/>
                <w:szCs w:val="20"/>
                <w:lang w:val="en-US" w:eastAsia="en-AU"/>
              </w:rPr>
              <w:t>9</w:t>
            </w:r>
          </w:p>
        </w:tc>
        <w:tc>
          <w:tcPr>
            <w:tcW w:w="1324" w:type="dxa"/>
          </w:tcPr>
          <w:p w14:paraId="346E037B" w14:textId="77777777" w:rsidR="004251B1" w:rsidRPr="004251B1" w:rsidRDefault="004251B1" w:rsidP="004251B1">
            <w:pPr>
              <w:pStyle w:val="Default"/>
              <w:rPr>
                <w:rFonts w:ascii="Calibri" w:hAnsi="Calibri"/>
                <w:color w:val="auto"/>
                <w:sz w:val="20"/>
                <w:szCs w:val="20"/>
              </w:rPr>
            </w:pPr>
            <w:r w:rsidRPr="004251B1">
              <w:rPr>
                <w:rFonts w:ascii="Calibri" w:hAnsi="Calibri"/>
                <w:color w:val="auto"/>
                <w:sz w:val="20"/>
                <w:szCs w:val="20"/>
              </w:rPr>
              <w:t>Unchanged</w:t>
            </w:r>
          </w:p>
        </w:tc>
        <w:tc>
          <w:tcPr>
            <w:tcW w:w="2530" w:type="dxa"/>
          </w:tcPr>
          <w:p w14:paraId="7B884B83" w14:textId="77777777" w:rsidR="004251B1" w:rsidRPr="004251B1" w:rsidRDefault="004251B1" w:rsidP="004251B1">
            <w:pPr>
              <w:pStyle w:val="Default"/>
              <w:rPr>
                <w:rFonts w:ascii="Calibri" w:hAnsi="Calibri"/>
                <w:color w:val="auto"/>
                <w:sz w:val="20"/>
                <w:szCs w:val="20"/>
              </w:rPr>
            </w:pPr>
            <w:r w:rsidRPr="004251B1">
              <w:rPr>
                <w:rFonts w:ascii="Calibri" w:hAnsi="Calibri"/>
                <w:color w:val="auto"/>
                <w:sz w:val="20"/>
                <w:szCs w:val="20"/>
              </w:rPr>
              <w:t>Per current policy</w:t>
            </w:r>
          </w:p>
        </w:tc>
      </w:tr>
    </w:tbl>
    <w:p w14:paraId="61F70A5A" w14:textId="77777777" w:rsidR="00C82817" w:rsidRPr="00DA4C13" w:rsidRDefault="00C82817" w:rsidP="00C82817">
      <w:pPr>
        <w:pStyle w:val="Default"/>
        <w:rPr>
          <w:rFonts w:ascii="Calibri" w:hAnsi="Calibri"/>
          <w:color w:val="auto"/>
        </w:rPr>
      </w:pPr>
    </w:p>
    <w:p w14:paraId="5D5502F3" w14:textId="36144F28" w:rsidR="00C82817" w:rsidRDefault="00C82817" w:rsidP="00C82817">
      <w:pPr>
        <w:rPr>
          <w:szCs w:val="24"/>
        </w:rPr>
        <w:sectPr w:rsidR="00C82817">
          <w:headerReference w:type="default" r:id="rId22"/>
          <w:footerReference w:type="default" r:id="rId23"/>
          <w:pgSz w:w="11906" w:h="16838"/>
          <w:pgMar w:top="1440" w:right="1440" w:bottom="1440" w:left="1440" w:header="708" w:footer="708" w:gutter="0"/>
          <w:cols w:space="708"/>
          <w:docGrid w:linePitch="360"/>
        </w:sectPr>
      </w:pPr>
    </w:p>
    <w:p w14:paraId="215EFF78" w14:textId="3BAFBCC6" w:rsidR="00C82817" w:rsidRDefault="00B736D1" w:rsidP="00044B9F">
      <w:pPr>
        <w:pStyle w:val="Heading1"/>
      </w:pPr>
      <w:bookmarkStart w:id="132" w:name="_Toc45622646"/>
      <w:r>
        <w:lastRenderedPageBreak/>
        <w:t xml:space="preserve">Part C - </w:t>
      </w:r>
      <w:r w:rsidR="00C82817">
        <w:t>Attachment A</w:t>
      </w:r>
      <w:bookmarkEnd w:id="132"/>
    </w:p>
    <w:tbl>
      <w:tblPr>
        <w:tblW w:w="5199" w:type="pct"/>
        <w:tblLayout w:type="fixed"/>
        <w:tblLook w:val="04A0" w:firstRow="1" w:lastRow="0" w:firstColumn="1" w:lastColumn="0" w:noHBand="0" w:noVBand="1"/>
      </w:tblPr>
      <w:tblGrid>
        <w:gridCol w:w="2018"/>
        <w:gridCol w:w="668"/>
        <w:gridCol w:w="888"/>
        <w:gridCol w:w="255"/>
        <w:gridCol w:w="2131"/>
        <w:gridCol w:w="958"/>
        <w:gridCol w:w="865"/>
        <w:gridCol w:w="12"/>
        <w:gridCol w:w="270"/>
        <w:gridCol w:w="20"/>
        <w:gridCol w:w="1568"/>
        <w:gridCol w:w="23"/>
        <w:gridCol w:w="17"/>
        <w:gridCol w:w="505"/>
        <w:gridCol w:w="23"/>
        <w:gridCol w:w="17"/>
        <w:gridCol w:w="493"/>
        <w:gridCol w:w="23"/>
        <w:gridCol w:w="17"/>
        <w:gridCol w:w="224"/>
        <w:gridCol w:w="23"/>
        <w:gridCol w:w="15"/>
        <w:gridCol w:w="1904"/>
        <w:gridCol w:w="26"/>
        <w:gridCol w:w="15"/>
        <w:gridCol w:w="438"/>
        <w:gridCol w:w="29"/>
        <w:gridCol w:w="9"/>
        <w:gridCol w:w="1022"/>
        <w:gridCol w:w="38"/>
      </w:tblGrid>
      <w:tr w:rsidR="00B736D1" w:rsidRPr="00965BF1" w14:paraId="422AED86" w14:textId="77777777" w:rsidTr="002E0F8F">
        <w:trPr>
          <w:trHeight w:val="300"/>
        </w:trPr>
        <w:tc>
          <w:tcPr>
            <w:tcW w:w="3339" w:type="pct"/>
            <w:gridSpan w:val="13"/>
            <w:tcBorders>
              <w:top w:val="nil"/>
              <w:left w:val="nil"/>
              <w:bottom w:val="nil"/>
              <w:right w:val="nil"/>
            </w:tcBorders>
            <w:shd w:val="clear" w:color="auto" w:fill="auto"/>
            <w:noWrap/>
            <w:vAlign w:val="bottom"/>
            <w:hideMark/>
          </w:tcPr>
          <w:p w14:paraId="547B543E" w14:textId="77777777" w:rsidR="00C82817" w:rsidRPr="00965BF1" w:rsidRDefault="00C82817" w:rsidP="00E765EF">
            <w:pPr>
              <w:rPr>
                <w:rFonts w:ascii="Calibri" w:eastAsia="Times New Roman" w:hAnsi="Calibri" w:cs="Calibri"/>
                <w:b/>
                <w:bCs/>
                <w:color w:val="000000"/>
                <w:sz w:val="20"/>
                <w:szCs w:val="20"/>
                <w:lang w:eastAsia="en-AU"/>
              </w:rPr>
            </w:pPr>
            <w:bookmarkStart w:id="133" w:name="_Hlk39157818"/>
            <w:r w:rsidRPr="00965BF1">
              <w:rPr>
                <w:rFonts w:ascii="Calibri" w:eastAsia="Times New Roman" w:hAnsi="Calibri" w:cs="Calibri"/>
                <w:b/>
                <w:bCs/>
                <w:color w:val="000000"/>
                <w:sz w:val="20"/>
                <w:szCs w:val="20"/>
                <w:lang w:eastAsia="en-AU"/>
              </w:rPr>
              <w:t>Proposed Option for Recognising Deferred Revenue for Commonwealth Grants Received into CMTEDD Territorial</w:t>
            </w:r>
          </w:p>
        </w:tc>
        <w:tc>
          <w:tcPr>
            <w:tcW w:w="188" w:type="pct"/>
            <w:gridSpan w:val="3"/>
            <w:tcBorders>
              <w:top w:val="nil"/>
              <w:left w:val="nil"/>
              <w:bottom w:val="nil"/>
              <w:right w:val="nil"/>
            </w:tcBorders>
            <w:shd w:val="clear" w:color="auto" w:fill="auto"/>
            <w:noWrap/>
            <w:vAlign w:val="bottom"/>
            <w:hideMark/>
          </w:tcPr>
          <w:p w14:paraId="1A5BAA77" w14:textId="77777777" w:rsidR="00C82817" w:rsidRPr="00965BF1" w:rsidRDefault="00C82817" w:rsidP="00E765EF">
            <w:pPr>
              <w:rPr>
                <w:rFonts w:ascii="Calibri" w:eastAsia="Times New Roman" w:hAnsi="Calibri" w:cs="Calibri"/>
                <w:b/>
                <w:bCs/>
                <w:color w:val="000000"/>
                <w:sz w:val="20"/>
                <w:szCs w:val="20"/>
                <w:lang w:eastAsia="en-AU"/>
              </w:rPr>
            </w:pPr>
          </w:p>
        </w:tc>
        <w:tc>
          <w:tcPr>
            <w:tcW w:w="184" w:type="pct"/>
            <w:gridSpan w:val="3"/>
            <w:tcBorders>
              <w:top w:val="nil"/>
              <w:left w:val="nil"/>
              <w:bottom w:val="nil"/>
              <w:right w:val="nil"/>
            </w:tcBorders>
            <w:shd w:val="clear" w:color="auto" w:fill="auto"/>
            <w:noWrap/>
            <w:vAlign w:val="bottom"/>
            <w:hideMark/>
          </w:tcPr>
          <w:p w14:paraId="49A745D6" w14:textId="77777777" w:rsidR="00C82817" w:rsidRPr="00965BF1" w:rsidRDefault="00C82817" w:rsidP="00E765EF">
            <w:pPr>
              <w:rPr>
                <w:rFonts w:ascii="Times New Roman" w:eastAsia="Times New Roman" w:hAnsi="Times New Roman" w:cs="Times New Roman"/>
                <w:sz w:val="20"/>
                <w:szCs w:val="20"/>
                <w:lang w:eastAsia="en-AU"/>
              </w:rPr>
            </w:pPr>
          </w:p>
        </w:tc>
        <w:tc>
          <w:tcPr>
            <w:tcW w:w="90" w:type="pct"/>
            <w:gridSpan w:val="3"/>
            <w:tcBorders>
              <w:top w:val="nil"/>
              <w:left w:val="nil"/>
              <w:bottom w:val="nil"/>
              <w:right w:val="nil"/>
            </w:tcBorders>
            <w:shd w:val="clear" w:color="auto" w:fill="auto"/>
            <w:noWrap/>
            <w:vAlign w:val="bottom"/>
            <w:hideMark/>
          </w:tcPr>
          <w:p w14:paraId="312EFBD5" w14:textId="77777777" w:rsidR="00C82817" w:rsidRPr="00965BF1" w:rsidRDefault="00C82817" w:rsidP="00E765EF">
            <w:pPr>
              <w:rPr>
                <w:rFonts w:ascii="Times New Roman" w:eastAsia="Times New Roman" w:hAnsi="Times New Roman" w:cs="Times New Roman"/>
                <w:sz w:val="20"/>
                <w:szCs w:val="20"/>
                <w:lang w:eastAsia="en-AU"/>
              </w:rPr>
            </w:pPr>
          </w:p>
        </w:tc>
        <w:tc>
          <w:tcPr>
            <w:tcW w:w="670" w:type="pct"/>
            <w:gridSpan w:val="3"/>
            <w:tcBorders>
              <w:top w:val="nil"/>
              <w:left w:val="nil"/>
              <w:bottom w:val="nil"/>
              <w:right w:val="nil"/>
            </w:tcBorders>
            <w:shd w:val="clear" w:color="auto" w:fill="auto"/>
            <w:noWrap/>
            <w:vAlign w:val="bottom"/>
            <w:hideMark/>
          </w:tcPr>
          <w:p w14:paraId="727FF317" w14:textId="77777777" w:rsidR="00C82817" w:rsidRPr="00965BF1" w:rsidRDefault="00C82817" w:rsidP="00E765EF">
            <w:pPr>
              <w:rPr>
                <w:rFonts w:ascii="Times New Roman" w:eastAsia="Times New Roman" w:hAnsi="Times New Roman" w:cs="Times New Roman"/>
                <w:sz w:val="20"/>
                <w:szCs w:val="20"/>
                <w:lang w:eastAsia="en-AU"/>
              </w:rPr>
            </w:pPr>
          </w:p>
        </w:tc>
        <w:tc>
          <w:tcPr>
            <w:tcW w:w="164" w:type="pct"/>
            <w:gridSpan w:val="3"/>
            <w:tcBorders>
              <w:top w:val="nil"/>
              <w:left w:val="nil"/>
              <w:bottom w:val="nil"/>
              <w:right w:val="nil"/>
            </w:tcBorders>
            <w:shd w:val="clear" w:color="auto" w:fill="auto"/>
            <w:noWrap/>
            <w:vAlign w:val="bottom"/>
            <w:hideMark/>
          </w:tcPr>
          <w:p w14:paraId="319DBBF5" w14:textId="77777777" w:rsidR="00C82817" w:rsidRPr="00965BF1" w:rsidRDefault="00C82817" w:rsidP="00E765EF">
            <w:pPr>
              <w:rPr>
                <w:rFonts w:ascii="Times New Roman" w:eastAsia="Times New Roman" w:hAnsi="Times New Roman" w:cs="Times New Roman"/>
                <w:sz w:val="20"/>
                <w:szCs w:val="20"/>
                <w:lang w:eastAsia="en-AU"/>
              </w:rPr>
            </w:pPr>
          </w:p>
        </w:tc>
        <w:tc>
          <w:tcPr>
            <w:tcW w:w="365" w:type="pct"/>
            <w:gridSpan w:val="2"/>
            <w:tcBorders>
              <w:top w:val="nil"/>
              <w:left w:val="nil"/>
              <w:bottom w:val="nil"/>
              <w:right w:val="nil"/>
            </w:tcBorders>
            <w:shd w:val="clear" w:color="auto" w:fill="auto"/>
            <w:noWrap/>
            <w:vAlign w:val="bottom"/>
            <w:hideMark/>
          </w:tcPr>
          <w:p w14:paraId="0B407090" w14:textId="77777777" w:rsidR="00C82817" w:rsidRPr="00965BF1" w:rsidRDefault="00C82817" w:rsidP="00E765EF">
            <w:pPr>
              <w:rPr>
                <w:rFonts w:ascii="Times New Roman" w:eastAsia="Times New Roman" w:hAnsi="Times New Roman" w:cs="Times New Roman"/>
                <w:sz w:val="20"/>
                <w:szCs w:val="20"/>
                <w:lang w:eastAsia="en-AU"/>
              </w:rPr>
            </w:pPr>
          </w:p>
        </w:tc>
      </w:tr>
      <w:tr w:rsidR="00B736D1" w:rsidRPr="00965BF1" w14:paraId="23ADE4D5" w14:textId="77777777" w:rsidTr="00B736D1">
        <w:trPr>
          <w:trHeight w:val="300"/>
        </w:trPr>
        <w:tc>
          <w:tcPr>
            <w:tcW w:w="695" w:type="pct"/>
            <w:tcBorders>
              <w:top w:val="nil"/>
              <w:left w:val="nil"/>
              <w:bottom w:val="nil"/>
              <w:right w:val="nil"/>
            </w:tcBorders>
            <w:shd w:val="clear" w:color="auto" w:fill="auto"/>
            <w:noWrap/>
            <w:vAlign w:val="bottom"/>
            <w:hideMark/>
          </w:tcPr>
          <w:p w14:paraId="03E703C7" w14:textId="77777777" w:rsidR="00C82817" w:rsidRPr="00965BF1" w:rsidRDefault="00C82817" w:rsidP="00E765EF">
            <w:pPr>
              <w:rPr>
                <w:rFonts w:ascii="Calibri" w:eastAsia="Times New Roman" w:hAnsi="Calibri" w:cs="Calibri"/>
                <w:b/>
                <w:bCs/>
                <w:color w:val="000000"/>
                <w:sz w:val="20"/>
                <w:szCs w:val="20"/>
                <w:lang w:eastAsia="en-AU"/>
              </w:rPr>
            </w:pPr>
            <w:r w:rsidRPr="00965BF1">
              <w:rPr>
                <w:rFonts w:ascii="Calibri" w:eastAsia="Times New Roman" w:hAnsi="Calibri" w:cs="Calibri"/>
                <w:b/>
                <w:bCs/>
                <w:color w:val="000000"/>
                <w:sz w:val="20"/>
                <w:szCs w:val="20"/>
                <w:lang w:eastAsia="en-AU"/>
              </w:rPr>
              <w:t>Example:</w:t>
            </w:r>
          </w:p>
        </w:tc>
        <w:tc>
          <w:tcPr>
            <w:tcW w:w="3776" w:type="pct"/>
            <w:gridSpan w:val="24"/>
            <w:tcBorders>
              <w:top w:val="nil"/>
              <w:left w:val="nil"/>
              <w:bottom w:val="nil"/>
              <w:right w:val="nil"/>
            </w:tcBorders>
            <w:shd w:val="clear" w:color="auto" w:fill="auto"/>
            <w:noWrap/>
            <w:vAlign w:val="bottom"/>
            <w:hideMark/>
          </w:tcPr>
          <w:p w14:paraId="50889174" w14:textId="77777777" w:rsidR="00C82817" w:rsidRPr="00965BF1" w:rsidRDefault="00C82817" w:rsidP="00B736D1">
            <w:pPr>
              <w:ind w:left="32"/>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During the year, CMTEDD receives a grant of $1000 from the Commonwealth under a National Partnership Agreement with very specific obligations.</w:t>
            </w:r>
          </w:p>
        </w:tc>
        <w:tc>
          <w:tcPr>
            <w:tcW w:w="164" w:type="pct"/>
            <w:gridSpan w:val="3"/>
            <w:tcBorders>
              <w:top w:val="nil"/>
              <w:left w:val="nil"/>
              <w:bottom w:val="nil"/>
              <w:right w:val="nil"/>
            </w:tcBorders>
            <w:shd w:val="clear" w:color="auto" w:fill="auto"/>
            <w:noWrap/>
            <w:vAlign w:val="bottom"/>
            <w:hideMark/>
          </w:tcPr>
          <w:p w14:paraId="2240F6C5" w14:textId="77777777" w:rsidR="00C82817" w:rsidRPr="00965BF1" w:rsidRDefault="00C82817" w:rsidP="00E765EF">
            <w:pPr>
              <w:rPr>
                <w:rFonts w:ascii="Calibri" w:eastAsia="Times New Roman" w:hAnsi="Calibri" w:cs="Calibri"/>
                <w:color w:val="000000"/>
                <w:sz w:val="20"/>
                <w:szCs w:val="20"/>
                <w:lang w:eastAsia="en-AU"/>
              </w:rPr>
            </w:pPr>
          </w:p>
        </w:tc>
        <w:tc>
          <w:tcPr>
            <w:tcW w:w="365" w:type="pct"/>
            <w:gridSpan w:val="2"/>
            <w:tcBorders>
              <w:top w:val="nil"/>
              <w:left w:val="nil"/>
              <w:bottom w:val="nil"/>
              <w:right w:val="nil"/>
            </w:tcBorders>
            <w:shd w:val="clear" w:color="auto" w:fill="auto"/>
            <w:noWrap/>
            <w:vAlign w:val="bottom"/>
            <w:hideMark/>
          </w:tcPr>
          <w:p w14:paraId="31479F10" w14:textId="77777777" w:rsidR="00C82817" w:rsidRPr="00965BF1" w:rsidRDefault="00C82817" w:rsidP="00E765EF">
            <w:pPr>
              <w:rPr>
                <w:rFonts w:ascii="Times New Roman" w:eastAsia="Times New Roman" w:hAnsi="Times New Roman" w:cs="Times New Roman"/>
                <w:sz w:val="20"/>
                <w:szCs w:val="20"/>
                <w:lang w:eastAsia="en-AU"/>
              </w:rPr>
            </w:pPr>
          </w:p>
        </w:tc>
      </w:tr>
      <w:tr w:rsidR="00B736D1" w:rsidRPr="00965BF1" w14:paraId="54ED08D9" w14:textId="77777777" w:rsidTr="00B736D1">
        <w:trPr>
          <w:trHeight w:val="300"/>
        </w:trPr>
        <w:tc>
          <w:tcPr>
            <w:tcW w:w="695" w:type="pct"/>
            <w:tcBorders>
              <w:top w:val="nil"/>
              <w:left w:val="nil"/>
              <w:bottom w:val="nil"/>
              <w:right w:val="nil"/>
            </w:tcBorders>
            <w:shd w:val="clear" w:color="auto" w:fill="auto"/>
            <w:noWrap/>
            <w:vAlign w:val="bottom"/>
            <w:hideMark/>
          </w:tcPr>
          <w:p w14:paraId="613085CF" w14:textId="77777777" w:rsidR="00C82817" w:rsidRPr="00965BF1" w:rsidRDefault="00C82817" w:rsidP="00E765EF">
            <w:pPr>
              <w:rPr>
                <w:rFonts w:ascii="Times New Roman" w:eastAsia="Times New Roman" w:hAnsi="Times New Roman" w:cs="Times New Roman"/>
                <w:sz w:val="20"/>
                <w:szCs w:val="20"/>
                <w:lang w:eastAsia="en-AU"/>
              </w:rPr>
            </w:pPr>
          </w:p>
        </w:tc>
        <w:tc>
          <w:tcPr>
            <w:tcW w:w="3776" w:type="pct"/>
            <w:gridSpan w:val="24"/>
            <w:tcBorders>
              <w:top w:val="nil"/>
              <w:left w:val="nil"/>
              <w:bottom w:val="nil"/>
              <w:right w:val="nil"/>
            </w:tcBorders>
            <w:shd w:val="clear" w:color="auto" w:fill="auto"/>
            <w:noWrap/>
            <w:vAlign w:val="bottom"/>
            <w:hideMark/>
          </w:tcPr>
          <w:p w14:paraId="1D8A4C83"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During the same year, the relevant agency that undertakes the necessary work underlying the agreement (e.g. TCCS), completes 40% of the work.</w:t>
            </w:r>
          </w:p>
        </w:tc>
        <w:tc>
          <w:tcPr>
            <w:tcW w:w="164" w:type="pct"/>
            <w:gridSpan w:val="3"/>
            <w:tcBorders>
              <w:top w:val="nil"/>
              <w:left w:val="nil"/>
              <w:bottom w:val="nil"/>
              <w:right w:val="nil"/>
            </w:tcBorders>
            <w:shd w:val="clear" w:color="auto" w:fill="auto"/>
            <w:noWrap/>
            <w:vAlign w:val="bottom"/>
            <w:hideMark/>
          </w:tcPr>
          <w:p w14:paraId="5DA61029" w14:textId="77777777" w:rsidR="00C82817" w:rsidRPr="00965BF1" w:rsidRDefault="00C82817" w:rsidP="00E765EF">
            <w:pPr>
              <w:rPr>
                <w:rFonts w:ascii="Calibri" w:eastAsia="Times New Roman" w:hAnsi="Calibri" w:cs="Calibri"/>
                <w:color w:val="000000"/>
                <w:sz w:val="20"/>
                <w:szCs w:val="20"/>
                <w:lang w:eastAsia="en-AU"/>
              </w:rPr>
            </w:pPr>
          </w:p>
        </w:tc>
        <w:tc>
          <w:tcPr>
            <w:tcW w:w="365" w:type="pct"/>
            <w:gridSpan w:val="2"/>
            <w:tcBorders>
              <w:top w:val="nil"/>
              <w:left w:val="nil"/>
              <w:bottom w:val="nil"/>
              <w:right w:val="nil"/>
            </w:tcBorders>
            <w:shd w:val="clear" w:color="auto" w:fill="auto"/>
            <w:noWrap/>
            <w:vAlign w:val="bottom"/>
            <w:hideMark/>
          </w:tcPr>
          <w:p w14:paraId="46C6D52D" w14:textId="77777777" w:rsidR="00C82817" w:rsidRPr="00965BF1" w:rsidRDefault="00C82817" w:rsidP="00E765EF">
            <w:pPr>
              <w:rPr>
                <w:rFonts w:ascii="Times New Roman" w:eastAsia="Times New Roman" w:hAnsi="Times New Roman" w:cs="Times New Roman"/>
                <w:sz w:val="20"/>
                <w:szCs w:val="20"/>
                <w:lang w:eastAsia="en-AU"/>
              </w:rPr>
            </w:pPr>
          </w:p>
        </w:tc>
      </w:tr>
      <w:tr w:rsidR="002E0F8F" w:rsidRPr="00965BF1" w14:paraId="1F972998" w14:textId="77777777" w:rsidTr="002E0F8F">
        <w:trPr>
          <w:gridAfter w:val="1"/>
          <w:wAfter w:w="14" w:type="pct"/>
          <w:trHeight w:val="315"/>
        </w:trPr>
        <w:tc>
          <w:tcPr>
            <w:tcW w:w="695" w:type="pct"/>
            <w:tcBorders>
              <w:top w:val="nil"/>
              <w:left w:val="nil"/>
              <w:bottom w:val="single" w:sz="4" w:space="0" w:color="auto"/>
              <w:right w:val="nil"/>
            </w:tcBorders>
            <w:shd w:val="clear" w:color="auto" w:fill="auto"/>
            <w:noWrap/>
            <w:vAlign w:val="bottom"/>
            <w:hideMark/>
          </w:tcPr>
          <w:p w14:paraId="24793D15" w14:textId="77777777" w:rsidR="00C82817" w:rsidRPr="00965BF1" w:rsidRDefault="00C82817" w:rsidP="00E765EF">
            <w:pPr>
              <w:rPr>
                <w:rFonts w:ascii="Times New Roman" w:eastAsia="Times New Roman" w:hAnsi="Times New Roman" w:cs="Times New Roman"/>
                <w:sz w:val="20"/>
                <w:szCs w:val="20"/>
                <w:lang w:eastAsia="en-AU"/>
              </w:rPr>
            </w:pPr>
          </w:p>
        </w:tc>
        <w:tc>
          <w:tcPr>
            <w:tcW w:w="1358" w:type="pct"/>
            <w:gridSpan w:val="4"/>
            <w:tcBorders>
              <w:top w:val="nil"/>
              <w:left w:val="nil"/>
              <w:bottom w:val="single" w:sz="4" w:space="0" w:color="auto"/>
              <w:right w:val="nil"/>
            </w:tcBorders>
            <w:shd w:val="clear" w:color="auto" w:fill="auto"/>
            <w:noWrap/>
            <w:vAlign w:val="bottom"/>
            <w:hideMark/>
          </w:tcPr>
          <w:p w14:paraId="5A2916B5"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The work is fully funded by CW grants.</w:t>
            </w:r>
          </w:p>
        </w:tc>
        <w:tc>
          <w:tcPr>
            <w:tcW w:w="330" w:type="pct"/>
            <w:tcBorders>
              <w:top w:val="nil"/>
              <w:left w:val="nil"/>
              <w:bottom w:val="single" w:sz="4" w:space="0" w:color="auto"/>
              <w:right w:val="nil"/>
            </w:tcBorders>
            <w:shd w:val="clear" w:color="auto" w:fill="auto"/>
            <w:noWrap/>
            <w:vAlign w:val="bottom"/>
            <w:hideMark/>
          </w:tcPr>
          <w:p w14:paraId="755913EA" w14:textId="77777777" w:rsidR="00C82817" w:rsidRPr="00965BF1" w:rsidRDefault="00C82817" w:rsidP="00E765EF">
            <w:pPr>
              <w:rPr>
                <w:rFonts w:ascii="Calibri" w:eastAsia="Times New Roman" w:hAnsi="Calibri" w:cs="Calibri"/>
                <w:color w:val="000000"/>
                <w:sz w:val="20"/>
                <w:szCs w:val="20"/>
                <w:lang w:eastAsia="en-AU"/>
              </w:rPr>
            </w:pPr>
          </w:p>
        </w:tc>
        <w:tc>
          <w:tcPr>
            <w:tcW w:w="298" w:type="pct"/>
            <w:tcBorders>
              <w:top w:val="nil"/>
              <w:left w:val="nil"/>
              <w:bottom w:val="single" w:sz="4" w:space="0" w:color="auto"/>
              <w:right w:val="nil"/>
            </w:tcBorders>
            <w:shd w:val="clear" w:color="auto" w:fill="auto"/>
            <w:noWrap/>
            <w:vAlign w:val="bottom"/>
            <w:hideMark/>
          </w:tcPr>
          <w:p w14:paraId="755DE301" w14:textId="77777777" w:rsidR="00C82817" w:rsidRPr="00965BF1" w:rsidRDefault="00C82817" w:rsidP="00E765EF">
            <w:pPr>
              <w:rPr>
                <w:rFonts w:ascii="Times New Roman" w:eastAsia="Times New Roman" w:hAnsi="Times New Roman" w:cs="Times New Roman"/>
                <w:sz w:val="20"/>
                <w:szCs w:val="20"/>
                <w:lang w:eastAsia="en-AU"/>
              </w:rPr>
            </w:pPr>
          </w:p>
        </w:tc>
        <w:tc>
          <w:tcPr>
            <w:tcW w:w="97" w:type="pct"/>
            <w:gridSpan w:val="2"/>
            <w:tcBorders>
              <w:top w:val="nil"/>
              <w:left w:val="nil"/>
              <w:bottom w:val="single" w:sz="4" w:space="0" w:color="auto"/>
              <w:right w:val="nil"/>
            </w:tcBorders>
            <w:shd w:val="clear" w:color="auto" w:fill="auto"/>
            <w:noWrap/>
            <w:vAlign w:val="bottom"/>
            <w:hideMark/>
          </w:tcPr>
          <w:p w14:paraId="2DDA85E4" w14:textId="77777777" w:rsidR="00C82817" w:rsidRPr="00965BF1" w:rsidRDefault="00C82817" w:rsidP="00E765EF">
            <w:pPr>
              <w:rPr>
                <w:rFonts w:ascii="Times New Roman" w:eastAsia="Times New Roman" w:hAnsi="Times New Roman" w:cs="Times New Roman"/>
                <w:sz w:val="20"/>
                <w:szCs w:val="20"/>
                <w:lang w:eastAsia="en-AU"/>
              </w:rPr>
            </w:pPr>
          </w:p>
        </w:tc>
        <w:tc>
          <w:tcPr>
            <w:tcW w:w="547" w:type="pct"/>
            <w:gridSpan w:val="2"/>
            <w:tcBorders>
              <w:top w:val="nil"/>
              <w:left w:val="nil"/>
              <w:bottom w:val="single" w:sz="4" w:space="0" w:color="auto"/>
              <w:right w:val="nil"/>
            </w:tcBorders>
            <w:shd w:val="clear" w:color="auto" w:fill="auto"/>
            <w:noWrap/>
            <w:vAlign w:val="bottom"/>
            <w:hideMark/>
          </w:tcPr>
          <w:p w14:paraId="334F3E4A" w14:textId="77777777" w:rsidR="00C82817" w:rsidRPr="00965BF1" w:rsidRDefault="00C82817" w:rsidP="00E765EF">
            <w:pPr>
              <w:rPr>
                <w:rFonts w:ascii="Times New Roman" w:eastAsia="Times New Roman" w:hAnsi="Times New Roman" w:cs="Times New Roman"/>
                <w:sz w:val="20"/>
                <w:szCs w:val="20"/>
                <w:lang w:eastAsia="en-AU"/>
              </w:rPr>
            </w:pPr>
          </w:p>
        </w:tc>
        <w:tc>
          <w:tcPr>
            <w:tcW w:w="188" w:type="pct"/>
            <w:gridSpan w:val="3"/>
            <w:tcBorders>
              <w:top w:val="nil"/>
              <w:left w:val="nil"/>
              <w:bottom w:val="single" w:sz="4" w:space="0" w:color="auto"/>
              <w:right w:val="nil"/>
            </w:tcBorders>
            <w:shd w:val="clear" w:color="auto" w:fill="auto"/>
            <w:noWrap/>
            <w:vAlign w:val="bottom"/>
            <w:hideMark/>
          </w:tcPr>
          <w:p w14:paraId="02157B26" w14:textId="77777777" w:rsidR="00C82817" w:rsidRPr="00965BF1" w:rsidRDefault="00C82817" w:rsidP="00E765EF">
            <w:pPr>
              <w:rPr>
                <w:rFonts w:ascii="Times New Roman" w:eastAsia="Times New Roman" w:hAnsi="Times New Roman" w:cs="Times New Roman"/>
                <w:sz w:val="20"/>
                <w:szCs w:val="20"/>
                <w:lang w:eastAsia="en-AU"/>
              </w:rPr>
            </w:pPr>
          </w:p>
        </w:tc>
        <w:tc>
          <w:tcPr>
            <w:tcW w:w="184" w:type="pct"/>
            <w:gridSpan w:val="3"/>
            <w:tcBorders>
              <w:top w:val="nil"/>
              <w:left w:val="nil"/>
              <w:bottom w:val="single" w:sz="4" w:space="0" w:color="auto"/>
              <w:right w:val="nil"/>
            </w:tcBorders>
            <w:shd w:val="clear" w:color="auto" w:fill="auto"/>
            <w:noWrap/>
            <w:vAlign w:val="bottom"/>
            <w:hideMark/>
          </w:tcPr>
          <w:p w14:paraId="0D220141" w14:textId="77777777" w:rsidR="00C82817" w:rsidRPr="00965BF1" w:rsidRDefault="00C82817" w:rsidP="00E765EF">
            <w:pPr>
              <w:rPr>
                <w:rFonts w:ascii="Times New Roman" w:eastAsia="Times New Roman" w:hAnsi="Times New Roman" w:cs="Times New Roman"/>
                <w:sz w:val="20"/>
                <w:szCs w:val="20"/>
                <w:lang w:eastAsia="en-AU"/>
              </w:rPr>
            </w:pPr>
          </w:p>
        </w:tc>
        <w:tc>
          <w:tcPr>
            <w:tcW w:w="91" w:type="pct"/>
            <w:gridSpan w:val="3"/>
            <w:tcBorders>
              <w:top w:val="nil"/>
              <w:left w:val="nil"/>
              <w:bottom w:val="single" w:sz="4" w:space="0" w:color="auto"/>
              <w:right w:val="nil"/>
            </w:tcBorders>
            <w:shd w:val="clear" w:color="auto" w:fill="auto"/>
            <w:noWrap/>
            <w:vAlign w:val="bottom"/>
            <w:hideMark/>
          </w:tcPr>
          <w:p w14:paraId="6C96C0AD" w14:textId="77777777" w:rsidR="00C82817" w:rsidRPr="00965BF1" w:rsidRDefault="00C82817" w:rsidP="00E765EF">
            <w:pPr>
              <w:rPr>
                <w:rFonts w:ascii="Times New Roman" w:eastAsia="Times New Roman" w:hAnsi="Times New Roman" w:cs="Times New Roman"/>
                <w:sz w:val="20"/>
                <w:szCs w:val="20"/>
                <w:lang w:eastAsia="en-AU"/>
              </w:rPr>
            </w:pPr>
          </w:p>
        </w:tc>
        <w:tc>
          <w:tcPr>
            <w:tcW w:w="669" w:type="pct"/>
            <w:gridSpan w:val="3"/>
            <w:tcBorders>
              <w:top w:val="nil"/>
              <w:left w:val="nil"/>
              <w:bottom w:val="single" w:sz="4" w:space="0" w:color="auto"/>
              <w:right w:val="nil"/>
            </w:tcBorders>
            <w:shd w:val="clear" w:color="auto" w:fill="auto"/>
            <w:noWrap/>
            <w:vAlign w:val="bottom"/>
            <w:hideMark/>
          </w:tcPr>
          <w:p w14:paraId="6E6AA82B" w14:textId="77777777" w:rsidR="00C82817" w:rsidRPr="00965BF1" w:rsidRDefault="00C82817" w:rsidP="00E765EF">
            <w:pPr>
              <w:rPr>
                <w:rFonts w:ascii="Times New Roman" w:eastAsia="Times New Roman" w:hAnsi="Times New Roman" w:cs="Times New Roman"/>
                <w:sz w:val="20"/>
                <w:szCs w:val="20"/>
                <w:lang w:eastAsia="en-AU"/>
              </w:rPr>
            </w:pPr>
          </w:p>
        </w:tc>
        <w:tc>
          <w:tcPr>
            <w:tcW w:w="165" w:type="pct"/>
            <w:gridSpan w:val="3"/>
            <w:tcBorders>
              <w:top w:val="nil"/>
              <w:left w:val="nil"/>
              <w:bottom w:val="single" w:sz="4" w:space="0" w:color="auto"/>
              <w:right w:val="nil"/>
            </w:tcBorders>
            <w:shd w:val="clear" w:color="auto" w:fill="auto"/>
            <w:noWrap/>
            <w:vAlign w:val="bottom"/>
            <w:hideMark/>
          </w:tcPr>
          <w:p w14:paraId="0CC269F1" w14:textId="77777777" w:rsidR="00C82817" w:rsidRPr="00965BF1" w:rsidRDefault="00C82817" w:rsidP="00E765EF">
            <w:pPr>
              <w:rPr>
                <w:rFonts w:ascii="Times New Roman" w:eastAsia="Times New Roman" w:hAnsi="Times New Roman" w:cs="Times New Roman"/>
                <w:sz w:val="20"/>
                <w:szCs w:val="20"/>
                <w:lang w:eastAsia="en-AU"/>
              </w:rPr>
            </w:pPr>
          </w:p>
        </w:tc>
        <w:tc>
          <w:tcPr>
            <w:tcW w:w="365" w:type="pct"/>
            <w:gridSpan w:val="3"/>
            <w:tcBorders>
              <w:top w:val="nil"/>
              <w:left w:val="nil"/>
              <w:bottom w:val="single" w:sz="4" w:space="0" w:color="auto"/>
              <w:right w:val="nil"/>
            </w:tcBorders>
            <w:shd w:val="clear" w:color="auto" w:fill="auto"/>
            <w:noWrap/>
            <w:vAlign w:val="bottom"/>
            <w:hideMark/>
          </w:tcPr>
          <w:p w14:paraId="196700D2" w14:textId="77777777" w:rsidR="00C82817" w:rsidRPr="00965BF1" w:rsidRDefault="00C82817" w:rsidP="00E765EF">
            <w:pPr>
              <w:rPr>
                <w:rFonts w:ascii="Times New Roman" w:eastAsia="Times New Roman" w:hAnsi="Times New Roman" w:cs="Times New Roman"/>
                <w:sz w:val="20"/>
                <w:szCs w:val="20"/>
                <w:lang w:eastAsia="en-AU"/>
              </w:rPr>
            </w:pPr>
          </w:p>
        </w:tc>
      </w:tr>
      <w:tr w:rsidR="002E0F8F" w:rsidRPr="00965BF1" w14:paraId="2D9AFEBD" w14:textId="77777777" w:rsidTr="002E0F8F">
        <w:trPr>
          <w:trHeight w:val="300"/>
        </w:trPr>
        <w:tc>
          <w:tcPr>
            <w:tcW w:w="12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9208C" w14:textId="4AF8E042" w:rsidR="002E0F8F" w:rsidRPr="00965BF1" w:rsidRDefault="002E0F8F" w:rsidP="002E0F8F">
            <w:pPr>
              <w:jc w:val="center"/>
              <w:rPr>
                <w:rFonts w:ascii="Calibri" w:eastAsia="Times New Roman" w:hAnsi="Calibri" w:cs="Calibri"/>
                <w:color w:val="000000"/>
                <w:sz w:val="20"/>
                <w:szCs w:val="20"/>
                <w:lang w:eastAsia="en-AU"/>
              </w:rPr>
            </w:pPr>
            <w:r w:rsidRPr="00965BF1">
              <w:rPr>
                <w:rFonts w:ascii="Calibri" w:eastAsia="Times New Roman" w:hAnsi="Calibri" w:cs="Calibri"/>
                <w:b/>
                <w:bCs/>
                <w:color w:val="000000"/>
                <w:sz w:val="20"/>
                <w:szCs w:val="20"/>
                <w:lang w:eastAsia="en-AU"/>
              </w:rPr>
              <w:t>CMTEDD (Territorial)</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8003" w14:textId="77777777" w:rsidR="002E0F8F" w:rsidRPr="00965BF1" w:rsidRDefault="002E0F8F" w:rsidP="002E0F8F">
            <w:pPr>
              <w:jc w:val="center"/>
              <w:rPr>
                <w:rFonts w:ascii="Calibri" w:eastAsia="Times New Roman" w:hAnsi="Calibri" w:cs="Calibri"/>
                <w:color w:val="000000"/>
                <w:sz w:val="20"/>
                <w:szCs w:val="20"/>
                <w:lang w:eastAsia="en-AU"/>
              </w:rPr>
            </w:pPr>
          </w:p>
        </w:tc>
        <w:tc>
          <w:tcPr>
            <w:tcW w:w="136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E7DA5" w14:textId="48C0302C" w:rsidR="002E0F8F" w:rsidRPr="00965BF1" w:rsidRDefault="002E0F8F" w:rsidP="002E0F8F">
            <w:pPr>
              <w:jc w:val="center"/>
              <w:rPr>
                <w:rFonts w:ascii="Calibri" w:eastAsia="Times New Roman" w:hAnsi="Calibri" w:cs="Calibri"/>
                <w:color w:val="000000"/>
                <w:sz w:val="20"/>
                <w:szCs w:val="20"/>
                <w:lang w:eastAsia="en-AU"/>
              </w:rPr>
            </w:pPr>
            <w:r w:rsidRPr="00965BF1">
              <w:rPr>
                <w:rFonts w:ascii="Calibri" w:eastAsia="Times New Roman" w:hAnsi="Calibri" w:cs="Calibri"/>
                <w:b/>
                <w:bCs/>
                <w:color w:val="000000"/>
                <w:sz w:val="20"/>
                <w:szCs w:val="20"/>
                <w:lang w:eastAsia="en-AU"/>
              </w:rPr>
              <w:t>TBA (Territorial)</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702B4" w14:textId="77777777" w:rsidR="002E0F8F" w:rsidRPr="00965BF1" w:rsidRDefault="002E0F8F" w:rsidP="002E0F8F">
            <w:pPr>
              <w:jc w:val="center"/>
              <w:rPr>
                <w:rFonts w:ascii="Calibri" w:eastAsia="Times New Roman" w:hAnsi="Calibri" w:cs="Calibri"/>
                <w:color w:val="000000"/>
                <w:sz w:val="20"/>
                <w:szCs w:val="20"/>
                <w:lang w:eastAsia="en-AU"/>
              </w:rPr>
            </w:pPr>
          </w:p>
        </w:tc>
        <w:tc>
          <w:tcPr>
            <w:tcW w:w="919"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35B45" w14:textId="1004ECEB" w:rsidR="002E0F8F" w:rsidRPr="00965BF1" w:rsidRDefault="002E0F8F" w:rsidP="002E0F8F">
            <w:pPr>
              <w:jc w:val="center"/>
              <w:rPr>
                <w:rFonts w:ascii="Calibri" w:eastAsia="Times New Roman" w:hAnsi="Calibri" w:cs="Calibri"/>
                <w:color w:val="000000"/>
                <w:sz w:val="20"/>
                <w:szCs w:val="20"/>
                <w:lang w:eastAsia="en-AU"/>
              </w:rPr>
            </w:pPr>
            <w:r w:rsidRPr="00965BF1">
              <w:rPr>
                <w:rFonts w:ascii="Calibri" w:eastAsia="Times New Roman" w:hAnsi="Calibri" w:cs="Calibri"/>
                <w:b/>
                <w:bCs/>
                <w:color w:val="000000"/>
                <w:sz w:val="20"/>
                <w:szCs w:val="20"/>
                <w:lang w:eastAsia="en-AU"/>
              </w:rPr>
              <w:t>Delivering Agency (</w:t>
            </w:r>
            <w:proofErr w:type="spellStart"/>
            <w:r w:rsidRPr="00965BF1">
              <w:rPr>
                <w:rFonts w:ascii="Calibri" w:eastAsia="Times New Roman" w:hAnsi="Calibri" w:cs="Calibri"/>
                <w:b/>
                <w:bCs/>
                <w:color w:val="000000"/>
                <w:sz w:val="20"/>
                <w:szCs w:val="20"/>
                <w:lang w:eastAsia="en-AU"/>
              </w:rPr>
              <w:t>e.g.TCCS</w:t>
            </w:r>
            <w:proofErr w:type="spellEnd"/>
            <w:r w:rsidRPr="00965BF1">
              <w:rPr>
                <w:rFonts w:ascii="Calibri" w:eastAsia="Times New Roman" w:hAnsi="Calibri" w:cs="Calibri"/>
                <w:b/>
                <w:bCs/>
                <w:color w:val="000000"/>
                <w:sz w:val="20"/>
                <w:szCs w:val="20"/>
                <w:lang w:eastAsia="en-AU"/>
              </w:rPr>
              <w:t>)</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12B86" w14:textId="77777777" w:rsidR="002E0F8F" w:rsidRPr="00965BF1" w:rsidRDefault="002E0F8F" w:rsidP="002E0F8F">
            <w:pPr>
              <w:jc w:val="center"/>
              <w:rPr>
                <w:rFonts w:ascii="Calibri" w:eastAsia="Times New Roman" w:hAnsi="Calibri" w:cs="Calibri"/>
                <w:color w:val="000000"/>
                <w:sz w:val="20"/>
                <w:szCs w:val="20"/>
                <w:lang w:eastAsia="en-AU"/>
              </w:rPr>
            </w:pPr>
          </w:p>
        </w:tc>
        <w:tc>
          <w:tcPr>
            <w:tcW w:w="1205"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383FB" w14:textId="28019A30" w:rsidR="002E0F8F" w:rsidRPr="00965BF1" w:rsidRDefault="002E0F8F" w:rsidP="002E0F8F">
            <w:pPr>
              <w:jc w:val="center"/>
              <w:rPr>
                <w:rFonts w:ascii="Calibri" w:eastAsia="Times New Roman" w:hAnsi="Calibri" w:cs="Calibri"/>
                <w:color w:val="000000"/>
                <w:sz w:val="20"/>
                <w:szCs w:val="20"/>
                <w:lang w:eastAsia="en-AU"/>
              </w:rPr>
            </w:pPr>
            <w:r w:rsidRPr="00965BF1">
              <w:rPr>
                <w:rFonts w:ascii="Calibri" w:eastAsia="Times New Roman" w:hAnsi="Calibri" w:cs="Calibri"/>
                <w:b/>
                <w:bCs/>
                <w:color w:val="000000"/>
                <w:sz w:val="20"/>
                <w:szCs w:val="20"/>
                <w:lang w:eastAsia="en-AU"/>
              </w:rPr>
              <w:t>Consolidated</w:t>
            </w:r>
          </w:p>
        </w:tc>
      </w:tr>
      <w:tr w:rsidR="002E0F8F" w:rsidRPr="00965BF1" w14:paraId="18ED1FBD"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B0946" w14:textId="77777777" w:rsidR="00C82817" w:rsidRPr="00B736D1" w:rsidRDefault="00C82817" w:rsidP="00E765EF">
            <w:pPr>
              <w:rPr>
                <w:rFonts w:ascii="Calibri" w:eastAsia="Times New Roman" w:hAnsi="Calibri" w:cs="Calibri"/>
                <w:b/>
                <w:bCs/>
                <w:color w:val="000000"/>
                <w:sz w:val="20"/>
                <w:szCs w:val="20"/>
                <w:lang w:eastAsia="en-AU"/>
              </w:rPr>
            </w:pPr>
            <w:r w:rsidRPr="00B736D1">
              <w:rPr>
                <w:rFonts w:ascii="Calibri" w:eastAsia="Times New Roman" w:hAnsi="Calibri" w:cs="Calibri"/>
                <w:b/>
                <w:bCs/>
                <w:color w:val="000000"/>
                <w:sz w:val="20"/>
                <w:szCs w:val="20"/>
                <w:lang w:eastAsia="en-AU"/>
              </w:rPr>
              <w:t>Existing Entries</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F8019" w14:textId="77777777" w:rsidR="00C82817" w:rsidRPr="00965BF1" w:rsidRDefault="00C82817" w:rsidP="00E765EF">
            <w:pPr>
              <w:rPr>
                <w:rFonts w:ascii="Calibri" w:eastAsia="Times New Roman" w:hAnsi="Calibri" w:cs="Calibri"/>
                <w:color w:val="000000"/>
                <w:sz w:val="20"/>
                <w:szCs w:val="20"/>
                <w:u w:val="single"/>
                <w:lang w:eastAsia="en-AU"/>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2055D"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4C029" w14:textId="77777777" w:rsidR="00C82817" w:rsidRPr="00965BF1" w:rsidRDefault="00C82817" w:rsidP="00E765EF">
            <w:pPr>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DD02" w14:textId="77777777" w:rsidR="00C82817" w:rsidRPr="00B736D1" w:rsidRDefault="00C82817" w:rsidP="00E765EF">
            <w:pPr>
              <w:rPr>
                <w:rFonts w:ascii="Calibri" w:eastAsia="Times New Roman" w:hAnsi="Calibri" w:cs="Calibri"/>
                <w:b/>
                <w:bCs/>
                <w:color w:val="000000"/>
                <w:sz w:val="20"/>
                <w:szCs w:val="20"/>
                <w:lang w:eastAsia="en-AU"/>
              </w:rPr>
            </w:pPr>
            <w:r w:rsidRPr="00B736D1">
              <w:rPr>
                <w:rFonts w:ascii="Calibri" w:eastAsia="Times New Roman" w:hAnsi="Calibri" w:cs="Calibri"/>
                <w:b/>
                <w:bCs/>
                <w:color w:val="000000"/>
                <w:sz w:val="20"/>
                <w:szCs w:val="20"/>
                <w:lang w:eastAsia="en-AU"/>
              </w:rPr>
              <w:t>Existing Entries</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74FB9" w14:textId="77777777" w:rsidR="00C82817" w:rsidRPr="00965BF1" w:rsidRDefault="00C82817" w:rsidP="00E765EF">
            <w:pPr>
              <w:rPr>
                <w:rFonts w:ascii="Calibri" w:eastAsia="Times New Roman" w:hAnsi="Calibri" w:cs="Calibri"/>
                <w:color w:val="000000"/>
                <w:sz w:val="20"/>
                <w:szCs w:val="20"/>
                <w:u w:val="single"/>
                <w:lang w:eastAsia="en-AU"/>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A364F"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26731" w14:textId="77777777" w:rsidR="00C82817" w:rsidRPr="00965BF1" w:rsidRDefault="00C82817" w:rsidP="00E765EF">
            <w:pPr>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D8B41" w14:textId="77777777" w:rsidR="00C82817" w:rsidRPr="00B736D1" w:rsidRDefault="00C82817" w:rsidP="00E765EF">
            <w:pPr>
              <w:rPr>
                <w:rFonts w:ascii="Calibri" w:eastAsia="Times New Roman" w:hAnsi="Calibri" w:cs="Calibri"/>
                <w:b/>
                <w:bCs/>
                <w:color w:val="000000"/>
                <w:sz w:val="20"/>
                <w:szCs w:val="20"/>
                <w:lang w:eastAsia="en-AU"/>
              </w:rPr>
            </w:pPr>
            <w:r w:rsidRPr="00B736D1">
              <w:rPr>
                <w:rFonts w:ascii="Calibri" w:eastAsia="Times New Roman" w:hAnsi="Calibri" w:cs="Calibri"/>
                <w:b/>
                <w:bCs/>
                <w:color w:val="000000"/>
                <w:sz w:val="20"/>
                <w:szCs w:val="20"/>
                <w:lang w:eastAsia="en-AU"/>
              </w:rPr>
              <w:t>Existing Entries</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42F40" w14:textId="77777777" w:rsidR="00C82817" w:rsidRPr="00965BF1" w:rsidRDefault="00C82817" w:rsidP="00E765EF">
            <w:pPr>
              <w:rPr>
                <w:rFonts w:ascii="Calibri" w:eastAsia="Times New Roman" w:hAnsi="Calibri" w:cs="Calibri"/>
                <w:color w:val="000000"/>
                <w:sz w:val="20"/>
                <w:szCs w:val="20"/>
                <w:u w:val="single"/>
                <w:lang w:eastAsia="en-AU"/>
              </w:rPr>
            </w:pP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5A70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4BBD6" w14:textId="77777777" w:rsidR="00C82817" w:rsidRPr="00965BF1" w:rsidRDefault="00C82817" w:rsidP="00E765EF">
            <w:pPr>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6DEEE" w14:textId="77777777" w:rsidR="00C82817" w:rsidRPr="00B736D1" w:rsidRDefault="00C82817" w:rsidP="00E765EF">
            <w:pPr>
              <w:rPr>
                <w:rFonts w:ascii="Calibri" w:eastAsia="Times New Roman" w:hAnsi="Calibri" w:cs="Calibri"/>
                <w:b/>
                <w:bCs/>
                <w:color w:val="000000"/>
                <w:sz w:val="20"/>
                <w:szCs w:val="20"/>
                <w:lang w:eastAsia="en-AU"/>
              </w:rPr>
            </w:pPr>
            <w:r w:rsidRPr="00B736D1">
              <w:rPr>
                <w:rFonts w:ascii="Calibri" w:eastAsia="Times New Roman" w:hAnsi="Calibri" w:cs="Calibri"/>
                <w:b/>
                <w:bCs/>
                <w:color w:val="000000"/>
                <w:sz w:val="20"/>
                <w:szCs w:val="20"/>
                <w:lang w:eastAsia="en-AU"/>
              </w:rPr>
              <w:t>Existing Entries</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3104C" w14:textId="77777777" w:rsidR="00C82817" w:rsidRPr="00965BF1" w:rsidRDefault="00C82817" w:rsidP="00E765EF">
            <w:pPr>
              <w:rPr>
                <w:rFonts w:ascii="Calibri" w:eastAsia="Times New Roman" w:hAnsi="Calibri" w:cs="Calibri"/>
                <w:color w:val="000000"/>
                <w:sz w:val="20"/>
                <w:szCs w:val="20"/>
                <w:u w:val="single"/>
                <w:lang w:eastAsia="en-AU"/>
              </w:rPr>
            </w:pP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52A86"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42A40C40"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74CF5"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02ECA"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FE8C6"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1,000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1FB9F"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F012B"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C9281" w14:textId="77777777" w:rsidR="00C82817" w:rsidRPr="00965BF1" w:rsidRDefault="00C82817" w:rsidP="00E765EF">
            <w:pPr>
              <w:rPr>
                <w:rFonts w:ascii="Calibri" w:eastAsia="Times New Roman" w:hAnsi="Calibri" w:cs="Calibri"/>
                <w:color w:val="000000"/>
                <w:sz w:val="20"/>
                <w:szCs w:val="20"/>
                <w:lang w:eastAsia="en-AU"/>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D4E6E"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6BD8E" w14:textId="77777777" w:rsidR="00C82817" w:rsidRPr="00965BF1" w:rsidRDefault="00C82817" w:rsidP="00E765EF">
            <w:pPr>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2EA7E"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AD1EC" w14:textId="77777777" w:rsidR="00C82817" w:rsidRPr="00965BF1" w:rsidRDefault="00C82817" w:rsidP="00E765EF">
            <w:pPr>
              <w:rPr>
                <w:rFonts w:ascii="Calibri" w:eastAsia="Times New Roman" w:hAnsi="Calibri" w:cs="Calibri"/>
                <w:color w:val="000000"/>
                <w:sz w:val="20"/>
                <w:szCs w:val="20"/>
                <w:lang w:eastAsia="en-AU"/>
              </w:rPr>
            </w:pP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3FECF"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32E42" w14:textId="77777777" w:rsidR="00C82817" w:rsidRPr="00965BF1" w:rsidRDefault="00C82817" w:rsidP="00E765EF">
            <w:pPr>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5266"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FE447"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54DBC"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1,000</w:t>
            </w:r>
          </w:p>
        </w:tc>
      </w:tr>
      <w:tr w:rsidR="002E0F8F" w:rsidRPr="00965BF1" w14:paraId="4DABFA35"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6BCC2"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Grants from CW (Revenue)</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41939"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862C4"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-1,000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1E8D9"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E992F"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77D70" w14:textId="77777777" w:rsidR="00C82817" w:rsidRPr="00965BF1" w:rsidRDefault="00C82817" w:rsidP="00E765EF">
            <w:pPr>
              <w:rPr>
                <w:rFonts w:ascii="Calibri" w:eastAsia="Times New Roman" w:hAnsi="Calibri" w:cs="Calibri"/>
                <w:color w:val="000000"/>
                <w:sz w:val="20"/>
                <w:szCs w:val="20"/>
                <w:lang w:eastAsia="en-AU"/>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F19A"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7876" w14:textId="77777777" w:rsidR="00C82817" w:rsidRPr="00965BF1" w:rsidRDefault="00C82817" w:rsidP="00E765EF">
            <w:pPr>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2322A"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B534B" w14:textId="77777777" w:rsidR="00C82817" w:rsidRPr="00965BF1" w:rsidRDefault="00C82817" w:rsidP="00E765EF">
            <w:pPr>
              <w:rPr>
                <w:rFonts w:ascii="Calibri" w:eastAsia="Times New Roman" w:hAnsi="Calibri" w:cs="Calibri"/>
                <w:color w:val="000000"/>
                <w:sz w:val="20"/>
                <w:szCs w:val="20"/>
                <w:lang w:eastAsia="en-AU"/>
              </w:rPr>
            </w:pP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73C83"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94661" w14:textId="77777777" w:rsidR="00C82817" w:rsidRPr="00965BF1" w:rsidRDefault="00C82817" w:rsidP="00E765EF">
            <w:pPr>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DDA7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Grants from CW (Revenue)</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20DC6"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72DFC"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-1,000</w:t>
            </w:r>
          </w:p>
        </w:tc>
      </w:tr>
      <w:tr w:rsidR="002E0F8F" w:rsidRPr="00965BF1" w14:paraId="7FC4F72A"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A9F0A"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43008" w14:textId="77777777" w:rsidR="00C82817" w:rsidRPr="00965BF1" w:rsidRDefault="00C82817" w:rsidP="00E765EF">
            <w:pPr>
              <w:rPr>
                <w:rFonts w:ascii="Calibri" w:eastAsia="Times New Roman" w:hAnsi="Calibri" w:cs="Calibri"/>
                <w:color w:val="000000"/>
                <w:sz w:val="20"/>
                <w:szCs w:val="20"/>
                <w:lang w:eastAsia="en-AU"/>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35DE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53257" w14:textId="77777777" w:rsidR="00C82817" w:rsidRPr="00965BF1" w:rsidRDefault="00C82817" w:rsidP="00E765EF">
            <w:pPr>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92264"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90BFA" w14:textId="77777777" w:rsidR="00C82817" w:rsidRPr="00965BF1" w:rsidRDefault="00C82817" w:rsidP="00E765EF">
            <w:pPr>
              <w:rPr>
                <w:rFonts w:ascii="Calibri" w:eastAsia="Times New Roman" w:hAnsi="Calibri" w:cs="Calibri"/>
                <w:color w:val="000000"/>
                <w:sz w:val="20"/>
                <w:szCs w:val="20"/>
                <w:lang w:eastAsia="en-AU"/>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D51C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65472" w14:textId="77777777" w:rsidR="00C82817" w:rsidRPr="00965BF1" w:rsidRDefault="00C82817" w:rsidP="00E765EF">
            <w:pPr>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27282"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9794" w14:textId="77777777" w:rsidR="00C82817" w:rsidRPr="00965BF1" w:rsidRDefault="00C82817" w:rsidP="00E765EF">
            <w:pPr>
              <w:rPr>
                <w:rFonts w:ascii="Calibri" w:eastAsia="Times New Roman" w:hAnsi="Calibri" w:cs="Calibri"/>
                <w:color w:val="000000"/>
                <w:sz w:val="20"/>
                <w:szCs w:val="20"/>
                <w:lang w:eastAsia="en-AU"/>
              </w:rPr>
            </w:pP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6E500"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C2D4F" w14:textId="77777777" w:rsidR="00C82817" w:rsidRPr="00965BF1" w:rsidRDefault="00C82817" w:rsidP="00E765EF">
            <w:pPr>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2F05C"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BF042" w14:textId="77777777" w:rsidR="00C82817" w:rsidRPr="00965BF1" w:rsidRDefault="00C82817" w:rsidP="00E765EF">
            <w:pPr>
              <w:rPr>
                <w:rFonts w:ascii="Calibri" w:eastAsia="Times New Roman" w:hAnsi="Calibri" w:cs="Calibri"/>
                <w:color w:val="000000"/>
                <w:sz w:val="20"/>
                <w:szCs w:val="20"/>
                <w:lang w:eastAsia="en-AU"/>
              </w:rPr>
            </w:pP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CF0F7"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65095CBD"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AF26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Transfer to Govt Expense (Exp)</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15CD0"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TBA</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6EC7"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1,000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0B29D"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127A6"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AD362"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C4CC3"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1,000</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BFD7"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15D44"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3E273" w14:textId="77777777" w:rsidR="00C82817" w:rsidRPr="00965BF1" w:rsidRDefault="00C82817" w:rsidP="00E765EF">
            <w:pPr>
              <w:rPr>
                <w:rFonts w:ascii="Calibri" w:eastAsia="Times New Roman" w:hAnsi="Calibri" w:cs="Calibri"/>
                <w:color w:val="000000"/>
                <w:sz w:val="20"/>
                <w:szCs w:val="20"/>
                <w:lang w:eastAsia="en-AU"/>
              </w:rPr>
            </w:pP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35396"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A5412" w14:textId="77777777" w:rsidR="00C82817" w:rsidRPr="00965BF1" w:rsidRDefault="00C82817" w:rsidP="00E765EF">
            <w:pPr>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80152"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764E8" w14:textId="77777777" w:rsidR="00C82817" w:rsidRPr="00965BF1" w:rsidRDefault="00C82817" w:rsidP="00E765EF">
            <w:pPr>
              <w:rPr>
                <w:rFonts w:ascii="Calibri" w:eastAsia="Times New Roman" w:hAnsi="Calibri" w:cs="Calibri"/>
                <w:color w:val="000000"/>
                <w:sz w:val="20"/>
                <w:szCs w:val="20"/>
                <w:lang w:eastAsia="en-AU"/>
              </w:rPr>
            </w:pP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6E203"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5B137F0A"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79BB9"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Transfer to TBA (Asset)</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DD29C"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592AC"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-1,000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8AED3"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77C1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Transfers from Agency (Revenue)</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F607B"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CMTEDD</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53363"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-1,000</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3B9A"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8463C"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239F" w14:textId="77777777" w:rsidR="00C82817" w:rsidRPr="00965BF1" w:rsidRDefault="00C82817" w:rsidP="00E765EF">
            <w:pPr>
              <w:rPr>
                <w:rFonts w:ascii="Calibri" w:eastAsia="Times New Roman" w:hAnsi="Calibri" w:cs="Calibri"/>
                <w:color w:val="000000"/>
                <w:sz w:val="20"/>
                <w:szCs w:val="20"/>
                <w:lang w:eastAsia="en-AU"/>
              </w:rPr>
            </w:pP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24A9A"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4C67F" w14:textId="77777777" w:rsidR="00C82817" w:rsidRPr="00965BF1" w:rsidRDefault="00C82817" w:rsidP="00E765EF">
            <w:pPr>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B3BB"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ECC40" w14:textId="77777777" w:rsidR="00C82817" w:rsidRPr="00965BF1" w:rsidRDefault="00C82817" w:rsidP="00E765EF">
            <w:pPr>
              <w:rPr>
                <w:rFonts w:ascii="Calibri" w:eastAsia="Times New Roman" w:hAnsi="Calibri" w:cs="Calibri"/>
                <w:color w:val="000000"/>
                <w:sz w:val="20"/>
                <w:szCs w:val="20"/>
                <w:lang w:eastAsia="en-AU"/>
              </w:rPr>
            </w:pP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E7963"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0B740B13"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D85B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8FB9" w14:textId="77777777" w:rsidR="00C82817" w:rsidRPr="00965BF1" w:rsidRDefault="00C82817" w:rsidP="00E765EF">
            <w:pPr>
              <w:rPr>
                <w:rFonts w:ascii="Calibri" w:eastAsia="Times New Roman" w:hAnsi="Calibri" w:cs="Calibri"/>
                <w:color w:val="000000"/>
                <w:sz w:val="20"/>
                <w:szCs w:val="20"/>
                <w:lang w:eastAsia="en-AU"/>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C7D6D"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4BAE8" w14:textId="77777777" w:rsidR="00C82817" w:rsidRPr="00965BF1" w:rsidRDefault="00C82817" w:rsidP="00E765EF">
            <w:pPr>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6F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Payments to Agency (CRP)</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41262"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TCCS</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3CF3"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400</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92027"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344F8"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9BEE8"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D7178"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400</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6E25C"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6C520"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5576F" w14:textId="77777777" w:rsidR="00C82817" w:rsidRPr="00965BF1" w:rsidRDefault="00C82817" w:rsidP="00E765EF">
            <w:pPr>
              <w:rPr>
                <w:rFonts w:ascii="Calibri" w:eastAsia="Times New Roman" w:hAnsi="Calibri" w:cs="Calibri"/>
                <w:color w:val="000000"/>
                <w:sz w:val="20"/>
                <w:szCs w:val="20"/>
                <w:lang w:eastAsia="en-AU"/>
              </w:rPr>
            </w:pP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80C14"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5BB85BF2"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98707"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E216A" w14:textId="77777777" w:rsidR="00C82817" w:rsidRPr="00965BF1" w:rsidRDefault="00C82817" w:rsidP="00E765EF">
            <w:pPr>
              <w:rPr>
                <w:rFonts w:ascii="Calibri" w:eastAsia="Times New Roman" w:hAnsi="Calibri" w:cs="Calibri"/>
                <w:color w:val="000000"/>
                <w:sz w:val="20"/>
                <w:szCs w:val="20"/>
                <w:lang w:eastAsia="en-AU"/>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49B6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90BB" w14:textId="77777777" w:rsidR="00C82817" w:rsidRPr="00965BF1" w:rsidRDefault="00C82817" w:rsidP="00E765EF">
            <w:pPr>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2547D"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0114F"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4CBA2"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-400</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C7B6"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845B"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CRP Revenue</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87EFC"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TBA</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C60E9"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-400</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EC2E8"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80649"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60DB8" w14:textId="77777777" w:rsidR="00C82817" w:rsidRPr="00965BF1" w:rsidRDefault="00C82817" w:rsidP="00E765EF">
            <w:pPr>
              <w:rPr>
                <w:rFonts w:ascii="Calibri" w:eastAsia="Times New Roman" w:hAnsi="Calibri" w:cs="Calibri"/>
                <w:color w:val="000000"/>
                <w:sz w:val="20"/>
                <w:szCs w:val="20"/>
                <w:lang w:eastAsia="en-AU"/>
              </w:rPr>
            </w:pP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EE3C"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39E6F52E"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C3F2F"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0D9F8" w14:textId="77777777" w:rsidR="00C82817" w:rsidRPr="00965BF1" w:rsidRDefault="00C82817" w:rsidP="00E765EF">
            <w:pPr>
              <w:rPr>
                <w:rFonts w:ascii="Calibri" w:eastAsia="Times New Roman" w:hAnsi="Calibri" w:cs="Calibri"/>
                <w:color w:val="000000"/>
                <w:sz w:val="20"/>
                <w:szCs w:val="20"/>
                <w:lang w:eastAsia="en-AU"/>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6EE83"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8F53F" w14:textId="77777777" w:rsidR="00C82817" w:rsidRPr="00965BF1" w:rsidRDefault="00C82817" w:rsidP="00E765EF">
            <w:pPr>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57409"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16AAA" w14:textId="77777777" w:rsidR="00C82817" w:rsidRPr="00965BF1" w:rsidRDefault="00C82817" w:rsidP="00E765EF">
            <w:pPr>
              <w:rPr>
                <w:rFonts w:ascii="Calibri" w:eastAsia="Times New Roman" w:hAnsi="Calibri" w:cs="Calibri"/>
                <w:color w:val="000000"/>
                <w:sz w:val="20"/>
                <w:szCs w:val="20"/>
                <w:lang w:eastAsia="en-AU"/>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5DD17"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F9366" w14:textId="77777777" w:rsidR="00C82817" w:rsidRPr="00965BF1" w:rsidRDefault="00C82817" w:rsidP="00E765EF">
            <w:pPr>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673F2"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Expenses</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AADC2"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8B0B7"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400</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01521"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752C1"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Expenses</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E7FB2"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59160"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400</w:t>
            </w:r>
          </w:p>
        </w:tc>
      </w:tr>
      <w:tr w:rsidR="002E0F8F" w:rsidRPr="00965BF1" w14:paraId="210F8B8F"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8AF5D"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C71D5" w14:textId="77777777" w:rsidR="00C82817" w:rsidRPr="00965BF1" w:rsidRDefault="00C82817" w:rsidP="00E765EF">
            <w:pPr>
              <w:rPr>
                <w:rFonts w:ascii="Calibri" w:eastAsia="Times New Roman" w:hAnsi="Calibri" w:cs="Calibri"/>
                <w:color w:val="000000"/>
                <w:sz w:val="20"/>
                <w:szCs w:val="20"/>
                <w:lang w:eastAsia="en-AU"/>
              </w:rPr>
            </w:pPr>
          </w:p>
        </w:tc>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7B35A"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8354B" w14:textId="77777777" w:rsidR="00C82817" w:rsidRPr="00965BF1" w:rsidRDefault="00C82817" w:rsidP="00E765EF">
            <w:pPr>
              <w:rPr>
                <w:rFonts w:ascii="Calibri" w:eastAsia="Times New Roman" w:hAnsi="Calibri" w:cs="Calibri"/>
                <w:color w:val="000000"/>
                <w:sz w:val="20"/>
                <w:szCs w:val="20"/>
                <w:lang w:eastAsia="en-AU"/>
              </w:rPr>
            </w:pPr>
          </w:p>
        </w:tc>
        <w:tc>
          <w:tcPr>
            <w:tcW w:w="7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187E3"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7033B" w14:textId="77777777" w:rsidR="00C82817" w:rsidRPr="00965BF1" w:rsidRDefault="00C82817" w:rsidP="00E765EF">
            <w:pPr>
              <w:rPr>
                <w:rFonts w:ascii="Calibri" w:eastAsia="Times New Roman" w:hAnsi="Calibri" w:cs="Calibri"/>
                <w:color w:val="000000"/>
                <w:sz w:val="20"/>
                <w:szCs w:val="20"/>
                <w:lang w:eastAsia="en-AU"/>
              </w:rPr>
            </w:pP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3BA55"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04F28" w14:textId="77777777" w:rsidR="00C82817" w:rsidRPr="00965BF1" w:rsidRDefault="00C82817" w:rsidP="00E765EF">
            <w:pPr>
              <w:rPr>
                <w:rFonts w:ascii="Calibri" w:eastAsia="Times New Roman" w:hAnsi="Calibri" w:cs="Calibri"/>
                <w:color w:val="000000"/>
                <w:sz w:val="20"/>
                <w:szCs w:val="20"/>
                <w:lang w:eastAsia="en-AU"/>
              </w:rPr>
            </w:pP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98A2B"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1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68F40"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18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27F5C"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-400</w:t>
            </w:r>
          </w:p>
        </w:tc>
        <w:tc>
          <w:tcPr>
            <w:tcW w:w="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E907" w14:textId="77777777" w:rsidR="00C82817" w:rsidRPr="00965BF1" w:rsidRDefault="00C82817" w:rsidP="00E765EF">
            <w:pPr>
              <w:jc w:val="right"/>
              <w:rPr>
                <w:rFonts w:ascii="Calibri" w:eastAsia="Times New Roman" w:hAnsi="Calibri" w:cs="Calibri"/>
                <w:color w:val="000000"/>
                <w:sz w:val="20"/>
                <w:szCs w:val="20"/>
                <w:lang w:eastAsia="en-AU"/>
              </w:rPr>
            </w:pPr>
          </w:p>
        </w:tc>
        <w:tc>
          <w:tcPr>
            <w:tcW w:w="67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48E14"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16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B7B9E" w14:textId="77777777" w:rsidR="00C82817" w:rsidRPr="00965BF1" w:rsidRDefault="00C82817" w:rsidP="00E765E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6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23B09" w14:textId="77777777" w:rsidR="00C82817" w:rsidRPr="00965BF1" w:rsidRDefault="00C82817" w:rsidP="00E765E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-400</w:t>
            </w:r>
          </w:p>
        </w:tc>
      </w:tr>
    </w:tbl>
    <w:p w14:paraId="08792E94" w14:textId="396C2E57" w:rsidR="002E0F8F" w:rsidRDefault="002E0F8F">
      <w:r>
        <w:br w:type="page"/>
      </w:r>
    </w:p>
    <w:p w14:paraId="063AA476" w14:textId="416CE697" w:rsidR="002E0F8F" w:rsidRPr="002E0F8F" w:rsidRDefault="002E0F8F">
      <w:pPr>
        <w:rPr>
          <w:b/>
          <w:bCs/>
        </w:rPr>
      </w:pPr>
      <w:r w:rsidRPr="002E0F8F">
        <w:rPr>
          <w:b/>
          <w:bCs/>
        </w:rPr>
        <w:lastRenderedPageBreak/>
        <w:t>Part C</w:t>
      </w:r>
      <w:r>
        <w:rPr>
          <w:b/>
          <w:bCs/>
        </w:rPr>
        <w:t xml:space="preserve"> </w:t>
      </w:r>
      <w:r w:rsidRPr="002E0F8F">
        <w:rPr>
          <w:b/>
          <w:bCs/>
        </w:rPr>
        <w:t xml:space="preserve">- Attachment </w:t>
      </w:r>
      <w:proofErr w:type="gramStart"/>
      <w:r w:rsidRPr="002E0F8F">
        <w:rPr>
          <w:b/>
          <w:bCs/>
        </w:rPr>
        <w:t>A</w:t>
      </w:r>
      <w:proofErr w:type="gramEnd"/>
      <w:r w:rsidRPr="002E0F8F">
        <w:rPr>
          <w:b/>
          <w:bCs/>
        </w:rPr>
        <w:t xml:space="preserve"> Example continued</w:t>
      </w:r>
    </w:p>
    <w:tbl>
      <w:tblPr>
        <w:tblW w:w="5199" w:type="pct"/>
        <w:tblLayout w:type="fixed"/>
        <w:tblLook w:val="04A0" w:firstRow="1" w:lastRow="0" w:firstColumn="1" w:lastColumn="0" w:noHBand="0" w:noVBand="1"/>
      </w:tblPr>
      <w:tblGrid>
        <w:gridCol w:w="2017"/>
        <w:gridCol w:w="667"/>
        <w:gridCol w:w="899"/>
        <w:gridCol w:w="255"/>
        <w:gridCol w:w="2132"/>
        <w:gridCol w:w="957"/>
        <w:gridCol w:w="876"/>
        <w:gridCol w:w="281"/>
        <w:gridCol w:w="1590"/>
        <w:gridCol w:w="545"/>
        <w:gridCol w:w="534"/>
        <w:gridCol w:w="261"/>
        <w:gridCol w:w="1943"/>
        <w:gridCol w:w="481"/>
        <w:gridCol w:w="1065"/>
      </w:tblGrid>
      <w:tr w:rsidR="002E0F8F" w:rsidRPr="00965BF1" w14:paraId="0B47B050" w14:textId="77777777" w:rsidTr="002E0F8F">
        <w:trPr>
          <w:trHeight w:val="300"/>
        </w:trPr>
        <w:tc>
          <w:tcPr>
            <w:tcW w:w="123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AF91D" w14:textId="6EFACE5F" w:rsidR="002E0F8F" w:rsidRPr="00965BF1" w:rsidRDefault="002E0F8F" w:rsidP="002E0F8F">
            <w:pPr>
              <w:jc w:val="center"/>
              <w:rPr>
                <w:rFonts w:ascii="Calibri" w:eastAsia="Times New Roman" w:hAnsi="Calibri" w:cs="Calibri"/>
                <w:color w:val="000000"/>
                <w:sz w:val="20"/>
                <w:szCs w:val="20"/>
                <w:lang w:eastAsia="en-AU"/>
              </w:rPr>
            </w:pPr>
            <w:r w:rsidRPr="00965BF1">
              <w:rPr>
                <w:rFonts w:ascii="Calibri" w:eastAsia="Times New Roman" w:hAnsi="Calibri" w:cs="Calibri"/>
                <w:b/>
                <w:bCs/>
                <w:color w:val="000000"/>
                <w:sz w:val="20"/>
                <w:szCs w:val="20"/>
                <w:lang w:eastAsia="en-AU"/>
              </w:rPr>
              <w:t>CMTEDD (Territorial)</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B17E" w14:textId="77777777" w:rsidR="002E0F8F" w:rsidRPr="00965BF1" w:rsidRDefault="002E0F8F" w:rsidP="002E0F8F">
            <w:pPr>
              <w:jc w:val="center"/>
              <w:rPr>
                <w:rFonts w:ascii="Calibri" w:eastAsia="Times New Roman" w:hAnsi="Calibri" w:cs="Calibri"/>
                <w:color w:val="000000"/>
                <w:sz w:val="20"/>
                <w:szCs w:val="20"/>
                <w:lang w:eastAsia="en-AU"/>
              </w:rPr>
            </w:pPr>
          </w:p>
        </w:tc>
        <w:tc>
          <w:tcPr>
            <w:tcW w:w="136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0CBDA" w14:textId="52228E76" w:rsidR="002E0F8F" w:rsidRPr="00965BF1" w:rsidRDefault="002E0F8F" w:rsidP="002E0F8F">
            <w:pPr>
              <w:jc w:val="center"/>
              <w:rPr>
                <w:rFonts w:ascii="Calibri" w:eastAsia="Times New Roman" w:hAnsi="Calibri" w:cs="Calibri"/>
                <w:color w:val="000000"/>
                <w:sz w:val="20"/>
                <w:szCs w:val="20"/>
                <w:lang w:eastAsia="en-AU"/>
              </w:rPr>
            </w:pPr>
            <w:r w:rsidRPr="00965BF1">
              <w:rPr>
                <w:rFonts w:ascii="Calibri" w:eastAsia="Times New Roman" w:hAnsi="Calibri" w:cs="Calibri"/>
                <w:b/>
                <w:bCs/>
                <w:color w:val="000000"/>
                <w:sz w:val="20"/>
                <w:szCs w:val="20"/>
                <w:lang w:eastAsia="en-AU"/>
              </w:rPr>
              <w:t>TBA (Territorial)</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926F7" w14:textId="77777777" w:rsidR="002E0F8F" w:rsidRPr="00965BF1" w:rsidRDefault="002E0F8F" w:rsidP="002E0F8F">
            <w:pPr>
              <w:jc w:val="center"/>
              <w:rPr>
                <w:rFonts w:ascii="Calibri" w:eastAsia="Times New Roman" w:hAnsi="Calibri" w:cs="Calibri"/>
                <w:color w:val="000000"/>
                <w:sz w:val="20"/>
                <w:szCs w:val="20"/>
                <w:lang w:eastAsia="en-AU"/>
              </w:rPr>
            </w:pPr>
          </w:p>
        </w:tc>
        <w:tc>
          <w:tcPr>
            <w:tcW w:w="9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4091B" w14:textId="12C0211B" w:rsidR="002E0F8F" w:rsidRPr="00965BF1" w:rsidRDefault="002E0F8F" w:rsidP="002E0F8F">
            <w:pPr>
              <w:jc w:val="center"/>
              <w:rPr>
                <w:rFonts w:ascii="Calibri" w:eastAsia="Times New Roman" w:hAnsi="Calibri" w:cs="Calibri"/>
                <w:color w:val="000000"/>
                <w:sz w:val="20"/>
                <w:szCs w:val="20"/>
                <w:lang w:eastAsia="en-AU"/>
              </w:rPr>
            </w:pPr>
            <w:r w:rsidRPr="00965BF1">
              <w:rPr>
                <w:rFonts w:ascii="Calibri" w:eastAsia="Times New Roman" w:hAnsi="Calibri" w:cs="Calibri"/>
                <w:b/>
                <w:bCs/>
                <w:color w:val="000000"/>
                <w:sz w:val="20"/>
                <w:szCs w:val="20"/>
                <w:lang w:eastAsia="en-AU"/>
              </w:rPr>
              <w:t>Delivering Agency (</w:t>
            </w:r>
            <w:proofErr w:type="spellStart"/>
            <w:r w:rsidRPr="00965BF1">
              <w:rPr>
                <w:rFonts w:ascii="Calibri" w:eastAsia="Times New Roman" w:hAnsi="Calibri" w:cs="Calibri"/>
                <w:b/>
                <w:bCs/>
                <w:color w:val="000000"/>
                <w:sz w:val="20"/>
                <w:szCs w:val="20"/>
                <w:lang w:eastAsia="en-AU"/>
              </w:rPr>
              <w:t>e.g.TCCS</w:t>
            </w:r>
            <w:proofErr w:type="spellEnd"/>
            <w:r w:rsidRPr="00965BF1">
              <w:rPr>
                <w:rFonts w:ascii="Calibri" w:eastAsia="Times New Roman" w:hAnsi="Calibri" w:cs="Calibri"/>
                <w:b/>
                <w:bCs/>
                <w:color w:val="000000"/>
                <w:sz w:val="20"/>
                <w:szCs w:val="20"/>
                <w:lang w:eastAsia="en-AU"/>
              </w:rPr>
              <w:t>)</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0DDF" w14:textId="7AC7BC05" w:rsidR="002E0F8F" w:rsidRPr="00965BF1" w:rsidRDefault="002E0F8F" w:rsidP="002E0F8F">
            <w:pPr>
              <w:jc w:val="center"/>
              <w:rPr>
                <w:rFonts w:ascii="Calibri" w:eastAsia="Times New Roman" w:hAnsi="Calibri" w:cs="Calibri"/>
                <w:color w:val="000000"/>
                <w:sz w:val="20"/>
                <w:szCs w:val="20"/>
                <w:lang w:eastAsia="en-AU"/>
              </w:rPr>
            </w:pPr>
          </w:p>
        </w:tc>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532B9" w14:textId="2030867E" w:rsidR="002E0F8F" w:rsidRPr="00965BF1" w:rsidRDefault="002E0F8F" w:rsidP="002E0F8F">
            <w:pPr>
              <w:jc w:val="center"/>
              <w:rPr>
                <w:rFonts w:ascii="Calibri" w:eastAsia="Times New Roman" w:hAnsi="Calibri" w:cs="Calibri"/>
                <w:color w:val="000000"/>
                <w:sz w:val="20"/>
                <w:szCs w:val="20"/>
                <w:lang w:eastAsia="en-AU"/>
              </w:rPr>
            </w:pPr>
            <w:r w:rsidRPr="002E0F8F">
              <w:rPr>
                <w:rFonts w:ascii="Calibri" w:eastAsia="Times New Roman" w:hAnsi="Calibri" w:cs="Calibri"/>
                <w:b/>
                <w:bCs/>
                <w:color w:val="000000"/>
                <w:sz w:val="20"/>
                <w:szCs w:val="20"/>
                <w:lang w:eastAsia="en-AU"/>
              </w:rPr>
              <w:t>Consolidated</w:t>
            </w:r>
          </w:p>
        </w:tc>
      </w:tr>
      <w:tr w:rsidR="002E0F8F" w:rsidRPr="00965BF1" w14:paraId="24966723"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439D04" w14:textId="77777777" w:rsidR="002E0F8F" w:rsidRPr="00B736D1" w:rsidRDefault="002E0F8F" w:rsidP="002E0F8F">
            <w:pPr>
              <w:rPr>
                <w:rFonts w:ascii="Calibri" w:eastAsia="Times New Roman" w:hAnsi="Calibri" w:cs="Calibri"/>
                <w:b/>
                <w:bCs/>
                <w:color w:val="000000"/>
                <w:sz w:val="20"/>
                <w:szCs w:val="20"/>
                <w:lang w:eastAsia="en-AU"/>
              </w:rPr>
            </w:pPr>
            <w:r w:rsidRPr="00B736D1">
              <w:rPr>
                <w:rFonts w:ascii="Calibri" w:eastAsia="Times New Roman" w:hAnsi="Calibri" w:cs="Calibri"/>
                <w:b/>
                <w:bCs/>
                <w:color w:val="000000"/>
                <w:sz w:val="20"/>
                <w:szCs w:val="20"/>
                <w:lang w:eastAsia="en-AU"/>
              </w:rPr>
              <w:t>Additional Entries</w:t>
            </w:r>
          </w:p>
        </w:tc>
        <w:tc>
          <w:tcPr>
            <w:tcW w:w="2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4EB85E2"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A7C0A5D"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674C5" w14:textId="77777777" w:rsidR="002E0F8F" w:rsidRPr="00965BF1" w:rsidRDefault="002E0F8F" w:rsidP="002E0F8F">
            <w:pPr>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3DA5B04" w14:textId="77777777" w:rsidR="002E0F8F" w:rsidRPr="00B736D1" w:rsidRDefault="002E0F8F" w:rsidP="002E0F8F">
            <w:pPr>
              <w:rPr>
                <w:rFonts w:ascii="Calibri" w:eastAsia="Times New Roman" w:hAnsi="Calibri" w:cs="Calibri"/>
                <w:b/>
                <w:bCs/>
                <w:color w:val="000000"/>
                <w:sz w:val="20"/>
                <w:szCs w:val="20"/>
                <w:lang w:eastAsia="en-AU"/>
              </w:rPr>
            </w:pPr>
            <w:r w:rsidRPr="00B736D1">
              <w:rPr>
                <w:rFonts w:ascii="Calibri" w:eastAsia="Times New Roman" w:hAnsi="Calibri" w:cs="Calibri"/>
                <w:b/>
                <w:bCs/>
                <w:color w:val="000000"/>
                <w:sz w:val="20"/>
                <w:szCs w:val="20"/>
                <w:lang w:eastAsia="en-AU"/>
              </w:rPr>
              <w:t>Additional Entries</w:t>
            </w:r>
          </w:p>
        </w:tc>
        <w:tc>
          <w:tcPr>
            <w:tcW w:w="3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AE2A42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3C08E8B"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0F37" w14:textId="77777777" w:rsidR="002E0F8F" w:rsidRPr="00965BF1" w:rsidRDefault="002E0F8F" w:rsidP="002E0F8F">
            <w:pPr>
              <w:rPr>
                <w:rFonts w:ascii="Calibri" w:eastAsia="Times New Roman" w:hAnsi="Calibri" w:cs="Calibri"/>
                <w:color w:val="000000"/>
                <w:sz w:val="20"/>
                <w:szCs w:val="20"/>
                <w:lang w:eastAsia="en-AU"/>
              </w:rPr>
            </w:pPr>
          </w:p>
        </w:tc>
        <w:tc>
          <w:tcPr>
            <w:tcW w:w="736" w:type="pct"/>
            <w:gridSpan w:val="2"/>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B39649A" w14:textId="77777777" w:rsidR="002E0F8F" w:rsidRPr="00B736D1" w:rsidRDefault="002E0F8F" w:rsidP="002E0F8F">
            <w:pPr>
              <w:rPr>
                <w:rFonts w:ascii="Calibri" w:eastAsia="Times New Roman" w:hAnsi="Calibri" w:cs="Calibri"/>
                <w:b/>
                <w:bCs/>
                <w:color w:val="000000"/>
                <w:sz w:val="20"/>
                <w:szCs w:val="20"/>
                <w:lang w:eastAsia="en-AU"/>
              </w:rPr>
            </w:pPr>
            <w:r w:rsidRPr="00B736D1">
              <w:rPr>
                <w:rFonts w:ascii="Calibri" w:eastAsia="Times New Roman" w:hAnsi="Calibri" w:cs="Calibri"/>
                <w:b/>
                <w:bCs/>
                <w:color w:val="000000"/>
                <w:sz w:val="20"/>
                <w:szCs w:val="20"/>
                <w:lang w:eastAsia="en-AU"/>
              </w:rPr>
              <w:t>Additional Entries</w:t>
            </w:r>
          </w:p>
        </w:tc>
        <w:tc>
          <w:tcPr>
            <w:tcW w:w="184"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3D56DE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6A186" w14:textId="77777777" w:rsidR="002E0F8F" w:rsidRPr="00965BF1" w:rsidRDefault="002E0F8F" w:rsidP="002E0F8F">
            <w:pPr>
              <w:rPr>
                <w:rFonts w:ascii="Calibri" w:eastAsia="Times New Roman" w:hAnsi="Calibri" w:cs="Calibri"/>
                <w:color w:val="000000"/>
                <w:sz w:val="20"/>
                <w:szCs w:val="20"/>
                <w:lang w:eastAsia="en-AU"/>
              </w:rPr>
            </w:pPr>
          </w:p>
        </w:tc>
        <w:tc>
          <w:tcPr>
            <w:tcW w:w="836" w:type="pct"/>
            <w:gridSpan w:val="2"/>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3CF3A4A" w14:textId="77777777" w:rsidR="002E0F8F" w:rsidRPr="00B736D1" w:rsidRDefault="002E0F8F" w:rsidP="002E0F8F">
            <w:pPr>
              <w:rPr>
                <w:rFonts w:ascii="Calibri" w:eastAsia="Times New Roman" w:hAnsi="Calibri" w:cs="Calibri"/>
                <w:b/>
                <w:bCs/>
                <w:color w:val="000000"/>
                <w:sz w:val="20"/>
                <w:szCs w:val="20"/>
                <w:lang w:eastAsia="en-AU"/>
              </w:rPr>
            </w:pPr>
            <w:r w:rsidRPr="00B736D1">
              <w:rPr>
                <w:rFonts w:ascii="Calibri" w:eastAsia="Times New Roman" w:hAnsi="Calibri" w:cs="Calibri"/>
                <w:b/>
                <w:bCs/>
                <w:color w:val="000000"/>
                <w:sz w:val="20"/>
                <w:szCs w:val="20"/>
                <w:lang w:eastAsia="en-AU"/>
              </w:rPr>
              <w:t>Additional Entries</w:t>
            </w:r>
          </w:p>
        </w:tc>
        <w:tc>
          <w:tcPr>
            <w:tcW w:w="36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FFC13F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55E54DFB"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8FF67FB"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Grants from CW (Revenue)</w:t>
            </w:r>
          </w:p>
        </w:tc>
        <w:tc>
          <w:tcPr>
            <w:tcW w:w="2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944DFD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09"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24C759B"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600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872C1"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8673FD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C08D9E6"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A9C086C"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F617" w14:textId="77777777" w:rsidR="002E0F8F" w:rsidRPr="00965BF1" w:rsidRDefault="002E0F8F" w:rsidP="002E0F8F">
            <w:pPr>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31CCEE9"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33A928B"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914A66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8BD3"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59DEA8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Grants from CW (Revenue)</w:t>
            </w:r>
          </w:p>
        </w:tc>
        <w:tc>
          <w:tcPr>
            <w:tcW w:w="166"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63B24D1"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6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60055B9"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600</w:t>
            </w:r>
          </w:p>
        </w:tc>
      </w:tr>
      <w:tr w:rsidR="002E0F8F" w:rsidRPr="00965BF1" w14:paraId="61FE520B"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8ED83BA" w14:textId="77777777" w:rsidR="002E0F8F" w:rsidRPr="00965BF1" w:rsidRDefault="002E0F8F" w:rsidP="002E0F8F">
            <w:pP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Contract</w:t>
            </w:r>
            <w:r w:rsidRPr="00965BF1">
              <w:rPr>
                <w:rFonts w:ascii="Calibri" w:eastAsia="Times New Roman" w:hAnsi="Calibri" w:cs="Calibri"/>
                <w:color w:val="000000"/>
                <w:sz w:val="20"/>
                <w:szCs w:val="20"/>
                <w:lang w:eastAsia="en-AU"/>
              </w:rPr>
              <w:t xml:space="preserve"> Liability</w:t>
            </w:r>
          </w:p>
        </w:tc>
        <w:tc>
          <w:tcPr>
            <w:tcW w:w="2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AE365D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09"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0C6B8D4"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-600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810C"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53C6FB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A96AED4"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1BDAB59"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2EE2" w14:textId="77777777" w:rsidR="002E0F8F" w:rsidRPr="00965BF1" w:rsidRDefault="002E0F8F" w:rsidP="002E0F8F">
            <w:pPr>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C0A346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E88EB8B"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5C1203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DCD54"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BABFD8" w14:textId="77777777" w:rsidR="002E0F8F" w:rsidRPr="00965BF1" w:rsidRDefault="002E0F8F" w:rsidP="002E0F8F">
            <w:pP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Contract</w:t>
            </w:r>
            <w:r w:rsidRPr="00965BF1">
              <w:rPr>
                <w:rFonts w:ascii="Calibri" w:eastAsia="Times New Roman" w:hAnsi="Calibri" w:cs="Calibri"/>
                <w:color w:val="000000"/>
                <w:sz w:val="20"/>
                <w:szCs w:val="20"/>
                <w:lang w:eastAsia="en-AU"/>
              </w:rPr>
              <w:t xml:space="preserve"> Liability</w:t>
            </w:r>
          </w:p>
        </w:tc>
        <w:tc>
          <w:tcPr>
            <w:tcW w:w="166"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A5EA16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Ext</w:t>
            </w:r>
          </w:p>
        </w:tc>
        <w:tc>
          <w:tcPr>
            <w:tcW w:w="36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B61CCE6"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-600</w:t>
            </w:r>
          </w:p>
        </w:tc>
      </w:tr>
      <w:tr w:rsidR="002E0F8F" w:rsidRPr="00965BF1" w14:paraId="7EEF813C"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49E5C9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A520814"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80CEC9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2F8B" w14:textId="77777777" w:rsidR="002E0F8F" w:rsidRPr="00965BF1" w:rsidRDefault="002E0F8F" w:rsidP="002E0F8F">
            <w:pPr>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418E28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39B738A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50414F6"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4FC1B" w14:textId="77777777" w:rsidR="002E0F8F" w:rsidRPr="00965BF1" w:rsidRDefault="002E0F8F" w:rsidP="002E0F8F">
            <w:pPr>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C68705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DABE12D"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5EA4E24"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4B045"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CAAFDD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6D8F27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BDB163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2307EC23"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53DCB6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Payable to TBA</w:t>
            </w:r>
          </w:p>
        </w:tc>
        <w:tc>
          <w:tcPr>
            <w:tcW w:w="2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EB17BA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TBA</w:t>
            </w:r>
          </w:p>
        </w:tc>
        <w:tc>
          <w:tcPr>
            <w:tcW w:w="309"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9E1567D"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600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FC277"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942CE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Transfers from Agency (Revenue)</w:t>
            </w:r>
          </w:p>
        </w:tc>
        <w:tc>
          <w:tcPr>
            <w:tcW w:w="3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E8B029D"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CMTEDD</w:t>
            </w:r>
          </w:p>
        </w:tc>
        <w:tc>
          <w:tcPr>
            <w:tcW w:w="302"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5F02E6E"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600</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2134B"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E1AFC36"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C4A86E6"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225F2E1"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38CF5"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8A3907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5E8CEB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4EF48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11392D6F"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1FAAF52"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Transfer to Govt Expense (Exp)</w:t>
            </w:r>
          </w:p>
        </w:tc>
        <w:tc>
          <w:tcPr>
            <w:tcW w:w="2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9247D89"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TBA</w:t>
            </w:r>
          </w:p>
        </w:tc>
        <w:tc>
          <w:tcPr>
            <w:tcW w:w="309"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7F0B2B5"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-600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4B498"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790F68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Receivable from CMTEDD</w:t>
            </w:r>
          </w:p>
        </w:tc>
        <w:tc>
          <w:tcPr>
            <w:tcW w:w="33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F4E3B3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CMTEDD</w:t>
            </w:r>
          </w:p>
        </w:tc>
        <w:tc>
          <w:tcPr>
            <w:tcW w:w="302"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74259DD"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-600</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458E"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23F435C"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007F40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C2A18B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42DA0"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957560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68C0A9B"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57FC1C4"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6F7B59C4"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0BBC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009C6" w14:textId="77777777" w:rsidR="002E0F8F" w:rsidRPr="00965BF1" w:rsidRDefault="002E0F8F" w:rsidP="002E0F8F">
            <w:pPr>
              <w:rPr>
                <w:rFonts w:ascii="Calibri" w:eastAsia="Times New Roman" w:hAnsi="Calibri" w:cs="Calibri"/>
                <w:color w:val="000000"/>
                <w:sz w:val="20"/>
                <w:szCs w:val="20"/>
                <w:lang w:eastAsia="en-AU"/>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3B3E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00B0" w14:textId="77777777" w:rsidR="002E0F8F" w:rsidRPr="00965BF1" w:rsidRDefault="002E0F8F" w:rsidP="002E0F8F">
            <w:pPr>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909F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06B79" w14:textId="77777777" w:rsidR="002E0F8F" w:rsidRPr="00965BF1" w:rsidRDefault="002E0F8F" w:rsidP="002E0F8F">
            <w:pPr>
              <w:rPr>
                <w:rFonts w:ascii="Calibri" w:eastAsia="Times New Roman" w:hAnsi="Calibri" w:cs="Calibri"/>
                <w:color w:val="000000"/>
                <w:sz w:val="20"/>
                <w:szCs w:val="20"/>
                <w:lang w:eastAsia="en-AU"/>
              </w:rPr>
            </w:pP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7EEE1"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3F31F" w14:textId="77777777" w:rsidR="002E0F8F" w:rsidRPr="00965BF1" w:rsidRDefault="002E0F8F" w:rsidP="002E0F8F">
            <w:pPr>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2CDB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BD7EE" w14:textId="77777777" w:rsidR="002E0F8F" w:rsidRPr="00965BF1" w:rsidRDefault="002E0F8F" w:rsidP="002E0F8F">
            <w:pPr>
              <w:rPr>
                <w:rFonts w:ascii="Calibri" w:eastAsia="Times New Roman" w:hAnsi="Calibri" w:cs="Calibri"/>
                <w:color w:val="000000"/>
                <w:sz w:val="20"/>
                <w:szCs w:val="20"/>
                <w:lang w:eastAsia="en-AU"/>
              </w:rPr>
            </w:pP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77A2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5ECA"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4F8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1B87" w14:textId="77777777" w:rsidR="002E0F8F" w:rsidRPr="00965BF1" w:rsidRDefault="002E0F8F" w:rsidP="002E0F8F">
            <w:pPr>
              <w:rPr>
                <w:rFonts w:ascii="Calibri" w:eastAsia="Times New Roman" w:hAnsi="Calibri" w:cs="Calibri"/>
                <w:color w:val="000000"/>
                <w:sz w:val="20"/>
                <w:szCs w:val="20"/>
                <w:lang w:eastAsia="en-AU"/>
              </w:rPr>
            </w:pP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4108B"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525C47DD"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56B7CA3" w14:textId="77777777" w:rsidR="002E0F8F" w:rsidRPr="00965BF1" w:rsidRDefault="002E0F8F" w:rsidP="002E0F8F">
            <w:pPr>
              <w:rPr>
                <w:rFonts w:ascii="Calibri" w:eastAsia="Times New Roman" w:hAnsi="Calibri" w:cs="Calibri"/>
                <w:b/>
                <w:bCs/>
                <w:color w:val="000000"/>
                <w:sz w:val="20"/>
                <w:szCs w:val="20"/>
                <w:lang w:eastAsia="en-AU"/>
              </w:rPr>
            </w:pPr>
            <w:r w:rsidRPr="00965BF1">
              <w:rPr>
                <w:rFonts w:ascii="Calibri" w:eastAsia="Times New Roman" w:hAnsi="Calibri" w:cs="Calibri"/>
                <w:b/>
                <w:bCs/>
                <w:color w:val="000000"/>
                <w:sz w:val="20"/>
                <w:szCs w:val="20"/>
                <w:lang w:eastAsia="en-AU"/>
              </w:rPr>
              <w:t>Income Statement</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799369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BCFC2E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4EA6A" w14:textId="77777777" w:rsidR="002E0F8F" w:rsidRPr="00965BF1" w:rsidRDefault="002E0F8F" w:rsidP="002E0F8F">
            <w:pPr>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C51BDD3" w14:textId="77777777" w:rsidR="002E0F8F" w:rsidRPr="00965BF1" w:rsidRDefault="002E0F8F" w:rsidP="002E0F8F">
            <w:pPr>
              <w:rPr>
                <w:rFonts w:ascii="Calibri" w:eastAsia="Times New Roman" w:hAnsi="Calibri" w:cs="Calibri"/>
                <w:b/>
                <w:bCs/>
                <w:color w:val="000000"/>
                <w:sz w:val="20"/>
                <w:szCs w:val="20"/>
                <w:lang w:eastAsia="en-AU"/>
              </w:rPr>
            </w:pPr>
            <w:r w:rsidRPr="00965BF1">
              <w:rPr>
                <w:rFonts w:ascii="Calibri" w:eastAsia="Times New Roman" w:hAnsi="Calibri" w:cs="Calibri"/>
                <w:b/>
                <w:bCs/>
                <w:color w:val="000000"/>
                <w:sz w:val="20"/>
                <w:szCs w:val="20"/>
                <w:lang w:eastAsia="en-AU"/>
              </w:rPr>
              <w:t>Income Statement</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6EC0EE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904D08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049EB" w14:textId="77777777" w:rsidR="002E0F8F" w:rsidRPr="00965BF1" w:rsidRDefault="002E0F8F" w:rsidP="002E0F8F">
            <w:pPr>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3E0A0C6" w14:textId="77777777" w:rsidR="002E0F8F" w:rsidRPr="00965BF1" w:rsidRDefault="002E0F8F" w:rsidP="002E0F8F">
            <w:pPr>
              <w:rPr>
                <w:rFonts w:ascii="Calibri" w:eastAsia="Times New Roman" w:hAnsi="Calibri" w:cs="Calibri"/>
                <w:b/>
                <w:bCs/>
                <w:color w:val="000000"/>
                <w:sz w:val="20"/>
                <w:szCs w:val="20"/>
                <w:lang w:eastAsia="en-AU"/>
              </w:rPr>
            </w:pPr>
            <w:r w:rsidRPr="00965BF1">
              <w:rPr>
                <w:rFonts w:ascii="Calibri" w:eastAsia="Times New Roman" w:hAnsi="Calibri" w:cs="Calibri"/>
                <w:b/>
                <w:bCs/>
                <w:color w:val="000000"/>
                <w:sz w:val="20"/>
                <w:szCs w:val="20"/>
                <w:lang w:eastAsia="en-AU"/>
              </w:rPr>
              <w:t>Income Statement</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B84B50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D22ADDB"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4873F"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F7549CF" w14:textId="77777777" w:rsidR="002E0F8F" w:rsidRPr="00965BF1" w:rsidRDefault="002E0F8F" w:rsidP="002E0F8F">
            <w:pPr>
              <w:rPr>
                <w:rFonts w:ascii="Calibri" w:eastAsia="Times New Roman" w:hAnsi="Calibri" w:cs="Calibri"/>
                <w:b/>
                <w:bCs/>
                <w:color w:val="000000"/>
                <w:sz w:val="20"/>
                <w:szCs w:val="20"/>
                <w:lang w:eastAsia="en-AU"/>
              </w:rPr>
            </w:pPr>
            <w:r w:rsidRPr="00965BF1">
              <w:rPr>
                <w:rFonts w:ascii="Calibri" w:eastAsia="Times New Roman" w:hAnsi="Calibri" w:cs="Calibri"/>
                <w:b/>
                <w:bCs/>
                <w:color w:val="000000"/>
                <w:sz w:val="20"/>
                <w:szCs w:val="20"/>
                <w:lang w:eastAsia="en-AU"/>
              </w:rPr>
              <w:t>Income Statement</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19D86C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49696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12DB2C10"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93DC7C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Grants from CW (Revenue)</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225AC4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A4F0638"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-400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77CC"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436A4B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Transfers from Agency (Revenue)</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F594DD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00B9FF3"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-400</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3F056"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72802E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CRP Revenue</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5038AD1"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3F1514A"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-400</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843CC"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CDDC0A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Grants from CW (Revenue)</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23399F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0A6320E"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-400</w:t>
            </w:r>
          </w:p>
        </w:tc>
      </w:tr>
      <w:tr w:rsidR="002E0F8F" w:rsidRPr="00965BF1" w14:paraId="3B2737C2"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D3627A4"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Transfer to Govt Expense (Exp)</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19BC9D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09C3D43"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400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71798"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080FD8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Payments to Agency (CRP)</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F8C1A8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CE2CD78"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400</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23F2"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4FCF354"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Expenses</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70F8D1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AA4B8AC"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400</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D6824"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0A0F5C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Expenses</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A00F4A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1B6C16C"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400</w:t>
            </w:r>
          </w:p>
        </w:tc>
      </w:tr>
      <w:tr w:rsidR="002E0F8F" w:rsidRPr="00965BF1" w14:paraId="2D471F2E"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A92DA0D" w14:textId="77777777" w:rsidR="002E0F8F" w:rsidRPr="00965BF1" w:rsidRDefault="002E0F8F" w:rsidP="002E0F8F">
            <w:pPr>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Operating Result</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EC416F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3B2C1D2" w14:textId="77777777" w:rsidR="002E0F8F" w:rsidRPr="00965BF1" w:rsidRDefault="002E0F8F" w:rsidP="002E0F8F">
            <w:pPr>
              <w:jc w:val="right"/>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2944B" w14:textId="77777777" w:rsidR="002E0F8F" w:rsidRPr="00965BF1" w:rsidRDefault="002E0F8F" w:rsidP="002E0F8F">
            <w:pPr>
              <w:jc w:val="right"/>
              <w:rPr>
                <w:rFonts w:ascii="Calibri" w:eastAsia="Times New Roman" w:hAnsi="Calibri" w:cs="Calibri"/>
                <w:i/>
                <w:iCs/>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2BFD684" w14:textId="77777777" w:rsidR="002E0F8F" w:rsidRPr="00965BF1" w:rsidRDefault="002E0F8F" w:rsidP="002E0F8F">
            <w:pPr>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Operating Result</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495548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FD993D2" w14:textId="77777777" w:rsidR="002E0F8F" w:rsidRPr="00965BF1" w:rsidRDefault="002E0F8F" w:rsidP="002E0F8F">
            <w:pPr>
              <w:jc w:val="right"/>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0</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896AA" w14:textId="77777777" w:rsidR="002E0F8F" w:rsidRPr="00965BF1" w:rsidRDefault="002E0F8F" w:rsidP="002E0F8F">
            <w:pPr>
              <w:jc w:val="right"/>
              <w:rPr>
                <w:rFonts w:ascii="Calibri" w:eastAsia="Times New Roman" w:hAnsi="Calibri" w:cs="Calibri"/>
                <w:i/>
                <w:iCs/>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988B426" w14:textId="77777777" w:rsidR="002E0F8F" w:rsidRPr="00965BF1" w:rsidRDefault="002E0F8F" w:rsidP="002E0F8F">
            <w:pPr>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Operating Result</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C73FF1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90D83F9" w14:textId="77777777" w:rsidR="002E0F8F" w:rsidRPr="00965BF1" w:rsidRDefault="002E0F8F" w:rsidP="002E0F8F">
            <w:pPr>
              <w:jc w:val="right"/>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0</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CBBE8" w14:textId="77777777" w:rsidR="002E0F8F" w:rsidRPr="00965BF1" w:rsidRDefault="002E0F8F" w:rsidP="002E0F8F">
            <w:pPr>
              <w:jc w:val="right"/>
              <w:rPr>
                <w:rFonts w:ascii="Calibri" w:eastAsia="Times New Roman" w:hAnsi="Calibri" w:cs="Calibri"/>
                <w:i/>
                <w:iCs/>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0115B97" w14:textId="77777777" w:rsidR="002E0F8F" w:rsidRPr="00965BF1" w:rsidRDefault="002E0F8F" w:rsidP="002E0F8F">
            <w:pPr>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Operating Result</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4F3A56C"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21DD37C" w14:textId="77777777" w:rsidR="002E0F8F" w:rsidRPr="00965BF1" w:rsidRDefault="002E0F8F" w:rsidP="002E0F8F">
            <w:pPr>
              <w:jc w:val="right"/>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0</w:t>
            </w:r>
          </w:p>
        </w:tc>
      </w:tr>
      <w:tr w:rsidR="002E0F8F" w:rsidRPr="00965BF1" w14:paraId="65E6064A"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C83E71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B459D8D"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8B9DA2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3D3C7" w14:textId="77777777" w:rsidR="002E0F8F" w:rsidRPr="00965BF1" w:rsidRDefault="002E0F8F" w:rsidP="002E0F8F">
            <w:pPr>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110548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A88AE91"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89DC87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15F1E" w14:textId="77777777" w:rsidR="002E0F8F" w:rsidRPr="00965BF1" w:rsidRDefault="002E0F8F" w:rsidP="002E0F8F">
            <w:pPr>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34AD77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938DAB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52B0981"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852BB"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32ACAF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BB9494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E3E44E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65F94568"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0C0E15F" w14:textId="77777777" w:rsidR="002E0F8F" w:rsidRPr="00965BF1" w:rsidRDefault="002E0F8F" w:rsidP="002E0F8F">
            <w:pPr>
              <w:rPr>
                <w:rFonts w:ascii="Calibri" w:eastAsia="Times New Roman" w:hAnsi="Calibri" w:cs="Calibri"/>
                <w:b/>
                <w:bCs/>
                <w:color w:val="000000"/>
                <w:sz w:val="20"/>
                <w:szCs w:val="20"/>
                <w:lang w:eastAsia="en-AU"/>
              </w:rPr>
            </w:pPr>
            <w:r w:rsidRPr="00965BF1">
              <w:rPr>
                <w:rFonts w:ascii="Calibri" w:eastAsia="Times New Roman" w:hAnsi="Calibri" w:cs="Calibri"/>
                <w:b/>
                <w:bCs/>
                <w:color w:val="000000"/>
                <w:sz w:val="20"/>
                <w:szCs w:val="20"/>
                <w:lang w:eastAsia="en-AU"/>
              </w:rPr>
              <w:t>Balance Sheet</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292D4C6"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5F992E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CC76" w14:textId="77777777" w:rsidR="002E0F8F" w:rsidRPr="00965BF1" w:rsidRDefault="002E0F8F" w:rsidP="002E0F8F">
            <w:pPr>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201A037" w14:textId="77777777" w:rsidR="002E0F8F" w:rsidRPr="00965BF1" w:rsidRDefault="002E0F8F" w:rsidP="002E0F8F">
            <w:pPr>
              <w:rPr>
                <w:rFonts w:ascii="Calibri" w:eastAsia="Times New Roman" w:hAnsi="Calibri" w:cs="Calibri"/>
                <w:b/>
                <w:bCs/>
                <w:color w:val="000000"/>
                <w:sz w:val="20"/>
                <w:szCs w:val="20"/>
                <w:lang w:eastAsia="en-AU"/>
              </w:rPr>
            </w:pPr>
            <w:r w:rsidRPr="00965BF1">
              <w:rPr>
                <w:rFonts w:ascii="Calibri" w:eastAsia="Times New Roman" w:hAnsi="Calibri" w:cs="Calibri"/>
                <w:b/>
                <w:bCs/>
                <w:color w:val="000000"/>
                <w:sz w:val="20"/>
                <w:szCs w:val="20"/>
                <w:lang w:eastAsia="en-AU"/>
              </w:rPr>
              <w:t>Balance Sheet</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36C0D3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342AE8D"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F25F9" w14:textId="77777777" w:rsidR="002E0F8F" w:rsidRPr="00965BF1" w:rsidRDefault="002E0F8F" w:rsidP="002E0F8F">
            <w:pPr>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BD097A0" w14:textId="77777777" w:rsidR="002E0F8F" w:rsidRPr="00965BF1" w:rsidRDefault="002E0F8F" w:rsidP="002E0F8F">
            <w:pPr>
              <w:rPr>
                <w:rFonts w:ascii="Calibri" w:eastAsia="Times New Roman" w:hAnsi="Calibri" w:cs="Calibri"/>
                <w:b/>
                <w:bCs/>
                <w:color w:val="000000"/>
                <w:sz w:val="20"/>
                <w:szCs w:val="20"/>
                <w:lang w:eastAsia="en-AU"/>
              </w:rPr>
            </w:pPr>
            <w:r w:rsidRPr="00965BF1">
              <w:rPr>
                <w:rFonts w:ascii="Calibri" w:eastAsia="Times New Roman" w:hAnsi="Calibri" w:cs="Calibri"/>
                <w:b/>
                <w:bCs/>
                <w:color w:val="000000"/>
                <w:sz w:val="20"/>
                <w:szCs w:val="20"/>
                <w:lang w:eastAsia="en-AU"/>
              </w:rPr>
              <w:t>Balance Sheet</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C55AA9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D7F52E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C4A26"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ED572AA" w14:textId="77777777" w:rsidR="002E0F8F" w:rsidRPr="00965BF1" w:rsidRDefault="002E0F8F" w:rsidP="002E0F8F">
            <w:pPr>
              <w:rPr>
                <w:rFonts w:ascii="Calibri" w:eastAsia="Times New Roman" w:hAnsi="Calibri" w:cs="Calibri"/>
                <w:b/>
                <w:bCs/>
                <w:color w:val="000000"/>
                <w:sz w:val="20"/>
                <w:szCs w:val="20"/>
                <w:lang w:eastAsia="en-AU"/>
              </w:rPr>
            </w:pPr>
            <w:r w:rsidRPr="00965BF1">
              <w:rPr>
                <w:rFonts w:ascii="Calibri" w:eastAsia="Times New Roman" w:hAnsi="Calibri" w:cs="Calibri"/>
                <w:b/>
                <w:bCs/>
                <w:color w:val="000000"/>
                <w:sz w:val="20"/>
                <w:szCs w:val="20"/>
                <w:lang w:eastAsia="en-AU"/>
              </w:rPr>
              <w:t>Balance Sheet</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D9CBBF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0E32B19"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3AD7DF9C"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6E89321"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361257D"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0E817B6"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258C9"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07515A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6CC658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A60FA23"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600</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8ECBA"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54E778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E4B8B32"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27D642"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0</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35454"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9D6F6C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Cash (Asset)</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6C5149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1B3D3FA"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600</w:t>
            </w:r>
          </w:p>
        </w:tc>
      </w:tr>
      <w:tr w:rsidR="002E0F8F" w:rsidRPr="00965BF1" w14:paraId="650F0CB9"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6AA299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Payable to TBA</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909FEA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F7B88D1"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600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C7139"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6D0737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5EB962B"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9ECD0F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8F89C" w14:textId="77777777" w:rsidR="002E0F8F" w:rsidRPr="00965BF1" w:rsidRDefault="002E0F8F" w:rsidP="002E0F8F">
            <w:pPr>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206359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342AF2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04762F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41E3"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E0BA43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FA7AA78"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E43AB4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tr w:rsidR="002E0F8F" w:rsidRPr="00965BF1" w14:paraId="55F18F89"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D68030E" w14:textId="77777777" w:rsidR="002E0F8F" w:rsidRPr="00965BF1" w:rsidRDefault="002E0F8F" w:rsidP="002E0F8F">
            <w:pP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Contract</w:t>
            </w:r>
            <w:r w:rsidRPr="00965BF1">
              <w:rPr>
                <w:rFonts w:ascii="Calibri" w:eastAsia="Times New Roman" w:hAnsi="Calibri" w:cs="Calibri"/>
                <w:color w:val="000000"/>
                <w:sz w:val="20"/>
                <w:szCs w:val="20"/>
                <w:lang w:eastAsia="en-AU"/>
              </w:rPr>
              <w:t xml:space="preserve"> Liability</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A49EE8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14F8A1B"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-600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1ECF9"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49CEB04"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Receivable from CMTEDD</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2F0DB2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D1389A9"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-600</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4D7DC" w14:textId="77777777" w:rsidR="002E0F8F" w:rsidRPr="00965BF1" w:rsidRDefault="002E0F8F" w:rsidP="002E0F8F">
            <w:pPr>
              <w:jc w:val="right"/>
              <w:rPr>
                <w:rFonts w:ascii="Calibri" w:eastAsia="Times New Roman" w:hAnsi="Calibri" w:cs="Calibri"/>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629E6FF"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08F7079"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9DA8F65"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C13CD"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4A50477C" w14:textId="77777777" w:rsidR="002E0F8F" w:rsidRPr="00965BF1" w:rsidRDefault="002E0F8F" w:rsidP="002E0F8F">
            <w:pP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Contract</w:t>
            </w:r>
            <w:r w:rsidRPr="00965BF1">
              <w:rPr>
                <w:rFonts w:ascii="Calibri" w:eastAsia="Times New Roman" w:hAnsi="Calibri" w:cs="Calibri"/>
                <w:color w:val="000000"/>
                <w:sz w:val="20"/>
                <w:szCs w:val="20"/>
                <w:lang w:eastAsia="en-AU"/>
              </w:rPr>
              <w:t xml:space="preserve"> Liability</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4D339B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65AD6DC" w14:textId="77777777" w:rsidR="002E0F8F" w:rsidRPr="00965BF1" w:rsidRDefault="002E0F8F" w:rsidP="002E0F8F">
            <w:pPr>
              <w:jc w:val="right"/>
              <w:rPr>
                <w:rFonts w:ascii="Calibri" w:eastAsia="Times New Roman" w:hAnsi="Calibri" w:cs="Calibri"/>
                <w:color w:val="000000"/>
                <w:sz w:val="20"/>
                <w:szCs w:val="20"/>
                <w:lang w:eastAsia="en-AU"/>
              </w:rPr>
            </w:pPr>
            <w:r w:rsidRPr="00965BF1">
              <w:rPr>
                <w:rFonts w:ascii="Calibri" w:eastAsia="Times New Roman" w:hAnsi="Calibri" w:cs="Calibri"/>
                <w:color w:val="FF0000"/>
                <w:sz w:val="20"/>
                <w:szCs w:val="20"/>
                <w:lang w:eastAsia="en-AU"/>
              </w:rPr>
              <w:t>-600</w:t>
            </w:r>
          </w:p>
        </w:tc>
      </w:tr>
      <w:tr w:rsidR="002E0F8F" w:rsidRPr="00965BF1" w14:paraId="21D7EE18" w14:textId="77777777" w:rsidTr="002E0F8F">
        <w:trPr>
          <w:trHeight w:val="300"/>
        </w:trPr>
        <w:tc>
          <w:tcPr>
            <w:tcW w:w="69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F1C5DE7" w14:textId="77777777" w:rsidR="002E0F8F" w:rsidRPr="00965BF1" w:rsidRDefault="002E0F8F" w:rsidP="002E0F8F">
            <w:pPr>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Net Assets</w:t>
            </w:r>
          </w:p>
        </w:tc>
        <w:tc>
          <w:tcPr>
            <w:tcW w:w="2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E4B264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40971CD" w14:textId="77777777" w:rsidR="002E0F8F" w:rsidRPr="00965BF1" w:rsidRDefault="002E0F8F" w:rsidP="002E0F8F">
            <w:pPr>
              <w:jc w:val="right"/>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0</w:t>
            </w:r>
          </w:p>
        </w:tc>
        <w:tc>
          <w:tcPr>
            <w:tcW w:w="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F9BDE" w14:textId="77777777" w:rsidR="002E0F8F" w:rsidRPr="00965BF1" w:rsidRDefault="002E0F8F" w:rsidP="002E0F8F">
            <w:pPr>
              <w:jc w:val="right"/>
              <w:rPr>
                <w:rFonts w:ascii="Calibri" w:eastAsia="Times New Roman" w:hAnsi="Calibri" w:cs="Calibri"/>
                <w:i/>
                <w:iCs/>
                <w:color w:val="000000"/>
                <w:sz w:val="20"/>
                <w:szCs w:val="20"/>
                <w:lang w:eastAsia="en-AU"/>
              </w:rPr>
            </w:pPr>
          </w:p>
        </w:tc>
        <w:tc>
          <w:tcPr>
            <w:tcW w:w="735"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3EB57AF" w14:textId="77777777" w:rsidR="002E0F8F" w:rsidRPr="00965BF1" w:rsidRDefault="002E0F8F" w:rsidP="002E0F8F">
            <w:pPr>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Net Assets</w:t>
            </w:r>
          </w:p>
        </w:tc>
        <w:tc>
          <w:tcPr>
            <w:tcW w:w="33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68FABB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0BB6ED6" w14:textId="77777777" w:rsidR="002E0F8F" w:rsidRPr="00965BF1" w:rsidRDefault="002E0F8F" w:rsidP="002E0F8F">
            <w:pPr>
              <w:jc w:val="right"/>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0</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7DC0A" w14:textId="77777777" w:rsidR="002E0F8F" w:rsidRPr="00965BF1" w:rsidRDefault="002E0F8F" w:rsidP="002E0F8F">
            <w:pPr>
              <w:jc w:val="right"/>
              <w:rPr>
                <w:rFonts w:ascii="Calibri" w:eastAsia="Times New Roman" w:hAnsi="Calibri" w:cs="Calibri"/>
                <w:i/>
                <w:iCs/>
                <w:color w:val="000000"/>
                <w:sz w:val="20"/>
                <w:szCs w:val="20"/>
                <w:lang w:eastAsia="en-AU"/>
              </w:rPr>
            </w:pPr>
          </w:p>
        </w:tc>
        <w:tc>
          <w:tcPr>
            <w:tcW w:w="54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9E12C5F" w14:textId="77777777" w:rsidR="002E0F8F" w:rsidRPr="00965BF1" w:rsidRDefault="002E0F8F" w:rsidP="002E0F8F">
            <w:pPr>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Net Assets</w:t>
            </w:r>
          </w:p>
        </w:tc>
        <w:tc>
          <w:tcPr>
            <w:tcW w:w="18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E700FF4"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C20DC82" w14:textId="77777777" w:rsidR="002E0F8F" w:rsidRPr="00965BF1" w:rsidRDefault="002E0F8F" w:rsidP="002E0F8F">
            <w:pPr>
              <w:jc w:val="right"/>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0</w:t>
            </w:r>
          </w:p>
        </w:tc>
        <w:tc>
          <w:tcPr>
            <w:tcW w:w="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82B0A" w14:textId="77777777" w:rsidR="002E0F8F" w:rsidRPr="00965BF1" w:rsidRDefault="002E0F8F" w:rsidP="002E0F8F">
            <w:pPr>
              <w:jc w:val="right"/>
              <w:rPr>
                <w:rFonts w:ascii="Calibri" w:eastAsia="Times New Roman" w:hAnsi="Calibri" w:cs="Calibri"/>
                <w:i/>
                <w:iCs/>
                <w:color w:val="000000"/>
                <w:sz w:val="20"/>
                <w:szCs w:val="20"/>
                <w:lang w:eastAsia="en-AU"/>
              </w:rPr>
            </w:pPr>
          </w:p>
        </w:tc>
        <w:tc>
          <w:tcPr>
            <w:tcW w:w="670"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B57E0DF" w14:textId="77777777" w:rsidR="002E0F8F" w:rsidRPr="00965BF1" w:rsidRDefault="002E0F8F" w:rsidP="002E0F8F">
            <w:pPr>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Net Assets</w:t>
            </w:r>
          </w:p>
        </w:tc>
        <w:tc>
          <w:tcPr>
            <w:tcW w:w="166"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55A945E"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EFAAD51" w14:textId="77777777" w:rsidR="002E0F8F" w:rsidRPr="00965BF1" w:rsidRDefault="002E0F8F" w:rsidP="002E0F8F">
            <w:pPr>
              <w:jc w:val="right"/>
              <w:rPr>
                <w:rFonts w:ascii="Calibri" w:eastAsia="Times New Roman" w:hAnsi="Calibri" w:cs="Calibri"/>
                <w:i/>
                <w:iCs/>
                <w:color w:val="000000"/>
                <w:sz w:val="20"/>
                <w:szCs w:val="20"/>
                <w:lang w:eastAsia="en-AU"/>
              </w:rPr>
            </w:pPr>
            <w:r w:rsidRPr="00965BF1">
              <w:rPr>
                <w:rFonts w:ascii="Calibri" w:eastAsia="Times New Roman" w:hAnsi="Calibri" w:cs="Calibri"/>
                <w:i/>
                <w:iCs/>
                <w:color w:val="000000"/>
                <w:sz w:val="20"/>
                <w:szCs w:val="20"/>
                <w:lang w:eastAsia="en-AU"/>
              </w:rPr>
              <w:t>0</w:t>
            </w:r>
          </w:p>
        </w:tc>
      </w:tr>
      <w:tr w:rsidR="002E0F8F" w:rsidRPr="00965BF1" w14:paraId="567AC9E5" w14:textId="77777777" w:rsidTr="002E0F8F">
        <w:trPr>
          <w:trHeight w:val="315"/>
        </w:trPr>
        <w:tc>
          <w:tcPr>
            <w:tcW w:w="695" w:type="pct"/>
            <w:tcBorders>
              <w:top w:val="single" w:sz="4" w:space="0" w:color="auto"/>
              <w:left w:val="single" w:sz="8" w:space="0" w:color="auto"/>
              <w:bottom w:val="single" w:sz="8" w:space="0" w:color="auto"/>
              <w:right w:val="nil"/>
            </w:tcBorders>
            <w:shd w:val="clear" w:color="auto" w:fill="auto"/>
            <w:noWrap/>
            <w:vAlign w:val="bottom"/>
            <w:hideMark/>
          </w:tcPr>
          <w:p w14:paraId="73D5D752"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230" w:type="pct"/>
            <w:tcBorders>
              <w:top w:val="single" w:sz="4" w:space="0" w:color="auto"/>
              <w:left w:val="nil"/>
              <w:bottom w:val="single" w:sz="8" w:space="0" w:color="auto"/>
              <w:right w:val="nil"/>
            </w:tcBorders>
            <w:shd w:val="clear" w:color="auto" w:fill="auto"/>
            <w:noWrap/>
            <w:vAlign w:val="bottom"/>
            <w:hideMark/>
          </w:tcPr>
          <w:p w14:paraId="6DB2655D"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9" w:type="pct"/>
            <w:tcBorders>
              <w:top w:val="single" w:sz="4" w:space="0" w:color="auto"/>
              <w:left w:val="nil"/>
              <w:bottom w:val="single" w:sz="8" w:space="0" w:color="auto"/>
              <w:right w:val="single" w:sz="8" w:space="0" w:color="auto"/>
            </w:tcBorders>
            <w:shd w:val="clear" w:color="auto" w:fill="auto"/>
            <w:noWrap/>
            <w:vAlign w:val="bottom"/>
            <w:hideMark/>
          </w:tcPr>
          <w:p w14:paraId="6FE7954C"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88" w:type="pct"/>
            <w:tcBorders>
              <w:top w:val="single" w:sz="4" w:space="0" w:color="auto"/>
              <w:left w:val="nil"/>
              <w:bottom w:val="nil"/>
              <w:right w:val="nil"/>
            </w:tcBorders>
            <w:shd w:val="clear" w:color="auto" w:fill="auto"/>
            <w:noWrap/>
            <w:vAlign w:val="bottom"/>
            <w:hideMark/>
          </w:tcPr>
          <w:p w14:paraId="22576FD5" w14:textId="77777777" w:rsidR="002E0F8F" w:rsidRPr="00965BF1" w:rsidRDefault="002E0F8F" w:rsidP="002E0F8F">
            <w:pPr>
              <w:rPr>
                <w:rFonts w:ascii="Calibri" w:eastAsia="Times New Roman" w:hAnsi="Calibri" w:cs="Calibri"/>
                <w:color w:val="000000"/>
                <w:sz w:val="20"/>
                <w:szCs w:val="20"/>
                <w:lang w:eastAsia="en-AU"/>
              </w:rPr>
            </w:pPr>
          </w:p>
        </w:tc>
        <w:tc>
          <w:tcPr>
            <w:tcW w:w="735" w:type="pct"/>
            <w:tcBorders>
              <w:top w:val="single" w:sz="4" w:space="0" w:color="auto"/>
              <w:left w:val="single" w:sz="8" w:space="0" w:color="auto"/>
              <w:bottom w:val="single" w:sz="8" w:space="0" w:color="auto"/>
              <w:right w:val="nil"/>
            </w:tcBorders>
            <w:shd w:val="clear" w:color="auto" w:fill="auto"/>
            <w:noWrap/>
            <w:vAlign w:val="bottom"/>
            <w:hideMark/>
          </w:tcPr>
          <w:p w14:paraId="0F6A1586"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30" w:type="pct"/>
            <w:tcBorders>
              <w:top w:val="single" w:sz="4" w:space="0" w:color="auto"/>
              <w:left w:val="nil"/>
              <w:bottom w:val="single" w:sz="8" w:space="0" w:color="auto"/>
              <w:right w:val="nil"/>
            </w:tcBorders>
            <w:shd w:val="clear" w:color="auto" w:fill="auto"/>
            <w:noWrap/>
            <w:vAlign w:val="bottom"/>
            <w:hideMark/>
          </w:tcPr>
          <w:p w14:paraId="73C872AB"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02" w:type="pct"/>
            <w:tcBorders>
              <w:top w:val="single" w:sz="4" w:space="0" w:color="auto"/>
              <w:left w:val="nil"/>
              <w:bottom w:val="single" w:sz="8" w:space="0" w:color="auto"/>
              <w:right w:val="single" w:sz="8" w:space="0" w:color="auto"/>
            </w:tcBorders>
            <w:shd w:val="clear" w:color="auto" w:fill="auto"/>
            <w:noWrap/>
            <w:vAlign w:val="bottom"/>
            <w:hideMark/>
          </w:tcPr>
          <w:p w14:paraId="6BE404C7"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7" w:type="pct"/>
            <w:tcBorders>
              <w:top w:val="single" w:sz="4" w:space="0" w:color="auto"/>
              <w:left w:val="nil"/>
              <w:bottom w:val="nil"/>
              <w:right w:val="nil"/>
            </w:tcBorders>
            <w:shd w:val="clear" w:color="auto" w:fill="auto"/>
            <w:noWrap/>
            <w:vAlign w:val="bottom"/>
            <w:hideMark/>
          </w:tcPr>
          <w:p w14:paraId="25982D79" w14:textId="77777777" w:rsidR="002E0F8F" w:rsidRPr="00965BF1" w:rsidRDefault="002E0F8F" w:rsidP="002E0F8F">
            <w:pPr>
              <w:rPr>
                <w:rFonts w:ascii="Calibri" w:eastAsia="Times New Roman" w:hAnsi="Calibri" w:cs="Calibri"/>
                <w:color w:val="000000"/>
                <w:sz w:val="20"/>
                <w:szCs w:val="20"/>
                <w:lang w:eastAsia="en-AU"/>
              </w:rPr>
            </w:pPr>
          </w:p>
        </w:tc>
        <w:tc>
          <w:tcPr>
            <w:tcW w:w="548" w:type="pct"/>
            <w:tcBorders>
              <w:top w:val="single" w:sz="4" w:space="0" w:color="auto"/>
              <w:left w:val="single" w:sz="8" w:space="0" w:color="auto"/>
              <w:bottom w:val="single" w:sz="8" w:space="0" w:color="auto"/>
              <w:right w:val="nil"/>
            </w:tcBorders>
            <w:shd w:val="clear" w:color="auto" w:fill="auto"/>
            <w:noWrap/>
            <w:vAlign w:val="bottom"/>
            <w:hideMark/>
          </w:tcPr>
          <w:p w14:paraId="5A153314"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8" w:type="pct"/>
            <w:tcBorders>
              <w:top w:val="single" w:sz="4" w:space="0" w:color="auto"/>
              <w:left w:val="nil"/>
              <w:bottom w:val="single" w:sz="8" w:space="0" w:color="auto"/>
              <w:right w:val="nil"/>
            </w:tcBorders>
            <w:shd w:val="clear" w:color="auto" w:fill="auto"/>
            <w:noWrap/>
            <w:vAlign w:val="bottom"/>
            <w:hideMark/>
          </w:tcPr>
          <w:p w14:paraId="7A5561FA"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84" w:type="pct"/>
            <w:tcBorders>
              <w:top w:val="single" w:sz="4" w:space="0" w:color="auto"/>
              <w:left w:val="nil"/>
              <w:bottom w:val="single" w:sz="8" w:space="0" w:color="auto"/>
              <w:right w:val="single" w:sz="8" w:space="0" w:color="auto"/>
            </w:tcBorders>
            <w:shd w:val="clear" w:color="auto" w:fill="auto"/>
            <w:noWrap/>
            <w:vAlign w:val="bottom"/>
            <w:hideMark/>
          </w:tcPr>
          <w:p w14:paraId="389C9A40"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90" w:type="pct"/>
            <w:tcBorders>
              <w:top w:val="single" w:sz="4" w:space="0" w:color="auto"/>
              <w:left w:val="nil"/>
              <w:bottom w:val="nil"/>
              <w:right w:val="nil"/>
            </w:tcBorders>
            <w:shd w:val="clear" w:color="auto" w:fill="auto"/>
            <w:noWrap/>
            <w:vAlign w:val="bottom"/>
            <w:hideMark/>
          </w:tcPr>
          <w:p w14:paraId="6AD6486A" w14:textId="77777777" w:rsidR="002E0F8F" w:rsidRPr="00965BF1" w:rsidRDefault="002E0F8F" w:rsidP="002E0F8F">
            <w:pPr>
              <w:rPr>
                <w:rFonts w:ascii="Calibri" w:eastAsia="Times New Roman" w:hAnsi="Calibri" w:cs="Calibri"/>
                <w:color w:val="000000"/>
                <w:sz w:val="20"/>
                <w:szCs w:val="20"/>
                <w:lang w:eastAsia="en-AU"/>
              </w:rPr>
            </w:pPr>
          </w:p>
        </w:tc>
        <w:tc>
          <w:tcPr>
            <w:tcW w:w="670" w:type="pct"/>
            <w:tcBorders>
              <w:top w:val="single" w:sz="4" w:space="0" w:color="auto"/>
              <w:left w:val="single" w:sz="8" w:space="0" w:color="auto"/>
              <w:bottom w:val="single" w:sz="8" w:space="0" w:color="auto"/>
              <w:right w:val="nil"/>
            </w:tcBorders>
            <w:shd w:val="clear" w:color="auto" w:fill="auto"/>
            <w:noWrap/>
            <w:vAlign w:val="bottom"/>
            <w:hideMark/>
          </w:tcPr>
          <w:p w14:paraId="39A4E911"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166" w:type="pct"/>
            <w:tcBorders>
              <w:top w:val="single" w:sz="4" w:space="0" w:color="auto"/>
              <w:left w:val="nil"/>
              <w:bottom w:val="single" w:sz="8" w:space="0" w:color="auto"/>
              <w:right w:val="nil"/>
            </w:tcBorders>
            <w:shd w:val="clear" w:color="auto" w:fill="auto"/>
            <w:noWrap/>
            <w:vAlign w:val="bottom"/>
            <w:hideMark/>
          </w:tcPr>
          <w:p w14:paraId="068E1403"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c>
          <w:tcPr>
            <w:tcW w:w="368" w:type="pct"/>
            <w:tcBorders>
              <w:top w:val="single" w:sz="4" w:space="0" w:color="auto"/>
              <w:left w:val="nil"/>
              <w:bottom w:val="single" w:sz="8" w:space="0" w:color="auto"/>
              <w:right w:val="single" w:sz="8" w:space="0" w:color="auto"/>
            </w:tcBorders>
            <w:shd w:val="clear" w:color="auto" w:fill="auto"/>
            <w:noWrap/>
            <w:vAlign w:val="bottom"/>
            <w:hideMark/>
          </w:tcPr>
          <w:p w14:paraId="13A25A9C" w14:textId="77777777" w:rsidR="002E0F8F" w:rsidRPr="00965BF1" w:rsidRDefault="002E0F8F" w:rsidP="002E0F8F">
            <w:pPr>
              <w:rPr>
                <w:rFonts w:ascii="Calibri" w:eastAsia="Times New Roman" w:hAnsi="Calibri" w:cs="Calibri"/>
                <w:color w:val="000000"/>
                <w:sz w:val="20"/>
                <w:szCs w:val="20"/>
                <w:lang w:eastAsia="en-AU"/>
              </w:rPr>
            </w:pPr>
            <w:r w:rsidRPr="00965BF1">
              <w:rPr>
                <w:rFonts w:ascii="Calibri" w:eastAsia="Times New Roman" w:hAnsi="Calibri" w:cs="Calibri"/>
                <w:color w:val="000000"/>
                <w:sz w:val="20"/>
                <w:szCs w:val="20"/>
                <w:lang w:eastAsia="en-AU"/>
              </w:rPr>
              <w:t> </w:t>
            </w:r>
          </w:p>
        </w:tc>
      </w:tr>
      <w:bookmarkEnd w:id="133"/>
    </w:tbl>
    <w:p w14:paraId="25B8B561" w14:textId="53E69F27" w:rsidR="005B5746" w:rsidRDefault="005B5746" w:rsidP="005B5746"/>
    <w:sectPr w:rsidR="005B5746" w:rsidSect="00B736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F00A" w14:textId="77777777" w:rsidR="00C7145E" w:rsidRDefault="00C7145E">
      <w:r>
        <w:separator/>
      </w:r>
    </w:p>
  </w:endnote>
  <w:endnote w:type="continuationSeparator" w:id="0">
    <w:p w14:paraId="4CC29F7B" w14:textId="77777777" w:rsidR="00C7145E" w:rsidRDefault="00C7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Bold">
    <w:altName w:val="Times New Roman"/>
    <w:panose1 w:val="00000000000000000000"/>
    <w:charset w:val="00"/>
    <w:family w:val="roman"/>
    <w:notTrueType/>
    <w:pitch w:val="default"/>
  </w:font>
  <w:font w:name="EYInterstate">
    <w:altName w:val="Calibri"/>
    <w:panose1 w:val="00000000000000000000"/>
    <w:charset w:val="00"/>
    <w:family w:val="swiss"/>
    <w:notTrueType/>
    <w:pitch w:val="default"/>
    <w:sig w:usb0="00000003" w:usb1="00000000" w:usb2="00000000" w:usb3="00000000" w:csb0="00000001"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CFE7" w14:textId="2905FD0F" w:rsidR="00C7145E" w:rsidRPr="00EE2E62" w:rsidRDefault="00C7145E" w:rsidP="00C16226">
    <w:pPr>
      <w:pStyle w:val="Footer"/>
      <w:jc w:val="center"/>
      <w:rPr>
        <w:sz w:val="18"/>
        <w:szCs w:val="18"/>
      </w:rPr>
    </w:pPr>
    <w:r>
      <w:rPr>
        <w:sz w:val="18"/>
        <w:szCs w:val="18"/>
      </w:rPr>
      <w:tab/>
    </w:r>
    <w:proofErr w:type="spellStart"/>
    <w:r w:rsidRPr="00EE2E62">
      <w:rPr>
        <w:sz w:val="18"/>
        <w:szCs w:val="18"/>
      </w:rPr>
      <w:t>i</w:t>
    </w:r>
    <w:proofErr w:type="spellEnd"/>
    <w:r w:rsidRPr="00EE2E62">
      <w:rPr>
        <w:sz w:val="18"/>
        <w:szCs w:val="18"/>
      </w:rPr>
      <w:tab/>
      <w:t>Publication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25F" w14:textId="2EC809C2" w:rsidR="00C7145E" w:rsidRPr="00EE2E62" w:rsidRDefault="00C7145E">
    <w:pPr>
      <w:pStyle w:val="Footer"/>
      <w:rPr>
        <w:sz w:val="18"/>
        <w:szCs w:val="18"/>
      </w:rPr>
    </w:pPr>
    <w:r>
      <w:rPr>
        <w:sz w:val="18"/>
        <w:szCs w:val="18"/>
      </w:rPr>
      <w:tab/>
    </w:r>
    <w:r w:rsidRPr="00EE2E62">
      <w:rPr>
        <w:sz w:val="18"/>
        <w:szCs w:val="18"/>
      </w:rPr>
      <w:t>ii</w:t>
    </w:r>
    <w:r w:rsidRPr="00EE2E62">
      <w:rPr>
        <w:sz w:val="18"/>
        <w:szCs w:val="18"/>
      </w:rPr>
      <w:tab/>
      <w:t>Publication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ED08" w14:textId="7D9E8D29" w:rsidR="00C7145E" w:rsidRPr="00EE2E62" w:rsidRDefault="00C7145E" w:rsidP="00C16226">
    <w:pPr>
      <w:pStyle w:val="Footer"/>
      <w:jc w:val="center"/>
      <w:rPr>
        <w:sz w:val="18"/>
        <w:szCs w:val="18"/>
      </w:rPr>
    </w:pPr>
    <w:r>
      <w:rPr>
        <w:sz w:val="18"/>
        <w:szCs w:val="18"/>
      </w:rPr>
      <w:tab/>
    </w:r>
    <w:r w:rsidRPr="00EE2E62">
      <w:rPr>
        <w:sz w:val="18"/>
        <w:szCs w:val="18"/>
      </w:rPr>
      <w:t>i</w:t>
    </w:r>
    <w:r>
      <w:rPr>
        <w:sz w:val="18"/>
        <w:szCs w:val="18"/>
      </w:rPr>
      <w:t>ii</w:t>
    </w:r>
    <w:r w:rsidRPr="00EE2E62">
      <w:rPr>
        <w:sz w:val="18"/>
        <w:szCs w:val="18"/>
      </w:rPr>
      <w:tab/>
      <w:t>Publication June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982273"/>
      <w:docPartObj>
        <w:docPartGallery w:val="Page Numbers (Bottom of Page)"/>
        <w:docPartUnique/>
      </w:docPartObj>
    </w:sdtPr>
    <w:sdtEndPr>
      <w:rPr>
        <w:noProof/>
      </w:rPr>
    </w:sdtEndPr>
    <w:sdtContent>
      <w:p w14:paraId="7990261C" w14:textId="686B86DE" w:rsidR="00C7145E" w:rsidRPr="00EE2E62" w:rsidRDefault="00C7145E" w:rsidP="00EE2E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96731"/>
      <w:docPartObj>
        <w:docPartGallery w:val="Page Numbers (Bottom of Page)"/>
        <w:docPartUnique/>
      </w:docPartObj>
    </w:sdtPr>
    <w:sdtEndPr>
      <w:rPr>
        <w:noProof/>
      </w:rPr>
    </w:sdtEndPr>
    <w:sdtContent>
      <w:p w14:paraId="56965CF2" w14:textId="77777777" w:rsidR="00C7145E" w:rsidRDefault="00C7145E">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61788B8D" w14:textId="77777777" w:rsidR="00C7145E" w:rsidRDefault="00C7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6F9A" w14:textId="77777777" w:rsidR="00C7145E" w:rsidRDefault="00C7145E">
      <w:r>
        <w:separator/>
      </w:r>
    </w:p>
  </w:footnote>
  <w:footnote w:type="continuationSeparator" w:id="0">
    <w:p w14:paraId="3BD2DA25" w14:textId="77777777" w:rsidR="00C7145E" w:rsidRDefault="00C7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7A63" w14:textId="7C8B443D" w:rsidR="00C7145E" w:rsidRDefault="00C7145E" w:rsidP="00C16226">
    <w:pPr>
      <w:pStyle w:val="Header"/>
      <w:spacing w:before="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8FBD" w14:textId="2EE693F5" w:rsidR="00C7145E" w:rsidRPr="00EE2E62" w:rsidRDefault="00213DBE" w:rsidP="00213DBE">
    <w:pPr>
      <w:jc w:val="right"/>
      <w:rPr>
        <w:b/>
        <w:bCs/>
        <w:szCs w:val="24"/>
      </w:rPr>
    </w:pPr>
    <w:r>
      <w:rPr>
        <w:b/>
        <w:bCs/>
        <w:szCs w:val="24"/>
      </w:rPr>
      <w:t xml:space="preserve">AAPP 106 - </w:t>
    </w:r>
    <w:r w:rsidR="00C7145E" w:rsidRPr="00EE2E62">
      <w:rPr>
        <w:b/>
        <w:bCs/>
        <w:szCs w:val="24"/>
      </w:rPr>
      <w:t xml:space="preserve">AASB 15 and AASB 1058 </w:t>
    </w:r>
    <w:r w:rsidR="007B137C">
      <w:rPr>
        <w:b/>
        <w:bCs/>
        <w:szCs w:val="24"/>
      </w:rPr>
      <w:t>Accounting</w:t>
    </w:r>
    <w:r w:rsidR="00C7145E" w:rsidRPr="00EE2E62">
      <w:rPr>
        <w:b/>
        <w:bCs/>
        <w:szCs w:val="24"/>
      </w:rPr>
      <w:t xml:space="preserve"> Policy (Including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D84A" w14:textId="378B602C" w:rsidR="00C7145E" w:rsidRPr="0068721D" w:rsidRDefault="00213DBE" w:rsidP="00213DBE">
    <w:pPr>
      <w:pStyle w:val="Header"/>
      <w:jc w:val="right"/>
      <w:rPr>
        <w:b/>
        <w:bCs/>
      </w:rPr>
    </w:pPr>
    <w:bookmarkStart w:id="3" w:name="_Hlk45543822"/>
    <w:r>
      <w:rPr>
        <w:b/>
        <w:bCs/>
      </w:rPr>
      <w:t xml:space="preserve">AAPP 106 - </w:t>
    </w:r>
    <w:r w:rsidR="00C7145E" w:rsidRPr="0068721D">
      <w:rPr>
        <w:b/>
        <w:bCs/>
      </w:rPr>
      <w:t xml:space="preserve">AASB 15 and AASB 1058 </w:t>
    </w:r>
    <w:r w:rsidR="007B137C">
      <w:rPr>
        <w:b/>
        <w:bCs/>
      </w:rPr>
      <w:t>Accounting</w:t>
    </w:r>
    <w:r w:rsidR="00C7145E" w:rsidRPr="0068721D">
      <w:rPr>
        <w:b/>
        <w:bCs/>
      </w:rPr>
      <w:t xml:space="preserve"> Policy </w:t>
    </w:r>
    <w:bookmarkEnd w:id="3"/>
    <w:r w:rsidR="00C7145E" w:rsidRPr="0068721D">
      <w:rPr>
        <w:b/>
        <w:bCs/>
      </w:rPr>
      <w:t>(Including Transition)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DA2E" w14:textId="44155225" w:rsidR="00C7145E" w:rsidRPr="004251B1" w:rsidRDefault="00213DBE" w:rsidP="00213DBE">
    <w:pPr>
      <w:pStyle w:val="Header"/>
      <w:jc w:val="right"/>
      <w:rPr>
        <w:b/>
        <w:bCs/>
      </w:rPr>
    </w:pPr>
    <w:r>
      <w:rPr>
        <w:b/>
        <w:bCs/>
      </w:rPr>
      <w:t xml:space="preserve">AAPP 106 - </w:t>
    </w:r>
    <w:r w:rsidR="00C7145E" w:rsidRPr="004251B1">
      <w:rPr>
        <w:b/>
        <w:bCs/>
      </w:rPr>
      <w:t xml:space="preserve">AASB 15 and AASB 1058 </w:t>
    </w:r>
    <w:r w:rsidR="007B137C">
      <w:rPr>
        <w:b/>
        <w:bCs/>
        <w:szCs w:val="24"/>
      </w:rPr>
      <w:t>Accounting</w:t>
    </w:r>
    <w:r w:rsidR="00C7145E" w:rsidRPr="004251B1">
      <w:rPr>
        <w:b/>
        <w:bCs/>
      </w:rPr>
      <w:t xml:space="preserve"> Policy (Including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6E1"/>
    <w:multiLevelType w:val="hybridMultilevel"/>
    <w:tmpl w:val="BC1C2942"/>
    <w:lvl w:ilvl="0" w:tplc="0C09000F">
      <w:start w:val="1"/>
      <w:numFmt w:val="decimal"/>
      <w:lvlText w:val="%1."/>
      <w:lvlJc w:val="left"/>
      <w:pPr>
        <w:ind w:left="6095" w:hanging="360"/>
      </w:pPr>
    </w:lvl>
    <w:lvl w:ilvl="1" w:tplc="2C9258FE">
      <w:start w:val="1"/>
      <w:numFmt w:val="lowerLetter"/>
      <w:lvlText w:val="(%2)"/>
      <w:lvlJc w:val="left"/>
      <w:pPr>
        <w:ind w:left="7175" w:hanging="360"/>
      </w:pPr>
      <w:rPr>
        <w:rFonts w:asciiTheme="minorHAnsi" w:eastAsiaTheme="minorHAnsi" w:hAnsiTheme="minorHAnsi" w:cstheme="minorBidi"/>
      </w:rPr>
    </w:lvl>
    <w:lvl w:ilvl="2" w:tplc="0C09001B">
      <w:start w:val="1"/>
      <w:numFmt w:val="lowerRoman"/>
      <w:lvlText w:val="%3."/>
      <w:lvlJc w:val="right"/>
      <w:pPr>
        <w:ind w:left="7895" w:hanging="180"/>
      </w:pPr>
    </w:lvl>
    <w:lvl w:ilvl="3" w:tplc="0C09000F" w:tentative="1">
      <w:start w:val="1"/>
      <w:numFmt w:val="decimal"/>
      <w:lvlText w:val="%4."/>
      <w:lvlJc w:val="left"/>
      <w:pPr>
        <w:ind w:left="8615" w:hanging="360"/>
      </w:pPr>
    </w:lvl>
    <w:lvl w:ilvl="4" w:tplc="0C090019" w:tentative="1">
      <w:start w:val="1"/>
      <w:numFmt w:val="lowerLetter"/>
      <w:lvlText w:val="%5."/>
      <w:lvlJc w:val="left"/>
      <w:pPr>
        <w:ind w:left="9335" w:hanging="360"/>
      </w:pPr>
    </w:lvl>
    <w:lvl w:ilvl="5" w:tplc="0C09001B" w:tentative="1">
      <w:start w:val="1"/>
      <w:numFmt w:val="lowerRoman"/>
      <w:lvlText w:val="%6."/>
      <w:lvlJc w:val="right"/>
      <w:pPr>
        <w:ind w:left="10055" w:hanging="180"/>
      </w:pPr>
    </w:lvl>
    <w:lvl w:ilvl="6" w:tplc="0C09000F" w:tentative="1">
      <w:start w:val="1"/>
      <w:numFmt w:val="decimal"/>
      <w:lvlText w:val="%7."/>
      <w:lvlJc w:val="left"/>
      <w:pPr>
        <w:ind w:left="10775" w:hanging="360"/>
      </w:pPr>
    </w:lvl>
    <w:lvl w:ilvl="7" w:tplc="0C090019" w:tentative="1">
      <w:start w:val="1"/>
      <w:numFmt w:val="lowerLetter"/>
      <w:lvlText w:val="%8."/>
      <w:lvlJc w:val="left"/>
      <w:pPr>
        <w:ind w:left="11495" w:hanging="360"/>
      </w:pPr>
    </w:lvl>
    <w:lvl w:ilvl="8" w:tplc="0C09001B" w:tentative="1">
      <w:start w:val="1"/>
      <w:numFmt w:val="lowerRoman"/>
      <w:lvlText w:val="%9."/>
      <w:lvlJc w:val="right"/>
      <w:pPr>
        <w:ind w:left="12215" w:hanging="180"/>
      </w:pPr>
    </w:lvl>
  </w:abstractNum>
  <w:abstractNum w:abstractNumId="1" w15:restartNumberingAfterBreak="0">
    <w:nsid w:val="03684C4B"/>
    <w:multiLevelType w:val="hybridMultilevel"/>
    <w:tmpl w:val="46F6A4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1A13B2"/>
    <w:multiLevelType w:val="hybridMultilevel"/>
    <w:tmpl w:val="6262B116"/>
    <w:lvl w:ilvl="0" w:tplc="188611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274B41"/>
    <w:multiLevelType w:val="hybridMultilevel"/>
    <w:tmpl w:val="795AD2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A7719"/>
    <w:multiLevelType w:val="multilevel"/>
    <w:tmpl w:val="A1F0E64E"/>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A7264A6"/>
    <w:multiLevelType w:val="multilevel"/>
    <w:tmpl w:val="45D67F08"/>
    <w:lvl w:ilvl="0">
      <w:start w:val="1"/>
      <w:numFmt w:val="decimal"/>
      <w:lvlText w:val="%1"/>
      <w:lvlJc w:val="left"/>
      <w:pPr>
        <w:ind w:left="432" w:hanging="432"/>
      </w:pPr>
    </w:lvl>
    <w:lvl w:ilvl="1">
      <w:start w:val="1"/>
      <w:numFmt w:val="decimal"/>
      <w:lvlText w:val="%1.%2"/>
      <w:lvlJc w:val="left"/>
      <w:pPr>
        <w:ind w:left="468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A411B5"/>
    <w:multiLevelType w:val="hybridMultilevel"/>
    <w:tmpl w:val="C0BA394E"/>
    <w:lvl w:ilvl="0" w:tplc="12D288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D17DFB"/>
    <w:multiLevelType w:val="multilevel"/>
    <w:tmpl w:val="BE7E79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4C4F9F"/>
    <w:multiLevelType w:val="hybridMultilevel"/>
    <w:tmpl w:val="C0BA394E"/>
    <w:lvl w:ilvl="0" w:tplc="12D2887A">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16602843"/>
    <w:multiLevelType w:val="hybridMultilevel"/>
    <w:tmpl w:val="80A606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6E3359D"/>
    <w:multiLevelType w:val="hybridMultilevel"/>
    <w:tmpl w:val="AD0068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C8621B"/>
    <w:multiLevelType w:val="multilevel"/>
    <w:tmpl w:val="DEB095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C123CD"/>
    <w:multiLevelType w:val="hybridMultilevel"/>
    <w:tmpl w:val="98E28B56"/>
    <w:lvl w:ilvl="0" w:tplc="E5D6F3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CB5FA3"/>
    <w:multiLevelType w:val="hybridMultilevel"/>
    <w:tmpl w:val="5228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A767C"/>
    <w:multiLevelType w:val="hybridMultilevel"/>
    <w:tmpl w:val="BEB235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622D8D"/>
    <w:multiLevelType w:val="hybridMultilevel"/>
    <w:tmpl w:val="4DB68F06"/>
    <w:lvl w:ilvl="0" w:tplc="2B8AD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8E3CD1"/>
    <w:multiLevelType w:val="hybridMultilevel"/>
    <w:tmpl w:val="B8AE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D9636F"/>
    <w:multiLevelType w:val="hybridMultilevel"/>
    <w:tmpl w:val="D898CD10"/>
    <w:lvl w:ilvl="0" w:tplc="2B8AD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425275"/>
    <w:multiLevelType w:val="hybridMultilevel"/>
    <w:tmpl w:val="37A65C8E"/>
    <w:lvl w:ilvl="0" w:tplc="9E56C6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7865C0"/>
    <w:multiLevelType w:val="multilevel"/>
    <w:tmpl w:val="63401E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074C5C"/>
    <w:multiLevelType w:val="hybridMultilevel"/>
    <w:tmpl w:val="7A2C5B70"/>
    <w:lvl w:ilvl="0" w:tplc="2B8AD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1D0B94"/>
    <w:multiLevelType w:val="multilevel"/>
    <w:tmpl w:val="ED86C5D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D554045"/>
    <w:multiLevelType w:val="hybridMultilevel"/>
    <w:tmpl w:val="A67681FC"/>
    <w:lvl w:ilvl="0" w:tplc="C3C4E38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D153E0"/>
    <w:multiLevelType w:val="hybridMultilevel"/>
    <w:tmpl w:val="48FA169C"/>
    <w:lvl w:ilvl="0" w:tplc="9594BC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59334E"/>
    <w:multiLevelType w:val="hybridMultilevel"/>
    <w:tmpl w:val="FE98C3CC"/>
    <w:lvl w:ilvl="0" w:tplc="0C92A5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0E3BD6"/>
    <w:multiLevelType w:val="multilevel"/>
    <w:tmpl w:val="385C9C2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43A71CEB"/>
    <w:multiLevelType w:val="hybridMultilevel"/>
    <w:tmpl w:val="36BC579E"/>
    <w:lvl w:ilvl="0" w:tplc="2B8AD9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236FDF"/>
    <w:multiLevelType w:val="multilevel"/>
    <w:tmpl w:val="810AEC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CF35CDE"/>
    <w:multiLevelType w:val="hybridMultilevel"/>
    <w:tmpl w:val="1B2CE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3657EE"/>
    <w:multiLevelType w:val="multilevel"/>
    <w:tmpl w:val="385C9C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90F4A7F"/>
    <w:multiLevelType w:val="hybridMultilevel"/>
    <w:tmpl w:val="5114D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78417E"/>
    <w:multiLevelType w:val="hybridMultilevel"/>
    <w:tmpl w:val="7ECC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1376A7"/>
    <w:multiLevelType w:val="hybridMultilevel"/>
    <w:tmpl w:val="8B7E0758"/>
    <w:lvl w:ilvl="0" w:tplc="0C92A5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6F66BA"/>
    <w:multiLevelType w:val="hybridMultilevel"/>
    <w:tmpl w:val="E21E2C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8558A7"/>
    <w:multiLevelType w:val="multilevel"/>
    <w:tmpl w:val="36BE8CC6"/>
    <w:lvl w:ilvl="0">
      <w:start w:val="1"/>
      <w:numFmt w:val="decimal"/>
      <w:lvlText w:val="%1."/>
      <w:lvlJc w:val="left"/>
      <w:pPr>
        <w:ind w:left="360" w:hanging="360"/>
      </w:pPr>
    </w:lvl>
    <w:lvl w:ilvl="1">
      <w:start w:val="1"/>
      <w:numFmt w:val="decimal"/>
      <w:lvlText w:val="%1.%2"/>
      <w:lvlJc w:val="left"/>
      <w:pPr>
        <w:ind w:left="14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CDF562C"/>
    <w:multiLevelType w:val="hybridMultilevel"/>
    <w:tmpl w:val="2A94E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2132D7"/>
    <w:multiLevelType w:val="hybridMultilevel"/>
    <w:tmpl w:val="2F50547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5"/>
  </w:num>
  <w:num w:numId="3">
    <w:abstractNumId w:val="3"/>
  </w:num>
  <w:num w:numId="4">
    <w:abstractNumId w:val="0"/>
  </w:num>
  <w:num w:numId="5">
    <w:abstractNumId w:val="33"/>
  </w:num>
  <w:num w:numId="6">
    <w:abstractNumId w:val="36"/>
  </w:num>
  <w:num w:numId="7">
    <w:abstractNumId w:val="6"/>
  </w:num>
  <w:num w:numId="8">
    <w:abstractNumId w:val="8"/>
  </w:num>
  <w:num w:numId="9">
    <w:abstractNumId w:val="10"/>
  </w:num>
  <w:num w:numId="10">
    <w:abstractNumId w:val="1"/>
  </w:num>
  <w:num w:numId="11">
    <w:abstractNumId w:val="14"/>
  </w:num>
  <w:num w:numId="12">
    <w:abstractNumId w:val="16"/>
  </w:num>
  <w:num w:numId="13">
    <w:abstractNumId w:val="4"/>
  </w:num>
  <w:num w:numId="14">
    <w:abstractNumId w:val="34"/>
  </w:num>
  <w:num w:numId="15">
    <w:abstractNumId w:val="17"/>
  </w:num>
  <w:num w:numId="16">
    <w:abstractNumId w:val="15"/>
  </w:num>
  <w:num w:numId="17">
    <w:abstractNumId w:val="26"/>
  </w:num>
  <w:num w:numId="18">
    <w:abstractNumId w:val="18"/>
  </w:num>
  <w:num w:numId="19">
    <w:abstractNumId w:val="13"/>
  </w:num>
  <w:num w:numId="20">
    <w:abstractNumId w:val="20"/>
  </w:num>
  <w:num w:numId="21">
    <w:abstractNumId w:val="9"/>
  </w:num>
  <w:num w:numId="22">
    <w:abstractNumId w:val="25"/>
  </w:num>
  <w:num w:numId="23">
    <w:abstractNumId w:val="28"/>
  </w:num>
  <w:num w:numId="24">
    <w:abstractNumId w:val="30"/>
  </w:num>
  <w:num w:numId="25">
    <w:abstractNumId w:val="23"/>
  </w:num>
  <w:num w:numId="26">
    <w:abstractNumId w:val="22"/>
  </w:num>
  <w:num w:numId="27">
    <w:abstractNumId w:val="7"/>
  </w:num>
  <w:num w:numId="28">
    <w:abstractNumId w:val="19"/>
  </w:num>
  <w:num w:numId="29">
    <w:abstractNumId w:val="1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4"/>
    <w:lvlOverride w:ilvl="0">
      <w:lvl w:ilvl="0">
        <w:start w:val="1"/>
        <w:numFmt w:val="decimal"/>
        <w:lvlText w:val="%1."/>
        <w:lvlJc w:val="left"/>
        <w:pPr>
          <w:ind w:left="0" w:firstLine="0"/>
        </w:pPr>
        <w:rPr>
          <w:rFonts w:hint="default"/>
        </w:rPr>
      </w:lvl>
    </w:lvlOverride>
    <w:lvlOverride w:ilvl="1">
      <w:lvl w:ilvl="1">
        <w:start w:val="1"/>
        <w:numFmt w:val="decimal"/>
        <w:isLgl/>
        <w:lvlText w:val="%1.%2"/>
        <w:lvlJc w:val="left"/>
        <w:pPr>
          <w:ind w:left="5888"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33">
    <w:abstractNumId w:val="35"/>
  </w:num>
  <w:num w:numId="34">
    <w:abstractNumId w:val="27"/>
  </w:num>
  <w:num w:numId="35">
    <w:abstractNumId w:val="12"/>
  </w:num>
  <w:num w:numId="36">
    <w:abstractNumId w:val="4"/>
    <w:lvlOverride w:ilvl="0">
      <w:startOverride w:val="6"/>
    </w:lvlOverride>
  </w:num>
  <w:num w:numId="37">
    <w:abstractNumId w:val="4"/>
    <w:lvlOverride w:ilvl="0">
      <w:startOverride w:val="5"/>
    </w:lvlOverride>
    <w:lvlOverride w:ilvl="1">
      <w:startOverride w:val="1"/>
    </w:lvlOverride>
    <w:lvlOverride w:ilvl="2">
      <w:startOverride w:val="1"/>
    </w:lvlOverride>
  </w:num>
  <w:num w:numId="38">
    <w:abstractNumId w:val="4"/>
    <w:lvlOverride w:ilvl="0">
      <w:startOverride w:val="5"/>
    </w:lvlOverride>
    <w:lvlOverride w:ilvl="1">
      <w:startOverride w:val="1"/>
    </w:lvlOverride>
    <w:lvlOverride w:ilvl="2">
      <w:startOverride w:val="1"/>
    </w:lvlOverride>
  </w:num>
  <w:num w:numId="39">
    <w:abstractNumId w:val="4"/>
    <w:lvlOverride w:ilvl="0">
      <w:startOverride w:val="5"/>
    </w:lvlOverride>
    <w:lvlOverride w:ilvl="1">
      <w:startOverride w:val="1"/>
    </w:lvlOverride>
    <w:lvlOverride w:ilvl="2">
      <w:startOverride w:val="1"/>
    </w:lvlOverride>
  </w:num>
  <w:num w:numId="40">
    <w:abstractNumId w:val="4"/>
    <w:lvlOverride w:ilvl="0">
      <w:startOverride w:val="5"/>
    </w:lvlOverride>
    <w:lvlOverride w:ilvl="1">
      <w:startOverride w:val="1"/>
    </w:lvlOverride>
    <w:lvlOverride w:ilvl="2">
      <w:startOverride w:val="2"/>
    </w:lvlOverride>
  </w:num>
  <w:num w:numId="41">
    <w:abstractNumId w:val="4"/>
    <w:lvlOverride w:ilvl="0">
      <w:startOverride w:val="5"/>
    </w:lvlOverride>
    <w:lvlOverride w:ilvl="1">
      <w:startOverride w:val="1"/>
    </w:lvlOverride>
    <w:lvlOverride w:ilvl="2">
      <w:startOverride w:val="3"/>
    </w:lvlOverride>
  </w:num>
  <w:num w:numId="42">
    <w:abstractNumId w:val="2"/>
  </w:num>
  <w:num w:numId="43">
    <w:abstractNumId w:val="2"/>
    <w:lvlOverride w:ilvl="0">
      <w:startOverride w:val="1"/>
    </w:lvlOverride>
  </w:num>
  <w:num w:numId="44">
    <w:abstractNumId w:val="24"/>
  </w:num>
  <w:num w:numId="45">
    <w:abstractNumId w:val="3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17"/>
    <w:rsid w:val="000154B9"/>
    <w:rsid w:val="00044B9F"/>
    <w:rsid w:val="0006468F"/>
    <w:rsid w:val="00070A39"/>
    <w:rsid w:val="000E57E8"/>
    <w:rsid w:val="00151FEE"/>
    <w:rsid w:val="001523BC"/>
    <w:rsid w:val="001E3BDE"/>
    <w:rsid w:val="00202291"/>
    <w:rsid w:val="00213DBE"/>
    <w:rsid w:val="002E0F8F"/>
    <w:rsid w:val="002E14A0"/>
    <w:rsid w:val="00314788"/>
    <w:rsid w:val="00337D89"/>
    <w:rsid w:val="003541FB"/>
    <w:rsid w:val="00395515"/>
    <w:rsid w:val="003A2D19"/>
    <w:rsid w:val="003D2116"/>
    <w:rsid w:val="003D2214"/>
    <w:rsid w:val="004251B1"/>
    <w:rsid w:val="004C29B7"/>
    <w:rsid w:val="00505058"/>
    <w:rsid w:val="00521C09"/>
    <w:rsid w:val="00597E3B"/>
    <w:rsid w:val="005B5746"/>
    <w:rsid w:val="006024DD"/>
    <w:rsid w:val="006260C4"/>
    <w:rsid w:val="00654D86"/>
    <w:rsid w:val="00666DAC"/>
    <w:rsid w:val="0068721D"/>
    <w:rsid w:val="0073294C"/>
    <w:rsid w:val="00753324"/>
    <w:rsid w:val="007A5BB5"/>
    <w:rsid w:val="007B137C"/>
    <w:rsid w:val="007B59B6"/>
    <w:rsid w:val="007C79A6"/>
    <w:rsid w:val="007D3391"/>
    <w:rsid w:val="00822BF2"/>
    <w:rsid w:val="00860FA3"/>
    <w:rsid w:val="00870899"/>
    <w:rsid w:val="00883B14"/>
    <w:rsid w:val="008C2439"/>
    <w:rsid w:val="008C4E3B"/>
    <w:rsid w:val="008D700F"/>
    <w:rsid w:val="008E1539"/>
    <w:rsid w:val="009065FF"/>
    <w:rsid w:val="00912D7A"/>
    <w:rsid w:val="00940849"/>
    <w:rsid w:val="0094559E"/>
    <w:rsid w:val="009E68A5"/>
    <w:rsid w:val="009F0CE5"/>
    <w:rsid w:val="00A01044"/>
    <w:rsid w:val="00A017B7"/>
    <w:rsid w:val="00A452C5"/>
    <w:rsid w:val="00A55566"/>
    <w:rsid w:val="00A61C69"/>
    <w:rsid w:val="00AD291C"/>
    <w:rsid w:val="00AD427D"/>
    <w:rsid w:val="00B04D11"/>
    <w:rsid w:val="00B34CA1"/>
    <w:rsid w:val="00B736D1"/>
    <w:rsid w:val="00B838B7"/>
    <w:rsid w:val="00B95C59"/>
    <w:rsid w:val="00BC67B4"/>
    <w:rsid w:val="00C16226"/>
    <w:rsid w:val="00C22E8A"/>
    <w:rsid w:val="00C32A26"/>
    <w:rsid w:val="00C7145E"/>
    <w:rsid w:val="00C82817"/>
    <w:rsid w:val="00C9021F"/>
    <w:rsid w:val="00CA6633"/>
    <w:rsid w:val="00CC2184"/>
    <w:rsid w:val="00CD3B14"/>
    <w:rsid w:val="00CD6840"/>
    <w:rsid w:val="00CE0DE9"/>
    <w:rsid w:val="00CE563E"/>
    <w:rsid w:val="00D04F19"/>
    <w:rsid w:val="00D110F7"/>
    <w:rsid w:val="00D812BF"/>
    <w:rsid w:val="00DA523D"/>
    <w:rsid w:val="00E04D09"/>
    <w:rsid w:val="00E41F1E"/>
    <w:rsid w:val="00E42C0B"/>
    <w:rsid w:val="00E73847"/>
    <w:rsid w:val="00E765EF"/>
    <w:rsid w:val="00EB0A00"/>
    <w:rsid w:val="00ED0FA9"/>
    <w:rsid w:val="00EE2E62"/>
    <w:rsid w:val="00EE5437"/>
    <w:rsid w:val="00F241EC"/>
    <w:rsid w:val="00F33F85"/>
    <w:rsid w:val="00F56733"/>
    <w:rsid w:val="00F80752"/>
    <w:rsid w:val="00FA1B88"/>
    <w:rsid w:val="00FC1E02"/>
    <w:rsid w:val="00FF2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89F66"/>
  <w15:chartTrackingRefBased/>
  <w15:docId w15:val="{1D024B54-B306-4945-802C-74F8507E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26"/>
    <w:pPr>
      <w:spacing w:after="0" w:line="240" w:lineRule="auto"/>
    </w:pPr>
    <w:rPr>
      <w:sz w:val="24"/>
    </w:rPr>
  </w:style>
  <w:style w:type="paragraph" w:styleId="Heading1">
    <w:name w:val="heading 1"/>
    <w:basedOn w:val="TOC1"/>
    <w:next w:val="Normal"/>
    <w:link w:val="Heading1Char"/>
    <w:autoRedefine/>
    <w:qFormat/>
    <w:rsid w:val="00CC2184"/>
    <w:pPr>
      <w:keepNext/>
      <w:spacing w:before="240" w:after="120"/>
      <w:ind w:left="567" w:hanging="567"/>
      <w:outlineLvl w:val="0"/>
    </w:pPr>
    <w:rPr>
      <w:rFonts w:ascii="Arial Bold" w:eastAsia="Times" w:hAnsi="Arial Bold" w:cs="Arial"/>
      <w:b/>
      <w:bCs/>
      <w:caps/>
      <w:kern w:val="32"/>
      <w:sz w:val="28"/>
      <w:szCs w:val="32"/>
    </w:rPr>
  </w:style>
  <w:style w:type="paragraph" w:styleId="Heading2">
    <w:name w:val="heading 2"/>
    <w:basedOn w:val="Normal"/>
    <w:next w:val="Normal"/>
    <w:link w:val="Heading2Char"/>
    <w:qFormat/>
    <w:rsid w:val="004251B1"/>
    <w:pPr>
      <w:keepNext/>
      <w:spacing w:before="120" w:after="120"/>
      <w:outlineLvl w:val="1"/>
    </w:pPr>
    <w:rPr>
      <w:rFonts w:ascii="Arial Bold" w:eastAsia="Times New Roman" w:hAnsi="Arial Bold" w:cs="Times New Roman"/>
      <w:b/>
      <w:caps/>
      <w:szCs w:val="20"/>
      <w:lang w:val="en-US"/>
    </w:rPr>
  </w:style>
  <w:style w:type="paragraph" w:styleId="Heading3">
    <w:name w:val="heading 3"/>
    <w:basedOn w:val="Normal"/>
    <w:next w:val="Normal"/>
    <w:link w:val="Heading3Char"/>
    <w:uiPriority w:val="9"/>
    <w:qFormat/>
    <w:rsid w:val="001E3BDE"/>
    <w:pPr>
      <w:keepNext/>
      <w:numPr>
        <w:ilvl w:val="2"/>
        <w:numId w:val="14"/>
      </w:numPr>
      <w:outlineLvl w:val="2"/>
    </w:pPr>
    <w:rPr>
      <w:rFonts w:ascii="Arial" w:eastAsia="Times" w:hAnsi="Arial" w:cs="Arial"/>
      <w:b/>
      <w:bCs/>
      <w:smallCaps/>
      <w:szCs w:val="26"/>
    </w:rPr>
  </w:style>
  <w:style w:type="paragraph" w:styleId="Heading4">
    <w:name w:val="heading 4"/>
    <w:basedOn w:val="Normal"/>
    <w:next w:val="Normal"/>
    <w:link w:val="Heading4Char"/>
    <w:uiPriority w:val="9"/>
    <w:unhideWhenUsed/>
    <w:rsid w:val="00C82817"/>
    <w:pPr>
      <w:keepNext/>
      <w:numPr>
        <w:ilvl w:val="3"/>
        <w:numId w:val="14"/>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rsid w:val="00C82817"/>
    <w:pPr>
      <w:keepNext/>
      <w:keepLines/>
      <w:numPr>
        <w:ilvl w:val="4"/>
        <w:numId w:val="14"/>
      </w:numPr>
      <w:spacing w:before="40"/>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uiPriority w:val="9"/>
    <w:semiHidden/>
    <w:unhideWhenUsed/>
    <w:qFormat/>
    <w:rsid w:val="00C82817"/>
    <w:pPr>
      <w:keepNext/>
      <w:keepLines/>
      <w:numPr>
        <w:ilvl w:val="5"/>
        <w:numId w:val="14"/>
      </w:numPr>
      <w:spacing w:before="40"/>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uiPriority w:val="9"/>
    <w:semiHidden/>
    <w:unhideWhenUsed/>
    <w:qFormat/>
    <w:rsid w:val="00C82817"/>
    <w:pPr>
      <w:keepNext/>
      <w:keepLines/>
      <w:numPr>
        <w:ilvl w:val="6"/>
        <w:numId w:val="14"/>
      </w:numPr>
      <w:spacing w:before="40"/>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uiPriority w:val="9"/>
    <w:unhideWhenUsed/>
    <w:rsid w:val="00C82817"/>
    <w:pPr>
      <w:numPr>
        <w:ilvl w:val="7"/>
        <w:numId w:val="14"/>
      </w:numPr>
      <w:spacing w:before="240" w:after="60"/>
      <w:outlineLvl w:val="7"/>
    </w:pPr>
    <w:rPr>
      <w:rFonts w:eastAsiaTheme="minorEastAsia"/>
      <w:i/>
      <w:iCs/>
      <w:szCs w:val="24"/>
    </w:rPr>
  </w:style>
  <w:style w:type="paragraph" w:styleId="Heading9">
    <w:name w:val="heading 9"/>
    <w:basedOn w:val="Normal"/>
    <w:next w:val="Normal"/>
    <w:link w:val="Heading9Char"/>
    <w:uiPriority w:val="9"/>
    <w:semiHidden/>
    <w:unhideWhenUsed/>
    <w:rsid w:val="00C8281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184"/>
    <w:rPr>
      <w:rFonts w:ascii="Arial Bold" w:eastAsia="Times" w:hAnsi="Arial Bold" w:cs="Arial"/>
      <w:b/>
      <w:bCs/>
      <w:caps/>
      <w:kern w:val="32"/>
      <w:sz w:val="28"/>
      <w:szCs w:val="32"/>
    </w:rPr>
  </w:style>
  <w:style w:type="character" w:customStyle="1" w:styleId="Heading2Char">
    <w:name w:val="Heading 2 Char"/>
    <w:basedOn w:val="DefaultParagraphFont"/>
    <w:link w:val="Heading2"/>
    <w:rsid w:val="00A61C69"/>
    <w:rPr>
      <w:rFonts w:ascii="Arial Bold" w:eastAsia="Times New Roman" w:hAnsi="Arial Bold" w:cs="Times New Roman"/>
      <w:b/>
      <w:caps/>
      <w:sz w:val="24"/>
      <w:szCs w:val="20"/>
      <w:lang w:val="en-US"/>
    </w:rPr>
  </w:style>
  <w:style w:type="character" w:customStyle="1" w:styleId="Heading3Char">
    <w:name w:val="Heading 3 Char"/>
    <w:basedOn w:val="DefaultParagraphFont"/>
    <w:link w:val="Heading3"/>
    <w:uiPriority w:val="9"/>
    <w:rsid w:val="001E3BDE"/>
    <w:rPr>
      <w:rFonts w:ascii="Arial" w:eastAsia="Times" w:hAnsi="Arial" w:cs="Arial"/>
      <w:b/>
      <w:bCs/>
      <w:smallCaps/>
      <w:sz w:val="24"/>
      <w:szCs w:val="26"/>
    </w:rPr>
  </w:style>
  <w:style w:type="character" w:customStyle="1" w:styleId="Heading4Char">
    <w:name w:val="Heading 4 Char"/>
    <w:basedOn w:val="DefaultParagraphFont"/>
    <w:link w:val="Heading4"/>
    <w:uiPriority w:val="9"/>
    <w:rsid w:val="00C82817"/>
    <w:rPr>
      <w:rFonts w:eastAsiaTheme="minorEastAsia"/>
      <w:b/>
      <w:bCs/>
      <w:sz w:val="28"/>
      <w:szCs w:val="28"/>
    </w:rPr>
  </w:style>
  <w:style w:type="character" w:customStyle="1" w:styleId="Heading5Char">
    <w:name w:val="Heading 5 Char"/>
    <w:basedOn w:val="DefaultParagraphFont"/>
    <w:link w:val="Heading5"/>
    <w:uiPriority w:val="9"/>
    <w:semiHidden/>
    <w:rsid w:val="00C82817"/>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semiHidden/>
    <w:rsid w:val="00C82817"/>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C82817"/>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rsid w:val="00C82817"/>
    <w:rPr>
      <w:rFonts w:eastAsiaTheme="minorEastAsia"/>
      <w:i/>
      <w:iCs/>
      <w:sz w:val="24"/>
      <w:szCs w:val="24"/>
    </w:rPr>
  </w:style>
  <w:style w:type="character" w:customStyle="1" w:styleId="Heading9Char">
    <w:name w:val="Heading 9 Char"/>
    <w:basedOn w:val="DefaultParagraphFont"/>
    <w:link w:val="Heading9"/>
    <w:uiPriority w:val="9"/>
    <w:semiHidden/>
    <w:rsid w:val="00C8281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82817"/>
    <w:pPr>
      <w:tabs>
        <w:tab w:val="center" w:pos="4513"/>
        <w:tab w:val="right" w:pos="9026"/>
      </w:tabs>
    </w:pPr>
  </w:style>
  <w:style w:type="character" w:customStyle="1" w:styleId="HeaderChar">
    <w:name w:val="Header Char"/>
    <w:basedOn w:val="DefaultParagraphFont"/>
    <w:link w:val="Header"/>
    <w:uiPriority w:val="99"/>
    <w:rsid w:val="00C82817"/>
  </w:style>
  <w:style w:type="paragraph" w:styleId="Footer">
    <w:name w:val="footer"/>
    <w:basedOn w:val="Normal"/>
    <w:link w:val="FooterChar"/>
    <w:uiPriority w:val="99"/>
    <w:unhideWhenUsed/>
    <w:rsid w:val="00C82817"/>
    <w:pPr>
      <w:tabs>
        <w:tab w:val="center" w:pos="4513"/>
        <w:tab w:val="right" w:pos="9026"/>
      </w:tabs>
    </w:pPr>
  </w:style>
  <w:style w:type="character" w:customStyle="1" w:styleId="FooterChar">
    <w:name w:val="Footer Char"/>
    <w:basedOn w:val="DefaultParagraphFont"/>
    <w:link w:val="Footer"/>
    <w:uiPriority w:val="99"/>
    <w:rsid w:val="00C82817"/>
  </w:style>
  <w:style w:type="paragraph" w:styleId="ListParagraph">
    <w:name w:val="List Paragraph"/>
    <w:basedOn w:val="Normal"/>
    <w:link w:val="ListParagraphChar"/>
    <w:uiPriority w:val="34"/>
    <w:rsid w:val="00C82817"/>
    <w:pPr>
      <w:ind w:left="720"/>
      <w:contextualSpacing/>
    </w:pPr>
  </w:style>
  <w:style w:type="paragraph" w:styleId="BalloonText">
    <w:name w:val="Balloon Text"/>
    <w:basedOn w:val="Normal"/>
    <w:link w:val="BalloonTextChar"/>
    <w:uiPriority w:val="99"/>
    <w:semiHidden/>
    <w:unhideWhenUsed/>
    <w:rsid w:val="00C82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817"/>
    <w:rPr>
      <w:rFonts w:ascii="Segoe UI" w:hAnsi="Segoe UI" w:cs="Segoe UI"/>
      <w:sz w:val="18"/>
      <w:szCs w:val="18"/>
    </w:rPr>
  </w:style>
  <w:style w:type="character" w:customStyle="1" w:styleId="Calibri12">
    <w:name w:val="Calibri 12"/>
    <w:basedOn w:val="DefaultParagraphFont"/>
    <w:uiPriority w:val="1"/>
    <w:rsid w:val="00C82817"/>
    <w:rPr>
      <w:rFonts w:ascii="Calibri" w:hAnsi="Calibri"/>
      <w:sz w:val="24"/>
    </w:rPr>
  </w:style>
  <w:style w:type="paragraph" w:customStyle="1" w:styleId="Normalbold">
    <w:name w:val="Normal bold"/>
    <w:basedOn w:val="Normal"/>
    <w:rsid w:val="00C82817"/>
    <w:pPr>
      <w:spacing w:before="160" w:after="100" w:line="264" w:lineRule="auto"/>
    </w:pPr>
    <w:rPr>
      <w:b/>
      <w:spacing w:val="2"/>
      <w:sz w:val="18"/>
      <w:szCs w:val="18"/>
    </w:rPr>
  </w:style>
  <w:style w:type="character" w:styleId="CommentReference">
    <w:name w:val="annotation reference"/>
    <w:basedOn w:val="DefaultParagraphFont"/>
    <w:uiPriority w:val="99"/>
    <w:unhideWhenUsed/>
    <w:rsid w:val="00C82817"/>
    <w:rPr>
      <w:sz w:val="16"/>
      <w:szCs w:val="16"/>
    </w:rPr>
  </w:style>
  <w:style w:type="paragraph" w:styleId="CommentText">
    <w:name w:val="annotation text"/>
    <w:basedOn w:val="Normal"/>
    <w:link w:val="CommentTextChar"/>
    <w:uiPriority w:val="99"/>
    <w:unhideWhenUsed/>
    <w:rsid w:val="00C82817"/>
    <w:rPr>
      <w:sz w:val="20"/>
      <w:szCs w:val="20"/>
    </w:rPr>
  </w:style>
  <w:style w:type="character" w:customStyle="1" w:styleId="CommentTextChar">
    <w:name w:val="Comment Text Char"/>
    <w:basedOn w:val="DefaultParagraphFont"/>
    <w:link w:val="CommentText"/>
    <w:uiPriority w:val="99"/>
    <w:rsid w:val="00C82817"/>
    <w:rPr>
      <w:sz w:val="20"/>
      <w:szCs w:val="20"/>
    </w:rPr>
  </w:style>
  <w:style w:type="paragraph" w:styleId="CommentSubject">
    <w:name w:val="annotation subject"/>
    <w:basedOn w:val="CommentText"/>
    <w:next w:val="CommentText"/>
    <w:link w:val="CommentSubjectChar"/>
    <w:uiPriority w:val="99"/>
    <w:semiHidden/>
    <w:unhideWhenUsed/>
    <w:rsid w:val="00C82817"/>
    <w:rPr>
      <w:b/>
      <w:bCs/>
    </w:rPr>
  </w:style>
  <w:style w:type="character" w:customStyle="1" w:styleId="CommentSubjectChar">
    <w:name w:val="Comment Subject Char"/>
    <w:basedOn w:val="CommentTextChar"/>
    <w:link w:val="CommentSubject"/>
    <w:uiPriority w:val="99"/>
    <w:semiHidden/>
    <w:rsid w:val="00C82817"/>
    <w:rPr>
      <w:b/>
      <w:bCs/>
      <w:sz w:val="20"/>
      <w:szCs w:val="20"/>
    </w:rPr>
  </w:style>
  <w:style w:type="character" w:styleId="Strong">
    <w:name w:val="Strong"/>
    <w:uiPriority w:val="22"/>
    <w:rsid w:val="00C82817"/>
    <w:rPr>
      <w:rFonts w:ascii="ProximaNova-Bold" w:hAnsi="ProximaNova-Bold" w:hint="default"/>
      <w:b w:val="0"/>
      <w:bCs w:val="0"/>
    </w:rPr>
  </w:style>
  <w:style w:type="paragraph" w:styleId="NormalWeb">
    <w:name w:val="Normal (Web)"/>
    <w:basedOn w:val="Normal"/>
    <w:uiPriority w:val="99"/>
    <w:unhideWhenUsed/>
    <w:rsid w:val="00C82817"/>
    <w:pPr>
      <w:spacing w:after="111"/>
    </w:pPr>
    <w:rPr>
      <w:rFonts w:ascii="Times New Roman" w:eastAsia="Times New Roman" w:hAnsi="Times New Roman" w:cs="Times New Roman"/>
      <w:color w:val="4B4A4A"/>
      <w:szCs w:val="24"/>
      <w:lang w:eastAsia="en-AU"/>
    </w:rPr>
  </w:style>
  <w:style w:type="paragraph" w:customStyle="1" w:styleId="Default">
    <w:name w:val="Default"/>
    <w:rsid w:val="00C82817"/>
    <w:pPr>
      <w:autoSpaceDE w:val="0"/>
      <w:autoSpaceDN w:val="0"/>
      <w:adjustRightInd w:val="0"/>
      <w:spacing w:after="0" w:line="240" w:lineRule="auto"/>
    </w:pPr>
    <w:rPr>
      <w:rFonts w:ascii="EYInterstate" w:eastAsia="Calibri" w:hAnsi="EYInterstate" w:cs="EYInterstate"/>
      <w:color w:val="000000"/>
      <w:sz w:val="24"/>
      <w:szCs w:val="24"/>
      <w:lang w:eastAsia="en-AU"/>
    </w:rPr>
  </w:style>
  <w:style w:type="character" w:customStyle="1" w:styleId="ListParagraphChar">
    <w:name w:val="List Paragraph Char"/>
    <w:link w:val="ListParagraph"/>
    <w:uiPriority w:val="34"/>
    <w:rsid w:val="00C82817"/>
  </w:style>
  <w:style w:type="paragraph" w:styleId="TOCHeading">
    <w:name w:val="TOC Heading"/>
    <w:basedOn w:val="Heading1"/>
    <w:next w:val="Normal"/>
    <w:uiPriority w:val="39"/>
    <w:unhideWhenUsed/>
    <w:qFormat/>
    <w:rsid w:val="00C82817"/>
    <w:pPr>
      <w:keepLines/>
      <w:spacing w:after="0" w:line="259" w:lineRule="auto"/>
      <w:ind w:left="0" w:firstLine="0"/>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styleId="TOC1">
    <w:name w:val="toc 1"/>
    <w:basedOn w:val="Normal"/>
    <w:next w:val="Normal"/>
    <w:autoRedefine/>
    <w:uiPriority w:val="39"/>
    <w:unhideWhenUsed/>
    <w:rsid w:val="00044B9F"/>
    <w:pPr>
      <w:tabs>
        <w:tab w:val="left" w:pos="660"/>
        <w:tab w:val="right" w:leader="dot" w:pos="9016"/>
      </w:tabs>
      <w:spacing w:after="100"/>
    </w:pPr>
  </w:style>
  <w:style w:type="paragraph" w:styleId="TOC2">
    <w:name w:val="toc 2"/>
    <w:basedOn w:val="Normal"/>
    <w:next w:val="Normal"/>
    <w:autoRedefine/>
    <w:uiPriority w:val="39"/>
    <w:unhideWhenUsed/>
    <w:rsid w:val="00C82817"/>
    <w:pPr>
      <w:spacing w:after="100"/>
      <w:ind w:left="220"/>
    </w:pPr>
  </w:style>
  <w:style w:type="paragraph" w:styleId="TOC3">
    <w:name w:val="toc 3"/>
    <w:basedOn w:val="Normal"/>
    <w:next w:val="Normal"/>
    <w:autoRedefine/>
    <w:uiPriority w:val="39"/>
    <w:unhideWhenUsed/>
    <w:rsid w:val="00C82817"/>
    <w:pPr>
      <w:spacing w:after="100"/>
      <w:ind w:left="440"/>
    </w:pPr>
  </w:style>
  <w:style w:type="character" w:styleId="Hyperlink">
    <w:name w:val="Hyperlink"/>
    <w:basedOn w:val="DefaultParagraphFont"/>
    <w:uiPriority w:val="99"/>
    <w:unhideWhenUsed/>
    <w:rsid w:val="00C82817"/>
    <w:rPr>
      <w:color w:val="0563C1" w:themeColor="hyperlink"/>
      <w:u w:val="single"/>
    </w:rPr>
  </w:style>
  <w:style w:type="paragraph" w:styleId="Revision">
    <w:name w:val="Revision"/>
    <w:hidden/>
    <w:uiPriority w:val="99"/>
    <w:semiHidden/>
    <w:rsid w:val="00C82817"/>
    <w:pPr>
      <w:spacing w:after="0" w:line="240" w:lineRule="auto"/>
    </w:pPr>
  </w:style>
  <w:style w:type="paragraph" w:styleId="BodyText">
    <w:name w:val="Body Text"/>
    <w:basedOn w:val="Normal"/>
    <w:link w:val="BodyTextChar"/>
    <w:rsid w:val="00C82817"/>
    <w:pPr>
      <w:keepNext/>
      <w:keepLines/>
      <w:spacing w:before="120" w:after="120"/>
      <w:jc w:val="both"/>
    </w:pPr>
    <w:rPr>
      <w:rFonts w:ascii="Calibri" w:eastAsia="Times New Roman" w:hAnsi="Calibri" w:cs="Times New Roman"/>
      <w:szCs w:val="20"/>
    </w:rPr>
  </w:style>
  <w:style w:type="character" w:customStyle="1" w:styleId="BodyTextChar">
    <w:name w:val="Body Text Char"/>
    <w:basedOn w:val="DefaultParagraphFont"/>
    <w:link w:val="BodyText"/>
    <w:rsid w:val="00C82817"/>
    <w:rPr>
      <w:rFonts w:ascii="Calibri" w:eastAsia="Times New Roman" w:hAnsi="Calibri" w:cs="Times New Roman"/>
      <w:sz w:val="24"/>
      <w:szCs w:val="20"/>
    </w:rPr>
  </w:style>
  <w:style w:type="paragraph" w:customStyle="1" w:styleId="NormalSFLeadIn">
    <w:name w:val="Normal SF Lead In"/>
    <w:basedOn w:val="Normal"/>
    <w:rsid w:val="00C82817"/>
    <w:pPr>
      <w:keepNext/>
      <w:keepLines/>
      <w:spacing w:before="120" w:after="120"/>
    </w:pPr>
    <w:rPr>
      <w:rFonts w:ascii="Calibri" w:eastAsia="Times New Roman" w:hAnsi="Calibri" w:cs="Times New Roman"/>
      <w:szCs w:val="24"/>
      <w:lang w:val="en-US" w:eastAsia="en-AU"/>
    </w:rPr>
  </w:style>
  <w:style w:type="character" w:styleId="UnresolvedMention">
    <w:name w:val="Unresolved Mention"/>
    <w:basedOn w:val="DefaultParagraphFont"/>
    <w:uiPriority w:val="99"/>
    <w:semiHidden/>
    <w:unhideWhenUsed/>
    <w:rsid w:val="00CD3B14"/>
    <w:rPr>
      <w:color w:val="605E5C"/>
      <w:shd w:val="clear" w:color="auto" w:fill="E1DFDD"/>
    </w:rPr>
  </w:style>
  <w:style w:type="paragraph" w:customStyle="1" w:styleId="PartHeading">
    <w:name w:val="Part Heading"/>
    <w:basedOn w:val="Heading1"/>
    <w:qFormat/>
    <w:rsid w:val="00337D89"/>
    <w:pPr>
      <w:spacing w:after="240"/>
      <w:ind w:left="0" w:firstLine="0"/>
    </w:pPr>
  </w:style>
  <w:style w:type="character" w:styleId="FollowedHyperlink">
    <w:name w:val="FollowedHyperlink"/>
    <w:basedOn w:val="DefaultParagraphFont"/>
    <w:uiPriority w:val="99"/>
    <w:semiHidden/>
    <w:unhideWhenUsed/>
    <w:rsid w:val="00822BF2"/>
    <w:rPr>
      <w:color w:val="954F72" w:themeColor="followedHyperlink"/>
      <w:u w:val="single"/>
    </w:rPr>
  </w:style>
  <w:style w:type="paragraph" w:styleId="Title">
    <w:name w:val="Title"/>
    <w:basedOn w:val="Normal"/>
    <w:link w:val="TitleChar"/>
    <w:qFormat/>
    <w:rsid w:val="00E73847"/>
    <w:pPr>
      <w:spacing w:before="120" w:after="120"/>
      <w:jc w:val="center"/>
      <w:outlineLvl w:val="0"/>
    </w:pPr>
    <w:rPr>
      <w:rFonts w:ascii="Times New Roman" w:eastAsia="Times New Roman" w:hAnsi="Times New Roman" w:cs="Times New Roman"/>
      <w:b/>
      <w:bCs/>
      <w:kern w:val="28"/>
      <w:sz w:val="36"/>
      <w:szCs w:val="32"/>
    </w:rPr>
  </w:style>
  <w:style w:type="character" w:customStyle="1" w:styleId="TitleChar">
    <w:name w:val="Title Char"/>
    <w:basedOn w:val="DefaultParagraphFont"/>
    <w:link w:val="Title"/>
    <w:rsid w:val="00E73847"/>
    <w:rPr>
      <w:rFonts w:ascii="Times New Roman" w:eastAsia="Times New Roman" w:hAnsi="Times New Roman" w:cs="Times New Roman"/>
      <w:b/>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pps.treasury.act.gov.au/accountin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apps.treasury.act.gov.au/accou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CCFA1-C671-4B37-931D-B528BD858014}">
  <ds:schemaRefs>
    <ds:schemaRef ds:uri="http://schemas.microsoft.com/sharepoint/v3/contenttype/forms"/>
  </ds:schemaRefs>
</ds:datastoreItem>
</file>

<file path=customXml/itemProps2.xml><?xml version="1.0" encoding="utf-8"?>
<ds:datastoreItem xmlns:ds="http://schemas.openxmlformats.org/officeDocument/2006/customXml" ds:itemID="{1B0B52CB-C24F-488B-AF17-DF90151B7680}">
  <ds:schemaRefs>
    <ds:schemaRef ds:uri="http://schemas.openxmlformats.org/officeDocument/2006/bibliography"/>
  </ds:schemaRefs>
</ds:datastoreItem>
</file>

<file path=customXml/itemProps3.xml><?xml version="1.0" encoding="utf-8"?>
<ds:datastoreItem xmlns:ds="http://schemas.openxmlformats.org/officeDocument/2006/customXml" ds:itemID="{D61A6F2F-F014-489A-A052-1847D125F2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65549-6BE0-413D-B9C6-1F9006AD3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9610</Words>
  <Characters>54783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Margaret</dc:creator>
  <cp:keywords/>
  <dc:description/>
  <cp:lastModifiedBy>Palfreyman, Hamish</cp:lastModifiedBy>
  <cp:revision>4</cp:revision>
  <dcterms:created xsi:type="dcterms:W3CDTF">2022-06-05T02:02:00Z</dcterms:created>
  <dcterms:modified xsi:type="dcterms:W3CDTF">2022-06-07T04:21:00Z</dcterms:modified>
</cp:coreProperties>
</file>