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AE3C" w14:textId="77777777" w:rsidR="003036F4" w:rsidRDefault="003036F4">
      <w:pPr>
        <w:pBdr>
          <w:top w:val="nil"/>
          <w:left w:val="nil"/>
          <w:bottom w:val="nil"/>
          <w:right w:val="nil"/>
          <w:between w:val="nil"/>
          <w:bar w:val="nil"/>
        </w:pBdr>
        <w:rPr>
          <w:bdr w:val="nil"/>
        </w:rPr>
      </w:pPr>
    </w:p>
    <w:p w14:paraId="4FF10372" w14:textId="77777777" w:rsidR="006E72F1" w:rsidRDefault="00900E2D" w:rsidP="006E72F1">
      <w:pPr>
        <w:pStyle w:val="TOCHeading"/>
        <w:pBdr>
          <w:top w:val="nil"/>
          <w:left w:val="nil"/>
          <w:bottom w:val="nil"/>
          <w:right w:val="nil"/>
          <w:between w:val="nil"/>
          <w:bar w:val="nil"/>
        </w:pBdr>
        <w:jc w:val="center"/>
        <w:outlineLvl w:val="0"/>
        <w:rPr>
          <w:bdr w:val="nil"/>
        </w:rPr>
      </w:pPr>
      <w:r>
        <w:rPr>
          <w:bdr w:val="nil"/>
        </w:rPr>
        <w:t>BUDGET STATEMENTS</w:t>
      </w:r>
    </w:p>
    <w:p w14:paraId="6C1E0979" w14:textId="34A4F26D" w:rsidR="006E72F1" w:rsidRDefault="00332931" w:rsidP="006E72F1">
      <w:pPr>
        <w:pStyle w:val="TOCHeading"/>
        <w:pBdr>
          <w:top w:val="nil"/>
          <w:left w:val="nil"/>
          <w:bottom w:val="nil"/>
          <w:right w:val="nil"/>
          <w:between w:val="nil"/>
          <w:bar w:val="nil"/>
        </w:pBdr>
        <w:jc w:val="center"/>
        <w:rPr>
          <w:bdr w:val="nil"/>
          <w:lang w:val="en-AU"/>
        </w:rPr>
      </w:pPr>
      <w:r>
        <w:rPr>
          <w:bdr w:val="nil"/>
        </w:rPr>
        <w:t>2020–21</w:t>
      </w:r>
    </w:p>
    <w:p w14:paraId="575E57B9" w14:textId="77777777" w:rsidR="006E72F1" w:rsidRDefault="00900E2D" w:rsidP="006E72F1">
      <w:pPr>
        <w:pStyle w:val="TOCHeading"/>
        <w:pBdr>
          <w:top w:val="nil"/>
          <w:left w:val="nil"/>
          <w:bottom w:val="nil"/>
          <w:right w:val="nil"/>
          <w:between w:val="nil"/>
          <w:bar w:val="nil"/>
        </w:pBdr>
        <w:jc w:val="center"/>
        <w:rPr>
          <w:bdr w:val="nil"/>
        </w:rPr>
      </w:pPr>
      <w:r>
        <w:rPr>
          <w:bdr w:val="nil"/>
        </w:rPr>
        <w:t>for</w:t>
      </w:r>
    </w:p>
    <w:p w14:paraId="59583C48" w14:textId="7DF76EE6" w:rsidR="006E72F1" w:rsidRDefault="00900E2D" w:rsidP="006E72F1">
      <w:pPr>
        <w:pStyle w:val="TOCHeading"/>
        <w:pBdr>
          <w:top w:val="nil"/>
          <w:left w:val="nil"/>
          <w:bottom w:val="nil"/>
          <w:right w:val="nil"/>
          <w:between w:val="nil"/>
          <w:bar w:val="nil"/>
        </w:pBdr>
        <w:jc w:val="center"/>
        <w:rPr>
          <w:bdr w:val="nil"/>
        </w:rPr>
      </w:pPr>
      <w:r>
        <w:rPr>
          <w:bdr w:val="nil"/>
        </w:rPr>
        <w:t>Major Projects Canberra</w:t>
      </w:r>
    </w:p>
    <w:p w14:paraId="290D7B76" w14:textId="77777777" w:rsidR="006E72F1" w:rsidRDefault="006E72F1">
      <w:pPr>
        <w:pBdr>
          <w:top w:val="nil"/>
          <w:left w:val="nil"/>
          <w:bottom w:val="nil"/>
          <w:right w:val="nil"/>
          <w:between w:val="nil"/>
          <w:bar w:val="nil"/>
        </w:pBdr>
        <w:spacing w:before="0" w:after="0"/>
        <w:rPr>
          <w:rFonts w:eastAsia="TimesNewRomanPS-ItalicMT"/>
          <w:bdr w:val="nil"/>
        </w:rPr>
      </w:pPr>
    </w:p>
    <w:p w14:paraId="05462787" w14:textId="77777777" w:rsidR="006E72F1" w:rsidRDefault="00900E2D">
      <w:pPr>
        <w:pBdr>
          <w:top w:val="nil"/>
          <w:left w:val="nil"/>
          <w:bottom w:val="nil"/>
          <w:right w:val="nil"/>
          <w:between w:val="nil"/>
          <w:bar w:val="nil"/>
        </w:pBdr>
        <w:spacing w:before="0" w:after="0"/>
        <w:rPr>
          <w:rFonts w:eastAsia="TimesNewRomanPS-ItalicMT"/>
          <w:bdr w:val="nil"/>
        </w:rPr>
      </w:pPr>
      <w:r>
        <w:rPr>
          <w:rFonts w:eastAsia="TimesNewRomanPS-ItalicMT"/>
          <w:bdr w:val="nil"/>
        </w:rPr>
        <w:br w:type="page"/>
      </w:r>
    </w:p>
    <w:p w14:paraId="6F67085C" w14:textId="77777777" w:rsidR="006E72F1" w:rsidRPr="0004555B" w:rsidRDefault="00900E2D" w:rsidP="006E72F1">
      <w:pPr>
        <w:pBdr>
          <w:top w:val="nil"/>
          <w:left w:val="nil"/>
          <w:bottom w:val="nil"/>
          <w:right w:val="nil"/>
          <w:between w:val="nil"/>
          <w:bar w:val="nil"/>
        </w:pBdr>
        <w:jc w:val="center"/>
        <w:rPr>
          <w:rFonts w:eastAsia="TimesNewRomanPS-ItalicMT"/>
          <w:bdr w:val="nil"/>
        </w:rPr>
        <w:sectPr w:rsidR="006E72F1" w:rsidRPr="0004555B" w:rsidSect="006E72F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51" w:right="1440" w:bottom="1729" w:left="1440" w:header="720" w:footer="720" w:gutter="0"/>
          <w:pgBorders>
            <w:top w:val="nil"/>
            <w:left w:val="nil"/>
            <w:bottom w:val="nil"/>
            <w:right w:val="nil"/>
          </w:pgBorders>
          <w:cols w:space="720"/>
        </w:sectPr>
      </w:pPr>
      <w:r>
        <w:rPr>
          <w:i/>
          <w:bdr w:val="nil"/>
        </w:rPr>
        <w:lastRenderedPageBreak/>
        <w:t>This page deliberately left blank</w:t>
      </w:r>
    </w:p>
    <w:p w14:paraId="5EB8929A" w14:textId="77777777" w:rsidR="006E72F1" w:rsidRPr="00AB5AA0" w:rsidRDefault="00900E2D" w:rsidP="006E72F1">
      <w:pPr>
        <w:pStyle w:val="Heading1"/>
        <w:pageBreakBefore/>
        <w:pBdr>
          <w:top w:val="nil"/>
          <w:left w:val="nil"/>
          <w:right w:val="nil"/>
          <w:between w:val="nil"/>
          <w:bar w:val="nil"/>
        </w:pBdr>
        <w:rPr>
          <w:bdr w:val="nil"/>
        </w:rPr>
      </w:pPr>
      <w:r w:rsidRPr="00AB5AA0">
        <w:rPr>
          <w:sz w:val="36"/>
          <w:szCs w:val="36"/>
          <w:bdr w:val="nil"/>
        </w:rPr>
        <w:lastRenderedPageBreak/>
        <w:t>MAJOR PROJECTS CANBERRA</w:t>
      </w:r>
    </w:p>
    <w:p w14:paraId="69DD0E69" w14:textId="77777777" w:rsidR="006E72F1" w:rsidRDefault="00900E2D" w:rsidP="006E72F1">
      <w:pPr>
        <w:pStyle w:val="Heading2"/>
        <w:pBdr>
          <w:top w:val="nil"/>
          <w:left w:val="nil"/>
          <w:bottom w:val="nil"/>
          <w:right w:val="nil"/>
          <w:between w:val="nil"/>
          <w:bar w:val="nil"/>
        </w:pBdr>
        <w:rPr>
          <w:bdr w:val="nil"/>
        </w:rPr>
      </w:pPr>
      <w:bookmarkStart w:id="0" w:name="_Toc452467795"/>
      <w:bookmarkStart w:id="1" w:name="_Toc451895557"/>
      <w:r>
        <w:rPr>
          <w:bdr w:val="nil"/>
        </w:rPr>
        <w:t>Purpose</w:t>
      </w:r>
      <w:bookmarkEnd w:id="0"/>
      <w:bookmarkEnd w:id="1"/>
    </w:p>
    <w:p w14:paraId="607EC4A2" w14:textId="5CE940DF" w:rsidR="006E72F1" w:rsidRDefault="00900E2D" w:rsidP="006E72F1">
      <w:pPr>
        <w:pStyle w:val="BodyText"/>
        <w:pBdr>
          <w:top w:val="nil"/>
          <w:left w:val="nil"/>
          <w:bottom w:val="nil"/>
          <w:right w:val="nil"/>
          <w:between w:val="nil"/>
          <w:bar w:val="nil"/>
        </w:pBdr>
        <w:rPr>
          <w:bdr w:val="nil"/>
        </w:rPr>
      </w:pPr>
      <w:r>
        <w:rPr>
          <w:bdr w:val="nil"/>
        </w:rPr>
        <w:t xml:space="preserve">Major Projects Canberra was established on 1 July 2019 </w:t>
      </w:r>
      <w:r w:rsidR="006E72F1">
        <w:rPr>
          <w:bdr w:val="nil"/>
        </w:rPr>
        <w:t xml:space="preserve">as the ACT Government’s specialist infrastructure delivery </w:t>
      </w:r>
      <w:r w:rsidR="00756936">
        <w:rPr>
          <w:bdr w:val="nil"/>
        </w:rPr>
        <w:t>D</w:t>
      </w:r>
      <w:r w:rsidR="006E72F1">
        <w:rPr>
          <w:bdr w:val="nil"/>
        </w:rPr>
        <w:t>irectorate</w:t>
      </w:r>
      <w:r>
        <w:rPr>
          <w:bdr w:val="nil"/>
        </w:rPr>
        <w:t>.</w:t>
      </w:r>
    </w:p>
    <w:p w14:paraId="7A4A69AB" w14:textId="5171454F" w:rsidR="006E72F1" w:rsidRDefault="00900E2D" w:rsidP="006E72F1">
      <w:pPr>
        <w:pStyle w:val="BodyText"/>
        <w:pBdr>
          <w:top w:val="nil"/>
          <w:left w:val="nil"/>
          <w:bottom w:val="nil"/>
          <w:right w:val="nil"/>
          <w:between w:val="nil"/>
          <w:bar w:val="nil"/>
        </w:pBdr>
        <w:rPr>
          <w:bdr w:val="nil"/>
        </w:rPr>
      </w:pPr>
      <w:r>
        <w:rPr>
          <w:bdr w:val="nil"/>
        </w:rPr>
        <w:t xml:space="preserve">The Directorate achieves </w:t>
      </w:r>
      <w:r w:rsidR="006E72F1">
        <w:rPr>
          <w:bdr w:val="nil"/>
        </w:rPr>
        <w:t xml:space="preserve">its objectives </w:t>
      </w:r>
      <w:r>
        <w:rPr>
          <w:bdr w:val="nil"/>
        </w:rPr>
        <w:t xml:space="preserve">by delivering designated major infrastructure projects and other capital works </w:t>
      </w:r>
      <w:r w:rsidR="006E72F1">
        <w:rPr>
          <w:bdr w:val="nil"/>
        </w:rPr>
        <w:t>projects which form</w:t>
      </w:r>
      <w:r>
        <w:rPr>
          <w:bdr w:val="nil"/>
        </w:rPr>
        <w:t xml:space="preserve"> the Territory’s infrastructure program. </w:t>
      </w:r>
      <w:r w:rsidR="006E72F1">
        <w:rPr>
          <w:bdr w:val="nil"/>
        </w:rPr>
        <w:t>Its activities</w:t>
      </w:r>
      <w:r>
        <w:rPr>
          <w:bdr w:val="nil"/>
        </w:rPr>
        <w:t xml:space="preserve"> include project planning, procurement, contract management</w:t>
      </w:r>
      <w:r w:rsidR="00756936">
        <w:rPr>
          <w:bdr w:val="nil"/>
        </w:rPr>
        <w:t xml:space="preserve">, stakeholder </w:t>
      </w:r>
      <w:r w:rsidR="00FE438F">
        <w:rPr>
          <w:bdr w:val="nil"/>
        </w:rPr>
        <w:t>engagement</w:t>
      </w:r>
      <w:r>
        <w:rPr>
          <w:bdr w:val="nil"/>
        </w:rPr>
        <w:t xml:space="preserve"> and delivery oversight </w:t>
      </w:r>
      <w:r w:rsidR="006E72F1">
        <w:rPr>
          <w:bdr w:val="nil"/>
        </w:rPr>
        <w:t xml:space="preserve">of projects both on its own behalf and </w:t>
      </w:r>
      <w:r>
        <w:rPr>
          <w:bdr w:val="nil"/>
        </w:rPr>
        <w:t>on behalf of</w:t>
      </w:r>
      <w:r w:rsidR="006E72F1">
        <w:rPr>
          <w:bdr w:val="nil"/>
        </w:rPr>
        <w:t xml:space="preserve"> other ACT G</w:t>
      </w:r>
      <w:r>
        <w:rPr>
          <w:bdr w:val="nil"/>
        </w:rPr>
        <w:t>overnment agencies.</w:t>
      </w:r>
    </w:p>
    <w:p w14:paraId="13C4B7C4" w14:textId="2D2779A1" w:rsidR="006E72F1" w:rsidRDefault="00900E2D" w:rsidP="006E72F1">
      <w:pPr>
        <w:pStyle w:val="BodyText"/>
        <w:pBdr>
          <w:top w:val="nil"/>
          <w:left w:val="nil"/>
          <w:bottom w:val="nil"/>
          <w:right w:val="nil"/>
          <w:between w:val="nil"/>
          <w:bar w:val="nil"/>
        </w:pBdr>
        <w:rPr>
          <w:bdr w:val="nil"/>
        </w:rPr>
      </w:pPr>
      <w:r>
        <w:rPr>
          <w:bdr w:val="nil"/>
        </w:rPr>
        <w:t xml:space="preserve">Major Projects Canberra is funded predominantly through direct capital appropriation provided for the delivery of designated major projects. Major Projects Canberra also receives indirect funding from </w:t>
      </w:r>
      <w:r w:rsidR="00756936">
        <w:rPr>
          <w:bdr w:val="nil"/>
        </w:rPr>
        <w:t xml:space="preserve">other agencies for the </w:t>
      </w:r>
      <w:r>
        <w:rPr>
          <w:bdr w:val="nil"/>
        </w:rPr>
        <w:t xml:space="preserve">management services provided </w:t>
      </w:r>
      <w:r w:rsidR="00756936">
        <w:rPr>
          <w:bdr w:val="nil"/>
        </w:rPr>
        <w:t xml:space="preserve">on their behalf </w:t>
      </w:r>
      <w:r>
        <w:rPr>
          <w:bdr w:val="nil"/>
        </w:rPr>
        <w:t>in the delivery of the ACT Government infrastructure program.</w:t>
      </w:r>
    </w:p>
    <w:p w14:paraId="7CCA8A61" w14:textId="709934FE" w:rsidR="006E72F1" w:rsidRDefault="006E72F1" w:rsidP="006E72F1">
      <w:pPr>
        <w:pStyle w:val="BodyText"/>
        <w:pBdr>
          <w:top w:val="nil"/>
          <w:left w:val="nil"/>
          <w:bottom w:val="nil"/>
          <w:right w:val="nil"/>
          <w:between w:val="nil"/>
          <w:bar w:val="nil"/>
        </w:pBdr>
        <w:rPr>
          <w:vanish/>
          <w:bdr w:val="nil"/>
        </w:rPr>
      </w:pPr>
    </w:p>
    <w:p w14:paraId="012BA394" w14:textId="4092D7A1" w:rsidR="006E72F1" w:rsidRDefault="00332931" w:rsidP="006E72F1">
      <w:pPr>
        <w:pStyle w:val="Heading2"/>
        <w:pBdr>
          <w:top w:val="nil"/>
          <w:left w:val="nil"/>
          <w:bottom w:val="nil"/>
          <w:right w:val="nil"/>
          <w:between w:val="nil"/>
          <w:bar w:val="nil"/>
        </w:pBdr>
        <w:spacing w:before="120"/>
        <w:rPr>
          <w:bdr w:val="nil"/>
        </w:rPr>
      </w:pPr>
      <w:bookmarkStart w:id="2" w:name="_Toc452467796"/>
      <w:bookmarkStart w:id="3" w:name="_Toc451895558"/>
      <w:r>
        <w:rPr>
          <w:bdr w:val="nil"/>
        </w:rPr>
        <w:t>2020–21</w:t>
      </w:r>
      <w:r w:rsidR="00900E2D">
        <w:rPr>
          <w:bdr w:val="nil"/>
        </w:rPr>
        <w:t xml:space="preserve"> Priorities</w:t>
      </w:r>
      <w:bookmarkEnd w:id="2"/>
      <w:bookmarkEnd w:id="3"/>
    </w:p>
    <w:p w14:paraId="022F0D75" w14:textId="46320E34" w:rsidR="006E72F1" w:rsidRDefault="00900E2D" w:rsidP="006E72F1">
      <w:pPr>
        <w:pStyle w:val="BSbullet1"/>
        <w:numPr>
          <w:ilvl w:val="0"/>
          <w:numId w:val="0"/>
        </w:numPr>
        <w:pBdr>
          <w:top w:val="nil"/>
          <w:left w:val="nil"/>
          <w:bottom w:val="nil"/>
          <w:right w:val="nil"/>
          <w:between w:val="nil"/>
          <w:bar w:val="nil"/>
        </w:pBdr>
        <w:tabs>
          <w:tab w:val="left" w:pos="720"/>
        </w:tabs>
        <w:jc w:val="both"/>
        <w:rPr>
          <w:szCs w:val="20"/>
          <w:bdr w:val="nil"/>
        </w:rPr>
      </w:pPr>
      <w:r>
        <w:rPr>
          <w:szCs w:val="20"/>
          <w:bdr w:val="nil"/>
        </w:rPr>
        <w:t xml:space="preserve">A primary focus for Major Projects Canberra in </w:t>
      </w:r>
      <w:r w:rsidR="00332931">
        <w:rPr>
          <w:szCs w:val="20"/>
          <w:bdr w:val="nil"/>
        </w:rPr>
        <w:t>2020–21</w:t>
      </w:r>
      <w:r>
        <w:rPr>
          <w:szCs w:val="20"/>
          <w:bdr w:val="nil"/>
        </w:rPr>
        <w:t xml:space="preserve"> is to work with other parts of government to deliver record levels of infrastructure investment. This is to be achieved whil</w:t>
      </w:r>
      <w:r w:rsidR="00332931">
        <w:rPr>
          <w:szCs w:val="20"/>
          <w:bdr w:val="nil"/>
        </w:rPr>
        <w:t>e</w:t>
      </w:r>
      <w:r>
        <w:rPr>
          <w:szCs w:val="20"/>
          <w:bdr w:val="nil"/>
        </w:rPr>
        <w:t xml:space="preserve"> maintaining safety as the Directorate’s highest priority and while promoting other ACT Government policies, particularly in relation to local industry participation, </w:t>
      </w:r>
      <w:proofErr w:type="gramStart"/>
      <w:r>
        <w:rPr>
          <w:szCs w:val="20"/>
          <w:bdr w:val="nil"/>
        </w:rPr>
        <w:t>diversity</w:t>
      </w:r>
      <w:proofErr w:type="gramEnd"/>
      <w:r>
        <w:rPr>
          <w:szCs w:val="20"/>
          <w:bdr w:val="nil"/>
        </w:rPr>
        <w:t xml:space="preserve"> and sustainability.</w:t>
      </w:r>
    </w:p>
    <w:p w14:paraId="6223E6D1" w14:textId="77777777" w:rsidR="006E72F1" w:rsidRDefault="00900E2D" w:rsidP="006E72F1">
      <w:pPr>
        <w:pStyle w:val="BSbullet1"/>
        <w:numPr>
          <w:ilvl w:val="0"/>
          <w:numId w:val="0"/>
        </w:numPr>
        <w:pBdr>
          <w:top w:val="nil"/>
          <w:left w:val="nil"/>
          <w:bottom w:val="nil"/>
          <w:right w:val="nil"/>
          <w:between w:val="nil"/>
          <w:bar w:val="nil"/>
        </w:pBdr>
        <w:tabs>
          <w:tab w:val="left" w:pos="720"/>
        </w:tabs>
        <w:jc w:val="both"/>
        <w:rPr>
          <w:szCs w:val="20"/>
          <w:bdr w:val="nil"/>
        </w:rPr>
      </w:pPr>
      <w:r>
        <w:rPr>
          <w:szCs w:val="20"/>
          <w:bdr w:val="nil"/>
        </w:rPr>
        <w:t>Challenges for 2020–21 include:</w:t>
      </w:r>
    </w:p>
    <w:p w14:paraId="165AD6CD" w14:textId="223E8DE3" w:rsidR="006E72F1" w:rsidRDefault="00900E2D" w:rsidP="006E72F1">
      <w:pPr>
        <w:pStyle w:val="BSbullet1"/>
        <w:numPr>
          <w:ilvl w:val="0"/>
          <w:numId w:val="3"/>
        </w:numPr>
        <w:pBdr>
          <w:top w:val="nil"/>
          <w:left w:val="nil"/>
          <w:bottom w:val="nil"/>
          <w:right w:val="nil"/>
          <w:between w:val="nil"/>
          <w:bar w:val="nil"/>
        </w:pBdr>
        <w:jc w:val="both"/>
        <w:rPr>
          <w:szCs w:val="20"/>
          <w:bdr w:val="nil"/>
        </w:rPr>
      </w:pPr>
      <w:r>
        <w:rPr>
          <w:szCs w:val="20"/>
          <w:bdr w:val="nil"/>
        </w:rPr>
        <w:t>Continuing to deliver major infrastructure projects amid the uncertainties of the COVID</w:t>
      </w:r>
      <w:r>
        <w:rPr>
          <w:szCs w:val="20"/>
          <w:bdr w:val="nil"/>
        </w:rPr>
        <w:noBreakHyphen/>
        <w:t>19 pandemic and in the context of a massive demand for infrastructure delivery resources along the east coast of Australia.</w:t>
      </w:r>
      <w:r w:rsidR="00756936">
        <w:rPr>
          <w:szCs w:val="20"/>
          <w:bdr w:val="nil"/>
        </w:rPr>
        <w:t xml:space="preserve"> The Canberra Hospital Expansion, Light Rail from the City to Woden and the new CIT Campus – Woden are key major projects to be progressed by Major Projects Canberra through the financial year.</w:t>
      </w:r>
    </w:p>
    <w:p w14:paraId="54D6082B" w14:textId="1A97AB22" w:rsidR="00756936" w:rsidRDefault="00756936" w:rsidP="006E72F1">
      <w:pPr>
        <w:pStyle w:val="BSbullet1"/>
        <w:numPr>
          <w:ilvl w:val="0"/>
          <w:numId w:val="3"/>
        </w:numPr>
        <w:pBdr>
          <w:top w:val="nil"/>
          <w:left w:val="nil"/>
          <w:bottom w:val="nil"/>
          <w:right w:val="nil"/>
          <w:between w:val="nil"/>
          <w:bar w:val="nil"/>
        </w:pBdr>
        <w:jc w:val="both"/>
        <w:rPr>
          <w:szCs w:val="20"/>
          <w:bdr w:val="nil"/>
        </w:rPr>
      </w:pPr>
      <w:r>
        <w:rPr>
          <w:szCs w:val="20"/>
          <w:bdr w:val="nil"/>
        </w:rPr>
        <w:t xml:space="preserve">Working with other ACT Government agencies to assist them in </w:t>
      </w:r>
      <w:r w:rsidR="00FE438F">
        <w:rPr>
          <w:szCs w:val="20"/>
          <w:bdr w:val="nil"/>
        </w:rPr>
        <w:t xml:space="preserve">planning and </w:t>
      </w:r>
      <w:r>
        <w:rPr>
          <w:szCs w:val="20"/>
          <w:bdr w:val="nil"/>
        </w:rPr>
        <w:t>delivering key projects and record levels of infrastructure investment in the ACT.</w:t>
      </w:r>
    </w:p>
    <w:p w14:paraId="2ACC7339" w14:textId="4B71682C" w:rsidR="00756936" w:rsidRDefault="00756936" w:rsidP="006E72F1">
      <w:pPr>
        <w:pStyle w:val="BSbullet1"/>
        <w:numPr>
          <w:ilvl w:val="0"/>
          <w:numId w:val="3"/>
        </w:numPr>
        <w:pBdr>
          <w:top w:val="nil"/>
          <w:left w:val="nil"/>
          <w:bottom w:val="nil"/>
          <w:right w:val="nil"/>
          <w:between w:val="nil"/>
          <w:bar w:val="nil"/>
        </w:pBdr>
        <w:jc w:val="both"/>
        <w:rPr>
          <w:szCs w:val="20"/>
          <w:bdr w:val="nil"/>
        </w:rPr>
      </w:pPr>
      <w:r>
        <w:rPr>
          <w:szCs w:val="20"/>
          <w:bdr w:val="nil"/>
        </w:rPr>
        <w:t>Liaising closely with community, industry, union and other stakeholders to promote great local community, local industry participation, employment, sustainability and diversity outcomes.</w:t>
      </w:r>
    </w:p>
    <w:p w14:paraId="35EF2CCC" w14:textId="641D13A6" w:rsidR="006E72F1" w:rsidRDefault="00900E2D" w:rsidP="006E72F1">
      <w:pPr>
        <w:pStyle w:val="BSbullet1"/>
        <w:numPr>
          <w:ilvl w:val="0"/>
          <w:numId w:val="3"/>
        </w:numPr>
        <w:pBdr>
          <w:top w:val="nil"/>
          <w:left w:val="nil"/>
          <w:bottom w:val="nil"/>
          <w:right w:val="nil"/>
          <w:between w:val="nil"/>
          <w:bar w:val="nil"/>
        </w:pBdr>
        <w:jc w:val="both"/>
        <w:rPr>
          <w:szCs w:val="20"/>
          <w:bdr w:val="nil"/>
        </w:rPr>
      </w:pPr>
      <w:r>
        <w:rPr>
          <w:szCs w:val="20"/>
          <w:bdr w:val="nil"/>
        </w:rPr>
        <w:t xml:space="preserve">Working with other parts of the ACT Government to develop information systems to provide access to the right information at the right time to ensure Major Projects Canberra’s effectiveness as the ACT Government’s key infrastructure </w:t>
      </w:r>
      <w:r w:rsidR="00756936">
        <w:rPr>
          <w:szCs w:val="20"/>
          <w:bdr w:val="nil"/>
        </w:rPr>
        <w:t xml:space="preserve">delivery </w:t>
      </w:r>
      <w:r>
        <w:rPr>
          <w:szCs w:val="20"/>
          <w:bdr w:val="nil"/>
        </w:rPr>
        <w:t>body.</w:t>
      </w:r>
    </w:p>
    <w:p w14:paraId="2A559B83" w14:textId="77777777" w:rsidR="006E72F1" w:rsidRDefault="00900E2D" w:rsidP="006E72F1">
      <w:pPr>
        <w:pStyle w:val="Heading2"/>
        <w:pageBreakBefore/>
        <w:pBdr>
          <w:top w:val="nil"/>
          <w:left w:val="nil"/>
          <w:bottom w:val="nil"/>
          <w:right w:val="nil"/>
          <w:between w:val="nil"/>
          <w:bar w:val="nil"/>
        </w:pBdr>
        <w:rPr>
          <w:bdr w:val="nil"/>
        </w:rPr>
      </w:pPr>
      <w:bookmarkStart w:id="4" w:name="_Toc452467797"/>
      <w:bookmarkStart w:id="5" w:name="_Toc451895559"/>
      <w:r>
        <w:rPr>
          <w:bdr w:val="nil"/>
        </w:rPr>
        <w:lastRenderedPageBreak/>
        <w:t>Estimated Employment Level</w:t>
      </w:r>
      <w:bookmarkEnd w:id="4"/>
      <w:bookmarkEnd w:id="5"/>
    </w:p>
    <w:p w14:paraId="313BCD0D" w14:textId="7C058DC7" w:rsidR="006E72F1" w:rsidRDefault="00900E2D" w:rsidP="006E72F1">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43013B">
        <w:rPr>
          <w:noProof/>
          <w:bdr w:val="nil"/>
        </w:rPr>
        <w:t>1</w:t>
      </w:r>
      <w:r>
        <w:rPr>
          <w:noProof/>
          <w:bdr w:val="nil"/>
        </w:rPr>
        <w:fldChar w:fldCharType="end"/>
      </w:r>
      <w:r>
        <w:rPr>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108"/>
        <w:gridCol w:w="2592"/>
        <w:gridCol w:w="108"/>
        <w:gridCol w:w="1587"/>
        <w:gridCol w:w="14"/>
        <w:gridCol w:w="1545"/>
        <w:gridCol w:w="1549"/>
        <w:gridCol w:w="10"/>
        <w:gridCol w:w="1559"/>
        <w:gridCol w:w="33"/>
      </w:tblGrid>
      <w:tr w:rsidR="003036F4" w14:paraId="0D6EBDAA" w14:textId="77777777" w:rsidTr="00A52402">
        <w:trPr>
          <w:trHeight w:val="392"/>
          <w:tblHeader/>
        </w:trPr>
        <w:tc>
          <w:tcPr>
            <w:tcW w:w="2700" w:type="dxa"/>
            <w:gridSpan w:val="2"/>
            <w:tcBorders>
              <w:top w:val="single" w:sz="12" w:space="0" w:color="000000"/>
              <w:left w:val="nil"/>
              <w:bottom w:val="nil"/>
              <w:right w:val="nil"/>
            </w:tcBorders>
            <w:vAlign w:val="bottom"/>
          </w:tcPr>
          <w:p w14:paraId="5E364B1B" w14:textId="77777777" w:rsidR="006E72F1" w:rsidRDefault="006E72F1">
            <w:pPr>
              <w:pStyle w:val="BStabletext"/>
              <w:pBdr>
                <w:top w:val="nil"/>
                <w:left w:val="nil"/>
                <w:bottom w:val="nil"/>
                <w:right w:val="nil"/>
                <w:between w:val="nil"/>
                <w:bar w:val="nil"/>
              </w:pBdr>
              <w:rPr>
                <w:bdr w:val="nil"/>
              </w:rPr>
            </w:pPr>
          </w:p>
        </w:tc>
        <w:tc>
          <w:tcPr>
            <w:tcW w:w="1695" w:type="dxa"/>
            <w:gridSpan w:val="2"/>
            <w:tcBorders>
              <w:top w:val="single" w:sz="12" w:space="0" w:color="000000"/>
              <w:left w:val="nil"/>
              <w:bottom w:val="nil"/>
              <w:right w:val="nil"/>
            </w:tcBorders>
            <w:hideMark/>
          </w:tcPr>
          <w:p w14:paraId="63EC2D6A" w14:textId="77777777" w:rsidR="006E72F1" w:rsidRDefault="00900E2D">
            <w:pPr>
              <w:pStyle w:val="BStableheading1"/>
              <w:framePr w:wrap="around"/>
              <w:pBdr>
                <w:top w:val="nil"/>
                <w:left w:val="nil"/>
                <w:bottom w:val="nil"/>
                <w:right w:val="nil"/>
                <w:between w:val="nil"/>
                <w:bar w:val="nil"/>
              </w:pBdr>
              <w:rPr>
                <w:bdr w:val="nil"/>
              </w:rPr>
            </w:pPr>
            <w:r>
              <w:rPr>
                <w:bdr w:val="nil"/>
              </w:rPr>
              <w:t>2018-19</w:t>
            </w:r>
          </w:p>
          <w:p w14:paraId="769716D8" w14:textId="77777777" w:rsidR="006E72F1" w:rsidRDefault="00900E2D" w:rsidP="006E72F1">
            <w:pPr>
              <w:pStyle w:val="BStableheading1"/>
              <w:framePr w:wrap="around"/>
              <w:pBdr>
                <w:top w:val="nil"/>
                <w:left w:val="nil"/>
                <w:bottom w:val="nil"/>
                <w:right w:val="nil"/>
                <w:between w:val="nil"/>
                <w:bar w:val="nil"/>
              </w:pBdr>
              <w:rPr>
                <w:bdr w:val="nil"/>
              </w:rPr>
            </w:pPr>
            <w:r>
              <w:rPr>
                <w:bdr w:val="nil"/>
              </w:rPr>
              <w:t>Budget</w:t>
            </w:r>
          </w:p>
        </w:tc>
        <w:tc>
          <w:tcPr>
            <w:tcW w:w="1559" w:type="dxa"/>
            <w:gridSpan w:val="2"/>
            <w:tcBorders>
              <w:top w:val="single" w:sz="12" w:space="0" w:color="000000"/>
              <w:left w:val="nil"/>
              <w:bottom w:val="nil"/>
              <w:right w:val="nil"/>
            </w:tcBorders>
            <w:hideMark/>
          </w:tcPr>
          <w:p w14:paraId="1D54466B" w14:textId="0957BB2F" w:rsidR="006E72F1" w:rsidRDefault="00332931" w:rsidP="006E72F1">
            <w:pPr>
              <w:pStyle w:val="BStableheading1"/>
              <w:framePr w:wrap="auto" w:vAnchor="margin" w:yAlign="inline"/>
              <w:pBdr>
                <w:top w:val="nil"/>
                <w:left w:val="nil"/>
                <w:bottom w:val="nil"/>
                <w:right w:val="nil"/>
                <w:between w:val="nil"/>
                <w:bar w:val="nil"/>
              </w:pBdr>
              <w:rPr>
                <w:bdr w:val="nil"/>
              </w:rPr>
            </w:pPr>
            <w:r>
              <w:rPr>
                <w:bdr w:val="nil"/>
              </w:rPr>
              <w:t>2019–20</w:t>
            </w:r>
          </w:p>
          <w:p w14:paraId="451E4AB7" w14:textId="77777777" w:rsidR="006E72F1" w:rsidRDefault="00900E2D" w:rsidP="006E72F1">
            <w:pPr>
              <w:pStyle w:val="BStableheading1"/>
              <w:framePr w:wrap="around"/>
              <w:pBdr>
                <w:top w:val="nil"/>
                <w:left w:val="nil"/>
                <w:bottom w:val="nil"/>
                <w:right w:val="nil"/>
                <w:between w:val="nil"/>
                <w:bar w:val="nil"/>
              </w:pBdr>
              <w:rPr>
                <w:bdr w:val="nil"/>
              </w:rPr>
            </w:pPr>
            <w:r>
              <w:rPr>
                <w:bdr w:val="nil"/>
              </w:rPr>
              <w:t>Budget</w:t>
            </w:r>
          </w:p>
        </w:tc>
        <w:tc>
          <w:tcPr>
            <w:tcW w:w="1549" w:type="dxa"/>
            <w:tcBorders>
              <w:top w:val="single" w:sz="12" w:space="0" w:color="000000"/>
              <w:left w:val="nil"/>
              <w:bottom w:val="nil"/>
              <w:right w:val="nil"/>
            </w:tcBorders>
            <w:hideMark/>
          </w:tcPr>
          <w:p w14:paraId="36253223" w14:textId="05B4A8D5" w:rsidR="006E72F1" w:rsidRDefault="00332931" w:rsidP="006E72F1">
            <w:pPr>
              <w:pStyle w:val="BStableheading1"/>
              <w:framePr w:wrap="auto" w:vAnchor="margin" w:yAlign="inline"/>
              <w:pBdr>
                <w:top w:val="nil"/>
                <w:left w:val="nil"/>
                <w:bottom w:val="nil"/>
                <w:right w:val="nil"/>
                <w:between w:val="nil"/>
                <w:bar w:val="nil"/>
              </w:pBdr>
              <w:rPr>
                <w:bdr w:val="nil"/>
              </w:rPr>
            </w:pPr>
            <w:r>
              <w:rPr>
                <w:bdr w:val="nil"/>
              </w:rPr>
              <w:t>2019–20</w:t>
            </w:r>
          </w:p>
          <w:p w14:paraId="4C013285" w14:textId="77777777" w:rsidR="006E72F1" w:rsidRDefault="00900E2D" w:rsidP="006E72F1">
            <w:pPr>
              <w:pStyle w:val="BStableheading1"/>
              <w:framePr w:wrap="auto" w:vAnchor="margin" w:yAlign="inline"/>
              <w:pBdr>
                <w:top w:val="nil"/>
                <w:left w:val="nil"/>
                <w:bottom w:val="nil"/>
                <w:right w:val="nil"/>
                <w:between w:val="nil"/>
                <w:bar w:val="nil"/>
              </w:pBdr>
              <w:rPr>
                <w:bdr w:val="nil"/>
              </w:rPr>
            </w:pPr>
            <w:r>
              <w:rPr>
                <w:bdr w:val="nil"/>
              </w:rPr>
              <w:t>Audited</w:t>
            </w:r>
          </w:p>
          <w:p w14:paraId="64FBEEEE" w14:textId="77777777" w:rsidR="006E72F1" w:rsidRDefault="00900E2D" w:rsidP="006E72F1">
            <w:pPr>
              <w:pStyle w:val="BStableheading1"/>
              <w:framePr w:wrap="around"/>
              <w:pBdr>
                <w:top w:val="nil"/>
                <w:left w:val="nil"/>
                <w:bottom w:val="nil"/>
                <w:right w:val="nil"/>
                <w:between w:val="nil"/>
                <w:bar w:val="nil"/>
              </w:pBdr>
              <w:rPr>
                <w:bdr w:val="nil"/>
              </w:rPr>
            </w:pPr>
            <w:r>
              <w:rPr>
                <w:bdr w:val="nil"/>
              </w:rPr>
              <w:t>Outcome</w:t>
            </w:r>
          </w:p>
        </w:tc>
        <w:tc>
          <w:tcPr>
            <w:tcW w:w="1602" w:type="dxa"/>
            <w:gridSpan w:val="3"/>
            <w:tcBorders>
              <w:top w:val="single" w:sz="12" w:space="0" w:color="000000"/>
              <w:left w:val="nil"/>
              <w:bottom w:val="nil"/>
              <w:right w:val="nil"/>
            </w:tcBorders>
            <w:noWrap/>
            <w:hideMark/>
          </w:tcPr>
          <w:p w14:paraId="300A1FC4" w14:textId="7EBDB40A" w:rsidR="006E72F1" w:rsidRDefault="00332931" w:rsidP="006E72F1">
            <w:pPr>
              <w:pStyle w:val="BStableheading1"/>
              <w:framePr w:wrap="auto" w:vAnchor="margin" w:yAlign="inline"/>
              <w:pBdr>
                <w:top w:val="nil"/>
                <w:left w:val="nil"/>
                <w:bottom w:val="nil"/>
                <w:right w:val="nil"/>
                <w:between w:val="nil"/>
                <w:bar w:val="nil"/>
              </w:pBdr>
              <w:rPr>
                <w:bdr w:val="nil"/>
              </w:rPr>
            </w:pPr>
            <w:r>
              <w:rPr>
                <w:bdr w:val="nil"/>
              </w:rPr>
              <w:t>2020–21</w:t>
            </w:r>
          </w:p>
          <w:p w14:paraId="0F716CFC" w14:textId="77777777" w:rsidR="006E72F1" w:rsidRDefault="00900E2D" w:rsidP="006E72F1">
            <w:pPr>
              <w:pStyle w:val="BStableheading1"/>
              <w:framePr w:wrap="around"/>
              <w:pBdr>
                <w:top w:val="nil"/>
                <w:left w:val="nil"/>
                <w:bottom w:val="nil"/>
                <w:right w:val="nil"/>
                <w:between w:val="nil"/>
                <w:bar w:val="nil"/>
              </w:pBdr>
              <w:rPr>
                <w:bdr w:val="nil"/>
              </w:rPr>
            </w:pPr>
            <w:r>
              <w:rPr>
                <w:bdr w:val="nil"/>
              </w:rPr>
              <w:t>Budget</w:t>
            </w:r>
          </w:p>
        </w:tc>
      </w:tr>
      <w:tr w:rsidR="003036F4" w14:paraId="6E4AB3DB" w14:textId="77777777" w:rsidTr="004E3699">
        <w:trPr>
          <w:gridBefore w:val="1"/>
          <w:gridAfter w:val="1"/>
          <w:wBefore w:w="108" w:type="dxa"/>
          <w:wAfter w:w="33" w:type="dxa"/>
          <w:trHeight w:val="319"/>
          <w:tblHeader/>
        </w:trPr>
        <w:tc>
          <w:tcPr>
            <w:tcW w:w="2700" w:type="dxa"/>
            <w:gridSpan w:val="2"/>
            <w:tcBorders>
              <w:top w:val="single" w:sz="6" w:space="0" w:color="000000"/>
              <w:left w:val="nil"/>
              <w:bottom w:val="single" w:sz="12" w:space="0" w:color="000000"/>
              <w:right w:val="nil"/>
            </w:tcBorders>
            <w:vAlign w:val="bottom"/>
            <w:hideMark/>
          </w:tcPr>
          <w:p w14:paraId="6C6EEC7C" w14:textId="77777777" w:rsidR="006E72F1" w:rsidRDefault="00900E2D">
            <w:pPr>
              <w:pStyle w:val="BStabletext"/>
              <w:pBdr>
                <w:top w:val="nil"/>
                <w:left w:val="nil"/>
                <w:bottom w:val="nil"/>
                <w:right w:val="nil"/>
                <w:between w:val="nil"/>
                <w:bar w:val="nil"/>
              </w:pBdr>
              <w:rPr>
                <w:rStyle w:val="Strong"/>
                <w:bCs/>
                <w:bdr w:val="nil"/>
              </w:rPr>
            </w:pPr>
            <w:r>
              <w:rPr>
                <w:rStyle w:val="Strong"/>
                <w:bdr w:val="nil"/>
              </w:rPr>
              <w:t>Staffing (FTE)</w:t>
            </w:r>
          </w:p>
        </w:tc>
        <w:tc>
          <w:tcPr>
            <w:tcW w:w="1601" w:type="dxa"/>
            <w:gridSpan w:val="2"/>
            <w:tcBorders>
              <w:top w:val="single" w:sz="6" w:space="0" w:color="000000"/>
              <w:left w:val="nil"/>
              <w:bottom w:val="single" w:sz="12" w:space="0" w:color="000000"/>
              <w:right w:val="nil"/>
            </w:tcBorders>
            <w:vAlign w:val="bottom"/>
            <w:hideMark/>
          </w:tcPr>
          <w:p w14:paraId="7673470E" w14:textId="77777777" w:rsidR="006E72F1" w:rsidRDefault="00900E2D">
            <w:pPr>
              <w:pStyle w:val="BStablefigures"/>
              <w:pBdr>
                <w:top w:val="nil"/>
                <w:left w:val="nil"/>
                <w:bottom w:val="nil"/>
                <w:right w:val="nil"/>
                <w:between w:val="nil"/>
                <w:bar w:val="nil"/>
              </w:pBdr>
              <w:rPr>
                <w:bdr w:val="nil"/>
              </w:rPr>
            </w:pPr>
            <w:r>
              <w:rPr>
                <w:bdr w:val="nil"/>
              </w:rPr>
              <w:t>-</w:t>
            </w:r>
          </w:p>
        </w:tc>
        <w:tc>
          <w:tcPr>
            <w:tcW w:w="1545" w:type="dxa"/>
            <w:tcBorders>
              <w:top w:val="single" w:sz="6" w:space="0" w:color="000000"/>
              <w:left w:val="nil"/>
              <w:bottom w:val="single" w:sz="12" w:space="0" w:color="000000"/>
              <w:right w:val="nil"/>
            </w:tcBorders>
            <w:vAlign w:val="bottom"/>
            <w:hideMark/>
          </w:tcPr>
          <w:p w14:paraId="3F79E796" w14:textId="77777777" w:rsidR="006E72F1" w:rsidRDefault="00900E2D">
            <w:pPr>
              <w:pStyle w:val="BStablefigures"/>
              <w:pBdr>
                <w:top w:val="nil"/>
                <w:left w:val="nil"/>
                <w:bottom w:val="nil"/>
                <w:right w:val="nil"/>
                <w:between w:val="nil"/>
                <w:bar w:val="nil"/>
              </w:pBdr>
              <w:rPr>
                <w:bdr w:val="nil"/>
              </w:rPr>
            </w:pPr>
            <w:r>
              <w:rPr>
                <w:bdr w:val="nil"/>
              </w:rPr>
              <w:t>-</w:t>
            </w:r>
          </w:p>
        </w:tc>
        <w:tc>
          <w:tcPr>
            <w:tcW w:w="1559" w:type="dxa"/>
            <w:gridSpan w:val="2"/>
            <w:tcBorders>
              <w:top w:val="single" w:sz="6" w:space="0" w:color="000000"/>
              <w:left w:val="nil"/>
              <w:bottom w:val="single" w:sz="12" w:space="0" w:color="000000"/>
              <w:right w:val="nil"/>
            </w:tcBorders>
            <w:vAlign w:val="bottom"/>
            <w:hideMark/>
          </w:tcPr>
          <w:p w14:paraId="42B636F0" w14:textId="77777777" w:rsidR="006E72F1" w:rsidRPr="00412B95" w:rsidRDefault="00900E2D">
            <w:pPr>
              <w:pStyle w:val="BStablefigures"/>
              <w:pBdr>
                <w:top w:val="nil"/>
                <w:left w:val="nil"/>
                <w:bottom w:val="nil"/>
                <w:right w:val="nil"/>
                <w:between w:val="nil"/>
                <w:bar w:val="nil"/>
              </w:pBdr>
              <w:rPr>
                <w:sz w:val="18"/>
                <w:szCs w:val="18"/>
                <w:bdr w:val="nil"/>
              </w:rPr>
            </w:pPr>
            <w:r w:rsidRPr="00412B95">
              <w:rPr>
                <w:sz w:val="18"/>
                <w:szCs w:val="18"/>
                <w:bdr w:val="nil"/>
              </w:rPr>
              <w:t>166</w:t>
            </w:r>
            <w:r w:rsidRPr="00412B95">
              <w:rPr>
                <w:sz w:val="18"/>
                <w:szCs w:val="18"/>
                <w:bdr w:val="nil"/>
                <w:vertAlign w:val="superscript"/>
              </w:rPr>
              <w:t>1</w:t>
            </w:r>
          </w:p>
        </w:tc>
        <w:tc>
          <w:tcPr>
            <w:tcW w:w="1559" w:type="dxa"/>
            <w:tcBorders>
              <w:top w:val="single" w:sz="6" w:space="0" w:color="000000"/>
              <w:left w:val="nil"/>
              <w:bottom w:val="single" w:sz="12" w:space="0" w:color="000000"/>
              <w:right w:val="nil"/>
            </w:tcBorders>
            <w:noWrap/>
            <w:vAlign w:val="bottom"/>
            <w:hideMark/>
          </w:tcPr>
          <w:p w14:paraId="63668009" w14:textId="77777777" w:rsidR="006E72F1" w:rsidRPr="00412B95" w:rsidRDefault="00900E2D">
            <w:pPr>
              <w:pStyle w:val="BStablefigures"/>
              <w:pBdr>
                <w:top w:val="nil"/>
                <w:left w:val="nil"/>
                <w:bottom w:val="nil"/>
                <w:right w:val="nil"/>
                <w:between w:val="nil"/>
                <w:bar w:val="nil"/>
              </w:pBdr>
              <w:rPr>
                <w:sz w:val="18"/>
                <w:szCs w:val="18"/>
                <w:bdr w:val="nil"/>
              </w:rPr>
            </w:pPr>
            <w:r w:rsidRPr="00412B95">
              <w:rPr>
                <w:sz w:val="18"/>
                <w:szCs w:val="18"/>
                <w:bdr w:val="nil"/>
              </w:rPr>
              <w:t>193</w:t>
            </w:r>
            <w:r w:rsidRPr="00412B95">
              <w:rPr>
                <w:sz w:val="18"/>
                <w:szCs w:val="18"/>
                <w:bdr w:val="nil"/>
                <w:vertAlign w:val="superscript"/>
              </w:rPr>
              <w:t>2</w:t>
            </w:r>
          </w:p>
        </w:tc>
      </w:tr>
    </w:tbl>
    <w:p w14:paraId="42E2C98D" w14:textId="5121F45E" w:rsidR="006E72F1" w:rsidRDefault="00900E2D" w:rsidP="006E72F1">
      <w:pPr>
        <w:pStyle w:val="Normal2"/>
        <w:pBdr>
          <w:top w:val="nil"/>
          <w:left w:val="nil"/>
          <w:bottom w:val="nil"/>
          <w:right w:val="nil"/>
          <w:between w:val="nil"/>
          <w:bar w:val="nil"/>
        </w:pBdr>
        <w:spacing w:after="0"/>
        <w:rPr>
          <w:b/>
          <w:sz w:val="18"/>
          <w:szCs w:val="18"/>
          <w:bdr w:val="nil"/>
        </w:rPr>
      </w:pPr>
      <w:r>
        <w:rPr>
          <w:b/>
          <w:sz w:val="18"/>
          <w:szCs w:val="18"/>
          <w:bdr w:val="nil"/>
        </w:rPr>
        <w:t>Note</w:t>
      </w:r>
      <w:r w:rsidR="00AD2501">
        <w:rPr>
          <w:b/>
          <w:sz w:val="18"/>
          <w:szCs w:val="18"/>
          <w:bdr w:val="nil"/>
        </w:rPr>
        <w:t>s</w:t>
      </w:r>
      <w:r>
        <w:rPr>
          <w:b/>
          <w:sz w:val="18"/>
          <w:szCs w:val="18"/>
          <w:bdr w:val="nil"/>
        </w:rPr>
        <w:t xml:space="preserve">: </w:t>
      </w:r>
    </w:p>
    <w:p w14:paraId="115AFCC5" w14:textId="234C895E" w:rsidR="006E72F1" w:rsidRPr="00D601FB" w:rsidRDefault="00900E2D" w:rsidP="006E72F1">
      <w:pPr>
        <w:pStyle w:val="Normal2"/>
        <w:numPr>
          <w:ilvl w:val="0"/>
          <w:numId w:val="4"/>
        </w:numPr>
        <w:pBdr>
          <w:top w:val="nil"/>
          <w:left w:val="nil"/>
          <w:bottom w:val="nil"/>
          <w:right w:val="nil"/>
          <w:between w:val="nil"/>
          <w:bar w:val="nil"/>
        </w:pBdr>
        <w:spacing w:before="0"/>
        <w:jc w:val="both"/>
        <w:rPr>
          <w:sz w:val="18"/>
          <w:szCs w:val="18"/>
          <w:bdr w:val="nil"/>
        </w:rPr>
      </w:pPr>
      <w:r>
        <w:rPr>
          <w:rFonts w:cs="Calibri"/>
          <w:sz w:val="18"/>
          <w:szCs w:val="18"/>
          <w:bdr w:val="nil"/>
        </w:rPr>
        <w:t xml:space="preserve">Major Projects Canberra was established on 1 July 2019 </w:t>
      </w:r>
      <w:proofErr w:type="gramStart"/>
      <w:r>
        <w:rPr>
          <w:rFonts w:cs="Calibri"/>
          <w:sz w:val="18"/>
          <w:szCs w:val="18"/>
          <w:bdr w:val="nil"/>
        </w:rPr>
        <w:t>subsequent to</w:t>
      </w:r>
      <w:proofErr w:type="gramEnd"/>
      <w:r>
        <w:rPr>
          <w:rFonts w:cs="Calibri"/>
          <w:sz w:val="18"/>
          <w:szCs w:val="18"/>
          <w:bdr w:val="nil"/>
        </w:rPr>
        <w:t xml:space="preserve"> the </w:t>
      </w:r>
      <w:r w:rsidR="00332931">
        <w:rPr>
          <w:rFonts w:cs="Calibri"/>
          <w:sz w:val="18"/>
          <w:szCs w:val="18"/>
          <w:bdr w:val="nil"/>
        </w:rPr>
        <w:t xml:space="preserve">publication </w:t>
      </w:r>
      <w:r>
        <w:rPr>
          <w:rFonts w:cs="Calibri"/>
          <w:sz w:val="18"/>
          <w:szCs w:val="18"/>
          <w:bdr w:val="nil"/>
        </w:rPr>
        <w:t xml:space="preserve">of the </w:t>
      </w:r>
      <w:r w:rsidR="00332931">
        <w:rPr>
          <w:rFonts w:cs="Calibri"/>
          <w:sz w:val="18"/>
          <w:szCs w:val="18"/>
          <w:bdr w:val="nil"/>
        </w:rPr>
        <w:t>2019–20</w:t>
      </w:r>
      <w:r>
        <w:rPr>
          <w:rFonts w:cs="Calibri"/>
          <w:sz w:val="18"/>
          <w:szCs w:val="18"/>
          <w:bdr w:val="nil"/>
        </w:rPr>
        <w:t xml:space="preserve"> Budget.  The increase </w:t>
      </w:r>
      <w:r w:rsidRPr="00397349">
        <w:rPr>
          <w:rFonts w:cs="Calibri"/>
          <w:sz w:val="18"/>
          <w:szCs w:val="18"/>
          <w:bdr w:val="nil"/>
        </w:rPr>
        <w:t xml:space="preserve">in </w:t>
      </w:r>
      <w:r>
        <w:rPr>
          <w:rFonts w:cs="Calibri"/>
          <w:sz w:val="18"/>
          <w:szCs w:val="18"/>
          <w:bdr w:val="nil"/>
        </w:rPr>
        <w:t xml:space="preserve">the </w:t>
      </w:r>
      <w:r w:rsidR="00332931">
        <w:rPr>
          <w:rFonts w:cs="Calibri"/>
          <w:sz w:val="18"/>
          <w:szCs w:val="18"/>
          <w:bdr w:val="nil"/>
        </w:rPr>
        <w:t>2019–20</w:t>
      </w:r>
      <w:r>
        <w:rPr>
          <w:rFonts w:cs="Calibri"/>
          <w:sz w:val="18"/>
          <w:szCs w:val="18"/>
          <w:bdr w:val="nil"/>
        </w:rPr>
        <w:t xml:space="preserve"> audited outcome compared to the </w:t>
      </w:r>
      <w:r w:rsidR="00332931">
        <w:rPr>
          <w:rFonts w:cs="Calibri"/>
          <w:sz w:val="18"/>
          <w:szCs w:val="18"/>
          <w:bdr w:val="nil"/>
        </w:rPr>
        <w:t>2019–20</w:t>
      </w:r>
      <w:r>
        <w:rPr>
          <w:rFonts w:cs="Calibri"/>
          <w:sz w:val="18"/>
          <w:szCs w:val="18"/>
          <w:bdr w:val="nil"/>
        </w:rPr>
        <w:t xml:space="preserve"> Budget is due mainly to the Administrative Arrangements Order on 23 August</w:t>
      </w:r>
      <w:r w:rsidRPr="00767C1F">
        <w:rPr>
          <w:rFonts w:cs="Calibri"/>
          <w:sz w:val="18"/>
          <w:szCs w:val="18"/>
          <w:bdr w:val="nil"/>
        </w:rPr>
        <w:t xml:space="preserve"> 201</w:t>
      </w:r>
      <w:r>
        <w:rPr>
          <w:rFonts w:cs="Calibri"/>
          <w:sz w:val="18"/>
          <w:szCs w:val="18"/>
          <w:bdr w:val="nil"/>
        </w:rPr>
        <w:t>9 transferring FTE to Major Projects Canberra on establishment.</w:t>
      </w:r>
    </w:p>
    <w:p w14:paraId="6A9FBD2C" w14:textId="0C7C4905" w:rsidR="006E72F1" w:rsidRPr="00D601FB" w:rsidRDefault="00900E2D" w:rsidP="006E72F1">
      <w:pPr>
        <w:pStyle w:val="Normal2"/>
        <w:numPr>
          <w:ilvl w:val="0"/>
          <w:numId w:val="4"/>
        </w:numPr>
        <w:pBdr>
          <w:top w:val="nil"/>
          <w:left w:val="nil"/>
          <w:bottom w:val="nil"/>
          <w:right w:val="nil"/>
          <w:between w:val="nil"/>
          <w:bar w:val="nil"/>
        </w:pBdr>
        <w:spacing w:before="0"/>
        <w:jc w:val="both"/>
        <w:rPr>
          <w:sz w:val="18"/>
          <w:szCs w:val="18"/>
          <w:bdr w:val="nil"/>
        </w:rPr>
      </w:pPr>
      <w:r>
        <w:rPr>
          <w:rFonts w:cs="Calibri"/>
          <w:sz w:val="18"/>
          <w:szCs w:val="18"/>
          <w:bdr w:val="nil"/>
        </w:rPr>
        <w:t xml:space="preserve">The increase in </w:t>
      </w:r>
      <w:r w:rsidR="00332931">
        <w:rPr>
          <w:rFonts w:cs="Calibri"/>
          <w:sz w:val="18"/>
          <w:szCs w:val="18"/>
          <w:bdr w:val="nil"/>
        </w:rPr>
        <w:t>2020–21</w:t>
      </w:r>
      <w:r>
        <w:rPr>
          <w:rFonts w:cs="Calibri"/>
          <w:sz w:val="18"/>
          <w:szCs w:val="18"/>
          <w:bdr w:val="nil"/>
        </w:rPr>
        <w:t xml:space="preserve"> Budget and estimated outcome from </w:t>
      </w:r>
      <w:r w:rsidR="00332931">
        <w:rPr>
          <w:rFonts w:cs="Calibri"/>
          <w:sz w:val="18"/>
          <w:szCs w:val="18"/>
          <w:bdr w:val="nil"/>
        </w:rPr>
        <w:t>2019–20</w:t>
      </w:r>
      <w:r>
        <w:rPr>
          <w:rFonts w:cs="Calibri"/>
          <w:sz w:val="18"/>
          <w:szCs w:val="18"/>
          <w:bdr w:val="nil"/>
        </w:rPr>
        <w:t xml:space="preserve"> audited outcome represents the establishment of project teams for the delivery of the designated projects, CIT Woden, Canberra Hospital Expansion, Cladding Rectification Project and recruitment to positions vacant at the end of the </w:t>
      </w:r>
      <w:r w:rsidR="00332931">
        <w:rPr>
          <w:rFonts w:cs="Calibri"/>
          <w:sz w:val="18"/>
          <w:szCs w:val="18"/>
          <w:bdr w:val="nil"/>
        </w:rPr>
        <w:t>2019–20</w:t>
      </w:r>
      <w:r>
        <w:rPr>
          <w:rFonts w:cs="Calibri"/>
          <w:sz w:val="18"/>
          <w:szCs w:val="18"/>
          <w:bdr w:val="nil"/>
        </w:rPr>
        <w:t xml:space="preserve"> financial year.</w:t>
      </w:r>
    </w:p>
    <w:p w14:paraId="0D293640" w14:textId="77777777" w:rsidR="006E72F1" w:rsidRDefault="00900E2D" w:rsidP="006E72F1">
      <w:pPr>
        <w:pStyle w:val="Heading21"/>
        <w:pageBreakBefore/>
        <w:pBdr>
          <w:top w:val="nil"/>
          <w:left w:val="nil"/>
          <w:bottom w:val="nil"/>
          <w:right w:val="nil"/>
          <w:between w:val="nil"/>
          <w:bar w:val="nil"/>
        </w:pBdr>
        <w:rPr>
          <w:bdr w:val="nil"/>
        </w:rPr>
      </w:pPr>
      <w:bookmarkStart w:id="6" w:name="_Toc514832540"/>
      <w:bookmarkStart w:id="7" w:name="_Toc452467798"/>
      <w:bookmarkStart w:id="8" w:name="_Hlk9418739"/>
      <w:r>
        <w:rPr>
          <w:bdr w:val="nil"/>
        </w:rPr>
        <w:lastRenderedPageBreak/>
        <w:t>Strategic Objectives and Indicators</w:t>
      </w:r>
      <w:bookmarkEnd w:id="6"/>
      <w:bookmarkEnd w:id="7"/>
      <w:r>
        <w:rPr>
          <w:bdr w:val="nil"/>
        </w:rPr>
        <w:t xml:space="preserve"> </w:t>
      </w:r>
    </w:p>
    <w:bookmarkEnd w:id="8"/>
    <w:p w14:paraId="0112F2FF" w14:textId="77777777" w:rsidR="006E72F1" w:rsidRDefault="00900E2D" w:rsidP="006E72F1">
      <w:pPr>
        <w:keepNext/>
        <w:keepLines/>
        <w:pBdr>
          <w:top w:val="nil"/>
          <w:left w:val="nil"/>
          <w:bottom w:val="nil"/>
          <w:right w:val="nil"/>
          <w:between w:val="nil"/>
          <w:bar w:val="nil"/>
        </w:pBdr>
        <w:spacing w:before="360"/>
        <w:contextualSpacing/>
        <w:outlineLvl w:val="2"/>
        <w:rPr>
          <w:b/>
          <w:bCs/>
          <w:sz w:val="28"/>
          <w:szCs w:val="26"/>
          <w:bdr w:val="nil"/>
        </w:rPr>
      </w:pPr>
      <w:r w:rsidRPr="00500765">
        <w:rPr>
          <w:b/>
          <w:bCs/>
          <w:sz w:val="28"/>
          <w:szCs w:val="26"/>
          <w:bdr w:val="nil"/>
        </w:rPr>
        <w:t>Strategic Objective 1</w:t>
      </w:r>
    </w:p>
    <w:p w14:paraId="4F00C786" w14:textId="77777777" w:rsidR="006E72F1" w:rsidRPr="00500765" w:rsidRDefault="006E72F1" w:rsidP="006E72F1">
      <w:pPr>
        <w:keepNext/>
        <w:keepLines/>
        <w:pBdr>
          <w:top w:val="nil"/>
          <w:left w:val="nil"/>
          <w:bottom w:val="nil"/>
          <w:right w:val="nil"/>
          <w:between w:val="nil"/>
          <w:bar w:val="nil"/>
        </w:pBdr>
        <w:spacing w:before="360"/>
        <w:contextualSpacing/>
        <w:outlineLvl w:val="2"/>
        <w:rPr>
          <w:b/>
          <w:bCs/>
          <w:sz w:val="28"/>
          <w:szCs w:val="26"/>
          <w:bdr w:val="nil"/>
        </w:rPr>
      </w:pPr>
    </w:p>
    <w:p w14:paraId="6BF343EF" w14:textId="613DB697" w:rsidR="006E72F1" w:rsidRPr="00500765" w:rsidRDefault="00900E2D" w:rsidP="006E72F1">
      <w:pPr>
        <w:keepNext/>
        <w:keepLines/>
        <w:pBdr>
          <w:top w:val="nil"/>
          <w:left w:val="nil"/>
          <w:bottom w:val="nil"/>
          <w:right w:val="nil"/>
          <w:between w:val="nil"/>
          <w:bar w:val="nil"/>
        </w:pBdr>
        <w:spacing w:before="240" w:after="120"/>
        <w:jc w:val="both"/>
        <w:outlineLvl w:val="3"/>
        <w:rPr>
          <w:b/>
          <w:i/>
          <w:bdr w:val="nil"/>
        </w:rPr>
      </w:pPr>
      <w:r>
        <w:rPr>
          <w:b/>
          <w:i/>
          <w:bdr w:val="nil"/>
        </w:rPr>
        <w:t xml:space="preserve">Lead the Delivery of the </w:t>
      </w:r>
      <w:r w:rsidR="00FE438F">
        <w:rPr>
          <w:b/>
          <w:i/>
          <w:bdr w:val="nil"/>
        </w:rPr>
        <w:t>ACT Government’s</w:t>
      </w:r>
      <w:r>
        <w:rPr>
          <w:b/>
          <w:i/>
          <w:bdr w:val="nil"/>
        </w:rPr>
        <w:t xml:space="preserve"> Pipeline of Infrastructure Projects </w:t>
      </w:r>
    </w:p>
    <w:p w14:paraId="6E820E79" w14:textId="77777777" w:rsidR="006E72F1" w:rsidRDefault="00900E2D" w:rsidP="006E72F1">
      <w:pPr>
        <w:pStyle w:val="BSbullet140"/>
        <w:pBdr>
          <w:top w:val="nil"/>
          <w:left w:val="nil"/>
          <w:bottom w:val="nil"/>
          <w:right w:val="nil"/>
          <w:between w:val="nil"/>
          <w:bar w:val="nil"/>
        </w:pBdr>
        <w:ind w:left="0" w:firstLine="0"/>
        <w:jc w:val="both"/>
        <w:rPr>
          <w:color w:val="000000"/>
          <w:bdr w:val="nil"/>
        </w:rPr>
      </w:pPr>
      <w:r>
        <w:rPr>
          <w:color w:val="000000"/>
          <w:bdr w:val="nil"/>
        </w:rPr>
        <w:t>This includes:</w:t>
      </w:r>
    </w:p>
    <w:p w14:paraId="0E723278" w14:textId="17929D31" w:rsidR="006E72F1" w:rsidRDefault="00900E2D" w:rsidP="006E72F1">
      <w:pPr>
        <w:pStyle w:val="BSbullet140"/>
        <w:numPr>
          <w:ilvl w:val="0"/>
          <w:numId w:val="5"/>
        </w:numPr>
        <w:pBdr>
          <w:top w:val="nil"/>
          <w:left w:val="nil"/>
          <w:bottom w:val="nil"/>
          <w:right w:val="nil"/>
          <w:between w:val="nil"/>
          <w:bar w:val="nil"/>
        </w:pBdr>
        <w:jc w:val="both"/>
        <w:rPr>
          <w:color w:val="000000"/>
          <w:bdr w:val="nil"/>
        </w:rPr>
      </w:pPr>
      <w:r>
        <w:rPr>
          <w:color w:val="000000"/>
          <w:bdr w:val="nil"/>
        </w:rPr>
        <w:t xml:space="preserve">Completing the major expansion of the Canberra Hospital – the </w:t>
      </w:r>
      <w:r w:rsidR="00FE438F">
        <w:rPr>
          <w:color w:val="000000"/>
          <w:bdr w:val="nil"/>
        </w:rPr>
        <w:t xml:space="preserve">most significant </w:t>
      </w:r>
      <w:r>
        <w:rPr>
          <w:color w:val="000000"/>
          <w:bdr w:val="nil"/>
        </w:rPr>
        <w:t>healthcare infrastructure investment since self-government – with a new emergency, surgical and critical care facility to meet the acute care needs of Canberra and region residents;</w:t>
      </w:r>
    </w:p>
    <w:p w14:paraId="4E06D878" w14:textId="39702212" w:rsidR="006E72F1" w:rsidRDefault="00900E2D" w:rsidP="006E72F1">
      <w:pPr>
        <w:pStyle w:val="BSbullet140"/>
        <w:numPr>
          <w:ilvl w:val="0"/>
          <w:numId w:val="5"/>
        </w:numPr>
        <w:pBdr>
          <w:top w:val="nil"/>
          <w:left w:val="nil"/>
          <w:bottom w:val="nil"/>
          <w:right w:val="nil"/>
          <w:between w:val="nil"/>
          <w:bar w:val="nil"/>
        </w:pBdr>
        <w:jc w:val="both"/>
        <w:rPr>
          <w:color w:val="000000"/>
          <w:bdr w:val="nil"/>
        </w:rPr>
      </w:pPr>
      <w:r>
        <w:rPr>
          <w:color w:val="000000"/>
          <w:bdr w:val="nil"/>
        </w:rPr>
        <w:t>Procuring the design and construction of Light Rail Stage 2</w:t>
      </w:r>
      <w:r w:rsidR="00FE438F">
        <w:rPr>
          <w:color w:val="000000"/>
          <w:bdr w:val="nil"/>
        </w:rPr>
        <w:t xml:space="preserve"> from the City to Woden and all associated activities. This includes</w:t>
      </w:r>
      <w:r>
        <w:rPr>
          <w:color w:val="000000"/>
          <w:bdr w:val="nil"/>
        </w:rPr>
        <w:t xml:space="preserve"> assessing the </w:t>
      </w:r>
      <w:r w:rsidR="00FE438F">
        <w:rPr>
          <w:color w:val="000000"/>
          <w:bdr w:val="nil"/>
        </w:rPr>
        <w:t>potential</w:t>
      </w:r>
      <w:r>
        <w:rPr>
          <w:color w:val="000000"/>
          <w:bdr w:val="nil"/>
        </w:rPr>
        <w:t xml:space="preserve"> exten</w:t>
      </w:r>
      <w:r w:rsidR="00FE438F">
        <w:rPr>
          <w:color w:val="000000"/>
          <w:bdr w:val="nil"/>
        </w:rPr>
        <w:t>sion of</w:t>
      </w:r>
      <w:r>
        <w:rPr>
          <w:color w:val="000000"/>
          <w:bdr w:val="nil"/>
        </w:rPr>
        <w:t xml:space="preserve"> light rail to Mawson </w:t>
      </w:r>
      <w:r w:rsidR="00FE438F">
        <w:rPr>
          <w:color w:val="000000"/>
          <w:bdr w:val="nil"/>
        </w:rPr>
        <w:t xml:space="preserve">and </w:t>
      </w:r>
      <w:r>
        <w:rPr>
          <w:color w:val="000000"/>
          <w:bdr w:val="nil"/>
        </w:rPr>
        <w:t>conduct</w:t>
      </w:r>
      <w:r w:rsidR="00FE438F">
        <w:rPr>
          <w:color w:val="000000"/>
          <w:bdr w:val="nil"/>
        </w:rPr>
        <w:t>ing</w:t>
      </w:r>
      <w:r>
        <w:rPr>
          <w:color w:val="000000"/>
          <w:bdr w:val="nil"/>
        </w:rPr>
        <w:t xml:space="preserve"> an examination of the feasibility of introducing express light rail services in peak periods;</w:t>
      </w:r>
    </w:p>
    <w:p w14:paraId="77AB5A3E" w14:textId="77777777" w:rsidR="006E72F1" w:rsidRDefault="00900E2D" w:rsidP="006E72F1">
      <w:pPr>
        <w:pStyle w:val="BSbullet140"/>
        <w:numPr>
          <w:ilvl w:val="0"/>
          <w:numId w:val="5"/>
        </w:numPr>
        <w:pBdr>
          <w:top w:val="nil"/>
          <w:left w:val="nil"/>
          <w:bottom w:val="nil"/>
          <w:right w:val="nil"/>
          <w:between w:val="nil"/>
          <w:bar w:val="nil"/>
        </w:pBdr>
        <w:jc w:val="both"/>
        <w:rPr>
          <w:color w:val="000000"/>
          <w:bdr w:val="nil"/>
        </w:rPr>
      </w:pPr>
      <w:r>
        <w:rPr>
          <w:color w:val="000000"/>
          <w:bdr w:val="nil"/>
        </w:rPr>
        <w:t xml:space="preserve">Designing and delivering a new Woden Campus for the Canberra Institute of Technology (CIT), including a new transport interchange and youth foyer; </w:t>
      </w:r>
    </w:p>
    <w:p w14:paraId="03B1F6E3" w14:textId="77777777" w:rsidR="006E72F1" w:rsidRDefault="00900E2D" w:rsidP="006E72F1">
      <w:pPr>
        <w:pStyle w:val="BSbullet140"/>
        <w:numPr>
          <w:ilvl w:val="0"/>
          <w:numId w:val="5"/>
        </w:numPr>
        <w:pBdr>
          <w:top w:val="nil"/>
          <w:left w:val="nil"/>
          <w:bottom w:val="nil"/>
          <w:right w:val="nil"/>
          <w:between w:val="nil"/>
          <w:bar w:val="nil"/>
        </w:pBdr>
        <w:jc w:val="both"/>
        <w:rPr>
          <w:color w:val="000000"/>
          <w:bdr w:val="nil"/>
        </w:rPr>
      </w:pPr>
      <w:r>
        <w:rPr>
          <w:color w:val="000000"/>
          <w:bdr w:val="nil"/>
        </w:rPr>
        <w:t>Continuing business case development for the Canberra Theatre Centre expansion and redevelopment project; and</w:t>
      </w:r>
    </w:p>
    <w:p w14:paraId="5D590767" w14:textId="1709F898" w:rsidR="006E72F1" w:rsidRDefault="00900E2D" w:rsidP="006E72F1">
      <w:pPr>
        <w:pStyle w:val="BSbullet140"/>
        <w:numPr>
          <w:ilvl w:val="0"/>
          <w:numId w:val="5"/>
        </w:numPr>
        <w:pBdr>
          <w:top w:val="nil"/>
          <w:left w:val="nil"/>
          <w:bottom w:val="nil"/>
          <w:right w:val="nil"/>
          <w:between w:val="nil"/>
          <w:bar w:val="nil"/>
        </w:pBdr>
        <w:jc w:val="both"/>
        <w:rPr>
          <w:color w:val="000000"/>
          <w:bdr w:val="nil"/>
        </w:rPr>
      </w:pPr>
      <w:r>
        <w:rPr>
          <w:color w:val="000000"/>
          <w:bdr w:val="nil"/>
        </w:rPr>
        <w:t xml:space="preserve">Working with other ACT Government </w:t>
      </w:r>
      <w:r w:rsidR="00332931">
        <w:rPr>
          <w:color w:val="000000"/>
          <w:bdr w:val="nil"/>
        </w:rPr>
        <w:t xml:space="preserve">Directorates </w:t>
      </w:r>
      <w:r>
        <w:rPr>
          <w:color w:val="000000"/>
          <w:bdr w:val="nil"/>
        </w:rPr>
        <w:t xml:space="preserve">to procure and deliver capital works projects including schools, health infrastructure, major </w:t>
      </w:r>
      <w:proofErr w:type="gramStart"/>
      <w:r>
        <w:rPr>
          <w:color w:val="000000"/>
          <w:bdr w:val="nil"/>
        </w:rPr>
        <w:t>roads</w:t>
      </w:r>
      <w:proofErr w:type="gramEnd"/>
      <w:r>
        <w:rPr>
          <w:color w:val="000000"/>
          <w:bdr w:val="nil"/>
        </w:rPr>
        <w:t xml:space="preserve"> and other transport infrastructure.</w:t>
      </w:r>
    </w:p>
    <w:p w14:paraId="3B7DE950" w14:textId="31E0453C" w:rsidR="006E72F1" w:rsidRDefault="00900E2D" w:rsidP="006E72F1">
      <w:pPr>
        <w:pStyle w:val="BSbullet140"/>
        <w:pBdr>
          <w:top w:val="nil"/>
          <w:left w:val="nil"/>
          <w:bottom w:val="nil"/>
          <w:right w:val="nil"/>
          <w:between w:val="nil"/>
          <w:bar w:val="nil"/>
        </w:pBdr>
        <w:ind w:left="0" w:firstLine="0"/>
        <w:jc w:val="both"/>
        <w:rPr>
          <w:color w:val="000000"/>
          <w:bdr w:val="nil"/>
        </w:rPr>
      </w:pPr>
      <w:r>
        <w:rPr>
          <w:bdr w:val="nil"/>
        </w:rPr>
        <w:t xml:space="preserve">Major Projects Canberra will achieve this by developing the capacity to deliver significant infrastructure for the Territory and by working closely with other agencies </w:t>
      </w:r>
      <w:r w:rsidR="00FE438F">
        <w:rPr>
          <w:bdr w:val="nil"/>
        </w:rPr>
        <w:t xml:space="preserve">and external stakeholders </w:t>
      </w:r>
      <w:r>
        <w:rPr>
          <w:bdr w:val="nil"/>
        </w:rPr>
        <w:t>in the delivery of their capital works programs.</w:t>
      </w:r>
    </w:p>
    <w:p w14:paraId="686C754E" w14:textId="77777777" w:rsidR="006E72F1" w:rsidRDefault="00900E2D" w:rsidP="006E72F1">
      <w:pPr>
        <w:pStyle w:val="Heading4"/>
        <w:pBdr>
          <w:top w:val="nil"/>
          <w:left w:val="nil"/>
          <w:bottom w:val="nil"/>
          <w:right w:val="nil"/>
          <w:between w:val="nil"/>
          <w:bar w:val="nil"/>
        </w:pBdr>
        <w:jc w:val="both"/>
        <w:rPr>
          <w:b w:val="0"/>
          <w:bCs/>
          <w:i w:val="0"/>
          <w:iCs/>
          <w:color w:val="000000"/>
          <w:bdr w:val="nil"/>
        </w:rPr>
      </w:pPr>
      <w:r>
        <w:rPr>
          <w:bdr w:val="nil"/>
        </w:rPr>
        <w:t xml:space="preserve">Strategic Indicator 1a: </w:t>
      </w:r>
      <w:r>
        <w:rPr>
          <w:b w:val="0"/>
          <w:bCs/>
          <w:i w:val="0"/>
          <w:iCs/>
          <w:color w:val="000000"/>
          <w:bdr w:val="nil"/>
        </w:rPr>
        <w:t>Significant milestones are met for designated major projects managed by Major Projects Canberra.</w:t>
      </w:r>
    </w:p>
    <w:p w14:paraId="23DD29F9" w14:textId="77777777" w:rsidR="006E72F1" w:rsidRDefault="00900E2D" w:rsidP="006E72F1">
      <w:pPr>
        <w:pBdr>
          <w:top w:val="nil"/>
          <w:left w:val="nil"/>
          <w:bottom w:val="nil"/>
          <w:right w:val="nil"/>
          <w:between w:val="nil"/>
          <w:bar w:val="nil"/>
        </w:pBdr>
        <w:jc w:val="both"/>
        <w:rPr>
          <w:bdr w:val="nil"/>
        </w:rPr>
      </w:pPr>
      <w:r>
        <w:rPr>
          <w:b/>
          <w:i/>
          <w:bdr w:val="nil"/>
        </w:rPr>
        <w:t>Strategic Indicator 1b:</w:t>
      </w:r>
      <w:r>
        <w:rPr>
          <w:bdr w:val="nil"/>
        </w:rPr>
        <w:t xml:space="preserve"> Major Projects Canberra supports other Directorates in the procurement and delivery of their capital works projects on time and within budget.</w:t>
      </w:r>
    </w:p>
    <w:p w14:paraId="769FF9DD" w14:textId="77777777" w:rsidR="006E72F1" w:rsidRDefault="00900E2D" w:rsidP="006E72F1">
      <w:pPr>
        <w:pBdr>
          <w:top w:val="nil"/>
          <w:left w:val="nil"/>
          <w:bottom w:val="nil"/>
          <w:right w:val="nil"/>
          <w:between w:val="nil"/>
          <w:bar w:val="nil"/>
        </w:pBdr>
        <w:jc w:val="both"/>
        <w:rPr>
          <w:bdr w:val="nil"/>
        </w:rPr>
      </w:pPr>
      <w:r>
        <w:rPr>
          <w:b/>
          <w:i/>
          <w:bdr w:val="nil"/>
        </w:rPr>
        <w:t>Strategic Indicator 1c:</w:t>
      </w:r>
      <w:r>
        <w:rPr>
          <w:bdr w:val="nil"/>
        </w:rPr>
        <w:t xml:space="preserve"> Capital works projects procured and delivered by Major Projects Canberra comply with work health and safety requirements and contractors meet ethical and labour standards in accordance with the Secure Local Jobs Code.</w:t>
      </w:r>
    </w:p>
    <w:p w14:paraId="72418D44" w14:textId="77777777" w:rsidR="006E72F1" w:rsidRDefault="00900E2D" w:rsidP="006E72F1">
      <w:pPr>
        <w:pStyle w:val="Heading2"/>
        <w:pageBreakBefore/>
        <w:pBdr>
          <w:top w:val="nil"/>
          <w:left w:val="nil"/>
          <w:bottom w:val="nil"/>
          <w:right w:val="nil"/>
          <w:between w:val="nil"/>
          <w:bar w:val="nil"/>
        </w:pBdr>
        <w:rPr>
          <w:bdr w:val="nil"/>
        </w:rPr>
      </w:pPr>
      <w:bookmarkStart w:id="9" w:name="_Toc452467799"/>
      <w:r>
        <w:rPr>
          <w:bdr w:val="nil"/>
        </w:rPr>
        <w:lastRenderedPageBreak/>
        <w:t>Output Class</w:t>
      </w:r>
      <w:bookmarkEnd w:id="9"/>
    </w:p>
    <w:p w14:paraId="57D55ED1" w14:textId="77777777" w:rsidR="006E72F1" w:rsidRDefault="00900E2D" w:rsidP="006E72F1">
      <w:pPr>
        <w:pStyle w:val="Normal30"/>
        <w:pBdr>
          <w:top w:val="nil"/>
          <w:left w:val="nil"/>
          <w:bottom w:val="nil"/>
          <w:right w:val="nil"/>
          <w:between w:val="nil"/>
          <w:bar w:val="nil"/>
        </w:pBdr>
        <w:jc w:val="both"/>
        <w:rPr>
          <w:bdr w:val="nil"/>
        </w:rPr>
      </w:pPr>
      <w:r>
        <w:rPr>
          <w:rFonts w:cs="Calibri"/>
          <w:color w:val="000000"/>
          <w:bdr w:val="nil"/>
          <w:lang w:eastAsia="en-AU"/>
        </w:rPr>
        <w:t xml:space="preserve">Major Projects Canberra </w:t>
      </w:r>
      <w:r>
        <w:rPr>
          <w:bdr w:val="nil"/>
        </w:rPr>
        <w:t>builds infrastructure for our community that helps make Canberra the world’s most liveable city.</w:t>
      </w:r>
    </w:p>
    <w:p w14:paraId="2FA34E2B" w14:textId="77777777" w:rsidR="006E72F1" w:rsidRDefault="00900E2D" w:rsidP="006E72F1">
      <w:pPr>
        <w:pStyle w:val="Normal30"/>
        <w:pBdr>
          <w:top w:val="nil"/>
          <w:left w:val="nil"/>
          <w:bottom w:val="nil"/>
          <w:right w:val="nil"/>
          <w:between w:val="nil"/>
          <w:bar w:val="nil"/>
        </w:pBdr>
        <w:jc w:val="both"/>
        <w:rPr>
          <w:rFonts w:cs="Calibri"/>
          <w:color w:val="000000"/>
          <w:bdr w:val="nil"/>
          <w:lang w:eastAsia="en-AU"/>
        </w:rPr>
      </w:pPr>
      <w:r>
        <w:rPr>
          <w:rFonts w:cs="Calibri"/>
          <w:color w:val="000000"/>
          <w:bdr w:val="nil"/>
          <w:lang w:eastAsia="en-AU"/>
        </w:rPr>
        <w:t>Major Projects Canberra will:</w:t>
      </w:r>
    </w:p>
    <w:p w14:paraId="26FAA416" w14:textId="77777777" w:rsidR="006E72F1" w:rsidRDefault="00900E2D" w:rsidP="006E72F1">
      <w:pPr>
        <w:pStyle w:val="BSbullet140"/>
        <w:numPr>
          <w:ilvl w:val="0"/>
          <w:numId w:val="6"/>
        </w:numPr>
        <w:pBdr>
          <w:top w:val="nil"/>
          <w:left w:val="nil"/>
          <w:bottom w:val="nil"/>
          <w:right w:val="nil"/>
          <w:between w:val="nil"/>
          <w:bar w:val="nil"/>
        </w:pBdr>
        <w:jc w:val="both"/>
        <w:rPr>
          <w:color w:val="000000"/>
          <w:bdr w:val="nil"/>
        </w:rPr>
      </w:pPr>
      <w:r>
        <w:rPr>
          <w:color w:val="000000"/>
          <w:bdr w:val="nil"/>
        </w:rPr>
        <w:t>Procure and deliver infrastructure projects designated by the Government as major projects;</w:t>
      </w:r>
    </w:p>
    <w:p w14:paraId="78759902" w14:textId="7492A666" w:rsidR="006E72F1" w:rsidRDefault="00900E2D" w:rsidP="006E72F1">
      <w:pPr>
        <w:pStyle w:val="BSbullet140"/>
        <w:numPr>
          <w:ilvl w:val="0"/>
          <w:numId w:val="6"/>
        </w:numPr>
        <w:pBdr>
          <w:top w:val="nil"/>
          <w:left w:val="nil"/>
          <w:bottom w:val="nil"/>
          <w:right w:val="nil"/>
          <w:between w:val="nil"/>
          <w:bar w:val="nil"/>
        </w:pBdr>
        <w:jc w:val="both"/>
        <w:rPr>
          <w:color w:val="000000"/>
          <w:bdr w:val="nil"/>
        </w:rPr>
      </w:pPr>
      <w:r>
        <w:rPr>
          <w:color w:val="000000"/>
          <w:bdr w:val="nil"/>
        </w:rPr>
        <w:t xml:space="preserve">Deliver capital works projects in partnership with other ACT Government </w:t>
      </w:r>
      <w:r w:rsidR="0009344A">
        <w:rPr>
          <w:color w:val="000000"/>
          <w:bdr w:val="nil"/>
        </w:rPr>
        <w:t xml:space="preserve">Directorates </w:t>
      </w:r>
      <w:r>
        <w:rPr>
          <w:color w:val="000000"/>
          <w:bdr w:val="nil"/>
        </w:rPr>
        <w:t xml:space="preserve">and </w:t>
      </w:r>
      <w:proofErr w:type="gramStart"/>
      <w:r>
        <w:rPr>
          <w:color w:val="000000"/>
          <w:bdr w:val="nil"/>
        </w:rPr>
        <w:t>agencies;</w:t>
      </w:r>
      <w:proofErr w:type="gramEnd"/>
    </w:p>
    <w:p w14:paraId="527BEAB2" w14:textId="77777777" w:rsidR="006E72F1" w:rsidRDefault="00900E2D" w:rsidP="006E72F1">
      <w:pPr>
        <w:pStyle w:val="BSbullet140"/>
        <w:numPr>
          <w:ilvl w:val="0"/>
          <w:numId w:val="6"/>
        </w:numPr>
        <w:pBdr>
          <w:top w:val="nil"/>
          <w:left w:val="nil"/>
          <w:bottom w:val="nil"/>
          <w:right w:val="nil"/>
          <w:between w:val="nil"/>
          <w:bar w:val="nil"/>
        </w:pBdr>
        <w:jc w:val="both"/>
        <w:rPr>
          <w:color w:val="000000"/>
          <w:bdr w:val="nil"/>
        </w:rPr>
      </w:pPr>
      <w:r>
        <w:rPr>
          <w:color w:val="000000"/>
          <w:bdr w:val="nil"/>
        </w:rPr>
        <w:t xml:space="preserve">Provide project management and reporting, superintendency of works and WHS Active Certification services; </w:t>
      </w:r>
    </w:p>
    <w:p w14:paraId="76E78A00" w14:textId="77777777" w:rsidR="006E72F1" w:rsidRDefault="00900E2D" w:rsidP="006E72F1">
      <w:pPr>
        <w:pStyle w:val="BSbullet140"/>
        <w:numPr>
          <w:ilvl w:val="0"/>
          <w:numId w:val="6"/>
        </w:numPr>
        <w:pBdr>
          <w:top w:val="nil"/>
          <w:left w:val="nil"/>
          <w:bottom w:val="nil"/>
          <w:right w:val="nil"/>
          <w:between w:val="nil"/>
          <w:bar w:val="nil"/>
        </w:pBdr>
        <w:jc w:val="both"/>
        <w:rPr>
          <w:color w:val="000000"/>
          <w:bdr w:val="nil"/>
        </w:rPr>
      </w:pPr>
      <w:r>
        <w:rPr>
          <w:color w:val="000000"/>
          <w:bdr w:val="nil"/>
        </w:rPr>
        <w:t>Enable the Office of the ACT Chief Engineer and develop the ACT Government’s engineering workforce; and</w:t>
      </w:r>
    </w:p>
    <w:p w14:paraId="2BA60BF3" w14:textId="77777777" w:rsidR="006E72F1" w:rsidRDefault="00900E2D" w:rsidP="006E72F1">
      <w:pPr>
        <w:pStyle w:val="BSbullet140"/>
        <w:numPr>
          <w:ilvl w:val="0"/>
          <w:numId w:val="6"/>
        </w:numPr>
        <w:pBdr>
          <w:top w:val="nil"/>
          <w:left w:val="nil"/>
          <w:bottom w:val="nil"/>
          <w:right w:val="nil"/>
          <w:between w:val="nil"/>
          <w:bar w:val="nil"/>
        </w:pBdr>
        <w:jc w:val="both"/>
        <w:rPr>
          <w:color w:val="000000"/>
          <w:bdr w:val="nil"/>
        </w:rPr>
      </w:pPr>
      <w:r>
        <w:rPr>
          <w:color w:val="000000"/>
          <w:bdr w:val="nil"/>
        </w:rPr>
        <w:t>Deliver whole of government services, including contractor pre-qualification.</w:t>
      </w:r>
    </w:p>
    <w:p w14:paraId="1C253D20" w14:textId="77777777" w:rsidR="006E72F1" w:rsidRDefault="00900E2D" w:rsidP="006E72F1">
      <w:pPr>
        <w:pStyle w:val="Heading3"/>
        <w:pBdr>
          <w:top w:val="nil"/>
          <w:left w:val="nil"/>
          <w:bottom w:val="nil"/>
          <w:right w:val="nil"/>
          <w:between w:val="nil"/>
          <w:bar w:val="nil"/>
        </w:pBdr>
        <w:rPr>
          <w:bdr w:val="nil"/>
        </w:rPr>
      </w:pPr>
      <w:r>
        <w:rPr>
          <w:bdr w:val="nil"/>
        </w:rPr>
        <w:t xml:space="preserve">Output Class 1: </w:t>
      </w:r>
      <w:r w:rsidRPr="00446921">
        <w:rPr>
          <w:bdr w:val="nil"/>
        </w:rPr>
        <w:t>Major Projects Canberra</w:t>
      </w:r>
    </w:p>
    <w:p w14:paraId="5BA6B1EA" w14:textId="77777777" w:rsidR="006E72F1" w:rsidRDefault="00900E2D" w:rsidP="006E72F1">
      <w:pPr>
        <w:pStyle w:val="Caption"/>
        <w:pBdr>
          <w:top w:val="nil"/>
          <w:left w:val="nil"/>
          <w:bottom w:val="nil"/>
          <w:right w:val="nil"/>
          <w:between w:val="nil"/>
          <w:bar w:val="nil"/>
        </w:pBdr>
        <w:rPr>
          <w:bdr w:val="nil"/>
        </w:rPr>
      </w:pPr>
      <w:r w:rsidRPr="00446921">
        <w:rPr>
          <w:bdr w:val="nil"/>
        </w:rPr>
        <w:t xml:space="preserve">Table </w:t>
      </w:r>
      <w:r>
        <w:rPr>
          <w:bdr w:val="nil"/>
        </w:rPr>
        <w:t>2</w:t>
      </w:r>
      <w:r w:rsidRPr="00446921">
        <w:rPr>
          <w:bdr w:val="nil"/>
        </w:rPr>
        <w:t>: Output Class 1: Major Projects Canberra</w:t>
      </w:r>
    </w:p>
    <w:tbl>
      <w:tblPr>
        <w:tblW w:w="9060" w:type="dxa"/>
        <w:tblLayout w:type="fixed"/>
        <w:tblLook w:val="0600" w:firstRow="0" w:lastRow="0" w:firstColumn="0" w:lastColumn="0" w:noHBand="1" w:noVBand="1"/>
      </w:tblPr>
      <w:tblGrid>
        <w:gridCol w:w="4695"/>
        <w:gridCol w:w="540"/>
        <w:gridCol w:w="2175"/>
        <w:gridCol w:w="1650"/>
      </w:tblGrid>
      <w:tr w:rsidR="003036F4" w14:paraId="0218E9D3" w14:textId="77777777" w:rsidTr="004E3699">
        <w:trPr>
          <w:trHeight w:hRule="exact" w:val="240"/>
        </w:trPr>
        <w:tc>
          <w:tcPr>
            <w:tcW w:w="4695" w:type="dxa"/>
            <w:tcBorders>
              <w:top w:val="single" w:sz="12" w:space="0" w:color="000000"/>
              <w:left w:val="nil"/>
              <w:bottom w:val="nil"/>
              <w:right w:val="nil"/>
            </w:tcBorders>
            <w:noWrap/>
            <w:tcMar>
              <w:top w:w="0" w:type="dxa"/>
              <w:left w:w="40" w:type="dxa"/>
              <w:bottom w:w="0" w:type="dxa"/>
              <w:right w:w="40" w:type="dxa"/>
            </w:tcMar>
          </w:tcPr>
          <w:p w14:paraId="25044E2D" w14:textId="77777777" w:rsidR="006E72F1" w:rsidRDefault="006E72F1">
            <w:pPr>
              <w:pStyle w:val="Normal02"/>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12" w:space="0" w:color="000000"/>
              <w:left w:val="nil"/>
              <w:bottom w:val="nil"/>
              <w:right w:val="nil"/>
            </w:tcBorders>
            <w:noWrap/>
            <w:tcMar>
              <w:top w:w="0" w:type="dxa"/>
              <w:left w:w="40" w:type="dxa"/>
              <w:bottom w:w="0" w:type="dxa"/>
              <w:right w:w="40" w:type="dxa"/>
            </w:tcMar>
          </w:tcPr>
          <w:p w14:paraId="3137EAF7" w14:textId="77777777" w:rsidR="006E72F1" w:rsidRDefault="006E72F1">
            <w:pPr>
              <w:pStyle w:val="Normal02"/>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12" w:space="0" w:color="000000"/>
              <w:left w:val="nil"/>
              <w:bottom w:val="nil"/>
              <w:right w:val="nil"/>
            </w:tcBorders>
            <w:noWrap/>
            <w:tcMar>
              <w:top w:w="0" w:type="dxa"/>
              <w:left w:w="40" w:type="dxa"/>
              <w:bottom w:w="0" w:type="dxa"/>
              <w:right w:w="40" w:type="dxa"/>
            </w:tcMar>
            <w:hideMark/>
          </w:tcPr>
          <w:p w14:paraId="493DDEAC" w14:textId="39068653" w:rsidR="006E72F1" w:rsidRDefault="00332931">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12" w:space="0" w:color="000000"/>
              <w:left w:val="nil"/>
              <w:bottom w:val="nil"/>
              <w:right w:val="nil"/>
            </w:tcBorders>
            <w:noWrap/>
            <w:tcMar>
              <w:top w:w="0" w:type="dxa"/>
              <w:left w:w="40" w:type="dxa"/>
              <w:bottom w:w="0" w:type="dxa"/>
              <w:right w:w="40" w:type="dxa"/>
            </w:tcMar>
            <w:hideMark/>
          </w:tcPr>
          <w:p w14:paraId="65943743" w14:textId="4A5BEDF3" w:rsidR="006E72F1" w:rsidRDefault="00332931">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3036F4" w14:paraId="58B9539C" w14:textId="77777777" w:rsidTr="006E72F1">
        <w:trPr>
          <w:trHeight w:hRule="exact" w:val="240"/>
        </w:trPr>
        <w:tc>
          <w:tcPr>
            <w:tcW w:w="4695" w:type="dxa"/>
            <w:noWrap/>
            <w:tcMar>
              <w:top w:w="0" w:type="dxa"/>
              <w:left w:w="40" w:type="dxa"/>
              <w:bottom w:w="0" w:type="dxa"/>
              <w:right w:w="40" w:type="dxa"/>
            </w:tcMar>
          </w:tcPr>
          <w:p w14:paraId="10CEE706" w14:textId="77777777" w:rsidR="006E72F1" w:rsidRDefault="006E72F1">
            <w:pPr>
              <w:pStyle w:val="Normal02"/>
              <w:pBdr>
                <w:top w:val="nil"/>
                <w:left w:val="nil"/>
                <w:bottom w:val="nil"/>
                <w:right w:val="nil"/>
                <w:between w:val="nil"/>
                <w:bar w:val="nil"/>
              </w:pBdr>
              <w:spacing w:before="0" w:after="0"/>
              <w:rPr>
                <w:rFonts w:eastAsia="Calibri" w:cs="Calibri"/>
                <w:color w:val="000000"/>
                <w:sz w:val="18"/>
                <w:bdr w:val="nil"/>
              </w:rPr>
            </w:pPr>
          </w:p>
        </w:tc>
        <w:tc>
          <w:tcPr>
            <w:tcW w:w="540" w:type="dxa"/>
            <w:noWrap/>
            <w:tcMar>
              <w:top w:w="0" w:type="dxa"/>
              <w:left w:w="40" w:type="dxa"/>
              <w:bottom w:w="0" w:type="dxa"/>
              <w:right w:w="40" w:type="dxa"/>
            </w:tcMar>
          </w:tcPr>
          <w:p w14:paraId="6C817A77" w14:textId="77777777" w:rsidR="006E72F1" w:rsidRDefault="006E72F1">
            <w:pPr>
              <w:pStyle w:val="Normal02"/>
              <w:pBdr>
                <w:top w:val="nil"/>
                <w:left w:val="nil"/>
                <w:bottom w:val="nil"/>
                <w:right w:val="nil"/>
                <w:between w:val="nil"/>
                <w:bar w:val="nil"/>
              </w:pBdr>
              <w:spacing w:before="0" w:after="0"/>
              <w:rPr>
                <w:rFonts w:eastAsia="Calibri" w:cs="Calibri"/>
                <w:color w:val="000000"/>
                <w:sz w:val="18"/>
                <w:bdr w:val="nil"/>
              </w:rPr>
            </w:pPr>
          </w:p>
        </w:tc>
        <w:tc>
          <w:tcPr>
            <w:tcW w:w="2175" w:type="dxa"/>
            <w:noWrap/>
            <w:tcMar>
              <w:top w:w="0" w:type="dxa"/>
              <w:left w:w="40" w:type="dxa"/>
              <w:bottom w:w="0" w:type="dxa"/>
              <w:right w:w="40" w:type="dxa"/>
            </w:tcMar>
            <w:hideMark/>
          </w:tcPr>
          <w:p w14:paraId="3E441B4B" w14:textId="77777777" w:rsidR="006E72F1" w:rsidRDefault="00900E2D">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noWrap/>
            <w:tcMar>
              <w:top w:w="0" w:type="dxa"/>
              <w:left w:w="40" w:type="dxa"/>
              <w:bottom w:w="0" w:type="dxa"/>
              <w:right w:w="40" w:type="dxa"/>
            </w:tcMar>
            <w:hideMark/>
          </w:tcPr>
          <w:p w14:paraId="55D7F405" w14:textId="77777777" w:rsidR="006E72F1" w:rsidRDefault="00900E2D">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3036F4" w14:paraId="775BFD1F" w14:textId="77777777" w:rsidTr="006E72F1">
        <w:trPr>
          <w:trHeight w:hRule="exact" w:val="300"/>
        </w:trPr>
        <w:tc>
          <w:tcPr>
            <w:tcW w:w="4695" w:type="dxa"/>
            <w:tcBorders>
              <w:top w:val="nil"/>
              <w:left w:val="nil"/>
              <w:bottom w:val="single" w:sz="4" w:space="0" w:color="000000"/>
              <w:right w:val="nil"/>
            </w:tcBorders>
            <w:noWrap/>
            <w:tcMar>
              <w:top w:w="0" w:type="dxa"/>
              <w:left w:w="40" w:type="dxa"/>
              <w:bottom w:w="0" w:type="dxa"/>
              <w:right w:w="40" w:type="dxa"/>
            </w:tcMar>
          </w:tcPr>
          <w:p w14:paraId="58C961CF" w14:textId="77777777" w:rsidR="006E72F1" w:rsidRDefault="006E72F1">
            <w:pPr>
              <w:pStyle w:val="Normal02"/>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cBorders>
            <w:noWrap/>
            <w:tcMar>
              <w:top w:w="0" w:type="dxa"/>
              <w:left w:w="40" w:type="dxa"/>
              <w:bottom w:w="0" w:type="dxa"/>
              <w:right w:w="40" w:type="dxa"/>
            </w:tcMar>
          </w:tcPr>
          <w:p w14:paraId="40BA2FBF" w14:textId="77777777" w:rsidR="006E72F1" w:rsidRDefault="006E72F1">
            <w:pPr>
              <w:pStyle w:val="Normal02"/>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cBorders>
            <w:noWrap/>
            <w:tcMar>
              <w:top w:w="0" w:type="dxa"/>
              <w:left w:w="40" w:type="dxa"/>
              <w:bottom w:w="0" w:type="dxa"/>
              <w:right w:w="40" w:type="dxa"/>
            </w:tcMar>
            <w:hideMark/>
          </w:tcPr>
          <w:p w14:paraId="41C67B4B" w14:textId="77777777" w:rsidR="006E72F1" w:rsidRDefault="00900E2D">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cBorders>
            <w:noWrap/>
            <w:tcMar>
              <w:top w:w="0" w:type="dxa"/>
              <w:left w:w="40" w:type="dxa"/>
              <w:bottom w:w="0" w:type="dxa"/>
              <w:right w:w="40" w:type="dxa"/>
            </w:tcMar>
            <w:hideMark/>
          </w:tcPr>
          <w:p w14:paraId="7674BBF8" w14:textId="77777777" w:rsidR="006E72F1" w:rsidRDefault="00900E2D">
            <w:pPr>
              <w:pStyle w:val="Normal02"/>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3036F4" w14:paraId="319BD2DB" w14:textId="77777777" w:rsidTr="006E72F1">
        <w:trPr>
          <w:trHeight w:hRule="exact" w:val="240"/>
        </w:trPr>
        <w:tc>
          <w:tcPr>
            <w:tcW w:w="4695" w:type="dxa"/>
            <w:tcBorders>
              <w:top w:val="single" w:sz="4" w:space="0" w:color="000000"/>
              <w:left w:val="nil"/>
              <w:bottom w:val="nil"/>
              <w:right w:val="nil"/>
            </w:tcBorders>
            <w:noWrap/>
            <w:tcMar>
              <w:top w:w="0" w:type="dxa"/>
              <w:left w:w="40" w:type="dxa"/>
              <w:bottom w:w="0" w:type="dxa"/>
              <w:right w:w="40" w:type="dxa"/>
            </w:tcMar>
            <w:hideMark/>
          </w:tcPr>
          <w:p w14:paraId="1F0A7AFC" w14:textId="77777777" w:rsidR="006E72F1" w:rsidRPr="004A76A6" w:rsidRDefault="00900E2D">
            <w:pPr>
              <w:pStyle w:val="Normal02"/>
              <w:pBdr>
                <w:top w:val="nil"/>
                <w:left w:val="nil"/>
                <w:bottom w:val="nil"/>
                <w:right w:val="nil"/>
                <w:between w:val="nil"/>
                <w:bar w:val="nil"/>
              </w:pBdr>
              <w:spacing w:before="0" w:after="0"/>
              <w:rPr>
                <w:rFonts w:eastAsia="Calibri" w:cs="Calibri"/>
                <w:color w:val="000000"/>
                <w:sz w:val="18"/>
                <w:bdr w:val="nil"/>
                <w:vertAlign w:val="superscript"/>
              </w:rPr>
            </w:pPr>
            <w:r>
              <w:rPr>
                <w:rFonts w:eastAsia="Calibri" w:cs="Calibri"/>
                <w:color w:val="000000"/>
                <w:sz w:val="18"/>
                <w:bdr w:val="nil"/>
              </w:rPr>
              <w:t>Total Cost</w:t>
            </w:r>
            <w:r>
              <w:rPr>
                <w:rFonts w:eastAsia="Calibri" w:cs="Calibri"/>
                <w:color w:val="000000"/>
                <w:sz w:val="18"/>
                <w:bdr w:val="nil"/>
                <w:vertAlign w:val="superscript"/>
              </w:rPr>
              <w:t>1</w:t>
            </w:r>
          </w:p>
        </w:tc>
        <w:tc>
          <w:tcPr>
            <w:tcW w:w="540" w:type="dxa"/>
            <w:tcBorders>
              <w:top w:val="single" w:sz="4" w:space="0" w:color="000000"/>
              <w:left w:val="nil"/>
              <w:bottom w:val="nil"/>
              <w:right w:val="nil"/>
            </w:tcBorders>
            <w:noWrap/>
            <w:tcMar>
              <w:top w:w="0" w:type="dxa"/>
              <w:left w:w="40" w:type="dxa"/>
              <w:bottom w:w="0" w:type="dxa"/>
              <w:right w:w="40" w:type="dxa"/>
            </w:tcMar>
          </w:tcPr>
          <w:p w14:paraId="701CDE99" w14:textId="77777777" w:rsidR="006E72F1" w:rsidRDefault="006E72F1">
            <w:pPr>
              <w:pStyle w:val="Normal02"/>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cBorders>
            <w:noWrap/>
            <w:tcMar>
              <w:top w:w="0" w:type="dxa"/>
              <w:left w:w="40" w:type="dxa"/>
              <w:bottom w:w="0" w:type="dxa"/>
              <w:right w:w="40" w:type="dxa"/>
            </w:tcMar>
          </w:tcPr>
          <w:p w14:paraId="1E94979C" w14:textId="77777777" w:rsidR="006E72F1" w:rsidRDefault="00900E2D">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32 948</w:t>
            </w:r>
          </w:p>
        </w:tc>
        <w:tc>
          <w:tcPr>
            <w:tcW w:w="1650" w:type="dxa"/>
            <w:tcBorders>
              <w:top w:val="single" w:sz="4" w:space="0" w:color="000000"/>
              <w:left w:val="nil"/>
              <w:bottom w:val="nil"/>
              <w:right w:val="nil"/>
            </w:tcBorders>
            <w:noWrap/>
            <w:tcMar>
              <w:top w:w="0" w:type="dxa"/>
              <w:left w:w="40" w:type="dxa"/>
              <w:bottom w:w="0" w:type="dxa"/>
              <w:right w:w="40" w:type="dxa"/>
            </w:tcMar>
          </w:tcPr>
          <w:p w14:paraId="4588F13F" w14:textId="77777777" w:rsidR="006E72F1" w:rsidRDefault="00900E2D" w:rsidP="006E72F1">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31 389</w:t>
            </w:r>
          </w:p>
        </w:tc>
      </w:tr>
      <w:tr w:rsidR="003036F4" w14:paraId="35872727" w14:textId="77777777" w:rsidTr="004E3699">
        <w:trPr>
          <w:trHeight w:hRule="exact" w:val="300"/>
        </w:trPr>
        <w:tc>
          <w:tcPr>
            <w:tcW w:w="4695" w:type="dxa"/>
            <w:tcBorders>
              <w:top w:val="nil"/>
              <w:left w:val="nil"/>
              <w:bottom w:val="single" w:sz="12" w:space="0" w:color="000000"/>
              <w:right w:val="nil"/>
            </w:tcBorders>
            <w:noWrap/>
            <w:tcMar>
              <w:top w:w="0" w:type="dxa"/>
              <w:left w:w="40" w:type="dxa"/>
              <w:bottom w:w="0" w:type="dxa"/>
              <w:right w:w="40" w:type="dxa"/>
            </w:tcMar>
            <w:hideMark/>
          </w:tcPr>
          <w:p w14:paraId="41F4F4A6" w14:textId="77777777" w:rsidR="006E72F1" w:rsidRPr="004A76A6" w:rsidRDefault="00900E2D">
            <w:pPr>
              <w:pStyle w:val="Normal02"/>
              <w:pBdr>
                <w:top w:val="nil"/>
                <w:left w:val="nil"/>
                <w:bottom w:val="nil"/>
                <w:right w:val="nil"/>
                <w:between w:val="nil"/>
                <w:bar w:val="nil"/>
              </w:pBdr>
              <w:spacing w:before="0" w:after="0"/>
              <w:rPr>
                <w:rFonts w:eastAsia="Calibri" w:cs="Calibri"/>
                <w:color w:val="000000"/>
                <w:sz w:val="18"/>
                <w:bdr w:val="nil"/>
                <w:vertAlign w:val="superscript"/>
              </w:rPr>
            </w:pPr>
            <w:r>
              <w:rPr>
                <w:rFonts w:eastAsia="Calibri" w:cs="Calibri"/>
                <w:color w:val="000000"/>
                <w:sz w:val="18"/>
                <w:bdr w:val="nil"/>
              </w:rPr>
              <w:t>Controlled Recurrent Payments</w:t>
            </w:r>
            <w:r>
              <w:rPr>
                <w:rFonts w:eastAsia="Calibri" w:cs="Calibri"/>
                <w:color w:val="000000"/>
                <w:sz w:val="18"/>
                <w:bdr w:val="nil"/>
                <w:vertAlign w:val="superscript"/>
              </w:rPr>
              <w:t>2</w:t>
            </w:r>
          </w:p>
        </w:tc>
        <w:tc>
          <w:tcPr>
            <w:tcW w:w="540" w:type="dxa"/>
            <w:tcBorders>
              <w:top w:val="nil"/>
              <w:left w:val="nil"/>
              <w:bottom w:val="single" w:sz="12" w:space="0" w:color="000000"/>
              <w:right w:val="nil"/>
            </w:tcBorders>
            <w:noWrap/>
            <w:tcMar>
              <w:top w:w="0" w:type="dxa"/>
              <w:left w:w="40" w:type="dxa"/>
              <w:bottom w:w="0" w:type="dxa"/>
              <w:right w:w="40" w:type="dxa"/>
            </w:tcMar>
          </w:tcPr>
          <w:p w14:paraId="6D5A5D04" w14:textId="77777777" w:rsidR="006E72F1" w:rsidRDefault="006E72F1">
            <w:pPr>
              <w:pStyle w:val="Normal02"/>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12" w:space="0" w:color="000000"/>
              <w:right w:val="nil"/>
            </w:tcBorders>
            <w:noWrap/>
            <w:tcMar>
              <w:top w:w="0" w:type="dxa"/>
              <w:left w:w="40" w:type="dxa"/>
              <w:bottom w:w="0" w:type="dxa"/>
              <w:right w:w="40" w:type="dxa"/>
            </w:tcMar>
          </w:tcPr>
          <w:p w14:paraId="3EAF650E" w14:textId="77777777" w:rsidR="006E72F1" w:rsidRDefault="00900E2D">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11 200</w:t>
            </w:r>
          </w:p>
        </w:tc>
        <w:tc>
          <w:tcPr>
            <w:tcW w:w="1650" w:type="dxa"/>
            <w:tcBorders>
              <w:top w:val="nil"/>
              <w:left w:val="nil"/>
              <w:bottom w:val="single" w:sz="12" w:space="0" w:color="000000"/>
              <w:right w:val="nil"/>
            </w:tcBorders>
            <w:noWrap/>
            <w:tcMar>
              <w:top w:w="0" w:type="dxa"/>
              <w:left w:w="40" w:type="dxa"/>
              <w:bottom w:w="0" w:type="dxa"/>
              <w:right w:w="40" w:type="dxa"/>
            </w:tcMar>
          </w:tcPr>
          <w:p w14:paraId="69C494A3" w14:textId="77777777" w:rsidR="006E72F1" w:rsidRDefault="00900E2D" w:rsidP="006E72F1">
            <w:pPr>
              <w:pStyle w:val="Normal02"/>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7 650</w:t>
            </w:r>
          </w:p>
        </w:tc>
      </w:tr>
    </w:tbl>
    <w:p w14:paraId="1CF5D943" w14:textId="55FD0EBD" w:rsidR="006E72F1" w:rsidRDefault="00900E2D" w:rsidP="006E72F1">
      <w:pPr>
        <w:pStyle w:val="BSnote0"/>
        <w:pBdr>
          <w:top w:val="nil"/>
          <w:left w:val="nil"/>
          <w:bottom w:val="nil"/>
          <w:right w:val="nil"/>
          <w:between w:val="nil"/>
          <w:bar w:val="nil"/>
        </w:pBdr>
        <w:rPr>
          <w:bdr w:val="nil"/>
        </w:rPr>
      </w:pPr>
      <w:r>
        <w:rPr>
          <w:bdr w:val="nil"/>
        </w:rPr>
        <w:t>Note</w:t>
      </w:r>
      <w:r w:rsidR="004E3699">
        <w:rPr>
          <w:bdr w:val="nil"/>
        </w:rPr>
        <w:t>s</w:t>
      </w:r>
      <w:r>
        <w:rPr>
          <w:bdr w:val="nil"/>
        </w:rPr>
        <w:t>:</w:t>
      </w:r>
    </w:p>
    <w:p w14:paraId="1E9CADDE" w14:textId="61C75BF4" w:rsidR="006E72F1" w:rsidRDefault="00900E2D" w:rsidP="006E72F1">
      <w:pPr>
        <w:pStyle w:val="BSnoteslist1"/>
        <w:numPr>
          <w:ilvl w:val="0"/>
          <w:numId w:val="8"/>
        </w:numPr>
        <w:pBdr>
          <w:top w:val="nil"/>
          <w:left w:val="nil"/>
          <w:bottom w:val="nil"/>
          <w:right w:val="nil"/>
          <w:between w:val="nil"/>
          <w:bar w:val="nil"/>
        </w:pBdr>
        <w:jc w:val="both"/>
        <w:rPr>
          <w:bdr w:val="nil"/>
        </w:rPr>
      </w:pPr>
      <w:r>
        <w:rPr>
          <w:bdr w:val="nil"/>
        </w:rPr>
        <w:t xml:space="preserve">Total cost </w:t>
      </w:r>
      <w:r w:rsidRPr="00250755">
        <w:rPr>
          <w:szCs w:val="16"/>
          <w:bdr w:val="nil"/>
        </w:rPr>
        <w:t>includes</w:t>
      </w:r>
      <w:r>
        <w:rPr>
          <w:bdr w:val="nil"/>
        </w:rPr>
        <w:t xml:space="preserve"> depreciation and amortisation of $1.466 million in </w:t>
      </w:r>
      <w:r w:rsidR="00332931">
        <w:rPr>
          <w:bdr w:val="nil"/>
        </w:rPr>
        <w:t>2019–20</w:t>
      </w:r>
      <w:r>
        <w:rPr>
          <w:bdr w:val="nil"/>
        </w:rPr>
        <w:t xml:space="preserve"> and $1.334 million in </w:t>
      </w:r>
      <w:r w:rsidR="00332931">
        <w:rPr>
          <w:bdr w:val="nil"/>
        </w:rPr>
        <w:t>2020–21</w:t>
      </w:r>
      <w:r>
        <w:rPr>
          <w:bdr w:val="nil"/>
        </w:rPr>
        <w:t>.</w:t>
      </w:r>
    </w:p>
    <w:p w14:paraId="7BC6DEE8" w14:textId="7A660B5A" w:rsidR="006E72F1" w:rsidRDefault="00900E2D" w:rsidP="006E72F1">
      <w:pPr>
        <w:pStyle w:val="BSnoteslist1"/>
        <w:numPr>
          <w:ilvl w:val="0"/>
          <w:numId w:val="8"/>
        </w:numPr>
        <w:pBdr>
          <w:top w:val="nil"/>
          <w:left w:val="nil"/>
          <w:bottom w:val="nil"/>
          <w:right w:val="nil"/>
          <w:between w:val="nil"/>
          <w:bar w:val="nil"/>
        </w:pBdr>
        <w:jc w:val="both"/>
        <w:rPr>
          <w:bdr w:val="nil"/>
        </w:rPr>
      </w:pPr>
      <w:r>
        <w:rPr>
          <w:bdr w:val="nil"/>
        </w:rPr>
        <w:t xml:space="preserve">The decrease in controlled recurrent payments of $3.550 million in the </w:t>
      </w:r>
      <w:r w:rsidR="00332931">
        <w:rPr>
          <w:bdr w:val="nil"/>
        </w:rPr>
        <w:t>2020–21</w:t>
      </w:r>
      <w:r>
        <w:rPr>
          <w:bdr w:val="nil"/>
        </w:rPr>
        <w:t xml:space="preserve"> Budget from the </w:t>
      </w:r>
      <w:r w:rsidR="00332931">
        <w:rPr>
          <w:bdr w:val="nil"/>
        </w:rPr>
        <w:t>2019–20</w:t>
      </w:r>
      <w:r>
        <w:rPr>
          <w:bdr w:val="nil"/>
        </w:rPr>
        <w:t xml:space="preserve"> audited outcome is primarily due to additional funding received in </w:t>
      </w:r>
      <w:r w:rsidR="00332931">
        <w:rPr>
          <w:bdr w:val="nil"/>
        </w:rPr>
        <w:t>2019–20</w:t>
      </w:r>
      <w:r>
        <w:rPr>
          <w:bdr w:val="nil"/>
        </w:rPr>
        <w:t xml:space="preserve"> to meet immediate cash needs of operations and facilitate a payment to the Chief Minister, Treasury and Economic Development Directorate ($4.700 million) and variations in the controlled recurrent payments requirements for designated project program in </w:t>
      </w:r>
      <w:r w:rsidR="00332931">
        <w:rPr>
          <w:bdr w:val="nil"/>
        </w:rPr>
        <w:t>2020–21</w:t>
      </w:r>
      <w:r>
        <w:rPr>
          <w:bdr w:val="nil"/>
        </w:rPr>
        <w:t xml:space="preserve"> as summarised Table 4 Changes to appropriation – Controlled Recurrent Payments.</w:t>
      </w:r>
    </w:p>
    <w:p w14:paraId="17627281" w14:textId="77777777" w:rsidR="006E72F1" w:rsidRDefault="00900E2D" w:rsidP="006E72F1">
      <w:pPr>
        <w:pStyle w:val="Heading2"/>
        <w:pageBreakBefore/>
        <w:pBdr>
          <w:top w:val="nil"/>
          <w:left w:val="nil"/>
          <w:bottom w:val="nil"/>
          <w:right w:val="nil"/>
          <w:between w:val="nil"/>
          <w:bar w:val="nil"/>
        </w:pBdr>
        <w:rPr>
          <w:bdr w:val="nil"/>
        </w:rPr>
      </w:pPr>
      <w:bookmarkStart w:id="10" w:name="_Toc452467800"/>
      <w:r>
        <w:rPr>
          <w:bdr w:val="nil"/>
        </w:rPr>
        <w:lastRenderedPageBreak/>
        <w:t>Accountability Indicators</w:t>
      </w:r>
      <w:bookmarkEnd w:id="10"/>
    </w:p>
    <w:p w14:paraId="36CF7B08" w14:textId="77777777" w:rsidR="006E72F1" w:rsidRDefault="00900E2D" w:rsidP="006E72F1">
      <w:pPr>
        <w:pBdr>
          <w:top w:val="nil"/>
          <w:left w:val="nil"/>
          <w:bottom w:val="nil"/>
          <w:right w:val="nil"/>
          <w:between w:val="nil"/>
          <w:bar w:val="nil"/>
        </w:pBdr>
        <w:jc w:val="both"/>
        <w:rPr>
          <w:bdr w:val="nil"/>
        </w:rPr>
      </w:pPr>
      <w:r>
        <w:rPr>
          <w:bdr w:val="nil"/>
        </w:rPr>
        <w:t xml:space="preserve">The half yearly performance report (31 December 2020) pursuant to section 30E of the </w:t>
      </w:r>
      <w:r>
        <w:rPr>
          <w:i/>
          <w:iCs/>
          <w:bdr w:val="nil"/>
        </w:rPr>
        <w:t>Financial Management Act 1996</w:t>
      </w:r>
      <w:r>
        <w:rPr>
          <w:bdr w:val="nil"/>
        </w:rPr>
        <w:t xml:space="preserve"> is presented in combination with these budget statements. Contextual information on the output class can be found in the ‘Output Class’ section of this budget statement.</w:t>
      </w:r>
    </w:p>
    <w:p w14:paraId="50AFB646" w14:textId="37CE638C" w:rsidR="006E72F1" w:rsidRDefault="00900E2D" w:rsidP="006E72F1">
      <w:pPr>
        <w:pBdr>
          <w:top w:val="nil"/>
          <w:left w:val="nil"/>
          <w:bottom w:val="nil"/>
          <w:right w:val="nil"/>
          <w:between w:val="nil"/>
          <w:bar w:val="nil"/>
        </w:pBdr>
        <w:jc w:val="both"/>
        <w:rPr>
          <w:i/>
          <w:iCs/>
          <w:bdr w:val="nil"/>
        </w:rPr>
      </w:pPr>
      <w:r>
        <w:rPr>
          <w:bdr w:val="nil"/>
        </w:rPr>
        <w:t xml:space="preserve">Information on the </w:t>
      </w:r>
      <w:r w:rsidR="00332931">
        <w:rPr>
          <w:bdr w:val="nil"/>
        </w:rPr>
        <w:t>2019–20</w:t>
      </w:r>
      <w:r>
        <w:rPr>
          <w:bdr w:val="nil"/>
        </w:rPr>
        <w:t xml:space="preserve"> targets and outcome can be found in the Annual Report at </w:t>
      </w:r>
      <w:hyperlink r:id="rId17" w:history="1">
        <w:r>
          <w:rPr>
            <w:rStyle w:val="Hyperlink"/>
            <w:bdr w:val="nil"/>
          </w:rPr>
          <w:t>https://www.act.gov.au/majorprojectscanberra/resources/publications</w:t>
        </w:r>
      </w:hyperlink>
      <w:r>
        <w:rPr>
          <w:i/>
          <w:iCs/>
          <w:bdr w:val="nil"/>
        </w:rPr>
        <w:t>.</w:t>
      </w:r>
    </w:p>
    <w:p w14:paraId="7FF0897F" w14:textId="77777777" w:rsidR="006E72F1" w:rsidRPr="00E33D44" w:rsidRDefault="00900E2D" w:rsidP="006E72F1">
      <w:pPr>
        <w:pStyle w:val="Heading3"/>
        <w:pBdr>
          <w:top w:val="nil"/>
          <w:left w:val="nil"/>
          <w:bottom w:val="nil"/>
          <w:right w:val="nil"/>
          <w:between w:val="nil"/>
          <w:bar w:val="nil"/>
        </w:pBdr>
        <w:rPr>
          <w:bdr w:val="nil"/>
        </w:rPr>
      </w:pPr>
      <w:r>
        <w:rPr>
          <w:bdr w:val="nil"/>
        </w:rPr>
        <w:t>Output Clas</w:t>
      </w:r>
      <w:r w:rsidRPr="00E33D44">
        <w:rPr>
          <w:bdr w:val="nil"/>
        </w:rPr>
        <w:t>s 1: Major Projects Canberra</w:t>
      </w:r>
    </w:p>
    <w:p w14:paraId="49D7C6D2" w14:textId="77777777" w:rsidR="006E72F1" w:rsidRDefault="00900E2D" w:rsidP="006E72F1">
      <w:pPr>
        <w:keepNext/>
        <w:pBdr>
          <w:top w:val="nil"/>
          <w:left w:val="nil"/>
          <w:bottom w:val="nil"/>
          <w:right w:val="nil"/>
          <w:between w:val="nil"/>
          <w:bar w:val="nil"/>
        </w:pBdr>
        <w:spacing w:before="240"/>
        <w:rPr>
          <w:b/>
          <w:bCs/>
          <w:noProof/>
          <w:sz w:val="22"/>
          <w:szCs w:val="18"/>
          <w:bdr w:val="nil"/>
        </w:rPr>
      </w:pPr>
      <w:r w:rsidRPr="00A4137B">
        <w:rPr>
          <w:b/>
          <w:bCs/>
          <w:sz w:val="22"/>
          <w:szCs w:val="18"/>
          <w:bdr w:val="nil"/>
        </w:rPr>
        <w:t xml:space="preserve">Table </w:t>
      </w:r>
      <w:r>
        <w:rPr>
          <w:b/>
          <w:bCs/>
          <w:sz w:val="22"/>
          <w:szCs w:val="18"/>
          <w:bdr w:val="nil"/>
        </w:rPr>
        <w:t>3</w:t>
      </w:r>
      <w:r w:rsidRPr="00A4137B">
        <w:rPr>
          <w:b/>
          <w:bCs/>
          <w:noProof/>
          <w:sz w:val="22"/>
          <w:szCs w:val="18"/>
          <w:bdr w:val="nil"/>
        </w:rPr>
        <w:t>:</w:t>
      </w:r>
      <w:r w:rsidRPr="00A4137B">
        <w:rPr>
          <w:b/>
          <w:bCs/>
          <w:sz w:val="22"/>
          <w:szCs w:val="18"/>
          <w:bdr w:val="nil"/>
        </w:rPr>
        <w:t xml:space="preserve"> Accountability Indicators</w:t>
      </w:r>
      <w:r w:rsidRPr="00A4137B">
        <w:rPr>
          <w:b/>
          <w:bCs/>
          <w:noProof/>
          <w:sz w:val="22"/>
          <w:szCs w:val="18"/>
          <w:bdr w:val="nil"/>
        </w:rPr>
        <w:t xml:space="preserve"> Output 1</w:t>
      </w:r>
    </w:p>
    <w:tbl>
      <w:tblPr>
        <w:tblW w:w="9084" w:type="dxa"/>
        <w:tblInd w:w="-12" w:type="dxa"/>
        <w:tblBorders>
          <w:top w:val="single" w:sz="12" w:space="0" w:color="000000"/>
          <w:bottom w:val="single" w:sz="12" w:space="0" w:color="000000"/>
        </w:tblBorders>
        <w:tblLayout w:type="fixed"/>
        <w:tblLook w:val="04A0" w:firstRow="1" w:lastRow="0" w:firstColumn="1" w:lastColumn="0" w:noHBand="0" w:noVBand="1"/>
      </w:tblPr>
      <w:tblGrid>
        <w:gridCol w:w="10"/>
        <w:gridCol w:w="97"/>
        <w:gridCol w:w="4723"/>
        <w:gridCol w:w="1136"/>
        <w:gridCol w:w="1134"/>
        <w:gridCol w:w="1134"/>
        <w:gridCol w:w="850"/>
      </w:tblGrid>
      <w:tr w:rsidR="003036F4" w14:paraId="0D6531D4" w14:textId="77777777" w:rsidTr="0043013B">
        <w:trPr>
          <w:gridBefore w:val="1"/>
          <w:wBefore w:w="10" w:type="dxa"/>
          <w:trHeight w:val="986"/>
          <w:tblHeader/>
        </w:trPr>
        <w:tc>
          <w:tcPr>
            <w:tcW w:w="4820" w:type="dxa"/>
            <w:gridSpan w:val="2"/>
            <w:tcBorders>
              <w:top w:val="single" w:sz="12" w:space="0" w:color="000000"/>
              <w:left w:val="nil"/>
              <w:bottom w:val="single" w:sz="12" w:space="0" w:color="000000"/>
              <w:right w:val="nil"/>
            </w:tcBorders>
          </w:tcPr>
          <w:p w14:paraId="75F33F87" w14:textId="77777777" w:rsidR="006E72F1" w:rsidRDefault="006E72F1">
            <w:pPr>
              <w:pStyle w:val="BStabletext"/>
              <w:keepNext/>
              <w:keepLines/>
              <w:pBdr>
                <w:top w:val="nil"/>
                <w:left w:val="nil"/>
                <w:bottom w:val="nil"/>
                <w:right w:val="nil"/>
                <w:between w:val="nil"/>
                <w:bar w:val="nil"/>
              </w:pBdr>
              <w:rPr>
                <w:bdr w:val="nil"/>
              </w:rPr>
            </w:pPr>
          </w:p>
        </w:tc>
        <w:tc>
          <w:tcPr>
            <w:tcW w:w="1136" w:type="dxa"/>
            <w:tcBorders>
              <w:top w:val="single" w:sz="12" w:space="0" w:color="000000"/>
              <w:left w:val="nil"/>
              <w:bottom w:val="single" w:sz="12" w:space="0" w:color="000000"/>
              <w:right w:val="nil"/>
            </w:tcBorders>
            <w:hideMark/>
          </w:tcPr>
          <w:p w14:paraId="0FD904B3" w14:textId="03CDC269" w:rsidR="006E72F1" w:rsidRDefault="00332931" w:rsidP="00A52402">
            <w:pPr>
              <w:pStyle w:val="BStableheading1"/>
              <w:keepNext/>
              <w:keepLines/>
              <w:framePr w:wrap="auto" w:vAnchor="margin" w:yAlign="inline"/>
              <w:pBdr>
                <w:top w:val="nil"/>
                <w:left w:val="nil"/>
                <w:bottom w:val="nil"/>
                <w:right w:val="nil"/>
                <w:between w:val="nil"/>
                <w:bar w:val="nil"/>
              </w:pBdr>
              <w:ind w:right="30"/>
              <w:rPr>
                <w:bdr w:val="nil"/>
              </w:rPr>
            </w:pPr>
            <w:r>
              <w:rPr>
                <w:bdr w:val="nil"/>
              </w:rPr>
              <w:t>2020–21</w:t>
            </w:r>
            <w:r w:rsidR="00900E2D">
              <w:rPr>
                <w:bdr w:val="nil"/>
              </w:rPr>
              <w:t xml:space="preserve"> Targets</w:t>
            </w:r>
          </w:p>
        </w:tc>
        <w:tc>
          <w:tcPr>
            <w:tcW w:w="1134" w:type="dxa"/>
            <w:tcBorders>
              <w:top w:val="single" w:sz="12" w:space="0" w:color="000000"/>
              <w:left w:val="nil"/>
              <w:bottom w:val="single" w:sz="12" w:space="0" w:color="000000"/>
              <w:right w:val="nil"/>
            </w:tcBorders>
            <w:hideMark/>
          </w:tcPr>
          <w:p w14:paraId="1395F4D0" w14:textId="07A7F3BD" w:rsidR="006E72F1" w:rsidRDefault="00332931" w:rsidP="00A52402">
            <w:pPr>
              <w:pStyle w:val="BStableheading1"/>
              <w:keepNext/>
              <w:keepLines/>
              <w:framePr w:wrap="auto" w:vAnchor="margin" w:yAlign="inline"/>
              <w:pBdr>
                <w:top w:val="nil"/>
                <w:left w:val="nil"/>
                <w:bottom w:val="nil"/>
                <w:right w:val="nil"/>
                <w:between w:val="nil"/>
                <w:bar w:val="nil"/>
              </w:pBdr>
              <w:rPr>
                <w:bdr w:val="nil"/>
              </w:rPr>
            </w:pPr>
            <w:r>
              <w:rPr>
                <w:bdr w:val="nil"/>
              </w:rPr>
              <w:t>2020–21</w:t>
            </w:r>
            <w:r w:rsidR="00900E2D">
              <w:rPr>
                <w:bdr w:val="nil"/>
              </w:rPr>
              <w:t xml:space="preserve"> </w:t>
            </w:r>
          </w:p>
          <w:p w14:paraId="7ADD825C" w14:textId="77777777" w:rsidR="006E72F1" w:rsidRDefault="00900E2D" w:rsidP="00A52402">
            <w:pPr>
              <w:pStyle w:val="BStableheading1"/>
              <w:keepNext/>
              <w:keepLines/>
              <w:framePr w:wrap="auto" w:vAnchor="margin" w:yAlign="inline"/>
              <w:pBdr>
                <w:top w:val="nil"/>
                <w:left w:val="nil"/>
                <w:bottom w:val="nil"/>
                <w:right w:val="nil"/>
                <w:between w:val="nil"/>
                <w:bar w:val="nil"/>
              </w:pBdr>
              <w:rPr>
                <w:bdr w:val="nil"/>
              </w:rPr>
            </w:pPr>
            <w:r>
              <w:rPr>
                <w:bdr w:val="nil"/>
              </w:rPr>
              <w:t xml:space="preserve">YTD </w:t>
            </w:r>
          </w:p>
          <w:p w14:paraId="1EDF0979" w14:textId="77777777" w:rsidR="006E72F1" w:rsidRDefault="00900E2D" w:rsidP="00A52402">
            <w:pPr>
              <w:pStyle w:val="BStableheading1"/>
              <w:keepNext/>
              <w:keepLines/>
              <w:framePr w:wrap="auto" w:vAnchor="margin" w:yAlign="inline"/>
              <w:pBdr>
                <w:top w:val="nil"/>
                <w:left w:val="nil"/>
                <w:bottom w:val="nil"/>
                <w:right w:val="nil"/>
                <w:between w:val="nil"/>
                <w:bar w:val="nil"/>
              </w:pBdr>
              <w:rPr>
                <w:bdr w:val="nil"/>
              </w:rPr>
            </w:pPr>
            <w:r>
              <w:rPr>
                <w:bdr w:val="nil"/>
              </w:rPr>
              <w:t>Targets</w:t>
            </w:r>
          </w:p>
        </w:tc>
        <w:tc>
          <w:tcPr>
            <w:tcW w:w="1134" w:type="dxa"/>
            <w:tcBorders>
              <w:top w:val="single" w:sz="12" w:space="0" w:color="000000"/>
              <w:left w:val="nil"/>
              <w:bottom w:val="single" w:sz="12" w:space="0" w:color="000000"/>
              <w:right w:val="nil"/>
            </w:tcBorders>
            <w:hideMark/>
          </w:tcPr>
          <w:p w14:paraId="6D7B18C8" w14:textId="513E58F9" w:rsidR="006E72F1" w:rsidRDefault="00332931" w:rsidP="00A52402">
            <w:pPr>
              <w:pStyle w:val="BStableheading1"/>
              <w:keepNext/>
              <w:keepLines/>
              <w:framePr w:wrap="auto" w:vAnchor="margin" w:yAlign="inline"/>
              <w:pBdr>
                <w:top w:val="nil"/>
                <w:left w:val="nil"/>
                <w:bottom w:val="nil"/>
                <w:right w:val="nil"/>
                <w:between w:val="nil"/>
                <w:bar w:val="nil"/>
              </w:pBdr>
              <w:rPr>
                <w:bdr w:val="nil"/>
              </w:rPr>
            </w:pPr>
            <w:r>
              <w:rPr>
                <w:bdr w:val="nil"/>
              </w:rPr>
              <w:t>2020–21</w:t>
            </w:r>
            <w:r w:rsidR="00900E2D">
              <w:rPr>
                <w:bdr w:val="nil"/>
              </w:rPr>
              <w:t xml:space="preserve"> </w:t>
            </w:r>
          </w:p>
          <w:p w14:paraId="2672A8D8" w14:textId="77777777" w:rsidR="006E72F1" w:rsidRDefault="00900E2D" w:rsidP="00A52402">
            <w:pPr>
              <w:pStyle w:val="BStableheading1"/>
              <w:keepNext/>
              <w:keepLines/>
              <w:framePr w:wrap="auto" w:vAnchor="margin" w:yAlign="inline"/>
              <w:pBdr>
                <w:top w:val="nil"/>
                <w:left w:val="nil"/>
                <w:bottom w:val="nil"/>
                <w:right w:val="nil"/>
                <w:between w:val="nil"/>
                <w:bar w:val="nil"/>
              </w:pBdr>
              <w:rPr>
                <w:bdr w:val="nil"/>
              </w:rPr>
            </w:pPr>
            <w:r>
              <w:rPr>
                <w:bdr w:val="nil"/>
              </w:rPr>
              <w:t xml:space="preserve">YTD </w:t>
            </w:r>
          </w:p>
          <w:p w14:paraId="17C4276F" w14:textId="6BDE1F75" w:rsidR="006E72F1" w:rsidRDefault="00900E2D" w:rsidP="00A52402">
            <w:pPr>
              <w:pStyle w:val="BStableheading1"/>
              <w:keepNext/>
              <w:keepLines/>
              <w:framePr w:wrap="auto" w:vAnchor="margin" w:yAlign="inline"/>
              <w:pBdr>
                <w:top w:val="nil"/>
                <w:left w:val="nil"/>
                <w:bottom w:val="nil"/>
                <w:right w:val="nil"/>
                <w:between w:val="nil"/>
                <w:bar w:val="nil"/>
              </w:pBdr>
              <w:rPr>
                <w:bdr w:val="nil"/>
              </w:rPr>
            </w:pPr>
            <w:r>
              <w:rPr>
                <w:bdr w:val="nil"/>
              </w:rPr>
              <w:t>Result</w:t>
            </w:r>
          </w:p>
        </w:tc>
        <w:tc>
          <w:tcPr>
            <w:tcW w:w="850" w:type="dxa"/>
            <w:tcBorders>
              <w:top w:val="single" w:sz="12" w:space="0" w:color="000000"/>
              <w:left w:val="nil"/>
              <w:bottom w:val="single" w:sz="12" w:space="0" w:color="000000"/>
              <w:right w:val="nil"/>
            </w:tcBorders>
            <w:hideMark/>
          </w:tcPr>
          <w:p w14:paraId="5B29934E" w14:textId="77777777" w:rsidR="006E72F1" w:rsidRDefault="00900E2D" w:rsidP="00A52402">
            <w:pPr>
              <w:pStyle w:val="BStableheading1"/>
              <w:keepNext/>
              <w:keepLines/>
              <w:framePr w:wrap="auto" w:vAnchor="margin" w:yAlign="inline"/>
              <w:pBdr>
                <w:top w:val="nil"/>
                <w:left w:val="nil"/>
                <w:bottom w:val="nil"/>
                <w:right w:val="nil"/>
                <w:between w:val="nil"/>
                <w:bar w:val="nil"/>
              </w:pBdr>
              <w:rPr>
                <w:bdr w:val="nil"/>
              </w:rPr>
            </w:pPr>
            <w:r>
              <w:rPr>
                <w:bdr w:val="nil"/>
              </w:rPr>
              <w:t xml:space="preserve">Variance </w:t>
            </w:r>
          </w:p>
          <w:p w14:paraId="65050A33" w14:textId="77777777" w:rsidR="006E72F1" w:rsidRDefault="00900E2D" w:rsidP="00A52402">
            <w:pPr>
              <w:pStyle w:val="BStableheading1"/>
              <w:keepNext/>
              <w:keepLines/>
              <w:framePr w:wrap="auto" w:vAnchor="margin" w:yAlign="inline"/>
              <w:pBdr>
                <w:top w:val="nil"/>
                <w:left w:val="nil"/>
                <w:bottom w:val="nil"/>
                <w:right w:val="nil"/>
                <w:between w:val="nil"/>
                <w:bar w:val="nil"/>
              </w:pBdr>
              <w:rPr>
                <w:bdr w:val="nil"/>
              </w:rPr>
            </w:pPr>
            <w:r>
              <w:rPr>
                <w:bdr w:val="nil"/>
              </w:rPr>
              <w:t>(%)</w:t>
            </w:r>
          </w:p>
        </w:tc>
      </w:tr>
      <w:tr w:rsidR="003036F4" w14:paraId="16103422" w14:textId="77777777" w:rsidTr="00782018">
        <w:trPr>
          <w:gridBefore w:val="2"/>
          <w:wBefore w:w="107" w:type="dxa"/>
          <w:trHeight w:val="283"/>
        </w:trPr>
        <w:tc>
          <w:tcPr>
            <w:tcW w:w="8977" w:type="dxa"/>
            <w:gridSpan w:val="5"/>
            <w:tcBorders>
              <w:top w:val="nil"/>
              <w:left w:val="nil"/>
              <w:bottom w:val="nil"/>
              <w:right w:val="nil"/>
            </w:tcBorders>
            <w:hideMark/>
          </w:tcPr>
          <w:tbl>
            <w:tblPr>
              <w:tblW w:w="13935" w:type="dxa"/>
              <w:tblBorders>
                <w:top w:val="single" w:sz="12" w:space="0" w:color="000000"/>
                <w:bottom w:val="single" w:sz="12" w:space="0" w:color="000000"/>
              </w:tblBorders>
              <w:tblLayout w:type="fixed"/>
              <w:tblLook w:val="04A0" w:firstRow="1" w:lastRow="0" w:firstColumn="1" w:lastColumn="0" w:noHBand="0" w:noVBand="1"/>
            </w:tblPr>
            <w:tblGrid>
              <w:gridCol w:w="13935"/>
            </w:tblGrid>
            <w:tr w:rsidR="003036F4" w14:paraId="7AC9BB47" w14:textId="77777777" w:rsidTr="00063793">
              <w:trPr>
                <w:trHeight w:val="283"/>
              </w:trPr>
              <w:tc>
                <w:tcPr>
                  <w:tcW w:w="13935" w:type="dxa"/>
                  <w:tcBorders>
                    <w:top w:val="nil"/>
                    <w:left w:val="nil"/>
                    <w:bottom w:val="nil"/>
                    <w:right w:val="nil"/>
                  </w:tcBorders>
                  <w:hideMark/>
                </w:tcPr>
                <w:tbl>
                  <w:tblPr>
                    <w:tblW w:w="13719" w:type="dxa"/>
                    <w:tblBorders>
                      <w:top w:val="single" w:sz="12" w:space="0" w:color="000000"/>
                      <w:bottom w:val="single" w:sz="12" w:space="0" w:color="000000"/>
                    </w:tblBorders>
                    <w:tblLayout w:type="fixed"/>
                    <w:tblLook w:val="04A0" w:firstRow="1" w:lastRow="0" w:firstColumn="1" w:lastColumn="0" w:noHBand="0" w:noVBand="1"/>
                  </w:tblPr>
                  <w:tblGrid>
                    <w:gridCol w:w="4363"/>
                    <w:gridCol w:w="1134"/>
                    <w:gridCol w:w="1134"/>
                    <w:gridCol w:w="1134"/>
                    <w:gridCol w:w="1431"/>
                    <w:gridCol w:w="1103"/>
                    <w:gridCol w:w="1103"/>
                    <w:gridCol w:w="1103"/>
                    <w:gridCol w:w="1214"/>
                  </w:tblGrid>
                  <w:tr w:rsidR="003036F4" w14:paraId="068227AC" w14:textId="77777777" w:rsidTr="0043013B">
                    <w:trPr>
                      <w:trHeight w:val="1007"/>
                    </w:trPr>
                    <w:tc>
                      <w:tcPr>
                        <w:tcW w:w="4363" w:type="dxa"/>
                        <w:tcBorders>
                          <w:top w:val="nil"/>
                          <w:left w:val="nil"/>
                          <w:bottom w:val="nil"/>
                          <w:right w:val="nil"/>
                        </w:tcBorders>
                        <w:hideMark/>
                      </w:tcPr>
                      <w:p w14:paraId="7E3549AF" w14:textId="79907D01" w:rsidR="006E72F1" w:rsidRPr="00D12BF8" w:rsidRDefault="00900E2D" w:rsidP="006E72F1">
                        <w:pPr>
                          <w:pStyle w:val="BStablelist"/>
                          <w:keepLines/>
                          <w:numPr>
                            <w:ilvl w:val="0"/>
                            <w:numId w:val="9"/>
                          </w:numPr>
                          <w:pBdr>
                            <w:top w:val="nil"/>
                            <w:left w:val="nil"/>
                            <w:bottom w:val="nil"/>
                            <w:right w:val="nil"/>
                            <w:between w:val="nil"/>
                            <w:bar w:val="nil"/>
                          </w:pBdr>
                          <w:spacing w:line="252" w:lineRule="auto"/>
                          <w:ind w:left="363"/>
                          <w:rPr>
                            <w:sz w:val="18"/>
                            <w:szCs w:val="18"/>
                            <w:bdr w:val="nil"/>
                          </w:rPr>
                        </w:pPr>
                        <w:r w:rsidRPr="00D12BF8">
                          <w:rPr>
                            <w:sz w:val="18"/>
                            <w:szCs w:val="18"/>
                            <w:bdr w:val="nil"/>
                          </w:rPr>
                          <w:t>Proportion of relevant projects supported by Major Projects Canberra that have ha</w:t>
                        </w:r>
                        <w:r w:rsidR="006D6566">
                          <w:rPr>
                            <w:sz w:val="18"/>
                            <w:szCs w:val="18"/>
                            <w:bdr w:val="nil"/>
                          </w:rPr>
                          <w:t>d</w:t>
                        </w:r>
                        <w:r w:rsidRPr="00D12BF8">
                          <w:rPr>
                            <w:sz w:val="18"/>
                            <w:szCs w:val="18"/>
                            <w:bdr w:val="nil"/>
                          </w:rPr>
                          <w:t xml:space="preserve"> WHS audits performed in accordance with the Active Certification Audit Program</w:t>
                        </w:r>
                        <w:r w:rsidRPr="00D12BF8">
                          <w:rPr>
                            <w:sz w:val="18"/>
                            <w:szCs w:val="18"/>
                            <w:bdr w:val="nil"/>
                            <w:vertAlign w:val="superscript"/>
                          </w:rPr>
                          <w:t>1</w:t>
                        </w:r>
                      </w:p>
                    </w:tc>
                    <w:tc>
                      <w:tcPr>
                        <w:tcW w:w="1134" w:type="dxa"/>
                        <w:tcBorders>
                          <w:top w:val="nil"/>
                          <w:left w:val="nil"/>
                          <w:bottom w:val="nil"/>
                          <w:right w:val="nil"/>
                        </w:tcBorders>
                        <w:hideMark/>
                      </w:tcPr>
                      <w:p w14:paraId="5D58BD34" w14:textId="77777777" w:rsidR="006E72F1" w:rsidRPr="00D12BF8" w:rsidRDefault="00900E2D" w:rsidP="0043013B">
                        <w:pPr>
                          <w:pStyle w:val="BStablefigures"/>
                          <w:pBdr>
                            <w:top w:val="nil"/>
                            <w:left w:val="nil"/>
                            <w:bottom w:val="nil"/>
                            <w:right w:val="nil"/>
                            <w:between w:val="nil"/>
                            <w:bar w:val="nil"/>
                          </w:pBdr>
                          <w:ind w:left="180" w:right="-112" w:hanging="47"/>
                          <w:rPr>
                            <w:sz w:val="18"/>
                            <w:szCs w:val="18"/>
                            <w:bdr w:val="nil"/>
                          </w:rPr>
                        </w:pPr>
                        <w:r w:rsidRPr="00D12BF8">
                          <w:rPr>
                            <w:sz w:val="18"/>
                            <w:szCs w:val="18"/>
                            <w:bdr w:val="nil"/>
                          </w:rPr>
                          <w:t>&gt;90%</w:t>
                        </w:r>
                      </w:p>
                    </w:tc>
                    <w:tc>
                      <w:tcPr>
                        <w:tcW w:w="1134" w:type="dxa"/>
                        <w:tcBorders>
                          <w:top w:val="nil"/>
                          <w:left w:val="nil"/>
                          <w:bottom w:val="nil"/>
                          <w:right w:val="nil"/>
                        </w:tcBorders>
                        <w:hideMark/>
                      </w:tcPr>
                      <w:p w14:paraId="305F4CD5" w14:textId="77777777" w:rsidR="006E72F1" w:rsidRPr="00D12BF8" w:rsidRDefault="00900E2D" w:rsidP="0043013B">
                        <w:pPr>
                          <w:pStyle w:val="BStablefigures"/>
                          <w:pBdr>
                            <w:top w:val="nil"/>
                            <w:left w:val="nil"/>
                            <w:bottom w:val="nil"/>
                            <w:right w:val="nil"/>
                            <w:between w:val="nil"/>
                            <w:bar w:val="nil"/>
                          </w:pBdr>
                          <w:ind w:left="180" w:right="-112" w:hanging="47"/>
                          <w:rPr>
                            <w:sz w:val="18"/>
                            <w:szCs w:val="18"/>
                            <w:bdr w:val="nil"/>
                          </w:rPr>
                        </w:pPr>
                        <w:r w:rsidRPr="00D12BF8">
                          <w:rPr>
                            <w:sz w:val="18"/>
                            <w:szCs w:val="18"/>
                            <w:bdr w:val="nil"/>
                          </w:rPr>
                          <w:t>&gt;90%</w:t>
                        </w:r>
                      </w:p>
                    </w:tc>
                    <w:tc>
                      <w:tcPr>
                        <w:tcW w:w="1134" w:type="dxa"/>
                        <w:tcBorders>
                          <w:top w:val="nil"/>
                          <w:left w:val="nil"/>
                          <w:bottom w:val="nil"/>
                          <w:right w:val="nil"/>
                        </w:tcBorders>
                        <w:hideMark/>
                      </w:tcPr>
                      <w:p w14:paraId="53135228" w14:textId="77777777" w:rsidR="006E72F1" w:rsidRPr="00D12BF8" w:rsidRDefault="00900E2D" w:rsidP="0043013B">
                        <w:pPr>
                          <w:pStyle w:val="BStablefigures"/>
                          <w:pBdr>
                            <w:top w:val="nil"/>
                            <w:left w:val="nil"/>
                            <w:bottom w:val="nil"/>
                            <w:right w:val="nil"/>
                            <w:between w:val="nil"/>
                            <w:bar w:val="nil"/>
                          </w:pBdr>
                          <w:ind w:left="180" w:right="-112" w:hanging="47"/>
                          <w:rPr>
                            <w:sz w:val="18"/>
                            <w:szCs w:val="18"/>
                            <w:bdr w:val="nil"/>
                          </w:rPr>
                        </w:pPr>
                        <w:r w:rsidRPr="00D12BF8">
                          <w:rPr>
                            <w:sz w:val="18"/>
                            <w:szCs w:val="18"/>
                            <w:bdr w:val="nil"/>
                          </w:rPr>
                          <w:t>97%</w:t>
                        </w:r>
                      </w:p>
                    </w:tc>
                    <w:tc>
                      <w:tcPr>
                        <w:tcW w:w="1431" w:type="dxa"/>
                        <w:tcBorders>
                          <w:top w:val="nil"/>
                          <w:left w:val="nil"/>
                          <w:bottom w:val="nil"/>
                          <w:right w:val="nil"/>
                        </w:tcBorders>
                      </w:tcPr>
                      <w:p w14:paraId="2743AD03" w14:textId="77777777" w:rsidR="006E72F1" w:rsidRPr="00D12BF8" w:rsidRDefault="00900E2D" w:rsidP="0043013B">
                        <w:pPr>
                          <w:pStyle w:val="BStablefigures"/>
                          <w:pBdr>
                            <w:top w:val="nil"/>
                            <w:left w:val="nil"/>
                            <w:bottom w:val="nil"/>
                            <w:right w:val="nil"/>
                            <w:between w:val="nil"/>
                            <w:bar w:val="nil"/>
                          </w:pBdr>
                          <w:tabs>
                            <w:tab w:val="center" w:pos="133"/>
                            <w:tab w:val="right" w:pos="888"/>
                          </w:tabs>
                          <w:ind w:left="180" w:right="-112" w:hanging="47"/>
                          <w:jc w:val="center"/>
                          <w:rPr>
                            <w:sz w:val="18"/>
                            <w:szCs w:val="18"/>
                            <w:bdr w:val="nil"/>
                          </w:rPr>
                        </w:pPr>
                        <w:r>
                          <w:rPr>
                            <w:sz w:val="18"/>
                            <w:szCs w:val="18"/>
                            <w:bdr w:val="nil"/>
                          </w:rPr>
                          <w:t>8</w:t>
                        </w:r>
                      </w:p>
                    </w:tc>
                    <w:tc>
                      <w:tcPr>
                        <w:tcW w:w="1103" w:type="dxa"/>
                        <w:tcBorders>
                          <w:top w:val="nil"/>
                          <w:left w:val="nil"/>
                          <w:bottom w:val="nil"/>
                          <w:right w:val="nil"/>
                        </w:tcBorders>
                      </w:tcPr>
                      <w:p w14:paraId="6A5115D1" w14:textId="77777777" w:rsidR="006E72F1" w:rsidRPr="00D12BF8" w:rsidRDefault="006E72F1" w:rsidP="006E72F1">
                        <w:pPr>
                          <w:pStyle w:val="BStablefigures"/>
                          <w:pBdr>
                            <w:top w:val="nil"/>
                            <w:left w:val="nil"/>
                            <w:bottom w:val="nil"/>
                            <w:right w:val="nil"/>
                            <w:between w:val="nil"/>
                            <w:bar w:val="nil"/>
                          </w:pBdr>
                          <w:tabs>
                            <w:tab w:val="right" w:pos="277"/>
                          </w:tabs>
                          <w:ind w:left="0" w:hanging="47"/>
                          <w:rPr>
                            <w:sz w:val="18"/>
                            <w:szCs w:val="18"/>
                            <w:bdr w:val="nil"/>
                          </w:rPr>
                        </w:pPr>
                      </w:p>
                    </w:tc>
                    <w:tc>
                      <w:tcPr>
                        <w:tcW w:w="1103" w:type="dxa"/>
                        <w:tcBorders>
                          <w:top w:val="nil"/>
                          <w:left w:val="nil"/>
                          <w:bottom w:val="nil"/>
                          <w:right w:val="nil"/>
                        </w:tcBorders>
                      </w:tcPr>
                      <w:p w14:paraId="43BEE8F0" w14:textId="77777777" w:rsidR="006E72F1" w:rsidRPr="00D12BF8" w:rsidRDefault="006E72F1" w:rsidP="006E72F1">
                        <w:pPr>
                          <w:pStyle w:val="BStablefigures"/>
                          <w:pBdr>
                            <w:top w:val="nil"/>
                            <w:left w:val="nil"/>
                            <w:bottom w:val="nil"/>
                            <w:right w:val="nil"/>
                            <w:between w:val="nil"/>
                            <w:bar w:val="nil"/>
                          </w:pBdr>
                          <w:tabs>
                            <w:tab w:val="right" w:pos="277"/>
                          </w:tabs>
                          <w:ind w:left="0" w:hanging="47"/>
                          <w:rPr>
                            <w:sz w:val="18"/>
                            <w:szCs w:val="18"/>
                            <w:bdr w:val="nil"/>
                          </w:rPr>
                        </w:pPr>
                      </w:p>
                    </w:tc>
                    <w:tc>
                      <w:tcPr>
                        <w:tcW w:w="1103" w:type="dxa"/>
                        <w:tcBorders>
                          <w:top w:val="nil"/>
                          <w:left w:val="nil"/>
                          <w:bottom w:val="nil"/>
                          <w:right w:val="nil"/>
                        </w:tcBorders>
                        <w:hideMark/>
                      </w:tcPr>
                      <w:p w14:paraId="0DFB1C40" w14:textId="77777777" w:rsidR="006E72F1" w:rsidRPr="00D12BF8" w:rsidRDefault="006E72F1" w:rsidP="006E72F1">
                        <w:pPr>
                          <w:pStyle w:val="BStablefigures"/>
                          <w:pBdr>
                            <w:top w:val="nil"/>
                            <w:left w:val="nil"/>
                            <w:bottom w:val="nil"/>
                            <w:right w:val="nil"/>
                            <w:between w:val="nil"/>
                            <w:bar w:val="nil"/>
                          </w:pBdr>
                          <w:ind w:left="180" w:hanging="47"/>
                          <w:rPr>
                            <w:sz w:val="18"/>
                            <w:szCs w:val="18"/>
                            <w:bdr w:val="nil"/>
                          </w:rPr>
                        </w:pPr>
                      </w:p>
                    </w:tc>
                    <w:tc>
                      <w:tcPr>
                        <w:tcW w:w="1214" w:type="dxa"/>
                        <w:tcBorders>
                          <w:top w:val="nil"/>
                          <w:left w:val="nil"/>
                          <w:bottom w:val="nil"/>
                          <w:right w:val="nil"/>
                        </w:tcBorders>
                        <w:hideMark/>
                      </w:tcPr>
                      <w:p w14:paraId="75778DA7" w14:textId="77777777" w:rsidR="006E72F1" w:rsidRPr="00D12BF8" w:rsidRDefault="00900E2D" w:rsidP="006E72F1">
                        <w:pPr>
                          <w:pStyle w:val="BStablefigures"/>
                          <w:pBdr>
                            <w:top w:val="nil"/>
                            <w:left w:val="nil"/>
                            <w:bottom w:val="nil"/>
                            <w:right w:val="nil"/>
                            <w:between w:val="nil"/>
                            <w:bar w:val="nil"/>
                          </w:pBdr>
                          <w:ind w:left="180" w:hanging="47"/>
                          <w:rPr>
                            <w:sz w:val="18"/>
                            <w:szCs w:val="18"/>
                            <w:bdr w:val="nil"/>
                          </w:rPr>
                        </w:pPr>
                        <w:r w:rsidRPr="00D12BF8">
                          <w:rPr>
                            <w:sz w:val="18"/>
                            <w:szCs w:val="18"/>
                            <w:bdr w:val="nil"/>
                          </w:rPr>
                          <w:t>8</w:t>
                        </w:r>
                      </w:p>
                    </w:tc>
                  </w:tr>
                </w:tbl>
                <w:p w14:paraId="4A38A975" w14:textId="77777777" w:rsidR="006E72F1" w:rsidRPr="00D12BF8" w:rsidRDefault="006E72F1" w:rsidP="006E72F1">
                  <w:pPr>
                    <w:pBdr>
                      <w:top w:val="nil"/>
                      <w:left w:val="nil"/>
                      <w:bottom w:val="nil"/>
                      <w:right w:val="nil"/>
                      <w:between w:val="nil"/>
                      <w:bar w:val="nil"/>
                    </w:pBdr>
                    <w:spacing w:before="0" w:after="0"/>
                    <w:rPr>
                      <w:rFonts w:ascii="Times New Roman" w:hAnsi="Times New Roman"/>
                      <w:sz w:val="18"/>
                      <w:szCs w:val="18"/>
                      <w:bdr w:val="nil"/>
                      <w:lang w:eastAsia="en-AU"/>
                    </w:rPr>
                  </w:pPr>
                </w:p>
              </w:tc>
            </w:tr>
            <w:tr w:rsidR="003036F4" w14:paraId="4ECD70A5" w14:textId="77777777" w:rsidTr="00063793">
              <w:trPr>
                <w:trHeight w:val="283"/>
              </w:trPr>
              <w:tc>
                <w:tcPr>
                  <w:tcW w:w="13935" w:type="dxa"/>
                  <w:tcBorders>
                    <w:top w:val="nil"/>
                    <w:left w:val="nil"/>
                    <w:bottom w:val="nil"/>
                    <w:right w:val="nil"/>
                  </w:tcBorders>
                  <w:hideMark/>
                </w:tcPr>
                <w:p w14:paraId="67BFB013" w14:textId="77777777" w:rsidR="006E72F1" w:rsidRDefault="00900E2D" w:rsidP="006E72F1">
                  <w:pPr>
                    <w:pStyle w:val="BStablelist"/>
                    <w:keepLines/>
                    <w:numPr>
                      <w:ilvl w:val="0"/>
                      <w:numId w:val="9"/>
                    </w:numPr>
                    <w:pBdr>
                      <w:top w:val="nil"/>
                      <w:left w:val="nil"/>
                      <w:bottom w:val="nil"/>
                      <w:right w:val="nil"/>
                      <w:between w:val="nil"/>
                      <w:bar w:val="nil"/>
                    </w:pBdr>
                    <w:spacing w:line="252" w:lineRule="auto"/>
                    <w:ind w:left="471"/>
                    <w:rPr>
                      <w:sz w:val="18"/>
                      <w:szCs w:val="18"/>
                      <w:bdr w:val="nil"/>
                    </w:rPr>
                  </w:pPr>
                  <w:r w:rsidRPr="00D12BF8">
                    <w:rPr>
                      <w:sz w:val="18"/>
                      <w:szCs w:val="18"/>
                      <w:bdr w:val="nil"/>
                    </w:rPr>
                    <w:t>Capital Works Projects:</w:t>
                  </w:r>
                </w:p>
                <w:tbl>
                  <w:tblPr>
                    <w:tblW w:w="9195" w:type="dxa"/>
                    <w:tblBorders>
                      <w:top w:val="single" w:sz="12" w:space="0" w:color="000000"/>
                      <w:bottom w:val="single" w:sz="12" w:space="0" w:color="000000"/>
                    </w:tblBorders>
                    <w:tblLayout w:type="fixed"/>
                    <w:tblLook w:val="04A0" w:firstRow="1" w:lastRow="0" w:firstColumn="1" w:lastColumn="0" w:noHBand="0" w:noVBand="1"/>
                  </w:tblPr>
                  <w:tblGrid>
                    <w:gridCol w:w="4752"/>
                    <w:gridCol w:w="850"/>
                    <w:gridCol w:w="1134"/>
                    <w:gridCol w:w="1134"/>
                    <w:gridCol w:w="1325"/>
                  </w:tblGrid>
                  <w:tr w:rsidR="00BC637C" w:rsidRPr="00D12BF8" w14:paraId="7AF94B34" w14:textId="77777777" w:rsidTr="00340F5E">
                    <w:trPr>
                      <w:trHeight w:val="416"/>
                    </w:trPr>
                    <w:tc>
                      <w:tcPr>
                        <w:tcW w:w="4752" w:type="dxa"/>
                        <w:tcBorders>
                          <w:top w:val="nil"/>
                          <w:left w:val="nil"/>
                          <w:bottom w:val="nil"/>
                          <w:right w:val="nil"/>
                        </w:tcBorders>
                        <w:hideMark/>
                      </w:tcPr>
                      <w:p w14:paraId="7FBD7011" w14:textId="77777777" w:rsidR="00BC637C" w:rsidRPr="00D12BF8" w:rsidRDefault="00BC637C" w:rsidP="00BC637C">
                        <w:pPr>
                          <w:pStyle w:val="BStablelist"/>
                          <w:keepLines/>
                          <w:numPr>
                            <w:ilvl w:val="0"/>
                            <w:numId w:val="10"/>
                          </w:numPr>
                          <w:pBdr>
                            <w:top w:val="nil"/>
                            <w:left w:val="nil"/>
                            <w:bottom w:val="nil"/>
                            <w:right w:val="nil"/>
                            <w:between w:val="nil"/>
                            <w:bar w:val="nil"/>
                          </w:pBdr>
                          <w:spacing w:line="252" w:lineRule="auto"/>
                          <w:ind w:left="761" w:hanging="425"/>
                          <w:rPr>
                            <w:sz w:val="18"/>
                            <w:szCs w:val="18"/>
                            <w:bdr w:val="nil"/>
                          </w:rPr>
                        </w:pPr>
                        <w:r w:rsidRPr="00D12BF8">
                          <w:rPr>
                            <w:sz w:val="18"/>
                            <w:szCs w:val="18"/>
                            <w:bdr w:val="nil"/>
                          </w:rPr>
                          <w:t>Percentage of Construction Projects Completed on Budget</w:t>
                        </w:r>
                        <w:r w:rsidRPr="00D12BF8">
                          <w:rPr>
                            <w:sz w:val="18"/>
                            <w:szCs w:val="18"/>
                            <w:bdr w:val="nil"/>
                            <w:vertAlign w:val="superscript"/>
                          </w:rPr>
                          <w:t>2</w:t>
                        </w:r>
                      </w:p>
                    </w:tc>
                    <w:tc>
                      <w:tcPr>
                        <w:tcW w:w="850" w:type="dxa"/>
                        <w:tcBorders>
                          <w:top w:val="nil"/>
                          <w:left w:val="nil"/>
                          <w:bottom w:val="nil"/>
                          <w:right w:val="nil"/>
                        </w:tcBorders>
                        <w:hideMark/>
                      </w:tcPr>
                      <w:p w14:paraId="2181272D" w14:textId="77777777" w:rsidR="00BC637C" w:rsidRPr="00D12BF8" w:rsidRDefault="00BC637C" w:rsidP="00BC637C">
                        <w:pPr>
                          <w:pStyle w:val="BStablefigures"/>
                          <w:pBdr>
                            <w:top w:val="nil"/>
                            <w:left w:val="nil"/>
                            <w:bottom w:val="nil"/>
                            <w:right w:val="nil"/>
                            <w:between w:val="nil"/>
                            <w:bar w:val="nil"/>
                          </w:pBdr>
                          <w:ind w:left="180" w:hanging="47"/>
                          <w:rPr>
                            <w:sz w:val="18"/>
                            <w:szCs w:val="18"/>
                            <w:bdr w:val="nil"/>
                          </w:rPr>
                        </w:pPr>
                        <w:r w:rsidRPr="00D12BF8">
                          <w:rPr>
                            <w:sz w:val="18"/>
                            <w:szCs w:val="18"/>
                            <w:bdr w:val="nil"/>
                          </w:rPr>
                          <w:t>&gt;85%</w:t>
                        </w:r>
                      </w:p>
                    </w:tc>
                    <w:tc>
                      <w:tcPr>
                        <w:tcW w:w="1134" w:type="dxa"/>
                        <w:tcBorders>
                          <w:top w:val="nil"/>
                          <w:left w:val="nil"/>
                          <w:bottom w:val="nil"/>
                          <w:right w:val="nil"/>
                        </w:tcBorders>
                        <w:hideMark/>
                      </w:tcPr>
                      <w:p w14:paraId="72C8AB82" w14:textId="77777777" w:rsidR="00BC637C" w:rsidRPr="00D12BF8" w:rsidRDefault="00BC637C" w:rsidP="00BC637C">
                        <w:pPr>
                          <w:pStyle w:val="BStablefigures"/>
                          <w:pBdr>
                            <w:top w:val="nil"/>
                            <w:left w:val="nil"/>
                            <w:bottom w:val="nil"/>
                            <w:right w:val="nil"/>
                            <w:between w:val="nil"/>
                            <w:bar w:val="nil"/>
                          </w:pBdr>
                          <w:ind w:left="180" w:hanging="47"/>
                          <w:rPr>
                            <w:sz w:val="18"/>
                            <w:szCs w:val="18"/>
                            <w:bdr w:val="nil"/>
                          </w:rPr>
                        </w:pPr>
                        <w:r w:rsidRPr="00D12BF8">
                          <w:rPr>
                            <w:sz w:val="18"/>
                            <w:szCs w:val="18"/>
                            <w:bdr w:val="nil"/>
                          </w:rPr>
                          <w:t>&gt;85%</w:t>
                        </w:r>
                      </w:p>
                    </w:tc>
                    <w:tc>
                      <w:tcPr>
                        <w:tcW w:w="1134" w:type="dxa"/>
                        <w:tcBorders>
                          <w:top w:val="nil"/>
                          <w:left w:val="nil"/>
                          <w:bottom w:val="nil"/>
                          <w:right w:val="nil"/>
                        </w:tcBorders>
                        <w:hideMark/>
                      </w:tcPr>
                      <w:p w14:paraId="176882FB" w14:textId="77777777" w:rsidR="00BC637C" w:rsidRPr="00D12BF8" w:rsidRDefault="00BC637C" w:rsidP="00BC637C">
                        <w:pPr>
                          <w:pStyle w:val="BStablefigures"/>
                          <w:pBdr>
                            <w:top w:val="nil"/>
                            <w:left w:val="nil"/>
                            <w:bottom w:val="nil"/>
                            <w:right w:val="nil"/>
                            <w:between w:val="nil"/>
                            <w:bar w:val="nil"/>
                          </w:pBdr>
                          <w:ind w:left="180" w:hanging="47"/>
                          <w:rPr>
                            <w:sz w:val="18"/>
                            <w:szCs w:val="18"/>
                            <w:bdr w:val="nil"/>
                          </w:rPr>
                        </w:pPr>
                        <w:r w:rsidRPr="00D12BF8">
                          <w:rPr>
                            <w:sz w:val="18"/>
                            <w:szCs w:val="18"/>
                            <w:bdr w:val="nil"/>
                          </w:rPr>
                          <w:t>100%</w:t>
                        </w:r>
                      </w:p>
                    </w:tc>
                    <w:tc>
                      <w:tcPr>
                        <w:tcW w:w="1325" w:type="dxa"/>
                        <w:tcBorders>
                          <w:top w:val="nil"/>
                          <w:left w:val="nil"/>
                          <w:bottom w:val="nil"/>
                          <w:right w:val="nil"/>
                        </w:tcBorders>
                        <w:hideMark/>
                      </w:tcPr>
                      <w:p w14:paraId="1F758844" w14:textId="77777777" w:rsidR="00BC637C" w:rsidRPr="00D12BF8" w:rsidRDefault="00BC637C" w:rsidP="00BC637C">
                        <w:pPr>
                          <w:pStyle w:val="BStablefigures"/>
                          <w:pBdr>
                            <w:top w:val="nil"/>
                            <w:left w:val="nil"/>
                            <w:bottom w:val="nil"/>
                            <w:right w:val="nil"/>
                            <w:between w:val="nil"/>
                            <w:bar w:val="nil"/>
                          </w:pBdr>
                          <w:ind w:left="180" w:hanging="47"/>
                          <w:jc w:val="center"/>
                          <w:rPr>
                            <w:sz w:val="18"/>
                            <w:szCs w:val="18"/>
                            <w:bdr w:val="nil"/>
                          </w:rPr>
                        </w:pPr>
                        <w:r w:rsidRPr="00D12BF8">
                          <w:rPr>
                            <w:sz w:val="18"/>
                            <w:szCs w:val="18"/>
                            <w:bdr w:val="nil"/>
                          </w:rPr>
                          <w:t>18</w:t>
                        </w:r>
                      </w:p>
                    </w:tc>
                  </w:tr>
                  <w:tr w:rsidR="00BC637C" w:rsidRPr="00D12BF8" w14:paraId="3E89EE19" w14:textId="77777777" w:rsidTr="00340F5E">
                    <w:trPr>
                      <w:trHeight w:val="283"/>
                    </w:trPr>
                    <w:tc>
                      <w:tcPr>
                        <w:tcW w:w="4752" w:type="dxa"/>
                        <w:tcBorders>
                          <w:top w:val="nil"/>
                          <w:left w:val="nil"/>
                          <w:bottom w:val="nil"/>
                          <w:right w:val="nil"/>
                        </w:tcBorders>
                        <w:hideMark/>
                      </w:tcPr>
                      <w:p w14:paraId="48C6F410" w14:textId="77777777" w:rsidR="00BC637C" w:rsidRPr="00D12BF8" w:rsidRDefault="00BC637C" w:rsidP="00BC637C">
                        <w:pPr>
                          <w:pStyle w:val="BStablelist"/>
                          <w:keepLines/>
                          <w:numPr>
                            <w:ilvl w:val="0"/>
                            <w:numId w:val="10"/>
                          </w:numPr>
                          <w:pBdr>
                            <w:top w:val="nil"/>
                            <w:left w:val="nil"/>
                            <w:bottom w:val="nil"/>
                            <w:right w:val="nil"/>
                            <w:between w:val="nil"/>
                            <w:bar w:val="nil"/>
                          </w:pBdr>
                          <w:spacing w:line="252" w:lineRule="auto"/>
                          <w:ind w:left="761" w:hanging="425"/>
                          <w:rPr>
                            <w:sz w:val="18"/>
                            <w:szCs w:val="18"/>
                            <w:bdr w:val="nil"/>
                          </w:rPr>
                        </w:pPr>
                        <w:r w:rsidRPr="00D12BF8">
                          <w:rPr>
                            <w:sz w:val="18"/>
                            <w:szCs w:val="18"/>
                            <w:bdr w:val="nil"/>
                          </w:rPr>
                          <w:t>Percentage of Construction Projects Completed on Time</w:t>
                        </w:r>
                        <w:r w:rsidRPr="00D12BF8">
                          <w:rPr>
                            <w:sz w:val="18"/>
                            <w:szCs w:val="18"/>
                            <w:bdr w:val="nil"/>
                            <w:vertAlign w:val="superscript"/>
                          </w:rPr>
                          <w:t>3</w:t>
                        </w:r>
                        <w:r w:rsidRPr="00D12BF8">
                          <w:rPr>
                            <w:sz w:val="18"/>
                            <w:szCs w:val="18"/>
                            <w:bdr w:val="nil"/>
                          </w:rPr>
                          <w:t xml:space="preserve"> </w:t>
                        </w:r>
                      </w:p>
                    </w:tc>
                    <w:tc>
                      <w:tcPr>
                        <w:tcW w:w="850" w:type="dxa"/>
                        <w:tcBorders>
                          <w:top w:val="nil"/>
                          <w:left w:val="nil"/>
                          <w:bottom w:val="nil"/>
                          <w:right w:val="nil"/>
                        </w:tcBorders>
                        <w:hideMark/>
                      </w:tcPr>
                      <w:p w14:paraId="138DF27E" w14:textId="77777777" w:rsidR="00BC637C" w:rsidRPr="00D12BF8" w:rsidRDefault="00BC637C" w:rsidP="00BC637C">
                        <w:pPr>
                          <w:pStyle w:val="BStablefigures"/>
                          <w:pBdr>
                            <w:top w:val="nil"/>
                            <w:left w:val="nil"/>
                            <w:bottom w:val="nil"/>
                            <w:right w:val="nil"/>
                            <w:between w:val="nil"/>
                            <w:bar w:val="nil"/>
                          </w:pBdr>
                          <w:ind w:left="180" w:hanging="47"/>
                          <w:rPr>
                            <w:sz w:val="18"/>
                            <w:szCs w:val="18"/>
                            <w:bdr w:val="nil"/>
                          </w:rPr>
                        </w:pPr>
                        <w:r w:rsidRPr="00D12BF8">
                          <w:rPr>
                            <w:sz w:val="18"/>
                            <w:szCs w:val="18"/>
                            <w:bdr w:val="nil"/>
                          </w:rPr>
                          <w:t>&gt;85%</w:t>
                        </w:r>
                      </w:p>
                    </w:tc>
                    <w:tc>
                      <w:tcPr>
                        <w:tcW w:w="1134" w:type="dxa"/>
                        <w:tcBorders>
                          <w:top w:val="nil"/>
                          <w:left w:val="nil"/>
                          <w:bottom w:val="nil"/>
                          <w:right w:val="nil"/>
                        </w:tcBorders>
                        <w:hideMark/>
                      </w:tcPr>
                      <w:p w14:paraId="479C75BC" w14:textId="77777777" w:rsidR="00BC637C" w:rsidRPr="00D12BF8" w:rsidRDefault="00BC637C" w:rsidP="00BC637C">
                        <w:pPr>
                          <w:pStyle w:val="BStablefigures"/>
                          <w:pBdr>
                            <w:top w:val="nil"/>
                            <w:left w:val="nil"/>
                            <w:bottom w:val="nil"/>
                            <w:right w:val="nil"/>
                            <w:between w:val="nil"/>
                            <w:bar w:val="nil"/>
                          </w:pBdr>
                          <w:ind w:left="180" w:hanging="47"/>
                          <w:rPr>
                            <w:sz w:val="18"/>
                            <w:szCs w:val="18"/>
                            <w:bdr w:val="nil"/>
                          </w:rPr>
                        </w:pPr>
                        <w:r w:rsidRPr="00D12BF8">
                          <w:rPr>
                            <w:sz w:val="18"/>
                            <w:szCs w:val="18"/>
                            <w:bdr w:val="nil"/>
                          </w:rPr>
                          <w:t>&gt;85%</w:t>
                        </w:r>
                      </w:p>
                    </w:tc>
                    <w:tc>
                      <w:tcPr>
                        <w:tcW w:w="1134" w:type="dxa"/>
                        <w:tcBorders>
                          <w:top w:val="nil"/>
                          <w:left w:val="nil"/>
                          <w:bottom w:val="nil"/>
                          <w:right w:val="nil"/>
                        </w:tcBorders>
                        <w:hideMark/>
                      </w:tcPr>
                      <w:p w14:paraId="585D7C58" w14:textId="77777777" w:rsidR="00BC637C" w:rsidRPr="00D12BF8" w:rsidRDefault="00BC637C" w:rsidP="00BC637C">
                        <w:pPr>
                          <w:pStyle w:val="BStablefigures"/>
                          <w:pBdr>
                            <w:top w:val="nil"/>
                            <w:left w:val="nil"/>
                            <w:bottom w:val="nil"/>
                            <w:right w:val="nil"/>
                            <w:between w:val="nil"/>
                            <w:bar w:val="nil"/>
                          </w:pBdr>
                          <w:ind w:left="180" w:hanging="47"/>
                          <w:rPr>
                            <w:sz w:val="18"/>
                            <w:szCs w:val="18"/>
                            <w:bdr w:val="nil"/>
                          </w:rPr>
                        </w:pPr>
                        <w:r w:rsidRPr="00D12BF8">
                          <w:rPr>
                            <w:sz w:val="18"/>
                            <w:szCs w:val="18"/>
                            <w:bdr w:val="nil"/>
                          </w:rPr>
                          <w:t>100%</w:t>
                        </w:r>
                      </w:p>
                    </w:tc>
                    <w:tc>
                      <w:tcPr>
                        <w:tcW w:w="1325" w:type="dxa"/>
                        <w:tcBorders>
                          <w:top w:val="nil"/>
                          <w:left w:val="nil"/>
                          <w:bottom w:val="nil"/>
                          <w:right w:val="nil"/>
                        </w:tcBorders>
                        <w:hideMark/>
                      </w:tcPr>
                      <w:p w14:paraId="15782E03" w14:textId="77777777" w:rsidR="00BC637C" w:rsidRPr="00D12BF8" w:rsidRDefault="00BC637C" w:rsidP="00BC637C">
                        <w:pPr>
                          <w:pStyle w:val="BStablefigures"/>
                          <w:pBdr>
                            <w:top w:val="nil"/>
                            <w:left w:val="nil"/>
                            <w:bottom w:val="nil"/>
                            <w:right w:val="nil"/>
                            <w:between w:val="nil"/>
                            <w:bar w:val="nil"/>
                          </w:pBdr>
                          <w:ind w:left="180" w:hanging="47"/>
                          <w:jc w:val="center"/>
                          <w:rPr>
                            <w:sz w:val="18"/>
                            <w:szCs w:val="18"/>
                            <w:bdr w:val="nil"/>
                          </w:rPr>
                        </w:pPr>
                        <w:r w:rsidRPr="00D12BF8">
                          <w:rPr>
                            <w:sz w:val="18"/>
                            <w:szCs w:val="18"/>
                            <w:bdr w:val="nil"/>
                          </w:rPr>
                          <w:t>18</w:t>
                        </w:r>
                      </w:p>
                    </w:tc>
                  </w:tr>
                  <w:tr w:rsidR="00BC637C" w:rsidRPr="00D12BF8" w14:paraId="6ECC068C" w14:textId="77777777" w:rsidTr="00340F5E">
                    <w:trPr>
                      <w:trHeight w:val="283"/>
                    </w:trPr>
                    <w:tc>
                      <w:tcPr>
                        <w:tcW w:w="4752" w:type="dxa"/>
                        <w:tcBorders>
                          <w:top w:val="nil"/>
                          <w:left w:val="nil"/>
                          <w:bottom w:val="nil"/>
                          <w:right w:val="nil"/>
                        </w:tcBorders>
                        <w:hideMark/>
                      </w:tcPr>
                      <w:p w14:paraId="4C801A16" w14:textId="77777777" w:rsidR="00BC637C" w:rsidRPr="00D12BF8" w:rsidRDefault="00BC637C" w:rsidP="00BC637C">
                        <w:pPr>
                          <w:pStyle w:val="BStablelist"/>
                          <w:keepLines/>
                          <w:numPr>
                            <w:ilvl w:val="0"/>
                            <w:numId w:val="10"/>
                          </w:numPr>
                          <w:pBdr>
                            <w:top w:val="nil"/>
                            <w:left w:val="nil"/>
                            <w:bottom w:val="nil"/>
                            <w:right w:val="nil"/>
                            <w:between w:val="nil"/>
                            <w:bar w:val="nil"/>
                          </w:pBdr>
                          <w:spacing w:line="252" w:lineRule="auto"/>
                          <w:ind w:left="761" w:hanging="425"/>
                          <w:rPr>
                            <w:sz w:val="18"/>
                            <w:szCs w:val="18"/>
                            <w:bdr w:val="nil"/>
                          </w:rPr>
                        </w:pPr>
                        <w:r w:rsidRPr="00D12BF8">
                          <w:rPr>
                            <w:sz w:val="18"/>
                            <w:szCs w:val="18"/>
                            <w:bdr w:val="nil"/>
                          </w:rPr>
                          <w:t>Percentage of contracts awarded to prequalified contractors/consultants</w:t>
                        </w:r>
                        <w:r w:rsidRPr="00D12BF8">
                          <w:rPr>
                            <w:sz w:val="18"/>
                            <w:szCs w:val="18"/>
                            <w:bdr w:val="nil"/>
                            <w:vertAlign w:val="superscript"/>
                          </w:rPr>
                          <w:t>4</w:t>
                        </w:r>
                      </w:p>
                    </w:tc>
                    <w:tc>
                      <w:tcPr>
                        <w:tcW w:w="850" w:type="dxa"/>
                        <w:tcBorders>
                          <w:top w:val="nil"/>
                          <w:left w:val="nil"/>
                          <w:bottom w:val="nil"/>
                          <w:right w:val="nil"/>
                        </w:tcBorders>
                        <w:hideMark/>
                      </w:tcPr>
                      <w:p w14:paraId="69759222" w14:textId="77777777" w:rsidR="00BC637C" w:rsidRPr="00D12BF8" w:rsidRDefault="00BC637C" w:rsidP="00BC637C">
                        <w:pPr>
                          <w:pStyle w:val="BStablefigures"/>
                          <w:pBdr>
                            <w:top w:val="nil"/>
                            <w:left w:val="nil"/>
                            <w:bottom w:val="nil"/>
                            <w:right w:val="nil"/>
                            <w:between w:val="nil"/>
                            <w:bar w:val="nil"/>
                          </w:pBdr>
                          <w:ind w:left="180" w:hanging="47"/>
                          <w:rPr>
                            <w:sz w:val="18"/>
                            <w:szCs w:val="18"/>
                            <w:bdr w:val="nil"/>
                          </w:rPr>
                        </w:pPr>
                        <w:r w:rsidRPr="00D12BF8">
                          <w:rPr>
                            <w:sz w:val="18"/>
                            <w:szCs w:val="18"/>
                            <w:bdr w:val="nil"/>
                          </w:rPr>
                          <w:t>&gt;95%</w:t>
                        </w:r>
                      </w:p>
                    </w:tc>
                    <w:tc>
                      <w:tcPr>
                        <w:tcW w:w="1134" w:type="dxa"/>
                        <w:tcBorders>
                          <w:top w:val="nil"/>
                          <w:left w:val="nil"/>
                          <w:bottom w:val="nil"/>
                          <w:right w:val="nil"/>
                        </w:tcBorders>
                        <w:hideMark/>
                      </w:tcPr>
                      <w:p w14:paraId="5E7421E1" w14:textId="77777777" w:rsidR="00BC637C" w:rsidRPr="00D12BF8" w:rsidRDefault="00BC637C" w:rsidP="00BC637C">
                        <w:pPr>
                          <w:pStyle w:val="BStablefigures"/>
                          <w:pBdr>
                            <w:top w:val="nil"/>
                            <w:left w:val="nil"/>
                            <w:bottom w:val="nil"/>
                            <w:right w:val="nil"/>
                            <w:between w:val="nil"/>
                            <w:bar w:val="nil"/>
                          </w:pBdr>
                          <w:ind w:left="180" w:hanging="47"/>
                          <w:rPr>
                            <w:sz w:val="18"/>
                            <w:szCs w:val="18"/>
                            <w:bdr w:val="nil"/>
                          </w:rPr>
                        </w:pPr>
                        <w:r w:rsidRPr="00D12BF8">
                          <w:rPr>
                            <w:sz w:val="18"/>
                            <w:szCs w:val="18"/>
                            <w:bdr w:val="nil"/>
                          </w:rPr>
                          <w:t>&gt;95%</w:t>
                        </w:r>
                      </w:p>
                    </w:tc>
                    <w:tc>
                      <w:tcPr>
                        <w:tcW w:w="1134" w:type="dxa"/>
                        <w:tcBorders>
                          <w:top w:val="nil"/>
                          <w:left w:val="nil"/>
                          <w:bottom w:val="nil"/>
                          <w:right w:val="nil"/>
                        </w:tcBorders>
                        <w:hideMark/>
                      </w:tcPr>
                      <w:p w14:paraId="2844946C" w14:textId="77777777" w:rsidR="00BC637C" w:rsidRPr="00D12BF8" w:rsidRDefault="00BC637C" w:rsidP="00BC637C">
                        <w:pPr>
                          <w:pStyle w:val="BStablefigures"/>
                          <w:pBdr>
                            <w:top w:val="nil"/>
                            <w:left w:val="nil"/>
                            <w:bottom w:val="nil"/>
                            <w:right w:val="nil"/>
                            <w:between w:val="nil"/>
                            <w:bar w:val="nil"/>
                          </w:pBdr>
                          <w:ind w:left="180" w:hanging="47"/>
                          <w:rPr>
                            <w:sz w:val="18"/>
                            <w:szCs w:val="18"/>
                            <w:bdr w:val="nil"/>
                          </w:rPr>
                        </w:pPr>
                        <w:r w:rsidRPr="00D12BF8">
                          <w:rPr>
                            <w:sz w:val="18"/>
                            <w:szCs w:val="18"/>
                            <w:bdr w:val="nil"/>
                          </w:rPr>
                          <w:t>91%</w:t>
                        </w:r>
                      </w:p>
                    </w:tc>
                    <w:tc>
                      <w:tcPr>
                        <w:tcW w:w="1325" w:type="dxa"/>
                        <w:tcBorders>
                          <w:top w:val="nil"/>
                          <w:left w:val="nil"/>
                          <w:bottom w:val="nil"/>
                          <w:right w:val="nil"/>
                        </w:tcBorders>
                        <w:hideMark/>
                      </w:tcPr>
                      <w:p w14:paraId="69FECB59" w14:textId="77777777" w:rsidR="00BC637C" w:rsidRPr="00D12BF8" w:rsidRDefault="00BC637C" w:rsidP="00BC637C">
                        <w:pPr>
                          <w:pStyle w:val="BStablefigures"/>
                          <w:pBdr>
                            <w:top w:val="nil"/>
                            <w:left w:val="nil"/>
                            <w:bottom w:val="nil"/>
                            <w:right w:val="nil"/>
                            <w:between w:val="nil"/>
                            <w:bar w:val="nil"/>
                          </w:pBdr>
                          <w:ind w:left="180" w:hanging="47"/>
                          <w:jc w:val="center"/>
                          <w:rPr>
                            <w:sz w:val="18"/>
                            <w:szCs w:val="18"/>
                            <w:bdr w:val="nil"/>
                          </w:rPr>
                        </w:pPr>
                        <w:r w:rsidRPr="00D12BF8">
                          <w:rPr>
                            <w:sz w:val="18"/>
                            <w:szCs w:val="18"/>
                            <w:bdr w:val="nil"/>
                          </w:rPr>
                          <w:t>(4)</w:t>
                        </w:r>
                      </w:p>
                    </w:tc>
                  </w:tr>
                  <w:tr w:rsidR="00BC637C" w:rsidRPr="00782018" w14:paraId="5B861764" w14:textId="77777777" w:rsidTr="00340F5E">
                    <w:trPr>
                      <w:trHeight w:val="283"/>
                    </w:trPr>
                    <w:tc>
                      <w:tcPr>
                        <w:tcW w:w="4752" w:type="dxa"/>
                        <w:tcBorders>
                          <w:top w:val="nil"/>
                          <w:left w:val="nil"/>
                          <w:bottom w:val="nil"/>
                          <w:right w:val="nil"/>
                        </w:tcBorders>
                        <w:hideMark/>
                      </w:tcPr>
                      <w:p w14:paraId="6E5F5D0C" w14:textId="77777777" w:rsidR="00BC637C" w:rsidRPr="00D12BF8" w:rsidRDefault="00BC637C" w:rsidP="00BC637C">
                        <w:pPr>
                          <w:pStyle w:val="BStablelist"/>
                          <w:keepLines/>
                          <w:numPr>
                            <w:ilvl w:val="0"/>
                            <w:numId w:val="11"/>
                          </w:numPr>
                          <w:pBdr>
                            <w:top w:val="nil"/>
                            <w:left w:val="nil"/>
                            <w:bottom w:val="nil"/>
                            <w:right w:val="nil"/>
                            <w:between w:val="nil"/>
                            <w:bar w:val="nil"/>
                          </w:pBdr>
                          <w:spacing w:line="252" w:lineRule="auto"/>
                          <w:ind w:left="471"/>
                          <w:rPr>
                            <w:sz w:val="18"/>
                            <w:szCs w:val="18"/>
                            <w:bdr w:val="nil"/>
                          </w:rPr>
                        </w:pPr>
                        <w:r w:rsidRPr="00D12BF8">
                          <w:rPr>
                            <w:sz w:val="18"/>
                            <w:szCs w:val="18"/>
                            <w:bdr w:val="nil"/>
                          </w:rPr>
                          <w:t>Proportion of relevant contracts managed by Major Projects Canberra that include the requirement for the contractor to hold IRE Certification</w:t>
                        </w:r>
                        <w:r w:rsidRPr="00D12BF8">
                          <w:rPr>
                            <w:sz w:val="18"/>
                            <w:szCs w:val="18"/>
                            <w:bdr w:val="nil"/>
                            <w:vertAlign w:val="superscript"/>
                          </w:rPr>
                          <w:t>5</w:t>
                        </w:r>
                      </w:p>
                    </w:tc>
                    <w:tc>
                      <w:tcPr>
                        <w:tcW w:w="850" w:type="dxa"/>
                        <w:tcBorders>
                          <w:top w:val="nil"/>
                          <w:left w:val="nil"/>
                          <w:bottom w:val="nil"/>
                          <w:right w:val="nil"/>
                        </w:tcBorders>
                        <w:hideMark/>
                      </w:tcPr>
                      <w:p w14:paraId="5B81999B" w14:textId="77777777" w:rsidR="00BC637C" w:rsidRPr="00782018" w:rsidRDefault="00BC637C" w:rsidP="00BC637C">
                        <w:pPr>
                          <w:pStyle w:val="BStablefigures"/>
                          <w:pBdr>
                            <w:top w:val="nil"/>
                            <w:left w:val="nil"/>
                            <w:bottom w:val="nil"/>
                            <w:right w:val="nil"/>
                            <w:between w:val="nil"/>
                            <w:bar w:val="nil"/>
                          </w:pBdr>
                          <w:ind w:left="180" w:hanging="47"/>
                          <w:rPr>
                            <w:sz w:val="18"/>
                            <w:szCs w:val="18"/>
                            <w:bdr w:val="nil"/>
                          </w:rPr>
                        </w:pPr>
                        <w:r w:rsidRPr="00782018">
                          <w:rPr>
                            <w:sz w:val="18"/>
                            <w:szCs w:val="18"/>
                            <w:bdr w:val="nil"/>
                          </w:rPr>
                          <w:t>N/A</w:t>
                        </w:r>
                      </w:p>
                    </w:tc>
                    <w:tc>
                      <w:tcPr>
                        <w:tcW w:w="1134" w:type="dxa"/>
                        <w:tcBorders>
                          <w:top w:val="nil"/>
                          <w:left w:val="nil"/>
                          <w:bottom w:val="nil"/>
                          <w:right w:val="nil"/>
                        </w:tcBorders>
                        <w:hideMark/>
                      </w:tcPr>
                      <w:p w14:paraId="15EEC014" w14:textId="77777777" w:rsidR="00BC637C" w:rsidRPr="00782018" w:rsidRDefault="00BC637C" w:rsidP="00BC637C">
                        <w:pPr>
                          <w:pStyle w:val="BStablefigures"/>
                          <w:pBdr>
                            <w:top w:val="nil"/>
                            <w:left w:val="nil"/>
                            <w:bottom w:val="nil"/>
                            <w:right w:val="nil"/>
                            <w:between w:val="nil"/>
                            <w:bar w:val="nil"/>
                          </w:pBdr>
                          <w:ind w:left="180" w:hanging="47"/>
                          <w:rPr>
                            <w:sz w:val="18"/>
                            <w:szCs w:val="18"/>
                            <w:bdr w:val="nil"/>
                          </w:rPr>
                        </w:pPr>
                        <w:r w:rsidRPr="00782018">
                          <w:rPr>
                            <w:sz w:val="18"/>
                            <w:szCs w:val="18"/>
                            <w:bdr w:val="nil"/>
                          </w:rPr>
                          <w:t>N/A</w:t>
                        </w:r>
                      </w:p>
                    </w:tc>
                    <w:tc>
                      <w:tcPr>
                        <w:tcW w:w="1134" w:type="dxa"/>
                        <w:tcBorders>
                          <w:top w:val="nil"/>
                          <w:left w:val="nil"/>
                          <w:bottom w:val="nil"/>
                          <w:right w:val="nil"/>
                        </w:tcBorders>
                        <w:hideMark/>
                      </w:tcPr>
                      <w:p w14:paraId="034B80E8" w14:textId="77777777" w:rsidR="00BC637C" w:rsidRPr="00782018" w:rsidRDefault="00BC637C" w:rsidP="00BC637C">
                        <w:pPr>
                          <w:pStyle w:val="BStablefigures"/>
                          <w:pBdr>
                            <w:top w:val="nil"/>
                            <w:left w:val="nil"/>
                            <w:bottom w:val="nil"/>
                            <w:right w:val="nil"/>
                            <w:between w:val="nil"/>
                            <w:bar w:val="nil"/>
                          </w:pBdr>
                          <w:ind w:left="180" w:hanging="47"/>
                          <w:rPr>
                            <w:sz w:val="18"/>
                            <w:szCs w:val="18"/>
                            <w:bdr w:val="nil"/>
                          </w:rPr>
                        </w:pPr>
                        <w:r w:rsidRPr="00782018">
                          <w:rPr>
                            <w:sz w:val="18"/>
                            <w:szCs w:val="18"/>
                            <w:bdr w:val="nil"/>
                          </w:rPr>
                          <w:t>N/A</w:t>
                        </w:r>
                      </w:p>
                    </w:tc>
                    <w:tc>
                      <w:tcPr>
                        <w:tcW w:w="1325" w:type="dxa"/>
                        <w:tcBorders>
                          <w:top w:val="nil"/>
                          <w:left w:val="nil"/>
                          <w:bottom w:val="nil"/>
                          <w:right w:val="nil"/>
                        </w:tcBorders>
                        <w:hideMark/>
                      </w:tcPr>
                      <w:p w14:paraId="029CFC42" w14:textId="77777777" w:rsidR="00BC637C" w:rsidRPr="00782018" w:rsidRDefault="00BC637C" w:rsidP="00BC637C">
                        <w:pPr>
                          <w:pStyle w:val="BStablefigures"/>
                          <w:pBdr>
                            <w:top w:val="nil"/>
                            <w:left w:val="nil"/>
                            <w:bottom w:val="nil"/>
                            <w:right w:val="nil"/>
                            <w:between w:val="nil"/>
                            <w:bar w:val="nil"/>
                          </w:pBdr>
                          <w:ind w:left="180" w:hanging="47"/>
                          <w:jc w:val="center"/>
                          <w:rPr>
                            <w:sz w:val="18"/>
                            <w:szCs w:val="18"/>
                            <w:bdr w:val="nil"/>
                          </w:rPr>
                        </w:pPr>
                        <w:r w:rsidRPr="00782018">
                          <w:rPr>
                            <w:sz w:val="18"/>
                            <w:szCs w:val="18"/>
                            <w:bdr w:val="nil"/>
                          </w:rPr>
                          <w:t>N/A</w:t>
                        </w:r>
                      </w:p>
                    </w:tc>
                  </w:tr>
                </w:tbl>
                <w:p w14:paraId="28228177" w14:textId="4099CFA4" w:rsidR="00BC637C" w:rsidRPr="00D12BF8" w:rsidRDefault="00BC637C" w:rsidP="00551B07">
                  <w:pPr>
                    <w:pStyle w:val="BStablelist"/>
                    <w:keepLines/>
                    <w:pBdr>
                      <w:top w:val="nil"/>
                      <w:left w:val="nil"/>
                      <w:bottom w:val="nil"/>
                      <w:right w:val="nil"/>
                      <w:between w:val="nil"/>
                      <w:bar w:val="nil"/>
                    </w:pBdr>
                    <w:spacing w:line="252" w:lineRule="auto"/>
                    <w:ind w:left="471"/>
                    <w:rPr>
                      <w:sz w:val="18"/>
                      <w:szCs w:val="18"/>
                      <w:bdr w:val="nil"/>
                    </w:rPr>
                  </w:pPr>
                </w:p>
              </w:tc>
            </w:tr>
          </w:tbl>
          <w:p w14:paraId="58E9A29D" w14:textId="77777777" w:rsidR="006E72F1" w:rsidRPr="00A77B86" w:rsidRDefault="006E72F1" w:rsidP="00063793">
            <w:pPr>
              <w:pStyle w:val="BStablelist"/>
              <w:keepLines/>
              <w:pBdr>
                <w:top w:val="nil"/>
                <w:left w:val="nil"/>
                <w:bottom w:val="nil"/>
                <w:right w:val="nil"/>
                <w:between w:val="nil"/>
                <w:bar w:val="nil"/>
              </w:pBdr>
              <w:spacing w:line="254" w:lineRule="auto"/>
              <w:rPr>
                <w:sz w:val="18"/>
                <w:szCs w:val="18"/>
                <w:bdr w:val="nil"/>
              </w:rPr>
            </w:pPr>
          </w:p>
        </w:tc>
      </w:tr>
      <w:tr w:rsidR="003036F4" w14:paraId="54533A38" w14:textId="77777777" w:rsidTr="0043013B">
        <w:trPr>
          <w:trHeight w:val="283"/>
        </w:trPr>
        <w:tc>
          <w:tcPr>
            <w:tcW w:w="4830" w:type="dxa"/>
            <w:gridSpan w:val="3"/>
            <w:tcBorders>
              <w:top w:val="single" w:sz="4" w:space="0" w:color="auto"/>
              <w:left w:val="nil"/>
              <w:bottom w:val="nil"/>
              <w:right w:val="nil"/>
            </w:tcBorders>
            <w:hideMark/>
          </w:tcPr>
          <w:p w14:paraId="06ACC0B1" w14:textId="77777777" w:rsidR="006E72F1" w:rsidRPr="004D1E12" w:rsidRDefault="00900E2D">
            <w:pPr>
              <w:pStyle w:val="BStablelist"/>
              <w:keepLines/>
              <w:pBdr>
                <w:top w:val="nil"/>
                <w:left w:val="nil"/>
                <w:bottom w:val="nil"/>
                <w:right w:val="nil"/>
                <w:between w:val="nil"/>
                <w:bar w:val="nil"/>
              </w:pBdr>
              <w:spacing w:line="254" w:lineRule="auto"/>
              <w:ind w:left="360" w:hanging="360"/>
              <w:rPr>
                <w:sz w:val="18"/>
                <w:szCs w:val="18"/>
                <w:bdr w:val="nil"/>
                <w:vertAlign w:val="superscript"/>
              </w:rPr>
            </w:pPr>
            <w:r w:rsidRPr="00A675EE">
              <w:rPr>
                <w:sz w:val="18"/>
                <w:szCs w:val="18"/>
                <w:bdr w:val="nil"/>
              </w:rPr>
              <w:t>Total Cost ($’000)</w:t>
            </w:r>
            <w:r>
              <w:rPr>
                <w:sz w:val="18"/>
                <w:szCs w:val="18"/>
                <w:bdr w:val="nil"/>
                <w:vertAlign w:val="superscript"/>
              </w:rPr>
              <w:t>6</w:t>
            </w:r>
          </w:p>
        </w:tc>
        <w:tc>
          <w:tcPr>
            <w:tcW w:w="1136" w:type="dxa"/>
            <w:tcBorders>
              <w:top w:val="single" w:sz="4" w:space="0" w:color="auto"/>
              <w:left w:val="nil"/>
              <w:bottom w:val="nil"/>
              <w:right w:val="nil"/>
            </w:tcBorders>
          </w:tcPr>
          <w:p w14:paraId="2C68EC97" w14:textId="77777777" w:rsidR="006E72F1" w:rsidRPr="00D12BF8" w:rsidRDefault="00900E2D" w:rsidP="006E72F1">
            <w:pPr>
              <w:pStyle w:val="BStablefigures"/>
              <w:pBdr>
                <w:top w:val="nil"/>
                <w:left w:val="nil"/>
                <w:bottom w:val="nil"/>
                <w:right w:val="nil"/>
                <w:between w:val="nil"/>
                <w:bar w:val="nil"/>
              </w:pBdr>
              <w:ind w:left="180" w:hanging="47"/>
              <w:rPr>
                <w:sz w:val="18"/>
                <w:szCs w:val="18"/>
                <w:bdr w:val="nil"/>
              </w:rPr>
            </w:pPr>
            <w:r w:rsidRPr="00D12BF8">
              <w:rPr>
                <w:sz w:val="18"/>
                <w:szCs w:val="18"/>
                <w:bdr w:val="nil"/>
              </w:rPr>
              <w:t>31 389</w:t>
            </w:r>
          </w:p>
        </w:tc>
        <w:tc>
          <w:tcPr>
            <w:tcW w:w="1134" w:type="dxa"/>
            <w:tcBorders>
              <w:top w:val="single" w:sz="4" w:space="0" w:color="auto"/>
              <w:left w:val="nil"/>
              <w:bottom w:val="nil"/>
              <w:right w:val="nil"/>
            </w:tcBorders>
          </w:tcPr>
          <w:p w14:paraId="50492FBA" w14:textId="77777777" w:rsidR="006E72F1" w:rsidRPr="00D12BF8" w:rsidRDefault="00900E2D" w:rsidP="006E72F1">
            <w:pPr>
              <w:pStyle w:val="BStablefigures"/>
              <w:pBdr>
                <w:top w:val="nil"/>
                <w:left w:val="nil"/>
                <w:bottom w:val="nil"/>
                <w:right w:val="nil"/>
                <w:between w:val="nil"/>
                <w:bar w:val="nil"/>
              </w:pBdr>
              <w:ind w:left="180" w:hanging="47"/>
              <w:rPr>
                <w:sz w:val="18"/>
                <w:szCs w:val="18"/>
                <w:bdr w:val="nil"/>
              </w:rPr>
            </w:pPr>
            <w:r w:rsidRPr="00D12BF8">
              <w:rPr>
                <w:sz w:val="18"/>
                <w:szCs w:val="18"/>
                <w:bdr w:val="nil"/>
              </w:rPr>
              <w:t>11 566</w:t>
            </w:r>
          </w:p>
        </w:tc>
        <w:tc>
          <w:tcPr>
            <w:tcW w:w="1134" w:type="dxa"/>
            <w:tcBorders>
              <w:top w:val="single" w:sz="4" w:space="0" w:color="auto"/>
              <w:left w:val="nil"/>
              <w:bottom w:val="nil"/>
              <w:right w:val="nil"/>
            </w:tcBorders>
          </w:tcPr>
          <w:p w14:paraId="22B8C85E" w14:textId="77777777" w:rsidR="006E72F1" w:rsidRPr="00D12BF8" w:rsidRDefault="00900E2D" w:rsidP="006E72F1">
            <w:pPr>
              <w:pStyle w:val="BStablefigures"/>
              <w:pBdr>
                <w:top w:val="nil"/>
                <w:left w:val="nil"/>
                <w:bottom w:val="nil"/>
                <w:right w:val="nil"/>
                <w:between w:val="nil"/>
                <w:bar w:val="nil"/>
              </w:pBdr>
              <w:ind w:left="180" w:hanging="47"/>
              <w:rPr>
                <w:sz w:val="18"/>
                <w:szCs w:val="18"/>
                <w:bdr w:val="nil"/>
              </w:rPr>
            </w:pPr>
            <w:r w:rsidRPr="00D12BF8">
              <w:rPr>
                <w:sz w:val="18"/>
                <w:szCs w:val="18"/>
                <w:bdr w:val="nil"/>
              </w:rPr>
              <w:t>15 544</w:t>
            </w:r>
          </w:p>
        </w:tc>
        <w:tc>
          <w:tcPr>
            <w:tcW w:w="850" w:type="dxa"/>
            <w:tcBorders>
              <w:top w:val="single" w:sz="4" w:space="0" w:color="auto"/>
              <w:left w:val="nil"/>
              <w:bottom w:val="nil"/>
              <w:right w:val="nil"/>
            </w:tcBorders>
          </w:tcPr>
          <w:p w14:paraId="25EB70CD" w14:textId="77777777" w:rsidR="006E72F1" w:rsidRPr="00D12BF8" w:rsidRDefault="00900E2D" w:rsidP="006E72F1">
            <w:pPr>
              <w:pStyle w:val="BStablefigures"/>
              <w:pBdr>
                <w:top w:val="nil"/>
                <w:left w:val="nil"/>
                <w:bottom w:val="nil"/>
                <w:right w:val="nil"/>
                <w:between w:val="nil"/>
                <w:bar w:val="nil"/>
              </w:pBdr>
              <w:ind w:left="180" w:hanging="47"/>
              <w:rPr>
                <w:sz w:val="18"/>
                <w:szCs w:val="18"/>
                <w:bdr w:val="nil"/>
              </w:rPr>
            </w:pPr>
            <w:r w:rsidRPr="00D12BF8">
              <w:rPr>
                <w:sz w:val="18"/>
                <w:szCs w:val="18"/>
                <w:bdr w:val="nil"/>
              </w:rPr>
              <w:t>34</w:t>
            </w:r>
          </w:p>
        </w:tc>
      </w:tr>
      <w:tr w:rsidR="003036F4" w14:paraId="54A47160" w14:textId="77777777" w:rsidTr="0043013B">
        <w:trPr>
          <w:trHeight w:val="283"/>
        </w:trPr>
        <w:tc>
          <w:tcPr>
            <w:tcW w:w="4830" w:type="dxa"/>
            <w:gridSpan w:val="3"/>
            <w:tcBorders>
              <w:top w:val="nil"/>
              <w:left w:val="nil"/>
              <w:bottom w:val="single" w:sz="12" w:space="0" w:color="auto"/>
              <w:right w:val="nil"/>
            </w:tcBorders>
            <w:hideMark/>
          </w:tcPr>
          <w:p w14:paraId="17ED56B4" w14:textId="77777777" w:rsidR="006E72F1" w:rsidRPr="004D1E12" w:rsidRDefault="00900E2D">
            <w:pPr>
              <w:pStyle w:val="BStablelist"/>
              <w:keepLines/>
              <w:pBdr>
                <w:top w:val="nil"/>
                <w:left w:val="nil"/>
                <w:bottom w:val="nil"/>
                <w:right w:val="nil"/>
                <w:between w:val="nil"/>
                <w:bar w:val="nil"/>
              </w:pBdr>
              <w:spacing w:line="254" w:lineRule="auto"/>
              <w:ind w:left="360" w:hanging="360"/>
              <w:rPr>
                <w:sz w:val="18"/>
                <w:szCs w:val="18"/>
                <w:bdr w:val="nil"/>
                <w:vertAlign w:val="superscript"/>
              </w:rPr>
            </w:pPr>
            <w:r w:rsidRPr="00A675EE">
              <w:rPr>
                <w:sz w:val="18"/>
                <w:szCs w:val="18"/>
                <w:bdr w:val="nil"/>
              </w:rPr>
              <w:t>Controlled Recurrent Payments ($’000)</w:t>
            </w:r>
          </w:p>
        </w:tc>
        <w:tc>
          <w:tcPr>
            <w:tcW w:w="1136" w:type="dxa"/>
            <w:tcBorders>
              <w:top w:val="nil"/>
              <w:left w:val="nil"/>
              <w:bottom w:val="single" w:sz="12" w:space="0" w:color="auto"/>
              <w:right w:val="nil"/>
            </w:tcBorders>
          </w:tcPr>
          <w:p w14:paraId="07240180" w14:textId="77777777" w:rsidR="006E72F1" w:rsidRPr="00D12BF8" w:rsidRDefault="00900E2D" w:rsidP="006E72F1">
            <w:pPr>
              <w:pStyle w:val="BStablefigures"/>
              <w:pBdr>
                <w:top w:val="nil"/>
                <w:left w:val="nil"/>
                <w:bottom w:val="nil"/>
                <w:right w:val="nil"/>
                <w:between w:val="nil"/>
                <w:bar w:val="nil"/>
              </w:pBdr>
              <w:ind w:left="180" w:hanging="47"/>
              <w:rPr>
                <w:sz w:val="18"/>
                <w:szCs w:val="18"/>
                <w:bdr w:val="nil"/>
              </w:rPr>
            </w:pPr>
            <w:r w:rsidRPr="00D12BF8">
              <w:rPr>
                <w:sz w:val="18"/>
                <w:szCs w:val="18"/>
                <w:bdr w:val="nil"/>
              </w:rPr>
              <w:t>7 650</w:t>
            </w:r>
          </w:p>
        </w:tc>
        <w:tc>
          <w:tcPr>
            <w:tcW w:w="1134" w:type="dxa"/>
            <w:tcBorders>
              <w:top w:val="nil"/>
              <w:left w:val="nil"/>
              <w:bottom w:val="single" w:sz="12" w:space="0" w:color="auto"/>
              <w:right w:val="nil"/>
            </w:tcBorders>
          </w:tcPr>
          <w:p w14:paraId="0B5A3144" w14:textId="77777777" w:rsidR="006E72F1" w:rsidRPr="00D12BF8" w:rsidRDefault="00900E2D" w:rsidP="006E72F1">
            <w:pPr>
              <w:pStyle w:val="BStablefigures"/>
              <w:pBdr>
                <w:top w:val="nil"/>
                <w:left w:val="nil"/>
                <w:bottom w:val="nil"/>
                <w:right w:val="nil"/>
                <w:between w:val="nil"/>
                <w:bar w:val="nil"/>
              </w:pBdr>
              <w:ind w:left="180" w:hanging="47"/>
              <w:rPr>
                <w:sz w:val="18"/>
                <w:szCs w:val="18"/>
                <w:bdr w:val="nil"/>
              </w:rPr>
            </w:pPr>
            <w:r w:rsidRPr="00D12BF8">
              <w:rPr>
                <w:sz w:val="18"/>
                <w:szCs w:val="18"/>
                <w:bdr w:val="nil"/>
              </w:rPr>
              <w:t>1 028</w:t>
            </w:r>
          </w:p>
        </w:tc>
        <w:tc>
          <w:tcPr>
            <w:tcW w:w="1134" w:type="dxa"/>
            <w:tcBorders>
              <w:top w:val="nil"/>
              <w:left w:val="nil"/>
              <w:bottom w:val="single" w:sz="12" w:space="0" w:color="auto"/>
              <w:right w:val="nil"/>
            </w:tcBorders>
          </w:tcPr>
          <w:p w14:paraId="1E20C629" w14:textId="77777777" w:rsidR="006E72F1" w:rsidRPr="00D12BF8" w:rsidRDefault="00900E2D" w:rsidP="006E72F1">
            <w:pPr>
              <w:pStyle w:val="BStablefigures"/>
              <w:pBdr>
                <w:top w:val="nil"/>
                <w:left w:val="nil"/>
                <w:bottom w:val="nil"/>
                <w:right w:val="nil"/>
                <w:between w:val="nil"/>
                <w:bar w:val="nil"/>
              </w:pBdr>
              <w:ind w:left="180" w:hanging="47"/>
              <w:rPr>
                <w:sz w:val="18"/>
                <w:szCs w:val="18"/>
                <w:bdr w:val="nil"/>
              </w:rPr>
            </w:pPr>
            <w:r w:rsidRPr="00D12BF8">
              <w:rPr>
                <w:sz w:val="18"/>
                <w:szCs w:val="18"/>
                <w:bdr w:val="nil"/>
              </w:rPr>
              <w:t>1 027</w:t>
            </w:r>
          </w:p>
        </w:tc>
        <w:tc>
          <w:tcPr>
            <w:tcW w:w="850" w:type="dxa"/>
            <w:tcBorders>
              <w:top w:val="nil"/>
              <w:left w:val="nil"/>
              <w:bottom w:val="single" w:sz="12" w:space="0" w:color="auto"/>
              <w:right w:val="nil"/>
            </w:tcBorders>
          </w:tcPr>
          <w:p w14:paraId="6A5EDF2B" w14:textId="77777777" w:rsidR="006E72F1" w:rsidRPr="00D12BF8" w:rsidRDefault="00900E2D" w:rsidP="006E72F1">
            <w:pPr>
              <w:pStyle w:val="BStablefigures"/>
              <w:pBdr>
                <w:top w:val="nil"/>
                <w:left w:val="nil"/>
                <w:bottom w:val="nil"/>
                <w:right w:val="nil"/>
                <w:between w:val="nil"/>
                <w:bar w:val="nil"/>
              </w:pBdr>
              <w:ind w:left="180" w:hanging="47"/>
              <w:rPr>
                <w:sz w:val="18"/>
                <w:szCs w:val="18"/>
                <w:bdr w:val="nil"/>
              </w:rPr>
            </w:pPr>
            <w:r w:rsidRPr="00D12BF8">
              <w:rPr>
                <w:sz w:val="18"/>
                <w:szCs w:val="18"/>
                <w:bdr w:val="nil"/>
              </w:rPr>
              <w:t>0</w:t>
            </w:r>
          </w:p>
        </w:tc>
      </w:tr>
    </w:tbl>
    <w:p w14:paraId="439E5A46" w14:textId="77777777" w:rsidR="006E72F1" w:rsidRDefault="00900E2D" w:rsidP="006E72F1">
      <w:pPr>
        <w:pStyle w:val="BSnote2"/>
        <w:keepNext w:val="0"/>
        <w:keepLines w:val="0"/>
        <w:pBdr>
          <w:top w:val="nil"/>
          <w:left w:val="nil"/>
          <w:bottom w:val="nil"/>
          <w:right w:val="nil"/>
          <w:between w:val="nil"/>
          <w:bar w:val="nil"/>
        </w:pBdr>
        <w:jc w:val="both"/>
        <w:rPr>
          <w:b w:val="0"/>
          <w:bCs/>
          <w:bdr w:val="nil"/>
        </w:rPr>
      </w:pPr>
      <w:r>
        <w:rPr>
          <w:b w:val="0"/>
          <w:bCs/>
          <w:bdr w:val="nil"/>
        </w:rPr>
        <w:t>The Accountability Indicators table should be read in conjunction with the accompanying notes. The variance result has been rounded to the nearest whole number.</w:t>
      </w:r>
    </w:p>
    <w:p w14:paraId="2CFA0693" w14:textId="77777777" w:rsidR="006E72F1" w:rsidRDefault="00900E2D" w:rsidP="006E72F1">
      <w:pPr>
        <w:pStyle w:val="BSnote2"/>
        <w:pBdr>
          <w:top w:val="nil"/>
          <w:left w:val="nil"/>
          <w:bottom w:val="nil"/>
          <w:right w:val="nil"/>
          <w:between w:val="nil"/>
          <w:bar w:val="nil"/>
        </w:pBdr>
        <w:jc w:val="both"/>
        <w:rPr>
          <w:bdr w:val="nil"/>
          <w:lang w:eastAsia="en-US"/>
        </w:rPr>
      </w:pPr>
      <w:r>
        <w:rPr>
          <w:bdr w:val="nil"/>
        </w:rPr>
        <w:t>Notes:</w:t>
      </w:r>
    </w:p>
    <w:p w14:paraId="4B35EFDC" w14:textId="77777777" w:rsidR="00AD2501" w:rsidRPr="00AD2501" w:rsidRDefault="00AD2501" w:rsidP="00AD2501">
      <w:pPr>
        <w:pStyle w:val="BSnote2"/>
        <w:keepNext w:val="0"/>
        <w:keepLines w:val="0"/>
        <w:numPr>
          <w:ilvl w:val="0"/>
          <w:numId w:val="13"/>
        </w:numPr>
        <w:pBdr>
          <w:top w:val="nil"/>
          <w:left w:val="nil"/>
          <w:bottom w:val="nil"/>
          <w:right w:val="nil"/>
          <w:between w:val="nil"/>
          <w:bar w:val="nil"/>
        </w:pBdr>
        <w:ind w:left="426" w:hanging="426"/>
        <w:jc w:val="both"/>
        <w:rPr>
          <w:b w:val="0"/>
          <w:bCs/>
          <w:bdr w:val="nil"/>
        </w:rPr>
      </w:pPr>
      <w:r w:rsidRPr="00AD2501">
        <w:rPr>
          <w:b w:val="0"/>
          <w:bCs/>
          <w:bdr w:val="nil"/>
        </w:rPr>
        <w:t>This accountability indicator relates to the Active Certification Audit Program, which applies to construction work for Government capital works projects valued at $250,000 or more. It excludes contractors granted a waiver under Active Certification policy provisions.</w:t>
      </w:r>
    </w:p>
    <w:p w14:paraId="5BB34BF3" w14:textId="77777777" w:rsidR="00AD2501" w:rsidRDefault="00AD2501" w:rsidP="00AD2501">
      <w:pPr>
        <w:pStyle w:val="BSnote2"/>
        <w:keepNext w:val="0"/>
        <w:keepLines w:val="0"/>
        <w:numPr>
          <w:ilvl w:val="0"/>
          <w:numId w:val="13"/>
        </w:numPr>
        <w:pBdr>
          <w:top w:val="nil"/>
          <w:left w:val="nil"/>
          <w:bottom w:val="nil"/>
          <w:right w:val="nil"/>
          <w:between w:val="nil"/>
          <w:bar w:val="nil"/>
        </w:pBdr>
        <w:ind w:left="426" w:hanging="426"/>
        <w:jc w:val="both"/>
        <w:rPr>
          <w:b w:val="0"/>
          <w:bCs/>
          <w:bdr w:val="nil"/>
        </w:rPr>
      </w:pPr>
      <w:r>
        <w:rPr>
          <w:b w:val="0"/>
          <w:bCs/>
          <w:bdr w:val="nil"/>
        </w:rPr>
        <w:t>This accountability indicator relates to construction projects over the value of $250,000 procured and delivered by Major Projects Canberra on behalf of other ACT Government Directorates and which achieve ‘practical completion’ during the reporting period. It excludes Better Infrastructure Fund projects, which are focused on improvements to existing infrastructure, and plant and equipment expenditure. The ‘within budget’ indicator is measured against the final budget approved by the client Directorate for the project including contingency, as may be adjusted for approved variations in scope.</w:t>
      </w:r>
    </w:p>
    <w:p w14:paraId="0EDAF266" w14:textId="18CC7900" w:rsidR="006E72F1" w:rsidRDefault="00900E2D" w:rsidP="006E72F1">
      <w:pPr>
        <w:pStyle w:val="BSnote2"/>
        <w:keepNext w:val="0"/>
        <w:keepLines w:val="0"/>
        <w:numPr>
          <w:ilvl w:val="0"/>
          <w:numId w:val="13"/>
        </w:numPr>
        <w:pBdr>
          <w:top w:val="nil"/>
          <w:left w:val="nil"/>
          <w:bottom w:val="nil"/>
          <w:right w:val="nil"/>
          <w:between w:val="nil"/>
          <w:bar w:val="nil"/>
        </w:pBdr>
        <w:ind w:left="426" w:hanging="426"/>
        <w:jc w:val="both"/>
        <w:rPr>
          <w:b w:val="0"/>
          <w:bCs/>
          <w:bdr w:val="nil"/>
        </w:rPr>
      </w:pPr>
      <w:r>
        <w:rPr>
          <w:b w:val="0"/>
          <w:bCs/>
          <w:bdr w:val="nil"/>
        </w:rPr>
        <w:t>This accountability indicator relates to construction projects over the value of $250,000 procured and delivered by Major Projects Canberra on behalf of other ACT Government Directorates and which achieve ‘practical completion’ during the reporting period. It excludes Better Infrastructure Fund projects, which are focused on improvements to existing infrastructure, and plant and equipment expenditure. Achievement of the ‘on-time’ indicator is measured against the time contracted for ‘practical completion’ (or equivalent) with the ACT Government’s delivery partner, as may be adjusted for variations or valid extension of time claims.</w:t>
      </w:r>
    </w:p>
    <w:p w14:paraId="46B259BF" w14:textId="77777777" w:rsidR="006E72F1" w:rsidRPr="004E7493" w:rsidRDefault="00900E2D" w:rsidP="006E72F1">
      <w:pPr>
        <w:pStyle w:val="BSnote2"/>
        <w:keepNext w:val="0"/>
        <w:keepLines w:val="0"/>
        <w:numPr>
          <w:ilvl w:val="0"/>
          <w:numId w:val="13"/>
        </w:numPr>
        <w:pBdr>
          <w:top w:val="nil"/>
          <w:left w:val="nil"/>
          <w:bottom w:val="nil"/>
          <w:right w:val="nil"/>
          <w:between w:val="nil"/>
          <w:bar w:val="nil"/>
        </w:pBdr>
        <w:ind w:left="426"/>
        <w:jc w:val="both"/>
        <w:rPr>
          <w:b w:val="0"/>
          <w:bCs/>
          <w:szCs w:val="18"/>
          <w:bdr w:val="nil"/>
        </w:rPr>
      </w:pPr>
      <w:r w:rsidRPr="004E7493">
        <w:rPr>
          <w:b w:val="0"/>
          <w:bCs/>
          <w:szCs w:val="18"/>
          <w:bdr w:val="nil"/>
        </w:rPr>
        <w:lastRenderedPageBreak/>
        <w:t>This accountability indicator applies to all construction projects managed by Infrastructure Delivery Partners Group (previously Infrastructure Finance and Capital Works as part of the Chief Minister, Treasury and Economic Development Directorate). It applies only to contracts for works and services that have a prequalification category under the ACT Government Prequalification Schemes.</w:t>
      </w:r>
    </w:p>
    <w:p w14:paraId="4329D8DE" w14:textId="77777777" w:rsidR="006E72F1" w:rsidRPr="004E7493" w:rsidRDefault="00900E2D" w:rsidP="006E72F1">
      <w:pPr>
        <w:pStyle w:val="BSnote2"/>
        <w:keepNext w:val="0"/>
        <w:keepLines w:val="0"/>
        <w:numPr>
          <w:ilvl w:val="0"/>
          <w:numId w:val="13"/>
        </w:numPr>
        <w:pBdr>
          <w:top w:val="nil"/>
          <w:left w:val="nil"/>
          <w:bottom w:val="nil"/>
          <w:right w:val="nil"/>
          <w:between w:val="nil"/>
          <w:bar w:val="nil"/>
        </w:pBdr>
        <w:ind w:left="426"/>
        <w:jc w:val="both"/>
        <w:rPr>
          <w:b w:val="0"/>
          <w:bCs/>
          <w:szCs w:val="18"/>
          <w:bdr w:val="nil"/>
        </w:rPr>
      </w:pPr>
      <w:r w:rsidRPr="004E7493">
        <w:rPr>
          <w:b w:val="0"/>
          <w:bCs/>
          <w:szCs w:val="18"/>
          <w:bdr w:val="nil"/>
        </w:rPr>
        <w:t>Responsibility for this accountability indicator transferred to Major Projects Canberra on 1 July 2019 from the Chief Minister, Treasury and Economic Development Directorate (CMTEDD). The Industrial Relations and Employment (IRE) certification program was replaced by the Secure Local Jobs Code (SLJC) with effect 15 January 2019. As governance for the SLJC is undertaken by CMTEDD, reporting on this indicator is not applicable.</w:t>
      </w:r>
    </w:p>
    <w:p w14:paraId="37718661" w14:textId="77777777" w:rsidR="006E72F1" w:rsidRDefault="006E72F1" w:rsidP="006E72F1">
      <w:pPr>
        <w:pStyle w:val="BSnoteslist2"/>
        <w:widowControl w:val="0"/>
        <w:numPr>
          <w:ilvl w:val="0"/>
          <w:numId w:val="0"/>
        </w:numPr>
        <w:pBdr>
          <w:top w:val="nil"/>
          <w:left w:val="nil"/>
          <w:bottom w:val="nil"/>
          <w:right w:val="nil"/>
          <w:between w:val="nil"/>
          <w:bar w:val="nil"/>
        </w:pBdr>
        <w:ind w:left="426"/>
        <w:jc w:val="both"/>
        <w:rPr>
          <w:szCs w:val="18"/>
          <w:bdr w:val="nil"/>
        </w:rPr>
      </w:pPr>
    </w:p>
    <w:p w14:paraId="193D06E4" w14:textId="77777777" w:rsidR="006E72F1" w:rsidRDefault="00900E2D" w:rsidP="006E72F1">
      <w:pPr>
        <w:pStyle w:val="BSnoteslist2"/>
        <w:widowControl w:val="0"/>
        <w:numPr>
          <w:ilvl w:val="0"/>
          <w:numId w:val="0"/>
        </w:numPr>
        <w:pBdr>
          <w:top w:val="nil"/>
          <w:left w:val="nil"/>
          <w:bottom w:val="nil"/>
          <w:right w:val="nil"/>
          <w:between w:val="nil"/>
          <w:bar w:val="nil"/>
        </w:pBdr>
        <w:jc w:val="both"/>
        <w:rPr>
          <w:b/>
          <w:bCs/>
          <w:bdr w:val="nil"/>
        </w:rPr>
      </w:pPr>
      <w:r>
        <w:rPr>
          <w:b/>
          <w:bCs/>
          <w:bdr w:val="nil"/>
        </w:rPr>
        <w:t>Variances between YTD Targets and YTD Result:</w:t>
      </w:r>
    </w:p>
    <w:p w14:paraId="553E0F86" w14:textId="77777777" w:rsidR="006E72F1" w:rsidRDefault="00900E2D" w:rsidP="006E72F1">
      <w:pPr>
        <w:pStyle w:val="BSnoteslist2"/>
        <w:keepLines/>
        <w:widowControl w:val="0"/>
        <w:numPr>
          <w:ilvl w:val="0"/>
          <w:numId w:val="15"/>
        </w:numPr>
        <w:pBdr>
          <w:top w:val="nil"/>
          <w:left w:val="nil"/>
          <w:bottom w:val="nil"/>
          <w:right w:val="nil"/>
          <w:between w:val="nil"/>
          <w:bar w:val="nil"/>
        </w:pBdr>
        <w:tabs>
          <w:tab w:val="left" w:pos="426"/>
        </w:tabs>
        <w:ind w:left="426" w:hanging="426"/>
        <w:jc w:val="both"/>
        <w:rPr>
          <w:bdr w:val="nil"/>
        </w:rPr>
      </w:pPr>
      <w:r>
        <w:rPr>
          <w:bdr w:val="nil"/>
        </w:rPr>
        <w:t>The variance is mainly due to a continued focus on improved WHS outcomes on construction projects through the active certification policy and related requirements.</w:t>
      </w:r>
    </w:p>
    <w:p w14:paraId="48E67872" w14:textId="77777777" w:rsidR="006E72F1" w:rsidRDefault="00900E2D" w:rsidP="006E72F1">
      <w:pPr>
        <w:pStyle w:val="BSnoteslist2"/>
        <w:keepLines/>
        <w:widowControl w:val="0"/>
        <w:numPr>
          <w:ilvl w:val="0"/>
          <w:numId w:val="15"/>
        </w:numPr>
        <w:pBdr>
          <w:top w:val="nil"/>
          <w:left w:val="nil"/>
          <w:bottom w:val="nil"/>
          <w:right w:val="nil"/>
          <w:between w:val="nil"/>
          <w:bar w:val="nil"/>
        </w:pBdr>
        <w:tabs>
          <w:tab w:val="left" w:pos="426"/>
        </w:tabs>
        <w:ind w:left="426" w:hanging="426"/>
        <w:jc w:val="both"/>
        <w:rPr>
          <w:bdr w:val="nil"/>
        </w:rPr>
      </w:pPr>
      <w:r>
        <w:rPr>
          <w:bdr w:val="nil"/>
        </w:rPr>
        <w:t>The variance is due to the improved emphasis on financial and budget management of projects resulting in all projects delivered within agreed budget.</w:t>
      </w:r>
    </w:p>
    <w:p w14:paraId="4CA7956A" w14:textId="5FE834F4" w:rsidR="006E72F1" w:rsidRDefault="00900E2D" w:rsidP="006E72F1">
      <w:pPr>
        <w:pStyle w:val="BSnoteslist2"/>
        <w:keepLines/>
        <w:widowControl w:val="0"/>
        <w:numPr>
          <w:ilvl w:val="0"/>
          <w:numId w:val="15"/>
        </w:numPr>
        <w:pBdr>
          <w:top w:val="nil"/>
          <w:left w:val="nil"/>
          <w:bottom w:val="nil"/>
          <w:right w:val="nil"/>
          <w:between w:val="nil"/>
          <w:bar w:val="nil"/>
        </w:pBdr>
        <w:tabs>
          <w:tab w:val="left" w:pos="426"/>
        </w:tabs>
        <w:ind w:left="426" w:hanging="426"/>
        <w:jc w:val="both"/>
        <w:rPr>
          <w:bdr w:val="nil"/>
        </w:rPr>
      </w:pPr>
      <w:r>
        <w:rPr>
          <w:bdr w:val="nil"/>
        </w:rPr>
        <w:t xml:space="preserve">The variance is due to improved process between Major Projects Canberra and </w:t>
      </w:r>
      <w:r w:rsidR="00332931">
        <w:rPr>
          <w:bdr w:val="nil"/>
        </w:rPr>
        <w:t>client Directorates</w:t>
      </w:r>
      <w:r>
        <w:rPr>
          <w:bdr w:val="nil"/>
        </w:rPr>
        <w:t xml:space="preserve"> in the setting of achievable timeframes.</w:t>
      </w:r>
    </w:p>
    <w:p w14:paraId="541BE1D7" w14:textId="599A9552" w:rsidR="006E72F1" w:rsidRPr="004D1E12" w:rsidRDefault="00900E2D" w:rsidP="006E72F1">
      <w:pPr>
        <w:pStyle w:val="BSnoteslist2"/>
        <w:keepLines/>
        <w:widowControl w:val="0"/>
        <w:numPr>
          <w:ilvl w:val="0"/>
          <w:numId w:val="16"/>
        </w:numPr>
        <w:pBdr>
          <w:top w:val="nil"/>
          <w:left w:val="nil"/>
          <w:bottom w:val="nil"/>
          <w:right w:val="nil"/>
          <w:between w:val="nil"/>
          <w:bar w:val="nil"/>
        </w:pBdr>
        <w:tabs>
          <w:tab w:val="left" w:pos="426"/>
        </w:tabs>
        <w:ind w:left="426" w:hanging="426"/>
        <w:jc w:val="both"/>
        <w:rPr>
          <w:bdr w:val="nil"/>
        </w:rPr>
      </w:pPr>
      <w:r>
        <w:rPr>
          <w:bdr w:val="nil"/>
        </w:rPr>
        <w:t xml:space="preserve">The variance is the result of capital funded expenses </w:t>
      </w:r>
      <w:r w:rsidR="00332931">
        <w:rPr>
          <w:bdr w:val="nil"/>
        </w:rPr>
        <w:t xml:space="preserve">that </w:t>
      </w:r>
      <w:r>
        <w:rPr>
          <w:bdr w:val="nil"/>
        </w:rPr>
        <w:t xml:space="preserve">do not meet the criteria for capitalisation under the </w:t>
      </w:r>
      <w:r w:rsidRPr="004D1E12">
        <w:rPr>
          <w:i/>
          <w:iCs/>
          <w:bdr w:val="nil"/>
        </w:rPr>
        <w:t>Australian Accounting Standards</w:t>
      </w:r>
      <w:r>
        <w:rPr>
          <w:bdr w:val="nil"/>
        </w:rPr>
        <w:t>.</w:t>
      </w:r>
    </w:p>
    <w:p w14:paraId="4CB3E93E" w14:textId="77777777" w:rsidR="006E72F1" w:rsidRDefault="00900E2D" w:rsidP="006E72F1">
      <w:pPr>
        <w:pBdr>
          <w:top w:val="nil"/>
          <w:left w:val="nil"/>
          <w:bottom w:val="nil"/>
          <w:right w:val="nil"/>
          <w:between w:val="nil"/>
          <w:bar w:val="nil"/>
        </w:pBdr>
        <w:tabs>
          <w:tab w:val="left" w:pos="426"/>
        </w:tabs>
        <w:spacing w:before="0" w:after="0"/>
        <w:ind w:left="426" w:hanging="426"/>
        <w:jc w:val="both"/>
        <w:rPr>
          <w:b/>
          <w:bCs/>
          <w:snapToGrid w:val="0"/>
          <w:sz w:val="32"/>
          <w:bdr w:val="nil"/>
        </w:rPr>
      </w:pPr>
      <w:r>
        <w:t xml:space="preserve"> </w:t>
      </w:r>
    </w:p>
    <w:p w14:paraId="2D07DE32" w14:textId="77777777" w:rsidR="006E72F1" w:rsidRDefault="00900E2D" w:rsidP="006E72F1">
      <w:pPr>
        <w:pStyle w:val="Heading2"/>
        <w:pageBreakBefore/>
        <w:pBdr>
          <w:top w:val="nil"/>
          <w:left w:val="nil"/>
          <w:bottom w:val="nil"/>
          <w:right w:val="nil"/>
          <w:between w:val="nil"/>
          <w:bar w:val="nil"/>
        </w:pBdr>
        <w:rPr>
          <w:bdr w:val="nil"/>
        </w:rPr>
      </w:pPr>
      <w:bookmarkStart w:id="11" w:name="_Toc452467801"/>
      <w:r>
        <w:rPr>
          <w:bdr w:val="nil"/>
        </w:rPr>
        <w:lastRenderedPageBreak/>
        <w:t>Changes to Appropriation</w:t>
      </w:r>
      <w:bookmarkEnd w:id="11"/>
    </w:p>
    <w:p w14:paraId="21E3E282" w14:textId="77777777" w:rsidR="006E72F1" w:rsidRPr="00F0682D" w:rsidRDefault="00900E2D" w:rsidP="009B7444">
      <w:pPr>
        <w:pStyle w:val="Caption"/>
        <w:pBdr>
          <w:top w:val="nil"/>
          <w:left w:val="nil"/>
          <w:bottom w:val="nil"/>
          <w:right w:val="nil"/>
          <w:between w:val="nil"/>
          <w:bar w:val="nil"/>
        </w:pBdr>
        <w:spacing w:after="0"/>
        <w:rPr>
          <w:bdr w:val="nil"/>
        </w:rPr>
      </w:pPr>
      <w:r w:rsidRPr="00F0682D">
        <w:rPr>
          <w:bdr w:val="nil"/>
        </w:rPr>
        <w:t xml:space="preserve">Table </w:t>
      </w:r>
      <w:r>
        <w:rPr>
          <w:bdr w:val="nil"/>
        </w:rPr>
        <w:t>4</w:t>
      </w:r>
      <w:r w:rsidRPr="00F0682D">
        <w:rPr>
          <w:bdr w:val="nil"/>
        </w:rPr>
        <w:t>: Changes to appropriation –</w:t>
      </w:r>
      <w:r w:rsidRPr="00F0682D">
        <w:rPr>
          <w:szCs w:val="20"/>
          <w:bdr w:val="nil"/>
        </w:rPr>
        <w:t xml:space="preserve"> </w:t>
      </w:r>
      <w:r w:rsidRPr="00F0682D">
        <w:rPr>
          <w:bdr w:val="nil"/>
        </w:rPr>
        <w:t>Controlled Recurrent Payments</w:t>
      </w:r>
    </w:p>
    <w:p w14:paraId="3E754D80" w14:textId="77777777" w:rsidR="003036F4" w:rsidRDefault="003036F4">
      <w:pPr>
        <w:pStyle w:val="Normal0"/>
      </w:pPr>
    </w:p>
    <w:tbl>
      <w:tblPr>
        <w:tblStyle w:val="CDMRange1"/>
        <w:tblW w:w="9975" w:type="dxa"/>
        <w:tblLayout w:type="fixed"/>
        <w:tblLook w:val="0600" w:firstRow="0" w:lastRow="0" w:firstColumn="0" w:lastColumn="0" w:noHBand="1" w:noVBand="1"/>
      </w:tblPr>
      <w:tblGrid>
        <w:gridCol w:w="4800"/>
        <w:gridCol w:w="1035"/>
        <w:gridCol w:w="1035"/>
        <w:gridCol w:w="1035"/>
        <w:gridCol w:w="1035"/>
        <w:gridCol w:w="1035"/>
      </w:tblGrid>
      <w:tr w:rsidR="003036F4" w14:paraId="17BC56ED" w14:textId="77777777">
        <w:trPr>
          <w:trHeight w:val="984"/>
        </w:trPr>
        <w:tc>
          <w:tcPr>
            <w:tcW w:w="4800" w:type="dxa"/>
            <w:tcBorders>
              <w:top w:val="single" w:sz="12" w:space="0" w:color="000000"/>
              <w:left w:val="nil"/>
              <w:bottom w:val="single" w:sz="12" w:space="0" w:color="000000"/>
              <w:right w:val="nil"/>
              <w:tl2br w:val="nil"/>
              <w:tr2bl w:val="nil"/>
            </w:tcBorders>
            <w:shd w:val="clear" w:color="auto" w:fill="auto"/>
            <w:tcMar>
              <w:left w:w="0" w:type="dxa"/>
              <w:right w:w="0" w:type="dxa"/>
            </w:tcMar>
            <w:vAlign w:val="bottom"/>
          </w:tcPr>
          <w:p w14:paraId="352AEAC9" w14:textId="77777777" w:rsidR="003036F4" w:rsidRDefault="003036F4">
            <w:pPr>
              <w:pStyle w:val="Normal0"/>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A7DFF34" w14:textId="1A5F4993" w:rsidR="003036F4" w:rsidRDefault="00332931">
            <w:pPr>
              <w:pStyle w:val="Normal0"/>
              <w:jc w:val="right"/>
              <w:rPr>
                <w:rFonts w:ascii="Calibri" w:eastAsia="Calibri" w:hAnsi="Calibri" w:cs="Calibri"/>
                <w:b/>
                <w:color w:val="000000"/>
                <w:sz w:val="18"/>
              </w:rPr>
            </w:pPr>
            <w:r>
              <w:rPr>
                <w:rFonts w:ascii="Calibri" w:eastAsia="Calibri" w:hAnsi="Calibri" w:cs="Calibri"/>
                <w:b/>
                <w:color w:val="000000"/>
                <w:sz w:val="18"/>
              </w:rPr>
              <w:t>2019–20</w:t>
            </w:r>
            <w:r w:rsidR="00900E2D">
              <w:rPr>
                <w:rFonts w:ascii="Calibri" w:eastAsia="Calibri" w:hAnsi="Calibri" w:cs="Calibri"/>
                <w:b/>
                <w:color w:val="000000"/>
                <w:sz w:val="18"/>
              </w:rPr>
              <w:t xml:space="preserve"> Audited Outcome</w:t>
            </w:r>
          </w:p>
          <w:p w14:paraId="5EB45417"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70AED44" w14:textId="54965DA0" w:rsidR="003036F4" w:rsidRDefault="00332931">
            <w:pPr>
              <w:pStyle w:val="Normal0"/>
              <w:jc w:val="right"/>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Budget</w:t>
            </w:r>
          </w:p>
          <w:p w14:paraId="093D2DA9" w14:textId="77777777" w:rsidR="003036F4" w:rsidRDefault="003036F4">
            <w:pPr>
              <w:pStyle w:val="Normal0"/>
              <w:jc w:val="right"/>
              <w:rPr>
                <w:rFonts w:ascii="Calibri" w:eastAsia="Calibri" w:hAnsi="Calibri" w:cs="Calibri"/>
                <w:b/>
                <w:color w:val="000000"/>
                <w:sz w:val="18"/>
              </w:rPr>
            </w:pPr>
          </w:p>
          <w:p w14:paraId="0B0D6BB6"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CE9EB41"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2021-22 Estimate</w:t>
            </w:r>
          </w:p>
          <w:p w14:paraId="54F2D0B0" w14:textId="77777777" w:rsidR="003036F4" w:rsidRDefault="003036F4">
            <w:pPr>
              <w:pStyle w:val="Normal0"/>
              <w:jc w:val="right"/>
              <w:rPr>
                <w:rFonts w:ascii="Calibri" w:eastAsia="Calibri" w:hAnsi="Calibri" w:cs="Calibri"/>
                <w:b/>
                <w:color w:val="000000"/>
                <w:sz w:val="18"/>
              </w:rPr>
            </w:pPr>
          </w:p>
          <w:p w14:paraId="023CD2FF"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277390E"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2022-23 Estimate</w:t>
            </w:r>
          </w:p>
          <w:p w14:paraId="62D4C5AC" w14:textId="77777777" w:rsidR="003036F4" w:rsidRDefault="003036F4">
            <w:pPr>
              <w:pStyle w:val="Normal0"/>
              <w:jc w:val="right"/>
              <w:rPr>
                <w:rFonts w:ascii="Calibri" w:eastAsia="Calibri" w:hAnsi="Calibri" w:cs="Calibri"/>
                <w:b/>
                <w:color w:val="000000"/>
                <w:sz w:val="18"/>
              </w:rPr>
            </w:pPr>
          </w:p>
          <w:p w14:paraId="17B04482"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040EDB7"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2023-24 Estimate</w:t>
            </w:r>
          </w:p>
          <w:p w14:paraId="35EC720D" w14:textId="77777777" w:rsidR="003036F4" w:rsidRDefault="003036F4">
            <w:pPr>
              <w:pStyle w:val="Normal0"/>
              <w:jc w:val="right"/>
              <w:rPr>
                <w:rFonts w:ascii="Calibri" w:eastAsia="Calibri" w:hAnsi="Calibri" w:cs="Calibri"/>
                <w:b/>
                <w:color w:val="000000"/>
                <w:sz w:val="18"/>
              </w:rPr>
            </w:pPr>
          </w:p>
          <w:p w14:paraId="4AE03E21"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r>
      <w:tr w:rsidR="003036F4" w14:paraId="37CD3E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4800" w:type="dxa"/>
            <w:tcBorders>
              <w:top w:val="single" w:sz="12" w:space="0" w:color="000000"/>
              <w:left w:val="nil"/>
              <w:bottom w:val="nil"/>
              <w:right w:val="nil"/>
              <w:tl2br w:val="nil"/>
              <w:tr2bl w:val="nil"/>
            </w:tcBorders>
            <w:shd w:val="clear" w:color="auto" w:fill="auto"/>
            <w:tcMar>
              <w:left w:w="0" w:type="dxa"/>
              <w:right w:w="0" w:type="dxa"/>
            </w:tcMar>
            <w:vAlign w:val="bottom"/>
          </w:tcPr>
          <w:p w14:paraId="2F5F7AE5" w14:textId="77777777" w:rsidR="003036F4" w:rsidRDefault="003036F4">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CFA70E3" w14:textId="77777777" w:rsidR="003036F4" w:rsidRDefault="003036F4">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EC9C288" w14:textId="77777777" w:rsidR="003036F4" w:rsidRDefault="003036F4">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D389DDF" w14:textId="77777777" w:rsidR="003036F4" w:rsidRDefault="003036F4">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00D2BE8" w14:textId="77777777" w:rsidR="003036F4" w:rsidRDefault="003036F4">
            <w:pPr>
              <w:pStyle w:val="Normal0"/>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45A5074" w14:textId="77777777" w:rsidR="003036F4" w:rsidRDefault="003036F4">
            <w:pPr>
              <w:pStyle w:val="Normal0"/>
              <w:rPr>
                <w:rFonts w:ascii="Calibri" w:eastAsia="Calibri" w:hAnsi="Calibri" w:cs="Calibri"/>
                <w:color w:val="000000"/>
                <w:sz w:val="18"/>
              </w:rPr>
            </w:pPr>
          </w:p>
        </w:tc>
      </w:tr>
      <w:tr w:rsidR="003036F4" w14:paraId="796CDF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0491A779" w14:textId="27929912" w:rsidR="003036F4" w:rsidRDefault="00332931">
            <w:pPr>
              <w:pStyle w:val="Normal0"/>
              <w:rPr>
                <w:rFonts w:ascii="Calibri" w:eastAsia="Calibri" w:hAnsi="Calibri" w:cs="Calibri"/>
                <w:b/>
                <w:color w:val="000000"/>
                <w:sz w:val="18"/>
              </w:rPr>
            </w:pPr>
            <w:r>
              <w:rPr>
                <w:rFonts w:ascii="Calibri" w:eastAsia="Calibri" w:hAnsi="Calibri" w:cs="Calibri"/>
                <w:b/>
                <w:color w:val="000000"/>
                <w:sz w:val="18"/>
              </w:rPr>
              <w:t>2019–20</w:t>
            </w:r>
            <w:r w:rsidR="00900E2D">
              <w:rPr>
                <w:rFonts w:ascii="Calibri" w:eastAsia="Calibri" w:hAnsi="Calibri" w:cs="Calibri"/>
                <w:b/>
                <w:color w:val="000000"/>
                <w:sz w:val="18"/>
              </w:rPr>
              <w:t xml:space="preserve">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2D27D22"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01779B0"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FA423D6"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6FFACD9"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996CE16"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2217DB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tcPr>
          <w:p w14:paraId="60D5BC4A"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2A53EF9"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86D9300"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EAD37DA"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644704D"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A950619" w14:textId="77777777" w:rsidR="003036F4" w:rsidRDefault="003036F4">
            <w:pPr>
              <w:pStyle w:val="Normal0"/>
              <w:rPr>
                <w:rFonts w:ascii="Calibri" w:eastAsia="Calibri" w:hAnsi="Calibri" w:cs="Calibri"/>
                <w:color w:val="000000"/>
                <w:sz w:val="18"/>
              </w:rPr>
            </w:pPr>
          </w:p>
        </w:tc>
      </w:tr>
      <w:tr w:rsidR="003036F4" w14:paraId="576B7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85BF933" w14:textId="3E070821" w:rsidR="003036F4" w:rsidRDefault="00900E2D">
            <w:pPr>
              <w:pStyle w:val="Normal0"/>
              <w:rPr>
                <w:rFonts w:ascii="Calibri" w:eastAsia="Calibri" w:hAnsi="Calibri" w:cs="Calibri"/>
                <w:b/>
                <w:color w:val="000000"/>
                <w:sz w:val="18"/>
              </w:rPr>
            </w:pPr>
            <w:r>
              <w:rPr>
                <w:rFonts w:ascii="Calibri" w:eastAsia="Calibri" w:hAnsi="Calibri" w:cs="Calibri"/>
                <w:b/>
                <w:color w:val="000000"/>
                <w:sz w:val="18"/>
              </w:rPr>
              <w:t xml:space="preserve">FMA Section 16 Transfer from Other Agencies </w:t>
            </w:r>
            <w:r w:rsidR="00332931">
              <w:rPr>
                <w:rFonts w:ascii="Calibri" w:eastAsia="Calibri" w:hAnsi="Calibri" w:cs="Calibri"/>
                <w:b/>
                <w:color w:val="000000"/>
                <w:sz w:val="18"/>
              </w:rPr>
              <w:t>2019–20</w:t>
            </w:r>
          </w:p>
        </w:tc>
        <w:tc>
          <w:tcPr>
            <w:tcW w:w="1035" w:type="dxa"/>
            <w:tcBorders>
              <w:top w:val="nil"/>
              <w:left w:val="nil"/>
              <w:bottom w:val="nil"/>
              <w:right w:val="nil"/>
              <w:tl2br w:val="nil"/>
              <w:tr2bl w:val="nil"/>
            </w:tcBorders>
            <w:shd w:val="clear" w:color="auto" w:fill="auto"/>
            <w:noWrap/>
            <w:tcMar>
              <w:left w:w="0" w:type="dxa"/>
              <w:right w:w="0" w:type="dxa"/>
            </w:tcMar>
          </w:tcPr>
          <w:p w14:paraId="4B73C98E"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40836FC"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A3238B0"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3B59B4B"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913608A" w14:textId="77777777" w:rsidR="003036F4" w:rsidRDefault="003036F4">
            <w:pPr>
              <w:pStyle w:val="Normal0"/>
              <w:rPr>
                <w:rFonts w:ascii="Calibri" w:eastAsia="Calibri" w:hAnsi="Calibri" w:cs="Calibri"/>
                <w:color w:val="000000"/>
                <w:sz w:val="18"/>
              </w:rPr>
            </w:pPr>
          </w:p>
        </w:tc>
      </w:tr>
      <w:tr w:rsidR="003036F4" w14:paraId="71786B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507D563D" w14:textId="6EBFF9E1" w:rsidR="003036F4" w:rsidRDefault="00900E2D" w:rsidP="004E3699">
            <w:pPr>
              <w:pStyle w:val="Normal0"/>
              <w:ind w:left="179" w:hanging="179"/>
              <w:rPr>
                <w:rFonts w:ascii="Calibri" w:eastAsia="Calibri" w:hAnsi="Calibri" w:cs="Calibri"/>
                <w:color w:val="000000"/>
                <w:sz w:val="18"/>
              </w:rPr>
            </w:pPr>
            <w:r>
              <w:rPr>
                <w:rFonts w:ascii="Calibri" w:eastAsia="Calibri" w:hAnsi="Calibri" w:cs="Calibri"/>
                <w:color w:val="000000"/>
                <w:sz w:val="18"/>
              </w:rPr>
              <w:t xml:space="preserve">Keeping our growing city moving </w:t>
            </w:r>
            <w:r w:rsidR="00332931">
              <w:rPr>
                <w:rFonts w:ascii="Calibri" w:eastAsia="Calibri" w:hAnsi="Calibri" w:cs="Calibri"/>
                <w:color w:val="000000"/>
                <w:sz w:val="18"/>
              </w:rPr>
              <w:t>–</w:t>
            </w:r>
            <w:r>
              <w:rPr>
                <w:rFonts w:ascii="Calibri" w:eastAsia="Calibri" w:hAnsi="Calibri" w:cs="Calibri"/>
                <w:color w:val="000000"/>
                <w:sz w:val="18"/>
              </w:rPr>
              <w:t xml:space="preserve"> Light Rail Stage 2 </w:t>
            </w:r>
            <w:r w:rsidR="00332931">
              <w:rPr>
                <w:rFonts w:ascii="Calibri" w:eastAsia="Calibri" w:hAnsi="Calibri" w:cs="Calibri"/>
                <w:color w:val="000000"/>
                <w:sz w:val="18"/>
              </w:rPr>
              <w:t>–</w:t>
            </w:r>
            <w:r>
              <w:rPr>
                <w:rFonts w:ascii="Calibri" w:eastAsia="Calibri" w:hAnsi="Calibri" w:cs="Calibri"/>
                <w:color w:val="000000"/>
                <w:sz w:val="18"/>
              </w:rPr>
              <w:t xml:space="preserve"> City to Woden Early Planning </w:t>
            </w:r>
          </w:p>
        </w:tc>
        <w:tc>
          <w:tcPr>
            <w:tcW w:w="1035" w:type="dxa"/>
            <w:tcBorders>
              <w:top w:val="nil"/>
              <w:left w:val="nil"/>
              <w:bottom w:val="nil"/>
              <w:right w:val="nil"/>
              <w:tl2br w:val="nil"/>
              <w:tr2bl w:val="nil"/>
            </w:tcBorders>
            <w:shd w:val="clear" w:color="auto" w:fill="auto"/>
            <w:noWrap/>
            <w:tcMar>
              <w:left w:w="101" w:type="dxa"/>
              <w:right w:w="101" w:type="dxa"/>
            </w:tcMar>
          </w:tcPr>
          <w:p w14:paraId="73623B06"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5 076</w:t>
            </w:r>
          </w:p>
        </w:tc>
        <w:tc>
          <w:tcPr>
            <w:tcW w:w="1035" w:type="dxa"/>
            <w:tcBorders>
              <w:top w:val="nil"/>
              <w:left w:val="nil"/>
              <w:bottom w:val="nil"/>
              <w:right w:val="nil"/>
              <w:tl2br w:val="nil"/>
              <w:tr2bl w:val="nil"/>
            </w:tcBorders>
            <w:shd w:val="clear" w:color="auto" w:fill="auto"/>
            <w:noWrap/>
            <w:tcMar>
              <w:left w:w="101" w:type="dxa"/>
              <w:right w:w="101" w:type="dxa"/>
            </w:tcMar>
          </w:tcPr>
          <w:p w14:paraId="1A7F3F5B"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EAE485F"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F1B34D6"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1C6C4CA"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7B5489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33BDF9C2" w14:textId="77777777" w:rsidR="003036F4" w:rsidRDefault="00900E2D">
            <w:pPr>
              <w:pStyle w:val="Normal0"/>
              <w:rPr>
                <w:rFonts w:ascii="Calibri" w:eastAsia="Calibri" w:hAnsi="Calibri" w:cs="Calibri"/>
                <w:color w:val="000000"/>
                <w:sz w:val="18"/>
              </w:rPr>
            </w:pPr>
            <w:r>
              <w:rPr>
                <w:rFonts w:ascii="Calibri" w:eastAsia="Calibri" w:hAnsi="Calibri" w:cs="Calibri"/>
                <w:color w:val="000000"/>
                <w:sz w:val="18"/>
              </w:rPr>
              <w:t>Delivering Stage 2 of Light Rail to Woden</w:t>
            </w:r>
          </w:p>
        </w:tc>
        <w:tc>
          <w:tcPr>
            <w:tcW w:w="1035" w:type="dxa"/>
            <w:tcBorders>
              <w:top w:val="nil"/>
              <w:left w:val="nil"/>
              <w:bottom w:val="nil"/>
              <w:right w:val="nil"/>
              <w:tl2br w:val="nil"/>
              <w:tr2bl w:val="nil"/>
            </w:tcBorders>
            <w:shd w:val="clear" w:color="auto" w:fill="auto"/>
            <w:noWrap/>
            <w:tcMar>
              <w:left w:w="101" w:type="dxa"/>
              <w:right w:w="101" w:type="dxa"/>
            </w:tcMar>
          </w:tcPr>
          <w:p w14:paraId="1A235421"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2 342</w:t>
            </w:r>
          </w:p>
        </w:tc>
        <w:tc>
          <w:tcPr>
            <w:tcW w:w="1035" w:type="dxa"/>
            <w:tcBorders>
              <w:top w:val="nil"/>
              <w:left w:val="nil"/>
              <w:bottom w:val="nil"/>
              <w:right w:val="nil"/>
              <w:tl2br w:val="nil"/>
              <w:tr2bl w:val="nil"/>
            </w:tcBorders>
            <w:shd w:val="clear" w:color="auto" w:fill="auto"/>
            <w:noWrap/>
            <w:tcMar>
              <w:left w:w="101" w:type="dxa"/>
              <w:right w:w="101" w:type="dxa"/>
            </w:tcMar>
          </w:tcPr>
          <w:p w14:paraId="585F48DC"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A7AF5B7"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A31467F"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F6A47E3"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726E78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752A3DF8" w14:textId="77777777" w:rsidR="003036F4" w:rsidRDefault="00900E2D">
            <w:pPr>
              <w:pStyle w:val="Normal0"/>
              <w:rPr>
                <w:rFonts w:ascii="Calibri" w:eastAsia="Calibri" w:hAnsi="Calibri" w:cs="Calibri"/>
                <w:color w:val="000000"/>
                <w:sz w:val="18"/>
              </w:rPr>
            </w:pPr>
            <w:r>
              <w:rPr>
                <w:rFonts w:ascii="Calibri" w:eastAsia="Calibri" w:hAnsi="Calibri" w:cs="Calibri"/>
                <w:color w:val="000000"/>
                <w:sz w:val="18"/>
              </w:rPr>
              <w:t>Keeping our growing city moving - Mitchell Light Rail Stop</w:t>
            </w:r>
          </w:p>
        </w:tc>
        <w:tc>
          <w:tcPr>
            <w:tcW w:w="1035" w:type="dxa"/>
            <w:tcBorders>
              <w:top w:val="nil"/>
              <w:left w:val="nil"/>
              <w:bottom w:val="nil"/>
              <w:right w:val="nil"/>
              <w:tl2br w:val="nil"/>
              <w:tr2bl w:val="nil"/>
            </w:tcBorders>
            <w:shd w:val="clear" w:color="auto" w:fill="auto"/>
            <w:noWrap/>
            <w:tcMar>
              <w:left w:w="101" w:type="dxa"/>
              <w:right w:w="101" w:type="dxa"/>
            </w:tcMar>
          </w:tcPr>
          <w:p w14:paraId="709845A8"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150</w:t>
            </w:r>
          </w:p>
        </w:tc>
        <w:tc>
          <w:tcPr>
            <w:tcW w:w="1035" w:type="dxa"/>
            <w:tcBorders>
              <w:top w:val="nil"/>
              <w:left w:val="nil"/>
              <w:bottom w:val="nil"/>
              <w:right w:val="nil"/>
              <w:tl2br w:val="nil"/>
              <w:tr2bl w:val="nil"/>
            </w:tcBorders>
            <w:shd w:val="clear" w:color="auto" w:fill="auto"/>
            <w:noWrap/>
            <w:tcMar>
              <w:left w:w="101" w:type="dxa"/>
              <w:right w:w="101" w:type="dxa"/>
            </w:tcMar>
          </w:tcPr>
          <w:p w14:paraId="1CB533E5"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E94A763"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7E680F1"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0ED80AE"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5348CC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tcPr>
          <w:p w14:paraId="132368D6"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07989C5"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1A734F6"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6A7BEDF"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C52545E"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D7B6E72" w14:textId="77777777" w:rsidR="003036F4" w:rsidRDefault="003036F4">
            <w:pPr>
              <w:pStyle w:val="Normal0"/>
              <w:rPr>
                <w:rFonts w:ascii="Calibri" w:eastAsia="Calibri" w:hAnsi="Calibri" w:cs="Calibri"/>
                <w:color w:val="000000"/>
                <w:sz w:val="18"/>
              </w:rPr>
            </w:pPr>
          </w:p>
        </w:tc>
      </w:tr>
      <w:tr w:rsidR="003036F4" w14:paraId="7DA6C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ACCCB9C" w14:textId="55E21629" w:rsidR="003036F4" w:rsidRDefault="00332931">
            <w:pPr>
              <w:pStyle w:val="Normal0"/>
              <w:rPr>
                <w:rFonts w:ascii="Calibri" w:eastAsia="Calibri" w:hAnsi="Calibri" w:cs="Calibri"/>
                <w:b/>
                <w:color w:val="000000"/>
                <w:sz w:val="18"/>
              </w:rPr>
            </w:pPr>
            <w:r>
              <w:rPr>
                <w:rFonts w:ascii="Calibri" w:eastAsia="Calibri" w:hAnsi="Calibri" w:cs="Calibri"/>
                <w:b/>
                <w:color w:val="000000"/>
                <w:sz w:val="18"/>
              </w:rPr>
              <w:t>2019–20</w:t>
            </w:r>
            <w:r w:rsidR="00900E2D">
              <w:rPr>
                <w:rFonts w:ascii="Calibri" w:eastAsia="Calibri" w:hAnsi="Calibri" w:cs="Calibri"/>
                <w:b/>
                <w:color w:val="000000"/>
                <w:sz w:val="18"/>
              </w:rPr>
              <w:t xml:space="preserve"> 2nd Appropriation</w:t>
            </w:r>
          </w:p>
        </w:tc>
        <w:tc>
          <w:tcPr>
            <w:tcW w:w="1035" w:type="dxa"/>
            <w:tcBorders>
              <w:top w:val="nil"/>
              <w:left w:val="nil"/>
              <w:bottom w:val="nil"/>
              <w:right w:val="nil"/>
              <w:tl2br w:val="nil"/>
              <w:tr2bl w:val="nil"/>
            </w:tcBorders>
            <w:shd w:val="clear" w:color="auto" w:fill="auto"/>
            <w:noWrap/>
            <w:tcMar>
              <w:left w:w="0" w:type="dxa"/>
              <w:right w:w="0" w:type="dxa"/>
            </w:tcMar>
          </w:tcPr>
          <w:p w14:paraId="0DABF88A"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96A89F2"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73ACB27"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5906087"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ED3C7D9" w14:textId="77777777" w:rsidR="003036F4" w:rsidRDefault="003036F4">
            <w:pPr>
              <w:pStyle w:val="Normal0"/>
              <w:rPr>
                <w:rFonts w:ascii="Calibri" w:eastAsia="Calibri" w:hAnsi="Calibri" w:cs="Calibri"/>
                <w:color w:val="000000"/>
                <w:sz w:val="18"/>
              </w:rPr>
            </w:pPr>
          </w:p>
        </w:tc>
      </w:tr>
      <w:tr w:rsidR="003036F4" w14:paraId="34127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15A1409" w14:textId="77777777" w:rsidR="003036F4" w:rsidRDefault="00900E2D">
            <w:pPr>
              <w:pStyle w:val="Normal0"/>
              <w:rPr>
                <w:rFonts w:ascii="Calibri" w:eastAsia="Calibri" w:hAnsi="Calibri" w:cs="Calibri"/>
                <w:color w:val="000000"/>
                <w:sz w:val="18"/>
              </w:rPr>
            </w:pPr>
            <w:r>
              <w:rPr>
                <w:rFonts w:ascii="Calibri" w:eastAsia="Calibri" w:hAnsi="Calibri" w:cs="Calibri"/>
                <w:color w:val="000000"/>
                <w:sz w:val="18"/>
              </w:rPr>
              <w:t>Light Rail Performance Audit</w:t>
            </w:r>
          </w:p>
        </w:tc>
        <w:tc>
          <w:tcPr>
            <w:tcW w:w="1035" w:type="dxa"/>
            <w:tcBorders>
              <w:top w:val="nil"/>
              <w:left w:val="nil"/>
              <w:bottom w:val="nil"/>
              <w:right w:val="nil"/>
              <w:tl2br w:val="nil"/>
              <w:tr2bl w:val="nil"/>
            </w:tcBorders>
            <w:shd w:val="clear" w:color="auto" w:fill="auto"/>
            <w:noWrap/>
            <w:tcMar>
              <w:left w:w="101" w:type="dxa"/>
              <w:right w:w="101" w:type="dxa"/>
            </w:tcMar>
          </w:tcPr>
          <w:p w14:paraId="77BF4A26"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88</w:t>
            </w:r>
          </w:p>
        </w:tc>
        <w:tc>
          <w:tcPr>
            <w:tcW w:w="1035" w:type="dxa"/>
            <w:tcBorders>
              <w:top w:val="nil"/>
              <w:left w:val="nil"/>
              <w:bottom w:val="nil"/>
              <w:right w:val="nil"/>
              <w:tl2br w:val="nil"/>
              <w:tr2bl w:val="nil"/>
            </w:tcBorders>
            <w:shd w:val="clear" w:color="auto" w:fill="auto"/>
            <w:noWrap/>
            <w:tcMar>
              <w:left w:w="101" w:type="dxa"/>
              <w:right w:w="101" w:type="dxa"/>
            </w:tcMar>
          </w:tcPr>
          <w:p w14:paraId="008C8C72"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AF49B00"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4EB2193"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B73C9D3"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3E8EDD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tcPr>
          <w:p w14:paraId="43301A4F"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76E33A0"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9BF3C51"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879DC4C"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6052688"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EA3D77F" w14:textId="77777777" w:rsidR="003036F4" w:rsidRDefault="003036F4">
            <w:pPr>
              <w:pStyle w:val="Normal0"/>
              <w:rPr>
                <w:rFonts w:ascii="Calibri" w:eastAsia="Calibri" w:hAnsi="Calibri" w:cs="Calibri"/>
                <w:color w:val="000000"/>
                <w:sz w:val="18"/>
              </w:rPr>
            </w:pPr>
          </w:p>
        </w:tc>
      </w:tr>
      <w:tr w:rsidR="003036F4" w14:paraId="31F4B3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9D1AAF1" w14:textId="5D79129C" w:rsidR="003036F4" w:rsidRDefault="00332931">
            <w:pPr>
              <w:pStyle w:val="Normal0"/>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Budget Policy Decisions</w:t>
            </w:r>
          </w:p>
        </w:tc>
        <w:tc>
          <w:tcPr>
            <w:tcW w:w="1035" w:type="dxa"/>
            <w:tcBorders>
              <w:top w:val="nil"/>
              <w:left w:val="nil"/>
              <w:bottom w:val="nil"/>
              <w:right w:val="nil"/>
              <w:tl2br w:val="nil"/>
              <w:tr2bl w:val="nil"/>
            </w:tcBorders>
            <w:shd w:val="clear" w:color="auto" w:fill="auto"/>
            <w:noWrap/>
            <w:tcMar>
              <w:left w:w="0" w:type="dxa"/>
              <w:right w:w="0" w:type="dxa"/>
            </w:tcMar>
          </w:tcPr>
          <w:p w14:paraId="4B979B31"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229971F"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0973E73"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543B8D7"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216DBA2" w14:textId="77777777" w:rsidR="003036F4" w:rsidRDefault="003036F4">
            <w:pPr>
              <w:pStyle w:val="Normal0"/>
              <w:rPr>
                <w:rFonts w:ascii="Calibri" w:eastAsia="Calibri" w:hAnsi="Calibri" w:cs="Calibri"/>
                <w:color w:val="000000"/>
                <w:sz w:val="18"/>
              </w:rPr>
            </w:pPr>
          </w:p>
        </w:tc>
      </w:tr>
      <w:tr w:rsidR="003036F4" w14:paraId="39AAAD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38EE4C5" w14:textId="08CBE436" w:rsidR="003036F4" w:rsidRDefault="00900E2D">
            <w:pPr>
              <w:pStyle w:val="Normal0"/>
              <w:rPr>
                <w:rFonts w:ascii="Calibri" w:eastAsia="Calibri" w:hAnsi="Calibri" w:cs="Calibri"/>
                <w:color w:val="000000"/>
                <w:sz w:val="18"/>
              </w:rPr>
            </w:pPr>
            <w:r>
              <w:rPr>
                <w:rFonts w:ascii="Calibri" w:eastAsia="Calibri" w:hAnsi="Calibri" w:cs="Calibri"/>
                <w:color w:val="000000"/>
                <w:sz w:val="18"/>
              </w:rPr>
              <w:t xml:space="preserve">Light Rail Stage 2 </w:t>
            </w:r>
            <w:r w:rsidR="00332931">
              <w:rPr>
                <w:rFonts w:ascii="Calibri" w:eastAsia="Calibri" w:hAnsi="Calibri" w:cs="Calibri"/>
                <w:color w:val="000000"/>
                <w:sz w:val="18"/>
              </w:rPr>
              <w:t>–</w:t>
            </w:r>
            <w:r>
              <w:rPr>
                <w:rFonts w:ascii="Calibri" w:eastAsia="Calibri" w:hAnsi="Calibri" w:cs="Calibri"/>
                <w:color w:val="000000"/>
                <w:sz w:val="18"/>
              </w:rPr>
              <w:t xml:space="preserve"> Design and Raising London Circuit</w:t>
            </w:r>
          </w:p>
        </w:tc>
        <w:tc>
          <w:tcPr>
            <w:tcW w:w="1035" w:type="dxa"/>
            <w:tcBorders>
              <w:top w:val="nil"/>
              <w:left w:val="nil"/>
              <w:bottom w:val="nil"/>
              <w:right w:val="nil"/>
              <w:tl2br w:val="nil"/>
              <w:tr2bl w:val="nil"/>
            </w:tcBorders>
            <w:shd w:val="clear" w:color="auto" w:fill="auto"/>
            <w:noWrap/>
            <w:tcMar>
              <w:left w:w="101" w:type="dxa"/>
              <w:right w:w="101" w:type="dxa"/>
            </w:tcMar>
          </w:tcPr>
          <w:p w14:paraId="6BEB0699"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268FBCB"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631</w:t>
            </w:r>
          </w:p>
        </w:tc>
        <w:tc>
          <w:tcPr>
            <w:tcW w:w="1035" w:type="dxa"/>
            <w:tcBorders>
              <w:top w:val="nil"/>
              <w:left w:val="nil"/>
              <w:bottom w:val="nil"/>
              <w:right w:val="nil"/>
              <w:tl2br w:val="nil"/>
              <w:tr2bl w:val="nil"/>
            </w:tcBorders>
            <w:shd w:val="clear" w:color="auto" w:fill="auto"/>
            <w:noWrap/>
            <w:tcMar>
              <w:left w:w="101" w:type="dxa"/>
              <w:right w:w="101" w:type="dxa"/>
            </w:tcMar>
          </w:tcPr>
          <w:p w14:paraId="009056EB"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C632361"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25107F2"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628E29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3D67D3F" w14:textId="77777777" w:rsidR="003036F4" w:rsidRDefault="00900E2D">
            <w:pPr>
              <w:pStyle w:val="Normal0"/>
              <w:rPr>
                <w:rFonts w:ascii="Calibri" w:eastAsia="Calibri" w:hAnsi="Calibri" w:cs="Calibri"/>
                <w:color w:val="000000"/>
                <w:sz w:val="18"/>
              </w:rPr>
            </w:pPr>
            <w:r>
              <w:rPr>
                <w:rFonts w:ascii="Calibri" w:eastAsia="Calibri" w:hAnsi="Calibri" w:cs="Calibri"/>
                <w:color w:val="000000"/>
                <w:sz w:val="18"/>
              </w:rPr>
              <w:t>Potentially Combustible Cladding Rectification Scheme</w:t>
            </w:r>
          </w:p>
        </w:tc>
        <w:tc>
          <w:tcPr>
            <w:tcW w:w="1035" w:type="dxa"/>
            <w:tcBorders>
              <w:top w:val="nil"/>
              <w:left w:val="nil"/>
              <w:bottom w:val="nil"/>
              <w:right w:val="nil"/>
              <w:tl2br w:val="nil"/>
              <w:tr2bl w:val="nil"/>
            </w:tcBorders>
            <w:shd w:val="clear" w:color="auto" w:fill="auto"/>
            <w:noWrap/>
            <w:tcMar>
              <w:left w:w="101" w:type="dxa"/>
              <w:right w:w="101" w:type="dxa"/>
            </w:tcMar>
          </w:tcPr>
          <w:p w14:paraId="368FD632"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718FCC1"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2 700</w:t>
            </w:r>
          </w:p>
        </w:tc>
        <w:tc>
          <w:tcPr>
            <w:tcW w:w="1035" w:type="dxa"/>
            <w:tcBorders>
              <w:top w:val="nil"/>
              <w:left w:val="nil"/>
              <w:bottom w:val="nil"/>
              <w:right w:val="nil"/>
              <w:tl2br w:val="nil"/>
              <w:tr2bl w:val="nil"/>
            </w:tcBorders>
            <w:shd w:val="clear" w:color="auto" w:fill="auto"/>
            <w:noWrap/>
            <w:tcMar>
              <w:left w:w="101" w:type="dxa"/>
              <w:right w:w="101" w:type="dxa"/>
            </w:tcMar>
          </w:tcPr>
          <w:p w14:paraId="24A5419F"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2D32B81"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A38DD4A"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43F693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2D0DC56" w14:textId="77777777" w:rsidR="003036F4" w:rsidRDefault="00900E2D">
            <w:pPr>
              <w:pStyle w:val="Normal0"/>
              <w:rPr>
                <w:rFonts w:ascii="Calibri" w:eastAsia="Calibri" w:hAnsi="Calibri" w:cs="Calibri"/>
                <w:color w:val="000000"/>
                <w:sz w:val="18"/>
              </w:rPr>
            </w:pPr>
            <w:r>
              <w:rPr>
                <w:rFonts w:ascii="Calibri" w:eastAsia="Calibri" w:hAnsi="Calibri" w:cs="Calibri"/>
                <w:color w:val="000000"/>
                <w:sz w:val="18"/>
              </w:rPr>
              <w:t>CIT Woden Campus and Bus Interchange</w:t>
            </w:r>
          </w:p>
        </w:tc>
        <w:tc>
          <w:tcPr>
            <w:tcW w:w="1035" w:type="dxa"/>
            <w:tcBorders>
              <w:top w:val="nil"/>
              <w:left w:val="nil"/>
              <w:bottom w:val="nil"/>
              <w:right w:val="nil"/>
              <w:tl2br w:val="nil"/>
              <w:tr2bl w:val="nil"/>
            </w:tcBorders>
            <w:shd w:val="clear" w:color="auto" w:fill="auto"/>
            <w:noWrap/>
            <w:tcMar>
              <w:left w:w="101" w:type="dxa"/>
              <w:right w:w="101" w:type="dxa"/>
            </w:tcMar>
          </w:tcPr>
          <w:p w14:paraId="21A1742F"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9F2F79B"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900</w:t>
            </w:r>
          </w:p>
        </w:tc>
        <w:tc>
          <w:tcPr>
            <w:tcW w:w="1035" w:type="dxa"/>
            <w:tcBorders>
              <w:top w:val="nil"/>
              <w:left w:val="nil"/>
              <w:bottom w:val="nil"/>
              <w:right w:val="nil"/>
              <w:tl2br w:val="nil"/>
              <w:tr2bl w:val="nil"/>
            </w:tcBorders>
            <w:shd w:val="clear" w:color="auto" w:fill="auto"/>
            <w:noWrap/>
            <w:tcMar>
              <w:left w:w="101" w:type="dxa"/>
              <w:right w:w="101" w:type="dxa"/>
            </w:tcMar>
          </w:tcPr>
          <w:p w14:paraId="0911DF90"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1 000</w:t>
            </w:r>
          </w:p>
        </w:tc>
        <w:tc>
          <w:tcPr>
            <w:tcW w:w="1035" w:type="dxa"/>
            <w:tcBorders>
              <w:top w:val="nil"/>
              <w:left w:val="nil"/>
              <w:bottom w:val="nil"/>
              <w:right w:val="nil"/>
              <w:tl2br w:val="nil"/>
              <w:tr2bl w:val="nil"/>
            </w:tcBorders>
            <w:shd w:val="clear" w:color="auto" w:fill="auto"/>
            <w:noWrap/>
            <w:tcMar>
              <w:left w:w="101" w:type="dxa"/>
              <w:right w:w="101" w:type="dxa"/>
            </w:tcMar>
          </w:tcPr>
          <w:p w14:paraId="0DBA3A28"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1 000</w:t>
            </w:r>
          </w:p>
        </w:tc>
        <w:tc>
          <w:tcPr>
            <w:tcW w:w="1035" w:type="dxa"/>
            <w:tcBorders>
              <w:top w:val="nil"/>
              <w:left w:val="nil"/>
              <w:bottom w:val="nil"/>
              <w:right w:val="nil"/>
              <w:tl2br w:val="nil"/>
              <w:tr2bl w:val="nil"/>
            </w:tcBorders>
            <w:shd w:val="clear" w:color="auto" w:fill="auto"/>
            <w:noWrap/>
            <w:tcMar>
              <w:left w:w="101" w:type="dxa"/>
              <w:right w:w="101" w:type="dxa"/>
            </w:tcMar>
          </w:tcPr>
          <w:p w14:paraId="3C55D5C4"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1 000</w:t>
            </w:r>
          </w:p>
        </w:tc>
      </w:tr>
      <w:tr w:rsidR="003036F4" w14:paraId="2E1537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58EF488" w14:textId="10FE908F" w:rsidR="003036F4" w:rsidRDefault="00900E2D">
            <w:pPr>
              <w:pStyle w:val="Normal0"/>
              <w:rPr>
                <w:rFonts w:ascii="Calibri" w:eastAsia="Calibri" w:hAnsi="Calibri" w:cs="Calibri"/>
                <w:color w:val="000000"/>
                <w:sz w:val="18"/>
              </w:rPr>
            </w:pPr>
            <w:r>
              <w:rPr>
                <w:rFonts w:ascii="Calibri" w:eastAsia="Calibri" w:hAnsi="Calibri" w:cs="Calibri"/>
                <w:color w:val="000000"/>
                <w:sz w:val="18"/>
              </w:rPr>
              <w:t xml:space="preserve">Canberra Light Rail </w:t>
            </w:r>
            <w:r w:rsidR="00332931">
              <w:rPr>
                <w:rFonts w:ascii="Calibri" w:eastAsia="Calibri" w:hAnsi="Calibri" w:cs="Calibri"/>
                <w:color w:val="000000"/>
                <w:sz w:val="18"/>
              </w:rPr>
              <w:t>–</w:t>
            </w:r>
            <w:r>
              <w:rPr>
                <w:rFonts w:ascii="Calibri" w:eastAsia="Calibri" w:hAnsi="Calibri" w:cs="Calibri"/>
                <w:color w:val="000000"/>
                <w:sz w:val="18"/>
              </w:rPr>
              <w:t xml:space="preserve"> New Mitchell Light Rail Stop</w:t>
            </w:r>
          </w:p>
        </w:tc>
        <w:tc>
          <w:tcPr>
            <w:tcW w:w="1035" w:type="dxa"/>
            <w:tcBorders>
              <w:top w:val="nil"/>
              <w:left w:val="nil"/>
              <w:bottom w:val="nil"/>
              <w:right w:val="nil"/>
              <w:tl2br w:val="nil"/>
              <w:tr2bl w:val="nil"/>
            </w:tcBorders>
            <w:shd w:val="clear" w:color="auto" w:fill="auto"/>
            <w:noWrap/>
            <w:tcMar>
              <w:left w:w="101" w:type="dxa"/>
              <w:right w:w="101" w:type="dxa"/>
            </w:tcMar>
          </w:tcPr>
          <w:p w14:paraId="3847DFB2"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85D84C9"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6BBD3AE"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EB4B10D"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120</w:t>
            </w:r>
          </w:p>
        </w:tc>
        <w:tc>
          <w:tcPr>
            <w:tcW w:w="1035" w:type="dxa"/>
            <w:tcBorders>
              <w:top w:val="nil"/>
              <w:left w:val="nil"/>
              <w:bottom w:val="nil"/>
              <w:right w:val="nil"/>
              <w:tl2br w:val="nil"/>
              <w:tr2bl w:val="nil"/>
            </w:tcBorders>
            <w:shd w:val="clear" w:color="auto" w:fill="auto"/>
            <w:noWrap/>
            <w:tcMar>
              <w:left w:w="101" w:type="dxa"/>
              <w:right w:w="101" w:type="dxa"/>
            </w:tcMar>
          </w:tcPr>
          <w:p w14:paraId="14F8F680"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240</w:t>
            </w:r>
          </w:p>
        </w:tc>
      </w:tr>
      <w:tr w:rsidR="003036F4" w14:paraId="15813E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7EFF5A1A" w14:textId="77777777" w:rsidR="003036F4" w:rsidRDefault="00900E2D">
            <w:pPr>
              <w:pStyle w:val="Normal0"/>
              <w:rPr>
                <w:rFonts w:ascii="Calibri" w:eastAsia="Calibri" w:hAnsi="Calibri" w:cs="Calibri"/>
                <w:color w:val="000000"/>
                <w:sz w:val="18"/>
              </w:rPr>
            </w:pPr>
            <w:r>
              <w:rPr>
                <w:rFonts w:ascii="Calibri" w:eastAsia="Calibri" w:hAnsi="Calibri" w:cs="Calibri"/>
                <w:color w:val="000000"/>
                <w:sz w:val="18"/>
              </w:rPr>
              <w:t>Building Light Rail to Woden and Raising London Circuit</w:t>
            </w:r>
          </w:p>
        </w:tc>
        <w:tc>
          <w:tcPr>
            <w:tcW w:w="1035" w:type="dxa"/>
            <w:tcBorders>
              <w:top w:val="nil"/>
              <w:left w:val="nil"/>
              <w:bottom w:val="nil"/>
              <w:right w:val="nil"/>
              <w:tl2br w:val="nil"/>
              <w:tr2bl w:val="nil"/>
            </w:tcBorders>
            <w:shd w:val="clear" w:color="auto" w:fill="auto"/>
            <w:noWrap/>
            <w:tcMar>
              <w:left w:w="101" w:type="dxa"/>
              <w:right w:w="101" w:type="dxa"/>
            </w:tcMar>
          </w:tcPr>
          <w:p w14:paraId="25309C85"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4F16492"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2 000</w:t>
            </w:r>
          </w:p>
        </w:tc>
        <w:tc>
          <w:tcPr>
            <w:tcW w:w="1035" w:type="dxa"/>
            <w:tcBorders>
              <w:top w:val="nil"/>
              <w:left w:val="nil"/>
              <w:bottom w:val="nil"/>
              <w:right w:val="nil"/>
              <w:tl2br w:val="nil"/>
              <w:tr2bl w:val="nil"/>
            </w:tcBorders>
            <w:shd w:val="clear" w:color="auto" w:fill="auto"/>
            <w:noWrap/>
            <w:tcMar>
              <w:left w:w="101" w:type="dxa"/>
              <w:right w:w="101" w:type="dxa"/>
            </w:tcMar>
          </w:tcPr>
          <w:p w14:paraId="4BAC0F1A"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2CC3F06"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09A9636"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5A871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A4B8180" w14:textId="10FC867C" w:rsidR="003036F4" w:rsidRDefault="00900E2D">
            <w:pPr>
              <w:pStyle w:val="Normal0"/>
              <w:rPr>
                <w:rFonts w:ascii="Calibri" w:eastAsia="Calibri" w:hAnsi="Calibri" w:cs="Calibri"/>
                <w:color w:val="000000"/>
                <w:sz w:val="18"/>
              </w:rPr>
            </w:pPr>
            <w:bookmarkStart w:id="12" w:name="_Hlk63245390"/>
            <w:r>
              <w:rPr>
                <w:rFonts w:ascii="Calibri" w:eastAsia="Calibri" w:hAnsi="Calibri" w:cs="Calibri"/>
                <w:color w:val="000000"/>
                <w:sz w:val="18"/>
              </w:rPr>
              <w:t xml:space="preserve">Light Rail Stage 2 </w:t>
            </w:r>
            <w:r w:rsidR="00332931">
              <w:rPr>
                <w:rFonts w:ascii="Calibri" w:eastAsia="Calibri" w:hAnsi="Calibri" w:cs="Calibri"/>
                <w:color w:val="000000"/>
                <w:sz w:val="18"/>
              </w:rPr>
              <w:t>–</w:t>
            </w:r>
            <w:r>
              <w:rPr>
                <w:rFonts w:ascii="Calibri" w:eastAsia="Calibri" w:hAnsi="Calibri" w:cs="Calibri"/>
                <w:color w:val="000000"/>
                <w:sz w:val="18"/>
              </w:rPr>
              <w:t xml:space="preserve"> Assessment of Mawson Viability</w:t>
            </w:r>
            <w:bookmarkEnd w:id="12"/>
          </w:p>
        </w:tc>
        <w:tc>
          <w:tcPr>
            <w:tcW w:w="1035" w:type="dxa"/>
            <w:tcBorders>
              <w:top w:val="nil"/>
              <w:left w:val="nil"/>
              <w:bottom w:val="nil"/>
              <w:right w:val="nil"/>
              <w:tl2br w:val="nil"/>
              <w:tr2bl w:val="nil"/>
            </w:tcBorders>
            <w:shd w:val="clear" w:color="auto" w:fill="auto"/>
            <w:noWrap/>
            <w:tcMar>
              <w:left w:w="101" w:type="dxa"/>
              <w:right w:w="101" w:type="dxa"/>
            </w:tcMar>
          </w:tcPr>
          <w:p w14:paraId="5DB3C006"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3DA8CAE"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1 269</w:t>
            </w:r>
          </w:p>
        </w:tc>
        <w:tc>
          <w:tcPr>
            <w:tcW w:w="1035" w:type="dxa"/>
            <w:tcBorders>
              <w:top w:val="nil"/>
              <w:left w:val="nil"/>
              <w:bottom w:val="nil"/>
              <w:right w:val="nil"/>
              <w:tl2br w:val="nil"/>
              <w:tr2bl w:val="nil"/>
            </w:tcBorders>
            <w:shd w:val="clear" w:color="auto" w:fill="auto"/>
            <w:noWrap/>
            <w:tcMar>
              <w:left w:w="101" w:type="dxa"/>
              <w:right w:w="101" w:type="dxa"/>
            </w:tcMar>
          </w:tcPr>
          <w:p w14:paraId="0253DBA3"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61DA952"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AF595F8"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6F611B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tcPr>
          <w:p w14:paraId="0C02C91F"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1EA6F45"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9BB8F11"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B6C79AF"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B8507CF" w14:textId="77777777" w:rsidR="003036F4" w:rsidRDefault="003036F4">
            <w:pPr>
              <w:pStyle w:val="Normal0"/>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9899D37" w14:textId="77777777" w:rsidR="003036F4" w:rsidRDefault="003036F4">
            <w:pPr>
              <w:pStyle w:val="Normal0"/>
              <w:rPr>
                <w:rFonts w:ascii="Calibri" w:eastAsia="Calibri" w:hAnsi="Calibri" w:cs="Calibri"/>
                <w:color w:val="000000"/>
                <w:sz w:val="18"/>
              </w:rPr>
            </w:pPr>
          </w:p>
        </w:tc>
      </w:tr>
      <w:tr w:rsidR="003036F4" w14:paraId="4FCEB3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7B5A73C9" w14:textId="42BFEFEE" w:rsidR="003036F4" w:rsidRDefault="00332931">
            <w:pPr>
              <w:pStyle w:val="Normal0"/>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818EC37" w14:textId="77777777" w:rsidR="003036F4" w:rsidRDefault="003036F4">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F2AE01B" w14:textId="77777777" w:rsidR="003036F4" w:rsidRDefault="003036F4">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AE45BC1" w14:textId="77777777" w:rsidR="003036F4" w:rsidRDefault="003036F4">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5A0BCD3" w14:textId="77777777" w:rsidR="003036F4" w:rsidRDefault="003036F4">
            <w:pPr>
              <w:pStyle w:val="Normal0"/>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278CFF4" w14:textId="77777777" w:rsidR="003036F4" w:rsidRDefault="003036F4">
            <w:pPr>
              <w:pStyle w:val="Normal0"/>
              <w:rPr>
                <w:rFonts w:ascii="Calibri" w:eastAsia="Calibri" w:hAnsi="Calibri" w:cs="Calibri"/>
                <w:color w:val="FFFFFF"/>
                <w:sz w:val="18"/>
              </w:rPr>
            </w:pPr>
          </w:p>
        </w:tc>
      </w:tr>
      <w:tr w:rsidR="003036F4" w14:paraId="631BFE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7CF2313" w14:textId="77777777" w:rsidR="003036F4" w:rsidRDefault="00900E2D">
            <w:pPr>
              <w:pStyle w:val="Normal0"/>
              <w:rPr>
                <w:rFonts w:ascii="Calibri" w:eastAsia="Calibri" w:hAnsi="Calibri" w:cs="Calibri"/>
                <w:color w:val="000000"/>
                <w:sz w:val="18"/>
              </w:rPr>
            </w:pPr>
            <w:r>
              <w:rPr>
                <w:rFonts w:ascii="Calibri" w:eastAsia="Calibri" w:hAnsi="Calibri" w:cs="Calibri"/>
                <w:color w:val="000000"/>
                <w:sz w:val="18"/>
              </w:rPr>
              <w:t>Delivering Stage 2 of Light Rail to Woden</w:t>
            </w:r>
          </w:p>
        </w:tc>
        <w:tc>
          <w:tcPr>
            <w:tcW w:w="1035" w:type="dxa"/>
            <w:tcBorders>
              <w:top w:val="nil"/>
              <w:left w:val="nil"/>
              <w:bottom w:val="nil"/>
              <w:right w:val="nil"/>
              <w:tl2br w:val="nil"/>
              <w:tr2bl w:val="nil"/>
            </w:tcBorders>
            <w:shd w:val="clear" w:color="auto" w:fill="auto"/>
            <w:noWrap/>
            <w:tcMar>
              <w:left w:w="101" w:type="dxa"/>
              <w:right w:w="101" w:type="dxa"/>
            </w:tcMar>
          </w:tcPr>
          <w:p w14:paraId="70817115"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-1 006</w:t>
            </w:r>
          </w:p>
        </w:tc>
        <w:tc>
          <w:tcPr>
            <w:tcW w:w="1035" w:type="dxa"/>
            <w:tcBorders>
              <w:top w:val="nil"/>
              <w:left w:val="nil"/>
              <w:bottom w:val="nil"/>
              <w:right w:val="nil"/>
              <w:tl2br w:val="nil"/>
              <w:tr2bl w:val="nil"/>
            </w:tcBorders>
            <w:shd w:val="clear" w:color="auto" w:fill="auto"/>
            <w:noWrap/>
            <w:tcMar>
              <w:left w:w="101" w:type="dxa"/>
              <w:right w:w="101" w:type="dxa"/>
            </w:tcMar>
          </w:tcPr>
          <w:p w14:paraId="30DC2306"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8386258"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621702E"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BD986F9"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07190C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40B2AE2" w14:textId="58644FBB" w:rsidR="003036F4" w:rsidRDefault="00900E2D">
            <w:pPr>
              <w:pStyle w:val="Normal0"/>
              <w:rPr>
                <w:rFonts w:ascii="Calibri" w:eastAsia="Calibri" w:hAnsi="Calibri" w:cs="Calibri"/>
                <w:color w:val="000000"/>
                <w:sz w:val="18"/>
              </w:rPr>
            </w:pPr>
            <w:r>
              <w:rPr>
                <w:rFonts w:ascii="Calibri" w:eastAsia="Calibri" w:hAnsi="Calibri" w:cs="Calibri"/>
                <w:color w:val="000000"/>
                <w:sz w:val="18"/>
              </w:rPr>
              <w:t xml:space="preserve">Keeping our growing city moving </w:t>
            </w:r>
            <w:r w:rsidR="00332931">
              <w:rPr>
                <w:rFonts w:ascii="Calibri" w:eastAsia="Calibri" w:hAnsi="Calibri" w:cs="Calibri"/>
                <w:color w:val="000000"/>
                <w:sz w:val="18"/>
              </w:rPr>
              <w:t>–</w:t>
            </w:r>
            <w:r>
              <w:rPr>
                <w:rFonts w:ascii="Calibri" w:eastAsia="Calibri" w:hAnsi="Calibri" w:cs="Calibri"/>
                <w:color w:val="000000"/>
                <w:sz w:val="18"/>
              </w:rPr>
              <w:t xml:space="preserve"> Mitchell Light Rail Stop</w:t>
            </w:r>
          </w:p>
        </w:tc>
        <w:tc>
          <w:tcPr>
            <w:tcW w:w="1035" w:type="dxa"/>
            <w:tcBorders>
              <w:top w:val="nil"/>
              <w:left w:val="nil"/>
              <w:bottom w:val="nil"/>
              <w:right w:val="nil"/>
              <w:tl2br w:val="nil"/>
              <w:tr2bl w:val="nil"/>
            </w:tcBorders>
            <w:shd w:val="clear" w:color="auto" w:fill="auto"/>
            <w:noWrap/>
            <w:tcMar>
              <w:left w:w="101" w:type="dxa"/>
              <w:right w:w="101" w:type="dxa"/>
            </w:tcMar>
          </w:tcPr>
          <w:p w14:paraId="7B78F837"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-150</w:t>
            </w:r>
          </w:p>
        </w:tc>
        <w:tc>
          <w:tcPr>
            <w:tcW w:w="1035" w:type="dxa"/>
            <w:tcBorders>
              <w:top w:val="nil"/>
              <w:left w:val="nil"/>
              <w:bottom w:val="nil"/>
              <w:right w:val="nil"/>
              <w:tl2br w:val="nil"/>
              <w:tr2bl w:val="nil"/>
            </w:tcBorders>
            <w:shd w:val="clear" w:color="auto" w:fill="auto"/>
            <w:noWrap/>
            <w:tcMar>
              <w:left w:w="101" w:type="dxa"/>
              <w:right w:w="101" w:type="dxa"/>
            </w:tcMar>
          </w:tcPr>
          <w:p w14:paraId="6AD74732"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150</w:t>
            </w:r>
          </w:p>
        </w:tc>
        <w:tc>
          <w:tcPr>
            <w:tcW w:w="1035" w:type="dxa"/>
            <w:tcBorders>
              <w:top w:val="nil"/>
              <w:left w:val="nil"/>
              <w:bottom w:val="nil"/>
              <w:right w:val="nil"/>
              <w:tl2br w:val="nil"/>
              <w:tr2bl w:val="nil"/>
            </w:tcBorders>
            <w:shd w:val="clear" w:color="auto" w:fill="auto"/>
            <w:noWrap/>
            <w:tcMar>
              <w:left w:w="101" w:type="dxa"/>
              <w:right w:w="101" w:type="dxa"/>
            </w:tcMar>
          </w:tcPr>
          <w:p w14:paraId="5FD334AF"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4991097"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F1E43BA"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61D913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6FC24CC" w14:textId="77777777" w:rsidR="003036F4" w:rsidRDefault="00900E2D">
            <w:pPr>
              <w:pStyle w:val="Normal0"/>
              <w:rPr>
                <w:rFonts w:ascii="Calibri" w:eastAsia="Calibri" w:hAnsi="Calibri" w:cs="Calibri"/>
                <w:color w:val="000000"/>
                <w:sz w:val="18"/>
              </w:rPr>
            </w:pPr>
            <w:r>
              <w:rPr>
                <w:rFonts w:ascii="Calibri" w:eastAsia="Calibri" w:hAnsi="Calibri" w:cs="Calibri"/>
                <w:color w:val="000000"/>
                <w:sz w:val="18"/>
              </w:rPr>
              <w:t xml:space="preserve">Treasurer's Advance </w:t>
            </w:r>
          </w:p>
        </w:tc>
        <w:tc>
          <w:tcPr>
            <w:tcW w:w="1035" w:type="dxa"/>
            <w:tcBorders>
              <w:top w:val="nil"/>
              <w:left w:val="nil"/>
              <w:bottom w:val="nil"/>
              <w:right w:val="nil"/>
              <w:tl2br w:val="nil"/>
              <w:tr2bl w:val="nil"/>
            </w:tcBorders>
            <w:shd w:val="clear" w:color="auto" w:fill="auto"/>
            <w:noWrap/>
            <w:tcMar>
              <w:left w:w="101" w:type="dxa"/>
              <w:right w:w="101" w:type="dxa"/>
            </w:tcMar>
          </w:tcPr>
          <w:p w14:paraId="721C9E37"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4 700</w:t>
            </w:r>
          </w:p>
        </w:tc>
        <w:tc>
          <w:tcPr>
            <w:tcW w:w="1035" w:type="dxa"/>
            <w:tcBorders>
              <w:top w:val="nil"/>
              <w:left w:val="nil"/>
              <w:bottom w:val="nil"/>
              <w:right w:val="nil"/>
              <w:tl2br w:val="nil"/>
              <w:tr2bl w:val="nil"/>
            </w:tcBorders>
            <w:shd w:val="clear" w:color="auto" w:fill="auto"/>
            <w:noWrap/>
            <w:tcMar>
              <w:left w:w="101" w:type="dxa"/>
              <w:right w:w="101" w:type="dxa"/>
            </w:tcMar>
          </w:tcPr>
          <w:p w14:paraId="4EEEAAB3"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51785A5"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26EE501"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3543DF0" w14:textId="77777777" w:rsidR="003036F4" w:rsidRDefault="00900E2D">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3036F4" w14:paraId="77928008"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4800" w:type="dxa"/>
            <w:tcBorders>
              <w:top w:val="nil"/>
              <w:left w:val="nil"/>
              <w:bottom w:val="single" w:sz="8" w:space="0" w:color="000000"/>
              <w:right w:val="nil"/>
              <w:tl2br w:val="nil"/>
              <w:tr2bl w:val="nil"/>
            </w:tcBorders>
            <w:shd w:val="clear" w:color="auto" w:fill="auto"/>
            <w:tcMar>
              <w:left w:w="0" w:type="dxa"/>
              <w:right w:w="0" w:type="dxa"/>
            </w:tcMar>
          </w:tcPr>
          <w:p w14:paraId="5FD0E41D" w14:textId="77777777" w:rsidR="003036F4" w:rsidRDefault="003036F4">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6BCC1415" w14:textId="77777777" w:rsidR="003036F4" w:rsidRDefault="003036F4">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0F2B6AE2" w14:textId="77777777" w:rsidR="003036F4" w:rsidRDefault="003036F4">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0FB02052" w14:textId="77777777" w:rsidR="003036F4" w:rsidRDefault="003036F4">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72D49073" w14:textId="77777777" w:rsidR="003036F4" w:rsidRDefault="003036F4">
            <w:pPr>
              <w:pStyle w:val="Normal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5FB6817D" w14:textId="77777777" w:rsidR="003036F4" w:rsidRDefault="003036F4">
            <w:pPr>
              <w:pStyle w:val="Normal0"/>
              <w:rPr>
                <w:rFonts w:ascii="Calibri" w:eastAsia="Calibri" w:hAnsi="Calibri" w:cs="Calibri"/>
                <w:color w:val="000000"/>
                <w:sz w:val="18"/>
              </w:rPr>
            </w:pPr>
          </w:p>
        </w:tc>
      </w:tr>
      <w:tr w:rsidR="003036F4" w14:paraId="3E461C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4A46BB20" w14:textId="1B53A3B5" w:rsidR="003036F4" w:rsidRDefault="00332931">
            <w:pPr>
              <w:pStyle w:val="Normal0"/>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6859D29"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11 200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EEADBE7"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7 650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302F4A0"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1 000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36F7173"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1 120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55FFBA8" w14:textId="77777777" w:rsidR="003036F4" w:rsidRDefault="00900E2D">
            <w:pPr>
              <w:pStyle w:val="Normal0"/>
              <w:jc w:val="right"/>
              <w:rPr>
                <w:rFonts w:ascii="Calibri" w:eastAsia="Calibri" w:hAnsi="Calibri" w:cs="Calibri"/>
                <w:b/>
                <w:color w:val="000000"/>
                <w:sz w:val="18"/>
              </w:rPr>
            </w:pPr>
            <w:r>
              <w:rPr>
                <w:rFonts w:ascii="Calibri" w:eastAsia="Calibri" w:hAnsi="Calibri" w:cs="Calibri"/>
                <w:b/>
                <w:color w:val="000000"/>
                <w:sz w:val="18"/>
              </w:rPr>
              <w:t>1 240</w:t>
            </w:r>
          </w:p>
        </w:tc>
      </w:tr>
    </w:tbl>
    <w:p w14:paraId="22B949C9" w14:textId="77777777" w:rsidR="006E72F1" w:rsidRPr="00D227CE" w:rsidRDefault="00900E2D" w:rsidP="009B7444">
      <w:pPr>
        <w:pStyle w:val="Caption"/>
        <w:pageBreakBefore/>
        <w:pBdr>
          <w:top w:val="nil"/>
          <w:left w:val="nil"/>
          <w:bottom w:val="nil"/>
          <w:right w:val="nil"/>
          <w:between w:val="nil"/>
          <w:bar w:val="nil"/>
        </w:pBdr>
        <w:spacing w:after="0"/>
        <w:rPr>
          <w:bdr w:val="nil"/>
        </w:rPr>
      </w:pPr>
      <w:r w:rsidRPr="00D227CE">
        <w:rPr>
          <w:bdr w:val="nil"/>
        </w:rPr>
        <w:lastRenderedPageBreak/>
        <w:t xml:space="preserve">Table </w:t>
      </w:r>
      <w:r>
        <w:rPr>
          <w:bdr w:val="nil"/>
        </w:rPr>
        <w:t>5</w:t>
      </w:r>
      <w:r w:rsidRPr="00D227CE">
        <w:rPr>
          <w:bdr w:val="nil"/>
        </w:rPr>
        <w:t>: Changes to appropriation – Capital Injections, Controlled</w:t>
      </w:r>
    </w:p>
    <w:p w14:paraId="39506F40" w14:textId="77777777" w:rsidR="003036F4" w:rsidRDefault="003036F4">
      <w:pPr>
        <w:pStyle w:val="Normal1"/>
      </w:pPr>
    </w:p>
    <w:tbl>
      <w:tblPr>
        <w:tblStyle w:val="CDMRange2"/>
        <w:tblW w:w="9975" w:type="dxa"/>
        <w:tblLayout w:type="fixed"/>
        <w:tblLook w:val="0600" w:firstRow="0" w:lastRow="0" w:firstColumn="0" w:lastColumn="0" w:noHBand="1" w:noVBand="1"/>
      </w:tblPr>
      <w:tblGrid>
        <w:gridCol w:w="4800"/>
        <w:gridCol w:w="1035"/>
        <w:gridCol w:w="1035"/>
        <w:gridCol w:w="1035"/>
        <w:gridCol w:w="1035"/>
        <w:gridCol w:w="1035"/>
      </w:tblGrid>
      <w:tr w:rsidR="003036F4" w14:paraId="1C7285ED" w14:textId="77777777">
        <w:trPr>
          <w:trHeight w:val="984"/>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DC8ABD0" w14:textId="77777777" w:rsidR="003036F4" w:rsidRDefault="003036F4">
            <w:pPr>
              <w:pStyle w:val="Normal1"/>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67421ED" w14:textId="72BC2A5F" w:rsidR="003036F4" w:rsidRDefault="00332931">
            <w:pPr>
              <w:pStyle w:val="Normal1"/>
              <w:jc w:val="right"/>
              <w:rPr>
                <w:rFonts w:ascii="Calibri" w:eastAsia="Calibri" w:hAnsi="Calibri" w:cs="Calibri"/>
                <w:b/>
                <w:color w:val="000000"/>
                <w:sz w:val="18"/>
              </w:rPr>
            </w:pPr>
            <w:r>
              <w:rPr>
                <w:rFonts w:ascii="Calibri" w:eastAsia="Calibri" w:hAnsi="Calibri" w:cs="Calibri"/>
                <w:b/>
                <w:color w:val="000000"/>
                <w:sz w:val="18"/>
              </w:rPr>
              <w:t>2019–20</w:t>
            </w:r>
            <w:r w:rsidR="00900E2D">
              <w:rPr>
                <w:rFonts w:ascii="Calibri" w:eastAsia="Calibri" w:hAnsi="Calibri" w:cs="Calibri"/>
                <w:b/>
                <w:color w:val="000000"/>
                <w:sz w:val="18"/>
              </w:rPr>
              <w:t xml:space="preserve"> Audited Outcome</w:t>
            </w:r>
          </w:p>
          <w:p w14:paraId="6046795B"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AAA866E" w14:textId="37B273A0" w:rsidR="003036F4" w:rsidRDefault="00332931">
            <w:pPr>
              <w:pStyle w:val="Normal1"/>
              <w:jc w:val="right"/>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Budget</w:t>
            </w:r>
          </w:p>
          <w:p w14:paraId="4AF3F2CA" w14:textId="77777777" w:rsidR="003036F4" w:rsidRDefault="003036F4">
            <w:pPr>
              <w:pStyle w:val="Normal1"/>
              <w:jc w:val="right"/>
              <w:rPr>
                <w:rFonts w:ascii="Calibri" w:eastAsia="Calibri" w:hAnsi="Calibri" w:cs="Calibri"/>
                <w:b/>
                <w:color w:val="000000"/>
                <w:sz w:val="18"/>
              </w:rPr>
            </w:pPr>
          </w:p>
          <w:p w14:paraId="0BB61E81"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4BCFCA6"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2021-22 Estimate</w:t>
            </w:r>
          </w:p>
          <w:p w14:paraId="41355894" w14:textId="77777777" w:rsidR="003036F4" w:rsidRDefault="003036F4">
            <w:pPr>
              <w:pStyle w:val="Normal1"/>
              <w:jc w:val="right"/>
              <w:rPr>
                <w:rFonts w:ascii="Calibri" w:eastAsia="Calibri" w:hAnsi="Calibri" w:cs="Calibri"/>
                <w:b/>
                <w:color w:val="000000"/>
                <w:sz w:val="18"/>
              </w:rPr>
            </w:pPr>
          </w:p>
          <w:p w14:paraId="3693EB4D"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3B6B207"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2022-23 Estimate</w:t>
            </w:r>
          </w:p>
          <w:p w14:paraId="72D89433" w14:textId="77777777" w:rsidR="003036F4" w:rsidRDefault="003036F4">
            <w:pPr>
              <w:pStyle w:val="Normal1"/>
              <w:jc w:val="right"/>
              <w:rPr>
                <w:rFonts w:ascii="Calibri" w:eastAsia="Calibri" w:hAnsi="Calibri" w:cs="Calibri"/>
                <w:b/>
                <w:color w:val="000000"/>
                <w:sz w:val="18"/>
              </w:rPr>
            </w:pPr>
          </w:p>
          <w:p w14:paraId="79BA6AAD"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F9B5C50"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2023-24 Estimate</w:t>
            </w:r>
          </w:p>
          <w:p w14:paraId="063177CE" w14:textId="77777777" w:rsidR="003036F4" w:rsidRDefault="003036F4">
            <w:pPr>
              <w:pStyle w:val="Normal1"/>
              <w:jc w:val="right"/>
              <w:rPr>
                <w:rFonts w:ascii="Calibri" w:eastAsia="Calibri" w:hAnsi="Calibri" w:cs="Calibri"/>
                <w:b/>
                <w:color w:val="000000"/>
                <w:sz w:val="18"/>
              </w:rPr>
            </w:pPr>
          </w:p>
          <w:p w14:paraId="32CDCE5D"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r>
      <w:tr w:rsidR="003036F4" w14:paraId="79DAA3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0889B27" w14:textId="77777777" w:rsidR="003036F4" w:rsidRDefault="003036F4">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3B52100" w14:textId="77777777" w:rsidR="003036F4" w:rsidRDefault="003036F4">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6BFE454" w14:textId="77777777" w:rsidR="003036F4" w:rsidRDefault="003036F4">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AA7307F" w14:textId="77777777" w:rsidR="003036F4" w:rsidRDefault="003036F4">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AFC6B00" w14:textId="77777777" w:rsidR="003036F4" w:rsidRDefault="003036F4">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0A1CA4D" w14:textId="77777777" w:rsidR="003036F4" w:rsidRDefault="003036F4">
            <w:pPr>
              <w:pStyle w:val="Normal1"/>
              <w:rPr>
                <w:rFonts w:ascii="Calibri" w:eastAsia="Calibri" w:hAnsi="Calibri" w:cs="Calibri"/>
                <w:color w:val="000000"/>
                <w:sz w:val="18"/>
              </w:rPr>
            </w:pPr>
          </w:p>
        </w:tc>
      </w:tr>
      <w:tr w:rsidR="003036F4" w14:paraId="4AD78F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2D88D8BD" w14:textId="540A975E" w:rsidR="003036F4" w:rsidRDefault="00332931">
            <w:pPr>
              <w:pStyle w:val="Normal1"/>
              <w:rPr>
                <w:rFonts w:ascii="Calibri" w:eastAsia="Calibri" w:hAnsi="Calibri" w:cs="Calibri"/>
                <w:b/>
                <w:color w:val="000000"/>
                <w:sz w:val="18"/>
              </w:rPr>
            </w:pPr>
            <w:r>
              <w:rPr>
                <w:rFonts w:ascii="Calibri" w:eastAsia="Calibri" w:hAnsi="Calibri" w:cs="Calibri"/>
                <w:b/>
                <w:color w:val="000000"/>
                <w:sz w:val="18"/>
              </w:rPr>
              <w:t>2019–20</w:t>
            </w:r>
            <w:r w:rsidR="00900E2D">
              <w:rPr>
                <w:rFonts w:ascii="Calibri" w:eastAsia="Calibri" w:hAnsi="Calibri" w:cs="Calibri"/>
                <w:b/>
                <w:color w:val="000000"/>
                <w:sz w:val="18"/>
              </w:rPr>
              <w:t xml:space="preserve">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5EF8C5F"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1E8FDD2"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25E0494"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BE290D0"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DDA4D62"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176455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4AB96372" w14:textId="77777777" w:rsidR="003036F4" w:rsidRDefault="003036F4">
            <w:pPr>
              <w:pStyle w:val="Normal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528D8EA"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B16744E"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778B25F"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C5FBEC7"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026B115" w14:textId="77777777" w:rsidR="003036F4" w:rsidRDefault="003036F4">
            <w:pPr>
              <w:pStyle w:val="Normal1"/>
              <w:rPr>
                <w:rFonts w:ascii="Calibri" w:eastAsia="Calibri" w:hAnsi="Calibri" w:cs="Calibri"/>
                <w:color w:val="000000"/>
                <w:sz w:val="18"/>
              </w:rPr>
            </w:pPr>
          </w:p>
        </w:tc>
      </w:tr>
      <w:tr w:rsidR="003036F4" w14:paraId="63F8E9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7F3DB919" w14:textId="355DCD9C" w:rsidR="003036F4" w:rsidRDefault="00900E2D">
            <w:pPr>
              <w:pStyle w:val="Normal1"/>
              <w:rPr>
                <w:rFonts w:ascii="Calibri" w:eastAsia="Calibri" w:hAnsi="Calibri" w:cs="Calibri"/>
                <w:b/>
                <w:color w:val="000000"/>
                <w:sz w:val="18"/>
              </w:rPr>
            </w:pPr>
            <w:r>
              <w:rPr>
                <w:rFonts w:ascii="Calibri" w:eastAsia="Calibri" w:hAnsi="Calibri" w:cs="Calibri"/>
                <w:b/>
                <w:color w:val="000000"/>
                <w:sz w:val="18"/>
              </w:rPr>
              <w:t xml:space="preserve">FMA Section 16 Transfer from Other Agencies </w:t>
            </w:r>
            <w:r w:rsidR="00332931">
              <w:rPr>
                <w:rFonts w:ascii="Calibri" w:eastAsia="Calibri" w:hAnsi="Calibri" w:cs="Calibri"/>
                <w:b/>
                <w:color w:val="000000"/>
                <w:sz w:val="18"/>
              </w:rPr>
              <w:t>2019–20</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DF2E36C"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A0BA370"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B89ED9B"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56D3F0E"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B18DD91" w14:textId="77777777" w:rsidR="003036F4" w:rsidRDefault="003036F4">
            <w:pPr>
              <w:pStyle w:val="Normal1"/>
              <w:rPr>
                <w:rFonts w:ascii="Calibri" w:eastAsia="Calibri" w:hAnsi="Calibri" w:cs="Calibri"/>
                <w:color w:val="000000"/>
                <w:sz w:val="18"/>
              </w:rPr>
            </w:pPr>
          </w:p>
        </w:tc>
      </w:tr>
      <w:tr w:rsidR="003036F4" w14:paraId="7491D5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5F25ADCD" w14:textId="77777777" w:rsidR="003036F4" w:rsidRDefault="00900E2D">
            <w:pPr>
              <w:pStyle w:val="Normal1"/>
              <w:rPr>
                <w:rFonts w:ascii="Calibri" w:eastAsia="Calibri" w:hAnsi="Calibri" w:cs="Calibri"/>
                <w:color w:val="000000"/>
                <w:sz w:val="18"/>
              </w:rPr>
            </w:pPr>
            <w:r>
              <w:rPr>
                <w:rFonts w:ascii="Calibri" w:eastAsia="Calibri" w:hAnsi="Calibri" w:cs="Calibri"/>
                <w:color w:val="000000"/>
                <w:sz w:val="18"/>
              </w:rPr>
              <w:t>Delivering the Canberra Hospital Expansion</w:t>
            </w:r>
          </w:p>
        </w:tc>
        <w:tc>
          <w:tcPr>
            <w:tcW w:w="1035" w:type="dxa"/>
            <w:tcBorders>
              <w:top w:val="nil"/>
              <w:left w:val="nil"/>
              <w:bottom w:val="nil"/>
              <w:right w:val="nil"/>
              <w:tl2br w:val="nil"/>
              <w:tr2bl w:val="nil"/>
            </w:tcBorders>
            <w:shd w:val="clear" w:color="auto" w:fill="auto"/>
            <w:noWrap/>
            <w:tcMar>
              <w:left w:w="101" w:type="dxa"/>
              <w:right w:w="101" w:type="dxa"/>
            </w:tcMar>
          </w:tcPr>
          <w:p w14:paraId="438985E9"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60 200</w:t>
            </w:r>
          </w:p>
        </w:tc>
        <w:tc>
          <w:tcPr>
            <w:tcW w:w="1035" w:type="dxa"/>
            <w:tcBorders>
              <w:top w:val="nil"/>
              <w:left w:val="nil"/>
              <w:bottom w:val="nil"/>
              <w:right w:val="nil"/>
              <w:tl2br w:val="nil"/>
              <w:tr2bl w:val="nil"/>
            </w:tcBorders>
            <w:shd w:val="clear" w:color="auto" w:fill="auto"/>
            <w:noWrap/>
            <w:tcMar>
              <w:left w:w="101" w:type="dxa"/>
              <w:right w:w="101" w:type="dxa"/>
            </w:tcMar>
          </w:tcPr>
          <w:p w14:paraId="0DE31FD4"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D48B5DF"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9760C25"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0BCC301"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1235B8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vAlign w:val="bottom"/>
          </w:tcPr>
          <w:p w14:paraId="19C5F9E5" w14:textId="06DC0FC9" w:rsidR="003036F4" w:rsidRDefault="00900E2D" w:rsidP="00EE07A4">
            <w:pPr>
              <w:pStyle w:val="Normal1"/>
              <w:ind w:left="179" w:hanging="179"/>
              <w:rPr>
                <w:rFonts w:ascii="Calibri" w:eastAsia="Calibri" w:hAnsi="Calibri" w:cs="Calibri"/>
                <w:color w:val="000000"/>
                <w:sz w:val="18"/>
              </w:rPr>
            </w:pPr>
            <w:r>
              <w:rPr>
                <w:rFonts w:ascii="Calibri" w:eastAsia="Calibri" w:hAnsi="Calibri" w:cs="Calibri"/>
                <w:color w:val="000000"/>
                <w:sz w:val="18"/>
              </w:rPr>
              <w:t xml:space="preserve">Commencing Light Rail Stage 1 Operations and Delivering a </w:t>
            </w:r>
            <w:r w:rsidR="00EE07A4">
              <w:rPr>
                <w:rFonts w:ascii="Calibri" w:eastAsia="Calibri" w:hAnsi="Calibri" w:cs="Calibri"/>
                <w:color w:val="000000"/>
                <w:sz w:val="18"/>
              </w:rPr>
              <w:t xml:space="preserve">  </w:t>
            </w:r>
            <w:r>
              <w:rPr>
                <w:rFonts w:ascii="Calibri" w:eastAsia="Calibri" w:hAnsi="Calibri" w:cs="Calibri"/>
                <w:color w:val="000000"/>
                <w:sz w:val="18"/>
              </w:rPr>
              <w:t>Light Rail Stop at Mitchell</w:t>
            </w:r>
          </w:p>
        </w:tc>
        <w:tc>
          <w:tcPr>
            <w:tcW w:w="1035" w:type="dxa"/>
            <w:tcBorders>
              <w:top w:val="nil"/>
              <w:left w:val="nil"/>
              <w:bottom w:val="nil"/>
              <w:right w:val="nil"/>
              <w:tl2br w:val="nil"/>
              <w:tr2bl w:val="nil"/>
            </w:tcBorders>
            <w:shd w:val="clear" w:color="auto" w:fill="auto"/>
            <w:noWrap/>
            <w:tcMar>
              <w:left w:w="101" w:type="dxa"/>
              <w:right w:w="101" w:type="dxa"/>
            </w:tcMar>
          </w:tcPr>
          <w:p w14:paraId="5B1076AB"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4 847</w:t>
            </w:r>
          </w:p>
        </w:tc>
        <w:tc>
          <w:tcPr>
            <w:tcW w:w="1035" w:type="dxa"/>
            <w:tcBorders>
              <w:top w:val="nil"/>
              <w:left w:val="nil"/>
              <w:bottom w:val="nil"/>
              <w:right w:val="nil"/>
              <w:tl2br w:val="nil"/>
              <w:tr2bl w:val="nil"/>
            </w:tcBorders>
            <w:shd w:val="clear" w:color="auto" w:fill="auto"/>
            <w:noWrap/>
            <w:tcMar>
              <w:left w:w="101" w:type="dxa"/>
              <w:right w:w="101" w:type="dxa"/>
            </w:tcMar>
          </w:tcPr>
          <w:p w14:paraId="21A56BF8"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2 500</w:t>
            </w:r>
          </w:p>
        </w:tc>
        <w:tc>
          <w:tcPr>
            <w:tcW w:w="1035" w:type="dxa"/>
            <w:tcBorders>
              <w:top w:val="nil"/>
              <w:left w:val="nil"/>
              <w:bottom w:val="nil"/>
              <w:right w:val="nil"/>
              <w:tl2br w:val="nil"/>
              <w:tr2bl w:val="nil"/>
            </w:tcBorders>
            <w:shd w:val="clear" w:color="auto" w:fill="auto"/>
            <w:noWrap/>
            <w:tcMar>
              <w:left w:w="101" w:type="dxa"/>
              <w:right w:w="101" w:type="dxa"/>
            </w:tcMar>
          </w:tcPr>
          <w:p w14:paraId="622BC782"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491ABD4"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379C98C"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548AFB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31E2D3C5" w14:textId="77777777" w:rsidR="003036F4" w:rsidRDefault="00900E2D">
            <w:pPr>
              <w:pStyle w:val="Normal1"/>
              <w:rPr>
                <w:rFonts w:ascii="Calibri" w:eastAsia="Calibri" w:hAnsi="Calibri" w:cs="Calibri"/>
                <w:color w:val="000000"/>
                <w:sz w:val="18"/>
              </w:rPr>
            </w:pPr>
            <w:r>
              <w:rPr>
                <w:rFonts w:ascii="Calibri" w:eastAsia="Calibri" w:hAnsi="Calibri" w:cs="Calibri"/>
                <w:color w:val="000000"/>
                <w:sz w:val="18"/>
              </w:rPr>
              <w:t>Delivering Stage 2 of Light Rail to Woden</w:t>
            </w:r>
          </w:p>
        </w:tc>
        <w:tc>
          <w:tcPr>
            <w:tcW w:w="1035" w:type="dxa"/>
            <w:tcBorders>
              <w:top w:val="nil"/>
              <w:left w:val="nil"/>
              <w:bottom w:val="nil"/>
              <w:right w:val="nil"/>
              <w:tl2br w:val="nil"/>
              <w:tr2bl w:val="nil"/>
            </w:tcBorders>
            <w:shd w:val="clear" w:color="auto" w:fill="auto"/>
            <w:noWrap/>
            <w:tcMar>
              <w:left w:w="101" w:type="dxa"/>
              <w:right w:w="101" w:type="dxa"/>
            </w:tcMar>
          </w:tcPr>
          <w:p w14:paraId="65E2E882"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18 408</w:t>
            </w:r>
          </w:p>
        </w:tc>
        <w:tc>
          <w:tcPr>
            <w:tcW w:w="1035" w:type="dxa"/>
            <w:tcBorders>
              <w:top w:val="nil"/>
              <w:left w:val="nil"/>
              <w:bottom w:val="nil"/>
              <w:right w:val="nil"/>
              <w:tl2br w:val="nil"/>
              <w:tr2bl w:val="nil"/>
            </w:tcBorders>
            <w:shd w:val="clear" w:color="auto" w:fill="auto"/>
            <w:noWrap/>
            <w:tcMar>
              <w:left w:w="101" w:type="dxa"/>
              <w:right w:w="101" w:type="dxa"/>
            </w:tcMar>
          </w:tcPr>
          <w:p w14:paraId="4CFEA90E"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1 750</w:t>
            </w:r>
          </w:p>
        </w:tc>
        <w:tc>
          <w:tcPr>
            <w:tcW w:w="1035" w:type="dxa"/>
            <w:tcBorders>
              <w:top w:val="nil"/>
              <w:left w:val="nil"/>
              <w:bottom w:val="nil"/>
              <w:right w:val="nil"/>
              <w:tl2br w:val="nil"/>
              <w:tr2bl w:val="nil"/>
            </w:tcBorders>
            <w:shd w:val="clear" w:color="auto" w:fill="auto"/>
            <w:noWrap/>
            <w:tcMar>
              <w:left w:w="101" w:type="dxa"/>
              <w:right w:w="101" w:type="dxa"/>
            </w:tcMar>
          </w:tcPr>
          <w:p w14:paraId="60A85227"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4649ABB"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290B561"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290C63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72E3AAC5" w14:textId="72B930B0" w:rsidR="003036F4" w:rsidRDefault="00900E2D">
            <w:pPr>
              <w:pStyle w:val="Normal1"/>
              <w:rPr>
                <w:rFonts w:ascii="Calibri" w:eastAsia="Calibri" w:hAnsi="Calibri" w:cs="Calibri"/>
                <w:color w:val="000000"/>
                <w:sz w:val="18"/>
              </w:rPr>
            </w:pPr>
            <w:r>
              <w:rPr>
                <w:rFonts w:ascii="Calibri" w:eastAsia="Calibri" w:hAnsi="Calibri" w:cs="Calibri"/>
                <w:color w:val="000000"/>
                <w:sz w:val="18"/>
              </w:rPr>
              <w:t xml:space="preserve">Light Rail </w:t>
            </w:r>
            <w:r w:rsidR="00332931">
              <w:rPr>
                <w:rFonts w:ascii="Calibri" w:eastAsia="Calibri" w:hAnsi="Calibri" w:cs="Calibri"/>
                <w:color w:val="000000"/>
                <w:sz w:val="18"/>
              </w:rPr>
              <w:t>–</w:t>
            </w:r>
            <w:r>
              <w:rPr>
                <w:rFonts w:ascii="Calibri" w:eastAsia="Calibri" w:hAnsi="Calibri" w:cs="Calibri"/>
                <w:color w:val="000000"/>
                <w:sz w:val="18"/>
              </w:rPr>
              <w:t xml:space="preserve"> Stage 1 </w:t>
            </w:r>
            <w:r w:rsidR="00332931">
              <w:rPr>
                <w:rFonts w:ascii="Calibri" w:eastAsia="Calibri" w:hAnsi="Calibri" w:cs="Calibri"/>
                <w:color w:val="000000"/>
                <w:sz w:val="18"/>
              </w:rPr>
              <w:t>–</w:t>
            </w:r>
            <w:r>
              <w:rPr>
                <w:rFonts w:ascii="Calibri" w:eastAsia="Calibri" w:hAnsi="Calibri" w:cs="Calibri"/>
                <w:color w:val="000000"/>
                <w:sz w:val="18"/>
              </w:rPr>
              <w:t xml:space="preserve"> PPP Territory Retained Risk</w:t>
            </w:r>
          </w:p>
        </w:tc>
        <w:tc>
          <w:tcPr>
            <w:tcW w:w="1035" w:type="dxa"/>
            <w:tcBorders>
              <w:top w:val="nil"/>
              <w:left w:val="nil"/>
              <w:bottom w:val="nil"/>
              <w:right w:val="nil"/>
              <w:tl2br w:val="nil"/>
              <w:tr2bl w:val="nil"/>
            </w:tcBorders>
            <w:shd w:val="clear" w:color="auto" w:fill="auto"/>
            <w:noWrap/>
            <w:tcMar>
              <w:left w:w="101" w:type="dxa"/>
              <w:right w:w="101" w:type="dxa"/>
            </w:tcMar>
          </w:tcPr>
          <w:p w14:paraId="231B479F"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21 405</w:t>
            </w:r>
          </w:p>
        </w:tc>
        <w:tc>
          <w:tcPr>
            <w:tcW w:w="1035" w:type="dxa"/>
            <w:tcBorders>
              <w:top w:val="nil"/>
              <w:left w:val="nil"/>
              <w:bottom w:val="nil"/>
              <w:right w:val="nil"/>
              <w:tl2br w:val="nil"/>
              <w:tr2bl w:val="nil"/>
            </w:tcBorders>
            <w:shd w:val="clear" w:color="auto" w:fill="auto"/>
            <w:noWrap/>
            <w:tcMar>
              <w:left w:w="101" w:type="dxa"/>
              <w:right w:w="101" w:type="dxa"/>
            </w:tcMar>
          </w:tcPr>
          <w:p w14:paraId="68976292"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2AD63A4"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0D453EF"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CA4CB00"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694736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5B62DD14" w14:textId="6CB0443C" w:rsidR="003036F4" w:rsidRDefault="00900E2D">
            <w:pPr>
              <w:pStyle w:val="Normal1"/>
              <w:rPr>
                <w:rFonts w:ascii="Calibri" w:eastAsia="Calibri" w:hAnsi="Calibri" w:cs="Calibri"/>
                <w:color w:val="000000"/>
                <w:sz w:val="18"/>
              </w:rPr>
            </w:pPr>
            <w:r>
              <w:rPr>
                <w:rFonts w:ascii="Calibri" w:eastAsia="Calibri" w:hAnsi="Calibri" w:cs="Calibri"/>
                <w:color w:val="000000"/>
                <w:sz w:val="18"/>
              </w:rPr>
              <w:t xml:space="preserve">Light Rail </w:t>
            </w:r>
            <w:r w:rsidR="00332931">
              <w:rPr>
                <w:rFonts w:ascii="Calibri" w:eastAsia="Calibri" w:hAnsi="Calibri" w:cs="Calibri"/>
                <w:color w:val="000000"/>
                <w:sz w:val="18"/>
              </w:rPr>
              <w:t>–</w:t>
            </w:r>
            <w:r>
              <w:rPr>
                <w:rFonts w:ascii="Calibri" w:eastAsia="Calibri" w:hAnsi="Calibri" w:cs="Calibri"/>
                <w:color w:val="000000"/>
                <w:sz w:val="18"/>
              </w:rPr>
              <w:t xml:space="preserve"> Stage 1 </w:t>
            </w:r>
            <w:r w:rsidR="00332931">
              <w:rPr>
                <w:rFonts w:ascii="Calibri" w:eastAsia="Calibri" w:hAnsi="Calibri" w:cs="Calibri"/>
                <w:color w:val="000000"/>
                <w:sz w:val="18"/>
              </w:rPr>
              <w:t>–</w:t>
            </w:r>
            <w:r>
              <w:rPr>
                <w:rFonts w:ascii="Calibri" w:eastAsia="Calibri" w:hAnsi="Calibri" w:cs="Calibri"/>
                <w:color w:val="000000"/>
                <w:sz w:val="18"/>
              </w:rPr>
              <w:t xml:space="preserve"> Procurement and Delivery</w:t>
            </w:r>
          </w:p>
        </w:tc>
        <w:tc>
          <w:tcPr>
            <w:tcW w:w="1035" w:type="dxa"/>
            <w:tcBorders>
              <w:top w:val="nil"/>
              <w:left w:val="nil"/>
              <w:bottom w:val="nil"/>
              <w:right w:val="nil"/>
              <w:tl2br w:val="nil"/>
              <w:tr2bl w:val="nil"/>
            </w:tcBorders>
            <w:shd w:val="clear" w:color="auto" w:fill="auto"/>
            <w:noWrap/>
            <w:tcMar>
              <w:left w:w="101" w:type="dxa"/>
              <w:right w:w="101" w:type="dxa"/>
            </w:tcMar>
          </w:tcPr>
          <w:p w14:paraId="7AC841DF"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3 649</w:t>
            </w:r>
          </w:p>
        </w:tc>
        <w:tc>
          <w:tcPr>
            <w:tcW w:w="1035" w:type="dxa"/>
            <w:tcBorders>
              <w:top w:val="nil"/>
              <w:left w:val="nil"/>
              <w:bottom w:val="nil"/>
              <w:right w:val="nil"/>
              <w:tl2br w:val="nil"/>
              <w:tr2bl w:val="nil"/>
            </w:tcBorders>
            <w:shd w:val="clear" w:color="auto" w:fill="auto"/>
            <w:noWrap/>
            <w:tcMar>
              <w:left w:w="101" w:type="dxa"/>
              <w:right w:w="101" w:type="dxa"/>
            </w:tcMar>
          </w:tcPr>
          <w:p w14:paraId="6F9400A5"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BE9A4DE"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D6693EA"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3456BDA"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67CF02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6C0D4D0D"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551E6FB"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216FD61"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703560C"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608BBBD"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8171009" w14:textId="77777777" w:rsidR="003036F4" w:rsidRDefault="003036F4">
            <w:pPr>
              <w:pStyle w:val="Normal1"/>
              <w:rPr>
                <w:rFonts w:ascii="Calibri" w:eastAsia="Calibri" w:hAnsi="Calibri" w:cs="Calibri"/>
                <w:color w:val="000000"/>
                <w:sz w:val="18"/>
              </w:rPr>
            </w:pPr>
          </w:p>
        </w:tc>
      </w:tr>
      <w:tr w:rsidR="003036F4" w14:paraId="220822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0BB15B1B" w14:textId="77777777" w:rsidR="003036F4" w:rsidRDefault="00900E2D">
            <w:pPr>
              <w:pStyle w:val="Normal1"/>
              <w:rPr>
                <w:rFonts w:ascii="Calibri" w:eastAsia="Calibri" w:hAnsi="Calibri" w:cs="Calibri"/>
                <w:b/>
                <w:color w:val="000000"/>
                <w:sz w:val="18"/>
              </w:rPr>
            </w:pPr>
            <w:r>
              <w:rPr>
                <w:rFonts w:ascii="Calibri" w:eastAsia="Calibri" w:hAnsi="Calibri" w:cs="Calibri"/>
                <w:b/>
                <w:color w:val="000000"/>
                <w:sz w:val="18"/>
              </w:rPr>
              <w:t>2nd Appropriation</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E00D614"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1218ABD"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ED46DD2"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685E031"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8F6758A" w14:textId="77777777" w:rsidR="003036F4" w:rsidRDefault="003036F4">
            <w:pPr>
              <w:pStyle w:val="Normal1"/>
              <w:rPr>
                <w:rFonts w:ascii="Calibri" w:eastAsia="Calibri" w:hAnsi="Calibri" w:cs="Calibri"/>
                <w:color w:val="FFFFFF"/>
                <w:sz w:val="18"/>
              </w:rPr>
            </w:pPr>
          </w:p>
        </w:tc>
      </w:tr>
      <w:tr w:rsidR="003036F4" w14:paraId="5502DE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D29DDB8" w14:textId="4136B2D3" w:rsidR="003036F4" w:rsidRDefault="00900E2D">
            <w:pPr>
              <w:pStyle w:val="Normal1"/>
              <w:rPr>
                <w:rFonts w:ascii="Calibri" w:eastAsia="Calibri" w:hAnsi="Calibri" w:cs="Calibri"/>
                <w:color w:val="000000"/>
                <w:sz w:val="18"/>
              </w:rPr>
            </w:pPr>
            <w:r>
              <w:rPr>
                <w:rFonts w:ascii="Calibri" w:eastAsia="Calibri" w:hAnsi="Calibri" w:cs="Calibri"/>
                <w:color w:val="000000"/>
                <w:sz w:val="18"/>
              </w:rPr>
              <w:t xml:space="preserve">Extending Light Rail to Woden </w:t>
            </w:r>
            <w:r w:rsidR="00332931">
              <w:rPr>
                <w:rFonts w:ascii="Calibri" w:eastAsia="Calibri" w:hAnsi="Calibri" w:cs="Calibri"/>
                <w:color w:val="000000"/>
                <w:sz w:val="18"/>
              </w:rPr>
              <w:t>–</w:t>
            </w:r>
            <w:r>
              <w:rPr>
                <w:rFonts w:ascii="Calibri" w:eastAsia="Calibri" w:hAnsi="Calibri" w:cs="Calibri"/>
                <w:color w:val="000000"/>
                <w:sz w:val="18"/>
              </w:rPr>
              <w:t xml:space="preserve"> Delivering Stage 2A</w:t>
            </w:r>
          </w:p>
        </w:tc>
        <w:tc>
          <w:tcPr>
            <w:tcW w:w="1035" w:type="dxa"/>
            <w:tcBorders>
              <w:top w:val="nil"/>
              <w:left w:val="nil"/>
              <w:bottom w:val="nil"/>
              <w:right w:val="nil"/>
              <w:tl2br w:val="nil"/>
              <w:tr2bl w:val="nil"/>
            </w:tcBorders>
            <w:shd w:val="clear" w:color="auto" w:fill="auto"/>
            <w:noWrap/>
            <w:tcMar>
              <w:left w:w="101" w:type="dxa"/>
              <w:right w:w="101" w:type="dxa"/>
            </w:tcMar>
          </w:tcPr>
          <w:p w14:paraId="3A2B97A3"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31 400</w:t>
            </w:r>
          </w:p>
        </w:tc>
        <w:tc>
          <w:tcPr>
            <w:tcW w:w="1035" w:type="dxa"/>
            <w:tcBorders>
              <w:top w:val="nil"/>
              <w:left w:val="nil"/>
              <w:bottom w:val="nil"/>
              <w:right w:val="nil"/>
              <w:tl2br w:val="nil"/>
              <w:tr2bl w:val="nil"/>
            </w:tcBorders>
            <w:shd w:val="clear" w:color="auto" w:fill="auto"/>
            <w:noWrap/>
            <w:tcMar>
              <w:left w:w="101" w:type="dxa"/>
              <w:right w:w="101" w:type="dxa"/>
            </w:tcMar>
          </w:tcPr>
          <w:p w14:paraId="3565201B"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38D8820"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7ABDEB5"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78BB09A"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39BA27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A1FF865" w14:textId="6A771A66" w:rsidR="003036F4" w:rsidRDefault="00900E2D">
            <w:pPr>
              <w:pStyle w:val="Normal1"/>
              <w:rPr>
                <w:rFonts w:ascii="Calibri" w:eastAsia="Calibri" w:hAnsi="Calibri" w:cs="Calibri"/>
                <w:color w:val="000000"/>
                <w:sz w:val="18"/>
              </w:rPr>
            </w:pPr>
            <w:r>
              <w:rPr>
                <w:rFonts w:ascii="Calibri" w:eastAsia="Calibri" w:hAnsi="Calibri" w:cs="Calibri"/>
                <w:color w:val="000000"/>
                <w:sz w:val="18"/>
              </w:rPr>
              <w:t xml:space="preserve">Taking Light Rail to Woden </w:t>
            </w:r>
            <w:r w:rsidR="00332931">
              <w:rPr>
                <w:rFonts w:ascii="Calibri" w:eastAsia="Calibri" w:hAnsi="Calibri" w:cs="Calibri"/>
                <w:color w:val="000000"/>
                <w:sz w:val="18"/>
              </w:rPr>
              <w:t>–</w:t>
            </w:r>
            <w:r>
              <w:rPr>
                <w:rFonts w:ascii="Calibri" w:eastAsia="Calibri" w:hAnsi="Calibri" w:cs="Calibri"/>
                <w:color w:val="000000"/>
                <w:sz w:val="18"/>
              </w:rPr>
              <w:t xml:space="preserve"> Raising London Circuit</w:t>
            </w:r>
          </w:p>
        </w:tc>
        <w:tc>
          <w:tcPr>
            <w:tcW w:w="1035" w:type="dxa"/>
            <w:tcBorders>
              <w:top w:val="nil"/>
              <w:left w:val="nil"/>
              <w:bottom w:val="nil"/>
              <w:right w:val="nil"/>
              <w:tl2br w:val="nil"/>
              <w:tr2bl w:val="nil"/>
            </w:tcBorders>
            <w:shd w:val="clear" w:color="auto" w:fill="auto"/>
            <w:noWrap/>
            <w:tcMar>
              <w:left w:w="101" w:type="dxa"/>
              <w:right w:w="101" w:type="dxa"/>
            </w:tcMar>
          </w:tcPr>
          <w:p w14:paraId="67893798"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2 500</w:t>
            </w:r>
          </w:p>
        </w:tc>
        <w:tc>
          <w:tcPr>
            <w:tcW w:w="1035" w:type="dxa"/>
            <w:tcBorders>
              <w:top w:val="nil"/>
              <w:left w:val="nil"/>
              <w:bottom w:val="nil"/>
              <w:right w:val="nil"/>
              <w:tl2br w:val="nil"/>
              <w:tr2bl w:val="nil"/>
            </w:tcBorders>
            <w:shd w:val="clear" w:color="auto" w:fill="auto"/>
            <w:noWrap/>
            <w:tcMar>
              <w:left w:w="101" w:type="dxa"/>
              <w:right w:w="101" w:type="dxa"/>
            </w:tcMar>
          </w:tcPr>
          <w:p w14:paraId="1626BA8E"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6CFA87C"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77F8127"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18A826C"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0CB193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357BD1D1"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A2D0009"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B67538D"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5FD32D9"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D947483"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346C2F2" w14:textId="77777777" w:rsidR="003036F4" w:rsidRDefault="003036F4">
            <w:pPr>
              <w:pStyle w:val="Normal1"/>
              <w:rPr>
                <w:rFonts w:ascii="Calibri" w:eastAsia="Calibri" w:hAnsi="Calibri" w:cs="Calibri"/>
                <w:color w:val="000000"/>
                <w:sz w:val="18"/>
              </w:rPr>
            </w:pPr>
          </w:p>
        </w:tc>
      </w:tr>
      <w:tr w:rsidR="003036F4" w14:paraId="00E1A2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1370E04A" w14:textId="763C9B69" w:rsidR="003036F4" w:rsidRDefault="00900E2D">
            <w:pPr>
              <w:pStyle w:val="Normal1"/>
              <w:rPr>
                <w:rFonts w:ascii="Calibri" w:eastAsia="Calibri" w:hAnsi="Calibri" w:cs="Calibri"/>
                <w:b/>
                <w:color w:val="000000"/>
                <w:sz w:val="18"/>
              </w:rPr>
            </w:pPr>
            <w:r>
              <w:rPr>
                <w:rFonts w:ascii="Calibri" w:eastAsia="Calibri" w:hAnsi="Calibri" w:cs="Calibri"/>
                <w:b/>
                <w:color w:val="000000"/>
                <w:sz w:val="18"/>
              </w:rPr>
              <w:t xml:space="preserve">FMA Section 16B Rollovers from </w:t>
            </w:r>
            <w:r w:rsidR="00332931">
              <w:rPr>
                <w:rFonts w:ascii="Calibri" w:eastAsia="Calibri" w:hAnsi="Calibri" w:cs="Calibri"/>
                <w:b/>
                <w:color w:val="000000"/>
                <w:sz w:val="18"/>
              </w:rPr>
              <w:t>2019–20</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C5932C0"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4FCCE9C"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18F0F03"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83FC5D9"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195F4EA" w14:textId="77777777" w:rsidR="003036F4" w:rsidRDefault="003036F4">
            <w:pPr>
              <w:pStyle w:val="Normal1"/>
              <w:rPr>
                <w:rFonts w:ascii="Calibri" w:eastAsia="Calibri" w:hAnsi="Calibri" w:cs="Calibri"/>
                <w:color w:val="FFFFFF"/>
                <w:sz w:val="18"/>
              </w:rPr>
            </w:pPr>
          </w:p>
        </w:tc>
      </w:tr>
      <w:tr w:rsidR="003036F4" w14:paraId="0C8404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B14AB44" w14:textId="77777777" w:rsidR="003036F4" w:rsidRDefault="00900E2D">
            <w:pPr>
              <w:pStyle w:val="Normal1"/>
              <w:rPr>
                <w:rFonts w:ascii="Calibri" w:eastAsia="Calibri" w:hAnsi="Calibri" w:cs="Calibri"/>
                <w:color w:val="000000"/>
                <w:sz w:val="18"/>
              </w:rPr>
            </w:pPr>
            <w:r>
              <w:rPr>
                <w:rFonts w:ascii="Calibri" w:eastAsia="Calibri" w:hAnsi="Calibri" w:cs="Calibri"/>
                <w:color w:val="000000"/>
                <w:sz w:val="18"/>
              </w:rPr>
              <w:t>Delivering the Canberra Hospital Expansion</w:t>
            </w:r>
          </w:p>
        </w:tc>
        <w:tc>
          <w:tcPr>
            <w:tcW w:w="1035" w:type="dxa"/>
            <w:tcBorders>
              <w:top w:val="nil"/>
              <w:left w:val="nil"/>
              <w:bottom w:val="nil"/>
              <w:right w:val="nil"/>
              <w:tl2br w:val="nil"/>
              <w:tr2bl w:val="nil"/>
            </w:tcBorders>
            <w:shd w:val="clear" w:color="auto" w:fill="auto"/>
            <w:noWrap/>
            <w:tcMar>
              <w:left w:w="101" w:type="dxa"/>
              <w:right w:w="101" w:type="dxa"/>
            </w:tcMar>
          </w:tcPr>
          <w:p w14:paraId="12FB3828"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-50 782</w:t>
            </w:r>
          </w:p>
        </w:tc>
        <w:tc>
          <w:tcPr>
            <w:tcW w:w="1035" w:type="dxa"/>
            <w:tcBorders>
              <w:top w:val="nil"/>
              <w:left w:val="nil"/>
              <w:bottom w:val="nil"/>
              <w:right w:val="nil"/>
              <w:tl2br w:val="nil"/>
              <w:tr2bl w:val="nil"/>
            </w:tcBorders>
            <w:shd w:val="clear" w:color="auto" w:fill="auto"/>
            <w:noWrap/>
            <w:tcMar>
              <w:left w:w="101" w:type="dxa"/>
              <w:right w:w="101" w:type="dxa"/>
            </w:tcMar>
          </w:tcPr>
          <w:p w14:paraId="4AA61D7D"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40 782</w:t>
            </w:r>
          </w:p>
        </w:tc>
        <w:tc>
          <w:tcPr>
            <w:tcW w:w="1035" w:type="dxa"/>
            <w:tcBorders>
              <w:top w:val="nil"/>
              <w:left w:val="nil"/>
              <w:bottom w:val="nil"/>
              <w:right w:val="nil"/>
              <w:tl2br w:val="nil"/>
              <w:tr2bl w:val="nil"/>
            </w:tcBorders>
            <w:shd w:val="clear" w:color="auto" w:fill="auto"/>
            <w:noWrap/>
            <w:tcMar>
              <w:left w:w="101" w:type="dxa"/>
              <w:right w:w="101" w:type="dxa"/>
            </w:tcMar>
          </w:tcPr>
          <w:p w14:paraId="61C61EC6"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8976E05"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464725C"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4E09A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3FA4A488" w14:textId="77777777" w:rsidR="003036F4" w:rsidRDefault="00900E2D" w:rsidP="00EE07A4">
            <w:pPr>
              <w:pStyle w:val="Normal1"/>
              <w:ind w:left="179" w:hanging="179"/>
              <w:rPr>
                <w:rFonts w:ascii="Calibri" w:eastAsia="Calibri" w:hAnsi="Calibri" w:cs="Calibri"/>
                <w:color w:val="000000"/>
                <w:sz w:val="18"/>
              </w:rPr>
            </w:pPr>
            <w:r>
              <w:rPr>
                <w:rFonts w:ascii="Calibri" w:eastAsia="Calibri" w:hAnsi="Calibri" w:cs="Calibri"/>
                <w:color w:val="000000"/>
                <w:sz w:val="18"/>
              </w:rPr>
              <w:t>Commencing Light Rail Stage 1 Operations and Delivering a Light Rail Stop at Mitchell</w:t>
            </w:r>
          </w:p>
        </w:tc>
        <w:tc>
          <w:tcPr>
            <w:tcW w:w="1035" w:type="dxa"/>
            <w:tcBorders>
              <w:top w:val="nil"/>
              <w:left w:val="nil"/>
              <w:bottom w:val="nil"/>
              <w:right w:val="nil"/>
              <w:tl2br w:val="nil"/>
              <w:tr2bl w:val="nil"/>
            </w:tcBorders>
            <w:shd w:val="clear" w:color="auto" w:fill="auto"/>
            <w:noWrap/>
            <w:tcMar>
              <w:left w:w="101" w:type="dxa"/>
              <w:right w:w="101" w:type="dxa"/>
            </w:tcMar>
          </w:tcPr>
          <w:p w14:paraId="2A48CA9A"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-3 036</w:t>
            </w:r>
          </w:p>
        </w:tc>
        <w:tc>
          <w:tcPr>
            <w:tcW w:w="1035" w:type="dxa"/>
            <w:tcBorders>
              <w:top w:val="nil"/>
              <w:left w:val="nil"/>
              <w:bottom w:val="nil"/>
              <w:right w:val="nil"/>
              <w:tl2br w:val="nil"/>
              <w:tr2bl w:val="nil"/>
            </w:tcBorders>
            <w:shd w:val="clear" w:color="auto" w:fill="auto"/>
            <w:noWrap/>
            <w:tcMar>
              <w:left w:w="101" w:type="dxa"/>
              <w:right w:w="101" w:type="dxa"/>
            </w:tcMar>
          </w:tcPr>
          <w:p w14:paraId="45913D94"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3 036</w:t>
            </w:r>
          </w:p>
        </w:tc>
        <w:tc>
          <w:tcPr>
            <w:tcW w:w="1035" w:type="dxa"/>
            <w:tcBorders>
              <w:top w:val="nil"/>
              <w:left w:val="nil"/>
              <w:bottom w:val="nil"/>
              <w:right w:val="nil"/>
              <w:tl2br w:val="nil"/>
              <w:tr2bl w:val="nil"/>
            </w:tcBorders>
            <w:shd w:val="clear" w:color="auto" w:fill="auto"/>
            <w:noWrap/>
            <w:tcMar>
              <w:left w:w="101" w:type="dxa"/>
              <w:right w:w="101" w:type="dxa"/>
            </w:tcMar>
          </w:tcPr>
          <w:p w14:paraId="6FF4231D"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3F41343"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593B167"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5B9591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293BF9A" w14:textId="0E22FB9E" w:rsidR="003036F4" w:rsidRDefault="00900E2D">
            <w:pPr>
              <w:pStyle w:val="Normal1"/>
              <w:rPr>
                <w:rFonts w:ascii="Calibri" w:eastAsia="Calibri" w:hAnsi="Calibri" w:cs="Calibri"/>
                <w:color w:val="000000"/>
                <w:sz w:val="18"/>
              </w:rPr>
            </w:pPr>
            <w:r>
              <w:rPr>
                <w:rFonts w:ascii="Calibri" w:eastAsia="Calibri" w:hAnsi="Calibri" w:cs="Calibri"/>
                <w:color w:val="000000"/>
                <w:sz w:val="18"/>
              </w:rPr>
              <w:t xml:space="preserve">Extending Light Rail to Woden </w:t>
            </w:r>
            <w:r w:rsidR="00332931">
              <w:rPr>
                <w:rFonts w:ascii="Calibri" w:eastAsia="Calibri" w:hAnsi="Calibri" w:cs="Calibri"/>
                <w:color w:val="000000"/>
                <w:sz w:val="18"/>
              </w:rPr>
              <w:t>–</w:t>
            </w:r>
            <w:r>
              <w:rPr>
                <w:rFonts w:ascii="Calibri" w:eastAsia="Calibri" w:hAnsi="Calibri" w:cs="Calibri"/>
                <w:color w:val="000000"/>
                <w:sz w:val="18"/>
              </w:rPr>
              <w:t xml:space="preserve"> Delivering Stage 2A</w:t>
            </w:r>
          </w:p>
        </w:tc>
        <w:tc>
          <w:tcPr>
            <w:tcW w:w="1035" w:type="dxa"/>
            <w:tcBorders>
              <w:top w:val="nil"/>
              <w:left w:val="nil"/>
              <w:bottom w:val="nil"/>
              <w:right w:val="nil"/>
              <w:tl2br w:val="nil"/>
              <w:tr2bl w:val="nil"/>
            </w:tcBorders>
            <w:shd w:val="clear" w:color="auto" w:fill="auto"/>
            <w:noWrap/>
            <w:tcMar>
              <w:left w:w="101" w:type="dxa"/>
              <w:right w:w="101" w:type="dxa"/>
            </w:tcMar>
          </w:tcPr>
          <w:p w14:paraId="592A5DBF"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-21 082</w:t>
            </w:r>
          </w:p>
        </w:tc>
        <w:tc>
          <w:tcPr>
            <w:tcW w:w="1035" w:type="dxa"/>
            <w:tcBorders>
              <w:top w:val="nil"/>
              <w:left w:val="nil"/>
              <w:bottom w:val="nil"/>
              <w:right w:val="nil"/>
              <w:tl2br w:val="nil"/>
              <w:tr2bl w:val="nil"/>
            </w:tcBorders>
            <w:shd w:val="clear" w:color="auto" w:fill="auto"/>
            <w:noWrap/>
            <w:tcMar>
              <w:left w:w="101" w:type="dxa"/>
              <w:right w:w="101" w:type="dxa"/>
            </w:tcMar>
          </w:tcPr>
          <w:p w14:paraId="495B4A51"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2 459</w:t>
            </w:r>
          </w:p>
        </w:tc>
        <w:tc>
          <w:tcPr>
            <w:tcW w:w="1035" w:type="dxa"/>
            <w:tcBorders>
              <w:top w:val="nil"/>
              <w:left w:val="nil"/>
              <w:bottom w:val="nil"/>
              <w:right w:val="nil"/>
              <w:tl2br w:val="nil"/>
              <w:tr2bl w:val="nil"/>
            </w:tcBorders>
            <w:shd w:val="clear" w:color="auto" w:fill="auto"/>
            <w:noWrap/>
            <w:tcMar>
              <w:left w:w="101" w:type="dxa"/>
              <w:right w:w="101" w:type="dxa"/>
            </w:tcMar>
          </w:tcPr>
          <w:p w14:paraId="4E3EEEC6"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F5B0A9A"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2B2ACA2"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013F62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40B1699" w14:textId="77777777" w:rsidR="003036F4" w:rsidRDefault="00900E2D">
            <w:pPr>
              <w:pStyle w:val="Normal1"/>
              <w:rPr>
                <w:rFonts w:ascii="Calibri" w:eastAsia="Calibri" w:hAnsi="Calibri" w:cs="Calibri"/>
                <w:color w:val="000000"/>
                <w:sz w:val="18"/>
              </w:rPr>
            </w:pPr>
            <w:r>
              <w:rPr>
                <w:rFonts w:ascii="Calibri" w:eastAsia="Calibri" w:hAnsi="Calibri" w:cs="Calibri"/>
                <w:color w:val="000000"/>
                <w:sz w:val="18"/>
              </w:rPr>
              <w:t>Delivering Stage 2 of Light Rail to Woden</w:t>
            </w:r>
          </w:p>
        </w:tc>
        <w:tc>
          <w:tcPr>
            <w:tcW w:w="1035" w:type="dxa"/>
            <w:tcBorders>
              <w:top w:val="nil"/>
              <w:left w:val="nil"/>
              <w:bottom w:val="nil"/>
              <w:right w:val="nil"/>
              <w:tl2br w:val="nil"/>
              <w:tr2bl w:val="nil"/>
            </w:tcBorders>
            <w:shd w:val="clear" w:color="auto" w:fill="auto"/>
            <w:noWrap/>
            <w:tcMar>
              <w:left w:w="101" w:type="dxa"/>
              <w:right w:w="101" w:type="dxa"/>
            </w:tcMar>
          </w:tcPr>
          <w:p w14:paraId="086EB098"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-2 028</w:t>
            </w:r>
          </w:p>
        </w:tc>
        <w:tc>
          <w:tcPr>
            <w:tcW w:w="1035" w:type="dxa"/>
            <w:tcBorders>
              <w:top w:val="nil"/>
              <w:left w:val="nil"/>
              <w:bottom w:val="nil"/>
              <w:right w:val="nil"/>
              <w:tl2br w:val="nil"/>
              <w:tr2bl w:val="nil"/>
            </w:tcBorders>
            <w:shd w:val="clear" w:color="auto" w:fill="auto"/>
            <w:noWrap/>
            <w:tcMar>
              <w:left w:w="101" w:type="dxa"/>
              <w:right w:w="101" w:type="dxa"/>
            </w:tcMar>
          </w:tcPr>
          <w:p w14:paraId="197975DD"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849</w:t>
            </w:r>
          </w:p>
        </w:tc>
        <w:tc>
          <w:tcPr>
            <w:tcW w:w="1035" w:type="dxa"/>
            <w:tcBorders>
              <w:top w:val="nil"/>
              <w:left w:val="nil"/>
              <w:bottom w:val="nil"/>
              <w:right w:val="nil"/>
              <w:tl2br w:val="nil"/>
              <w:tr2bl w:val="nil"/>
            </w:tcBorders>
            <w:shd w:val="clear" w:color="auto" w:fill="auto"/>
            <w:noWrap/>
            <w:tcMar>
              <w:left w:w="101" w:type="dxa"/>
              <w:right w:w="101" w:type="dxa"/>
            </w:tcMar>
          </w:tcPr>
          <w:p w14:paraId="63AB4D11"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DB85E57"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5080F49"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1C4F4B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779F64DA"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8ECEAA5"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3F28D16"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B1B7A55"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30D3BD"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437D0B9" w14:textId="77777777" w:rsidR="003036F4" w:rsidRDefault="003036F4">
            <w:pPr>
              <w:pStyle w:val="Normal1"/>
              <w:rPr>
                <w:rFonts w:ascii="Calibri" w:eastAsia="Calibri" w:hAnsi="Calibri" w:cs="Calibri"/>
                <w:color w:val="000000"/>
                <w:sz w:val="18"/>
              </w:rPr>
            </w:pPr>
          </w:p>
        </w:tc>
      </w:tr>
      <w:tr w:rsidR="003036F4" w14:paraId="1CC25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2921CE7F" w14:textId="6F1B823C" w:rsidR="003036F4" w:rsidRDefault="00332931">
            <w:pPr>
              <w:pStyle w:val="Normal1"/>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0FBA579"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107C370"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1E1672B"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F3FC165"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BEB4BA8" w14:textId="77777777" w:rsidR="003036F4" w:rsidRDefault="003036F4">
            <w:pPr>
              <w:pStyle w:val="Normal1"/>
              <w:rPr>
                <w:rFonts w:ascii="Calibri" w:eastAsia="Calibri" w:hAnsi="Calibri" w:cs="Calibri"/>
                <w:color w:val="FFFFFF"/>
                <w:sz w:val="18"/>
              </w:rPr>
            </w:pPr>
          </w:p>
        </w:tc>
      </w:tr>
      <w:tr w:rsidR="003036F4" w14:paraId="0D7D19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5BFB982" w14:textId="77777777" w:rsidR="003036F4" w:rsidRDefault="00900E2D">
            <w:pPr>
              <w:pStyle w:val="Normal1"/>
              <w:rPr>
                <w:rFonts w:ascii="Calibri" w:eastAsia="Calibri" w:hAnsi="Calibri" w:cs="Calibri"/>
                <w:color w:val="000000"/>
                <w:sz w:val="18"/>
              </w:rPr>
            </w:pPr>
            <w:r>
              <w:rPr>
                <w:rFonts w:ascii="Calibri" w:eastAsia="Calibri" w:hAnsi="Calibri" w:cs="Calibri"/>
                <w:color w:val="000000"/>
                <w:sz w:val="18"/>
              </w:rPr>
              <w:t>CIT Woden Campus and Bus Interchange</w:t>
            </w:r>
          </w:p>
        </w:tc>
        <w:tc>
          <w:tcPr>
            <w:tcW w:w="1035" w:type="dxa"/>
            <w:tcBorders>
              <w:top w:val="nil"/>
              <w:left w:val="nil"/>
              <w:bottom w:val="nil"/>
              <w:right w:val="nil"/>
              <w:tl2br w:val="nil"/>
              <w:tr2bl w:val="nil"/>
            </w:tcBorders>
            <w:shd w:val="clear" w:color="auto" w:fill="auto"/>
            <w:noWrap/>
            <w:tcMar>
              <w:left w:w="101" w:type="dxa"/>
              <w:right w:w="101" w:type="dxa"/>
            </w:tcMar>
          </w:tcPr>
          <w:p w14:paraId="073C92E9"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9DCB096"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15 300</w:t>
            </w:r>
          </w:p>
        </w:tc>
        <w:tc>
          <w:tcPr>
            <w:tcW w:w="1035" w:type="dxa"/>
            <w:tcBorders>
              <w:top w:val="nil"/>
              <w:left w:val="nil"/>
              <w:bottom w:val="nil"/>
              <w:right w:val="nil"/>
              <w:tl2br w:val="nil"/>
              <w:tr2bl w:val="nil"/>
            </w:tcBorders>
            <w:shd w:val="clear" w:color="auto" w:fill="auto"/>
            <w:noWrap/>
            <w:tcMar>
              <w:left w:w="101" w:type="dxa"/>
              <w:right w:w="101" w:type="dxa"/>
            </w:tcMar>
          </w:tcPr>
          <w:p w14:paraId="626F5051"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49 000</w:t>
            </w:r>
          </w:p>
        </w:tc>
        <w:tc>
          <w:tcPr>
            <w:tcW w:w="1035" w:type="dxa"/>
            <w:tcBorders>
              <w:top w:val="nil"/>
              <w:left w:val="nil"/>
              <w:bottom w:val="nil"/>
              <w:right w:val="nil"/>
              <w:tl2br w:val="nil"/>
              <w:tr2bl w:val="nil"/>
            </w:tcBorders>
            <w:shd w:val="clear" w:color="auto" w:fill="auto"/>
            <w:noWrap/>
            <w:tcMar>
              <w:left w:w="101" w:type="dxa"/>
              <w:right w:w="101" w:type="dxa"/>
            </w:tcMar>
          </w:tcPr>
          <w:p w14:paraId="63692DDB"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84 000</w:t>
            </w:r>
          </w:p>
        </w:tc>
        <w:tc>
          <w:tcPr>
            <w:tcW w:w="1035" w:type="dxa"/>
            <w:tcBorders>
              <w:top w:val="nil"/>
              <w:left w:val="nil"/>
              <w:bottom w:val="nil"/>
              <w:right w:val="nil"/>
              <w:tl2br w:val="nil"/>
              <w:tr2bl w:val="nil"/>
            </w:tcBorders>
            <w:shd w:val="clear" w:color="auto" w:fill="auto"/>
            <w:noWrap/>
            <w:tcMar>
              <w:left w:w="101" w:type="dxa"/>
              <w:right w:w="101" w:type="dxa"/>
            </w:tcMar>
          </w:tcPr>
          <w:p w14:paraId="5511231E"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92 000</w:t>
            </w:r>
          </w:p>
        </w:tc>
      </w:tr>
      <w:tr w:rsidR="003036F4" w14:paraId="32FEF1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34FE622" w14:textId="77777777" w:rsidR="003036F4" w:rsidRDefault="00900E2D">
            <w:pPr>
              <w:pStyle w:val="Normal1"/>
              <w:rPr>
                <w:rFonts w:ascii="Calibri" w:eastAsia="Calibri" w:hAnsi="Calibri" w:cs="Calibri"/>
                <w:color w:val="000000"/>
                <w:sz w:val="18"/>
              </w:rPr>
            </w:pPr>
            <w:r>
              <w:rPr>
                <w:rFonts w:ascii="Calibri" w:eastAsia="Calibri" w:hAnsi="Calibri" w:cs="Calibri"/>
                <w:color w:val="000000"/>
                <w:sz w:val="18"/>
              </w:rPr>
              <w:t>Building Light Rail to Woden and Raising London Circuit</w:t>
            </w:r>
          </w:p>
        </w:tc>
        <w:tc>
          <w:tcPr>
            <w:tcW w:w="1035" w:type="dxa"/>
            <w:tcBorders>
              <w:top w:val="nil"/>
              <w:left w:val="nil"/>
              <w:bottom w:val="nil"/>
              <w:right w:val="nil"/>
              <w:tl2br w:val="nil"/>
              <w:tr2bl w:val="nil"/>
            </w:tcBorders>
            <w:shd w:val="clear" w:color="auto" w:fill="auto"/>
            <w:noWrap/>
            <w:tcMar>
              <w:left w:w="101" w:type="dxa"/>
              <w:right w:w="101" w:type="dxa"/>
            </w:tcMar>
          </w:tcPr>
          <w:p w14:paraId="7B3C74B9"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956DD42"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24 000</w:t>
            </w:r>
          </w:p>
        </w:tc>
        <w:tc>
          <w:tcPr>
            <w:tcW w:w="1035" w:type="dxa"/>
            <w:tcBorders>
              <w:top w:val="nil"/>
              <w:left w:val="nil"/>
              <w:bottom w:val="nil"/>
              <w:right w:val="nil"/>
              <w:tl2br w:val="nil"/>
              <w:tr2bl w:val="nil"/>
            </w:tcBorders>
            <w:shd w:val="clear" w:color="auto" w:fill="auto"/>
            <w:noWrap/>
            <w:tcMar>
              <w:left w:w="101" w:type="dxa"/>
              <w:right w:w="101" w:type="dxa"/>
            </w:tcMar>
          </w:tcPr>
          <w:p w14:paraId="74731726"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E4BF567"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3126023"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791819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79953CA3" w14:textId="0D602D96" w:rsidR="003036F4" w:rsidRDefault="00900E2D">
            <w:pPr>
              <w:pStyle w:val="Normal1"/>
              <w:rPr>
                <w:rFonts w:ascii="Calibri" w:eastAsia="Calibri" w:hAnsi="Calibri" w:cs="Calibri"/>
                <w:color w:val="000000"/>
                <w:sz w:val="18"/>
              </w:rPr>
            </w:pPr>
            <w:r>
              <w:rPr>
                <w:rFonts w:ascii="Calibri" w:eastAsia="Calibri" w:hAnsi="Calibri" w:cs="Calibri"/>
                <w:color w:val="000000"/>
                <w:sz w:val="18"/>
              </w:rPr>
              <w:t xml:space="preserve">Canberra Light Rail </w:t>
            </w:r>
            <w:r w:rsidR="00332931">
              <w:rPr>
                <w:rFonts w:ascii="Calibri" w:eastAsia="Calibri" w:hAnsi="Calibri" w:cs="Calibri"/>
                <w:color w:val="000000"/>
                <w:sz w:val="18"/>
              </w:rPr>
              <w:t>–</w:t>
            </w:r>
            <w:r>
              <w:rPr>
                <w:rFonts w:ascii="Calibri" w:eastAsia="Calibri" w:hAnsi="Calibri" w:cs="Calibri"/>
                <w:color w:val="000000"/>
                <w:sz w:val="18"/>
              </w:rPr>
              <w:t xml:space="preserve"> New Mitchell Light Rail Stop</w:t>
            </w:r>
          </w:p>
        </w:tc>
        <w:tc>
          <w:tcPr>
            <w:tcW w:w="1035" w:type="dxa"/>
            <w:tcBorders>
              <w:top w:val="nil"/>
              <w:left w:val="nil"/>
              <w:bottom w:val="nil"/>
              <w:right w:val="nil"/>
              <w:tl2br w:val="nil"/>
              <w:tr2bl w:val="nil"/>
            </w:tcBorders>
            <w:shd w:val="clear" w:color="auto" w:fill="auto"/>
            <w:noWrap/>
            <w:tcMar>
              <w:left w:w="101" w:type="dxa"/>
              <w:right w:w="101" w:type="dxa"/>
            </w:tcMar>
          </w:tcPr>
          <w:p w14:paraId="6D4423FC"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A25749A"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12 000</w:t>
            </w:r>
          </w:p>
        </w:tc>
        <w:tc>
          <w:tcPr>
            <w:tcW w:w="1035" w:type="dxa"/>
            <w:tcBorders>
              <w:top w:val="nil"/>
              <w:left w:val="nil"/>
              <w:bottom w:val="nil"/>
              <w:right w:val="nil"/>
              <w:tl2br w:val="nil"/>
              <w:tr2bl w:val="nil"/>
            </w:tcBorders>
            <w:shd w:val="clear" w:color="auto" w:fill="auto"/>
            <w:noWrap/>
            <w:tcMar>
              <w:left w:w="101" w:type="dxa"/>
              <w:right w:w="101" w:type="dxa"/>
            </w:tcMar>
          </w:tcPr>
          <w:p w14:paraId="39F7341A"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B96A275"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CE35A9D"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5176E1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C9301CC" w14:textId="3DC19BA6" w:rsidR="003036F4" w:rsidRDefault="00900E2D">
            <w:pPr>
              <w:pStyle w:val="Normal1"/>
              <w:rPr>
                <w:rFonts w:ascii="Calibri" w:eastAsia="Calibri" w:hAnsi="Calibri" w:cs="Calibri"/>
                <w:color w:val="000000"/>
                <w:sz w:val="18"/>
              </w:rPr>
            </w:pPr>
            <w:r>
              <w:rPr>
                <w:rFonts w:ascii="Calibri" w:eastAsia="Calibri" w:hAnsi="Calibri" w:cs="Calibri"/>
                <w:color w:val="000000"/>
                <w:sz w:val="18"/>
              </w:rPr>
              <w:t xml:space="preserve">Light Rail Stage 2 </w:t>
            </w:r>
            <w:r w:rsidR="00332931">
              <w:rPr>
                <w:rFonts w:ascii="Calibri" w:eastAsia="Calibri" w:hAnsi="Calibri" w:cs="Calibri"/>
                <w:color w:val="000000"/>
                <w:sz w:val="18"/>
              </w:rPr>
              <w:t>–</w:t>
            </w:r>
            <w:r>
              <w:rPr>
                <w:rFonts w:ascii="Calibri" w:eastAsia="Calibri" w:hAnsi="Calibri" w:cs="Calibri"/>
                <w:color w:val="000000"/>
                <w:sz w:val="18"/>
              </w:rPr>
              <w:t xml:space="preserve"> Design and Raising London Circuit</w:t>
            </w:r>
          </w:p>
        </w:tc>
        <w:tc>
          <w:tcPr>
            <w:tcW w:w="1035" w:type="dxa"/>
            <w:tcBorders>
              <w:top w:val="nil"/>
              <w:left w:val="nil"/>
              <w:bottom w:val="nil"/>
              <w:right w:val="nil"/>
              <w:tl2br w:val="nil"/>
              <w:tr2bl w:val="nil"/>
            </w:tcBorders>
            <w:shd w:val="clear" w:color="auto" w:fill="auto"/>
            <w:noWrap/>
            <w:tcMar>
              <w:left w:w="101" w:type="dxa"/>
              <w:right w:w="101" w:type="dxa"/>
            </w:tcMar>
          </w:tcPr>
          <w:p w14:paraId="1EB8BB50"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FF6BB7D"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1 472</w:t>
            </w:r>
          </w:p>
        </w:tc>
        <w:tc>
          <w:tcPr>
            <w:tcW w:w="1035" w:type="dxa"/>
            <w:tcBorders>
              <w:top w:val="nil"/>
              <w:left w:val="nil"/>
              <w:bottom w:val="nil"/>
              <w:right w:val="nil"/>
              <w:tl2br w:val="nil"/>
              <w:tr2bl w:val="nil"/>
            </w:tcBorders>
            <w:shd w:val="clear" w:color="auto" w:fill="auto"/>
            <w:noWrap/>
            <w:tcMar>
              <w:left w:w="101" w:type="dxa"/>
              <w:right w:w="101" w:type="dxa"/>
            </w:tcMar>
          </w:tcPr>
          <w:p w14:paraId="27837291"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8CEFB71"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79104EE"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55D6E8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tcPr>
          <w:p w14:paraId="58A55BBC"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ABD2039"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48A1E40"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1B7342C"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C595B4B" w14:textId="77777777" w:rsidR="003036F4" w:rsidRDefault="003036F4">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B1027E3" w14:textId="77777777" w:rsidR="003036F4" w:rsidRDefault="003036F4">
            <w:pPr>
              <w:pStyle w:val="Normal1"/>
              <w:rPr>
                <w:rFonts w:ascii="Calibri" w:eastAsia="Calibri" w:hAnsi="Calibri" w:cs="Calibri"/>
                <w:color w:val="000000"/>
                <w:sz w:val="18"/>
              </w:rPr>
            </w:pPr>
          </w:p>
        </w:tc>
      </w:tr>
      <w:tr w:rsidR="003036F4" w14:paraId="43B0D3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30A49F86" w14:textId="477D0612" w:rsidR="003036F4" w:rsidRDefault="00332931">
            <w:pPr>
              <w:pStyle w:val="Normal1"/>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688AEE6"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4AA7184"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9D1A521"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AB8A41A" w14:textId="77777777" w:rsidR="003036F4" w:rsidRDefault="003036F4">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7C4D5E" w14:textId="77777777" w:rsidR="003036F4" w:rsidRDefault="003036F4">
            <w:pPr>
              <w:pStyle w:val="Normal1"/>
              <w:rPr>
                <w:rFonts w:ascii="Calibri" w:eastAsia="Calibri" w:hAnsi="Calibri" w:cs="Calibri"/>
                <w:color w:val="FFFFFF"/>
                <w:sz w:val="18"/>
              </w:rPr>
            </w:pPr>
          </w:p>
        </w:tc>
      </w:tr>
      <w:tr w:rsidR="003036F4" w14:paraId="17DA8A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71AB28D3" w14:textId="225EC76B" w:rsidR="003036F4" w:rsidRDefault="00900E2D" w:rsidP="00EE07A4">
            <w:pPr>
              <w:pStyle w:val="Normal1"/>
              <w:ind w:left="179" w:hanging="179"/>
              <w:rPr>
                <w:rFonts w:ascii="Calibri" w:eastAsia="Calibri" w:hAnsi="Calibri" w:cs="Calibri"/>
                <w:color w:val="000000"/>
                <w:sz w:val="18"/>
              </w:rPr>
            </w:pPr>
            <w:r>
              <w:rPr>
                <w:rFonts w:ascii="Calibri" w:eastAsia="Calibri" w:hAnsi="Calibri" w:cs="Calibri"/>
                <w:color w:val="000000"/>
                <w:sz w:val="18"/>
              </w:rPr>
              <w:t xml:space="preserve">2017-18 Transfer from ACT Health Directorate </w:t>
            </w:r>
            <w:r w:rsidR="0009344A">
              <w:rPr>
                <w:rFonts w:ascii="Calibri" w:eastAsia="Calibri" w:hAnsi="Calibri" w:cs="Calibri"/>
                <w:color w:val="000000"/>
                <w:sz w:val="18"/>
              </w:rPr>
              <w:t>–</w:t>
            </w:r>
            <w:r>
              <w:rPr>
                <w:rFonts w:ascii="Calibri" w:eastAsia="Calibri" w:hAnsi="Calibri" w:cs="Calibri"/>
                <w:color w:val="000000"/>
                <w:sz w:val="18"/>
              </w:rPr>
              <w:t xml:space="preserve"> Delivering the Canberra Hospital Expansion</w:t>
            </w:r>
          </w:p>
        </w:tc>
        <w:tc>
          <w:tcPr>
            <w:tcW w:w="1035" w:type="dxa"/>
            <w:tcBorders>
              <w:top w:val="nil"/>
              <w:left w:val="nil"/>
              <w:bottom w:val="nil"/>
              <w:right w:val="nil"/>
              <w:tl2br w:val="nil"/>
              <w:tr2bl w:val="nil"/>
            </w:tcBorders>
            <w:shd w:val="clear" w:color="auto" w:fill="auto"/>
            <w:noWrap/>
            <w:tcMar>
              <w:left w:w="101" w:type="dxa"/>
              <w:right w:w="101" w:type="dxa"/>
            </w:tcMar>
          </w:tcPr>
          <w:p w14:paraId="4E4A2402"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5 324</w:t>
            </w:r>
          </w:p>
        </w:tc>
        <w:tc>
          <w:tcPr>
            <w:tcW w:w="1035" w:type="dxa"/>
            <w:tcBorders>
              <w:top w:val="nil"/>
              <w:left w:val="nil"/>
              <w:bottom w:val="nil"/>
              <w:right w:val="nil"/>
              <w:tl2br w:val="nil"/>
              <w:tr2bl w:val="nil"/>
            </w:tcBorders>
            <w:shd w:val="clear" w:color="auto" w:fill="auto"/>
            <w:noWrap/>
            <w:tcMar>
              <w:left w:w="101" w:type="dxa"/>
              <w:right w:w="101" w:type="dxa"/>
            </w:tcMar>
          </w:tcPr>
          <w:p w14:paraId="0D543639"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2B0E5D9"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76E9811"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8CC7CBF"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230A5D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vAlign w:val="bottom"/>
          </w:tcPr>
          <w:p w14:paraId="3601EA90" w14:textId="77777777" w:rsidR="003036F4" w:rsidRDefault="00900E2D" w:rsidP="00EE07A4">
            <w:pPr>
              <w:pStyle w:val="Normal1"/>
              <w:ind w:left="179" w:hanging="179"/>
              <w:rPr>
                <w:rFonts w:ascii="Calibri" w:eastAsia="Calibri" w:hAnsi="Calibri" w:cs="Calibri"/>
                <w:color w:val="000000"/>
                <w:sz w:val="18"/>
              </w:rPr>
            </w:pPr>
            <w:r>
              <w:rPr>
                <w:rFonts w:ascii="Calibri" w:eastAsia="Calibri" w:hAnsi="Calibri" w:cs="Calibri"/>
                <w:color w:val="000000"/>
                <w:sz w:val="18"/>
              </w:rPr>
              <w:t>Commencing Light Rail Stage 1 Operations and Delivering a Light Rail Stop at Mitchell</w:t>
            </w:r>
          </w:p>
        </w:tc>
        <w:tc>
          <w:tcPr>
            <w:tcW w:w="1035" w:type="dxa"/>
            <w:tcBorders>
              <w:top w:val="nil"/>
              <w:left w:val="nil"/>
              <w:bottom w:val="nil"/>
              <w:right w:val="nil"/>
              <w:tl2br w:val="nil"/>
              <w:tr2bl w:val="nil"/>
            </w:tcBorders>
            <w:shd w:val="clear" w:color="auto" w:fill="auto"/>
            <w:noWrap/>
            <w:tcMar>
              <w:left w:w="101" w:type="dxa"/>
              <w:right w:w="101" w:type="dxa"/>
            </w:tcMar>
          </w:tcPr>
          <w:p w14:paraId="029057A7"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67F6420"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-4 000</w:t>
            </w:r>
          </w:p>
        </w:tc>
        <w:tc>
          <w:tcPr>
            <w:tcW w:w="1035" w:type="dxa"/>
            <w:tcBorders>
              <w:top w:val="nil"/>
              <w:left w:val="nil"/>
              <w:bottom w:val="nil"/>
              <w:right w:val="nil"/>
              <w:tl2br w:val="nil"/>
              <w:tr2bl w:val="nil"/>
            </w:tcBorders>
            <w:shd w:val="clear" w:color="auto" w:fill="auto"/>
            <w:noWrap/>
            <w:tcMar>
              <w:left w:w="101" w:type="dxa"/>
              <w:right w:w="101" w:type="dxa"/>
            </w:tcMar>
          </w:tcPr>
          <w:p w14:paraId="10312441"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8488923"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1C1CE0C"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41271A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5F9FB7FF" w14:textId="29151669" w:rsidR="003036F4" w:rsidRDefault="00900E2D" w:rsidP="00EE07A4">
            <w:pPr>
              <w:pStyle w:val="Normal1"/>
              <w:ind w:left="179" w:hanging="179"/>
              <w:rPr>
                <w:rFonts w:ascii="Calibri" w:eastAsia="Calibri" w:hAnsi="Calibri" w:cs="Calibri"/>
                <w:color w:val="000000"/>
                <w:sz w:val="18"/>
              </w:rPr>
            </w:pPr>
            <w:r>
              <w:rPr>
                <w:rFonts w:ascii="Calibri" w:eastAsia="Calibri" w:hAnsi="Calibri" w:cs="Calibri"/>
                <w:color w:val="000000"/>
                <w:sz w:val="18"/>
              </w:rPr>
              <w:t xml:space="preserve">Revised Funding Profile </w:t>
            </w:r>
            <w:r w:rsidR="00332931">
              <w:rPr>
                <w:rFonts w:ascii="Calibri" w:eastAsia="Calibri" w:hAnsi="Calibri" w:cs="Calibri"/>
                <w:color w:val="000000"/>
                <w:sz w:val="18"/>
              </w:rPr>
              <w:t>–</w:t>
            </w:r>
            <w:r>
              <w:rPr>
                <w:rFonts w:ascii="Calibri" w:eastAsia="Calibri" w:hAnsi="Calibri" w:cs="Calibri"/>
                <w:color w:val="000000"/>
                <w:sz w:val="18"/>
              </w:rPr>
              <w:t xml:space="preserve"> CIT Woden Campus and Bus Interchange</w:t>
            </w:r>
          </w:p>
        </w:tc>
        <w:tc>
          <w:tcPr>
            <w:tcW w:w="1035" w:type="dxa"/>
            <w:tcBorders>
              <w:top w:val="nil"/>
              <w:left w:val="nil"/>
              <w:bottom w:val="nil"/>
              <w:right w:val="nil"/>
              <w:tl2br w:val="nil"/>
              <w:tr2bl w:val="nil"/>
            </w:tcBorders>
            <w:shd w:val="clear" w:color="auto" w:fill="auto"/>
            <w:noWrap/>
            <w:tcMar>
              <w:left w:w="101" w:type="dxa"/>
              <w:right w:w="101" w:type="dxa"/>
            </w:tcMar>
          </w:tcPr>
          <w:p w14:paraId="0D62A568"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C702C3F"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-4 040</w:t>
            </w:r>
          </w:p>
        </w:tc>
        <w:tc>
          <w:tcPr>
            <w:tcW w:w="1035" w:type="dxa"/>
            <w:tcBorders>
              <w:top w:val="nil"/>
              <w:left w:val="nil"/>
              <w:bottom w:val="nil"/>
              <w:right w:val="nil"/>
              <w:tl2br w:val="nil"/>
              <w:tr2bl w:val="nil"/>
            </w:tcBorders>
            <w:shd w:val="clear" w:color="auto" w:fill="auto"/>
            <w:noWrap/>
            <w:tcMar>
              <w:left w:w="101" w:type="dxa"/>
              <w:right w:w="101" w:type="dxa"/>
            </w:tcMar>
          </w:tcPr>
          <w:p w14:paraId="165E3FD6"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4 040</w:t>
            </w:r>
          </w:p>
        </w:tc>
        <w:tc>
          <w:tcPr>
            <w:tcW w:w="1035" w:type="dxa"/>
            <w:tcBorders>
              <w:top w:val="nil"/>
              <w:left w:val="nil"/>
              <w:bottom w:val="nil"/>
              <w:right w:val="nil"/>
              <w:tl2br w:val="nil"/>
              <w:tr2bl w:val="nil"/>
            </w:tcBorders>
            <w:shd w:val="clear" w:color="auto" w:fill="auto"/>
            <w:noWrap/>
            <w:tcMar>
              <w:left w:w="101" w:type="dxa"/>
              <w:right w:w="101" w:type="dxa"/>
            </w:tcMar>
          </w:tcPr>
          <w:p w14:paraId="38C3AB24"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58958F9"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646FBE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14337C9B" w14:textId="369158CF" w:rsidR="003036F4" w:rsidRDefault="00900E2D" w:rsidP="00EE07A4">
            <w:pPr>
              <w:pStyle w:val="Normal1"/>
              <w:ind w:left="179" w:hanging="179"/>
              <w:rPr>
                <w:rFonts w:ascii="Calibri" w:eastAsia="Calibri" w:hAnsi="Calibri" w:cs="Calibri"/>
                <w:color w:val="000000"/>
                <w:sz w:val="18"/>
              </w:rPr>
            </w:pPr>
            <w:r>
              <w:rPr>
                <w:rFonts w:ascii="Calibri" w:eastAsia="Calibri" w:hAnsi="Calibri" w:cs="Calibri"/>
                <w:color w:val="000000"/>
                <w:sz w:val="18"/>
              </w:rPr>
              <w:t xml:space="preserve">Revised Funding Profile </w:t>
            </w:r>
            <w:r w:rsidR="00332931">
              <w:rPr>
                <w:rFonts w:ascii="Calibri" w:eastAsia="Calibri" w:hAnsi="Calibri" w:cs="Calibri"/>
                <w:color w:val="000000"/>
                <w:sz w:val="18"/>
              </w:rPr>
              <w:t>–</w:t>
            </w:r>
            <w:r>
              <w:rPr>
                <w:rFonts w:ascii="Calibri" w:eastAsia="Calibri" w:hAnsi="Calibri" w:cs="Calibri"/>
                <w:color w:val="000000"/>
                <w:sz w:val="18"/>
              </w:rPr>
              <w:t xml:space="preserve"> Building Light Rail to Woden and Raising London Circuit</w:t>
            </w:r>
          </w:p>
        </w:tc>
        <w:tc>
          <w:tcPr>
            <w:tcW w:w="1035" w:type="dxa"/>
            <w:tcBorders>
              <w:top w:val="nil"/>
              <w:left w:val="nil"/>
              <w:bottom w:val="nil"/>
              <w:right w:val="nil"/>
              <w:tl2br w:val="nil"/>
              <w:tr2bl w:val="nil"/>
            </w:tcBorders>
            <w:shd w:val="clear" w:color="auto" w:fill="auto"/>
            <w:noWrap/>
            <w:tcMar>
              <w:left w:w="101" w:type="dxa"/>
              <w:right w:w="101" w:type="dxa"/>
            </w:tcMar>
          </w:tcPr>
          <w:p w14:paraId="163FFBCF"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FAC0233"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-1 798</w:t>
            </w:r>
          </w:p>
        </w:tc>
        <w:tc>
          <w:tcPr>
            <w:tcW w:w="1035" w:type="dxa"/>
            <w:tcBorders>
              <w:top w:val="nil"/>
              <w:left w:val="nil"/>
              <w:bottom w:val="nil"/>
              <w:right w:val="nil"/>
              <w:tl2br w:val="nil"/>
              <w:tr2bl w:val="nil"/>
            </w:tcBorders>
            <w:shd w:val="clear" w:color="auto" w:fill="auto"/>
            <w:noWrap/>
            <w:tcMar>
              <w:left w:w="101" w:type="dxa"/>
              <w:right w:w="101" w:type="dxa"/>
            </w:tcMar>
          </w:tcPr>
          <w:p w14:paraId="74DD3BBC"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1 798</w:t>
            </w:r>
          </w:p>
        </w:tc>
        <w:tc>
          <w:tcPr>
            <w:tcW w:w="1035" w:type="dxa"/>
            <w:tcBorders>
              <w:top w:val="nil"/>
              <w:left w:val="nil"/>
              <w:bottom w:val="nil"/>
              <w:right w:val="nil"/>
              <w:tl2br w:val="nil"/>
              <w:tr2bl w:val="nil"/>
            </w:tcBorders>
            <w:shd w:val="clear" w:color="auto" w:fill="auto"/>
            <w:noWrap/>
            <w:tcMar>
              <w:left w:w="101" w:type="dxa"/>
              <w:right w:w="101" w:type="dxa"/>
            </w:tcMar>
          </w:tcPr>
          <w:p w14:paraId="66499A00"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0A5D1D6"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71663E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2DE96AF0" w14:textId="0108BCF8" w:rsidR="003036F4" w:rsidRDefault="00900E2D" w:rsidP="00EE07A4">
            <w:pPr>
              <w:pStyle w:val="Normal1"/>
              <w:ind w:left="179" w:hanging="179"/>
              <w:rPr>
                <w:rFonts w:ascii="Calibri" w:eastAsia="Calibri" w:hAnsi="Calibri" w:cs="Calibri"/>
                <w:color w:val="000000"/>
                <w:sz w:val="18"/>
              </w:rPr>
            </w:pPr>
            <w:r>
              <w:rPr>
                <w:rFonts w:ascii="Calibri" w:eastAsia="Calibri" w:hAnsi="Calibri" w:cs="Calibri"/>
                <w:color w:val="000000"/>
                <w:sz w:val="18"/>
              </w:rPr>
              <w:t xml:space="preserve">Revised Funding Profile </w:t>
            </w:r>
            <w:r w:rsidR="00332931">
              <w:rPr>
                <w:rFonts w:ascii="Calibri" w:eastAsia="Calibri" w:hAnsi="Calibri" w:cs="Calibri"/>
                <w:color w:val="000000"/>
                <w:sz w:val="18"/>
              </w:rPr>
              <w:t>–</w:t>
            </w:r>
            <w:r>
              <w:rPr>
                <w:rFonts w:ascii="Calibri" w:eastAsia="Calibri" w:hAnsi="Calibri" w:cs="Calibri"/>
                <w:color w:val="000000"/>
                <w:sz w:val="18"/>
              </w:rPr>
              <w:t xml:space="preserve"> </w:t>
            </w:r>
            <w:r w:rsidR="00EE07A4">
              <w:rPr>
                <w:rFonts w:ascii="Calibri" w:eastAsia="Calibri" w:hAnsi="Calibri" w:cs="Calibri"/>
                <w:color w:val="000000"/>
                <w:sz w:val="18"/>
              </w:rPr>
              <w:t>Canberra Light Rail – New Mitchell Light Rail Stop</w:t>
            </w:r>
          </w:p>
        </w:tc>
        <w:tc>
          <w:tcPr>
            <w:tcW w:w="1035" w:type="dxa"/>
            <w:tcBorders>
              <w:top w:val="nil"/>
              <w:left w:val="nil"/>
              <w:bottom w:val="nil"/>
              <w:right w:val="nil"/>
              <w:tl2br w:val="nil"/>
              <w:tr2bl w:val="nil"/>
            </w:tcBorders>
            <w:shd w:val="clear" w:color="auto" w:fill="auto"/>
            <w:noWrap/>
            <w:tcMar>
              <w:left w:w="101" w:type="dxa"/>
              <w:right w:w="101" w:type="dxa"/>
            </w:tcMar>
          </w:tcPr>
          <w:p w14:paraId="6EB83F05"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D5687BF"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-1 514</w:t>
            </w:r>
          </w:p>
        </w:tc>
        <w:tc>
          <w:tcPr>
            <w:tcW w:w="1035" w:type="dxa"/>
            <w:tcBorders>
              <w:top w:val="nil"/>
              <w:left w:val="nil"/>
              <w:bottom w:val="nil"/>
              <w:right w:val="nil"/>
              <w:tl2br w:val="nil"/>
              <w:tr2bl w:val="nil"/>
            </w:tcBorders>
            <w:shd w:val="clear" w:color="auto" w:fill="auto"/>
            <w:noWrap/>
            <w:tcMar>
              <w:left w:w="101" w:type="dxa"/>
              <w:right w:w="101" w:type="dxa"/>
            </w:tcMar>
          </w:tcPr>
          <w:p w14:paraId="6BA277A3"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1 514</w:t>
            </w:r>
          </w:p>
        </w:tc>
        <w:tc>
          <w:tcPr>
            <w:tcW w:w="1035" w:type="dxa"/>
            <w:tcBorders>
              <w:top w:val="nil"/>
              <w:left w:val="nil"/>
              <w:bottom w:val="nil"/>
              <w:right w:val="nil"/>
              <w:tl2br w:val="nil"/>
              <w:tr2bl w:val="nil"/>
            </w:tcBorders>
            <w:shd w:val="clear" w:color="auto" w:fill="auto"/>
            <w:noWrap/>
            <w:tcMar>
              <w:left w:w="101" w:type="dxa"/>
              <w:right w:w="101" w:type="dxa"/>
            </w:tcMar>
          </w:tcPr>
          <w:p w14:paraId="52D48C78"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F1DB2EF" w14:textId="77777777" w:rsidR="003036F4" w:rsidRDefault="00900E2D">
            <w:pPr>
              <w:pStyle w:val="Normal1"/>
              <w:jc w:val="right"/>
              <w:rPr>
                <w:rFonts w:ascii="Calibri" w:eastAsia="Calibri" w:hAnsi="Calibri" w:cs="Calibri"/>
                <w:color w:val="000000"/>
                <w:sz w:val="18"/>
              </w:rPr>
            </w:pPr>
            <w:r>
              <w:rPr>
                <w:rFonts w:ascii="Calibri" w:eastAsia="Calibri" w:hAnsi="Calibri" w:cs="Calibri"/>
                <w:color w:val="000000"/>
                <w:sz w:val="18"/>
              </w:rPr>
              <w:t>0</w:t>
            </w:r>
          </w:p>
        </w:tc>
      </w:tr>
      <w:tr w:rsidR="003036F4" w14:paraId="75E2AB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A7515D6" w14:textId="77777777" w:rsidR="003036F4" w:rsidRDefault="003036F4">
            <w:pPr>
              <w:pStyle w:val="Normal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8D3AEE5" w14:textId="77777777" w:rsidR="003036F4" w:rsidRDefault="003036F4">
            <w:pPr>
              <w:pStyle w:val="Normal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BE986A4" w14:textId="77777777" w:rsidR="003036F4" w:rsidRDefault="003036F4">
            <w:pPr>
              <w:pStyle w:val="Normal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8DF40BA" w14:textId="77777777" w:rsidR="003036F4" w:rsidRDefault="003036F4">
            <w:pPr>
              <w:pStyle w:val="Normal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7C32937" w14:textId="77777777" w:rsidR="003036F4" w:rsidRDefault="003036F4">
            <w:pPr>
              <w:pStyle w:val="Normal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510F063" w14:textId="77777777" w:rsidR="003036F4" w:rsidRDefault="003036F4">
            <w:pPr>
              <w:pStyle w:val="Normal1"/>
              <w:rPr>
                <w:rFonts w:ascii="Calibri" w:eastAsia="Calibri" w:hAnsi="Calibri" w:cs="Calibri"/>
                <w:color w:val="000000"/>
                <w:sz w:val="18"/>
              </w:rPr>
            </w:pPr>
          </w:p>
        </w:tc>
      </w:tr>
      <w:tr w:rsidR="003036F4" w14:paraId="307C9E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800"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3D76DE9" w14:textId="6299E118" w:rsidR="003036F4" w:rsidRDefault="00332931">
            <w:pPr>
              <w:pStyle w:val="Normal1"/>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AA03A1E"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70 805</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7FE26CC2"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92 796</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2C7342D7"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56 352</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CD80F64"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84 000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67D34EA3" w14:textId="77777777" w:rsidR="003036F4" w:rsidRDefault="00900E2D">
            <w:pPr>
              <w:pStyle w:val="Normal1"/>
              <w:jc w:val="right"/>
              <w:rPr>
                <w:rFonts w:ascii="Calibri" w:eastAsia="Calibri" w:hAnsi="Calibri" w:cs="Calibri"/>
                <w:b/>
                <w:color w:val="000000"/>
                <w:sz w:val="18"/>
              </w:rPr>
            </w:pPr>
            <w:r>
              <w:rPr>
                <w:rFonts w:ascii="Calibri" w:eastAsia="Calibri" w:hAnsi="Calibri" w:cs="Calibri"/>
                <w:b/>
                <w:color w:val="000000"/>
                <w:sz w:val="18"/>
              </w:rPr>
              <w:t>92 000</w:t>
            </w:r>
          </w:p>
        </w:tc>
      </w:tr>
    </w:tbl>
    <w:p w14:paraId="37E6F0A8" w14:textId="445D369A" w:rsidR="006E72F1" w:rsidRPr="0075513F" w:rsidRDefault="00900E2D" w:rsidP="006E72F1">
      <w:pPr>
        <w:pStyle w:val="Heading2"/>
        <w:pageBreakBefore/>
        <w:pBdr>
          <w:top w:val="nil"/>
          <w:left w:val="nil"/>
          <w:bottom w:val="nil"/>
          <w:right w:val="nil"/>
          <w:between w:val="nil"/>
          <w:bar w:val="nil"/>
        </w:pBdr>
        <w:rPr>
          <w:bdr w:val="nil"/>
        </w:rPr>
      </w:pPr>
      <w:bookmarkStart w:id="13" w:name="_Toc452127417"/>
      <w:r w:rsidRPr="0075513F">
        <w:rPr>
          <w:bdr w:val="nil"/>
        </w:rPr>
        <w:lastRenderedPageBreak/>
        <w:t xml:space="preserve">Summary of </w:t>
      </w:r>
      <w:r w:rsidR="00332931">
        <w:rPr>
          <w:bdr w:val="nil"/>
        </w:rPr>
        <w:t>2020–21</w:t>
      </w:r>
      <w:r w:rsidRPr="0075513F">
        <w:rPr>
          <w:bdr w:val="nil"/>
        </w:rPr>
        <w:t xml:space="preserve"> Infrastructure Program</w:t>
      </w:r>
      <w:bookmarkEnd w:id="13"/>
    </w:p>
    <w:p w14:paraId="31AB203E" w14:textId="6CA05C9B" w:rsidR="006E72F1" w:rsidRDefault="00900E2D" w:rsidP="006E72F1">
      <w:pPr>
        <w:pStyle w:val="Caption"/>
        <w:pBdr>
          <w:top w:val="nil"/>
          <w:left w:val="nil"/>
          <w:bottom w:val="nil"/>
          <w:right w:val="nil"/>
          <w:between w:val="nil"/>
          <w:bar w:val="nil"/>
        </w:pBdr>
        <w:spacing w:after="0"/>
        <w:rPr>
          <w:bdr w:val="nil"/>
        </w:rPr>
      </w:pPr>
      <w:bookmarkStart w:id="14" w:name="_Hlk63253800"/>
      <w:r w:rsidRPr="0075513F">
        <w:rPr>
          <w:bdr w:val="nil"/>
        </w:rPr>
        <w:t xml:space="preserve">Table </w:t>
      </w:r>
      <w:r>
        <w:rPr>
          <w:bdr w:val="nil"/>
        </w:rPr>
        <w:t>6</w:t>
      </w:r>
      <w:r w:rsidRPr="0075513F">
        <w:rPr>
          <w:bdr w:val="nil"/>
        </w:rPr>
        <w:t xml:space="preserve">: </w:t>
      </w:r>
      <w:r w:rsidR="00332931">
        <w:rPr>
          <w:bdr w:val="nil"/>
        </w:rPr>
        <w:t>2020–21</w:t>
      </w:r>
      <w:r w:rsidRPr="0075513F">
        <w:rPr>
          <w:bdr w:val="nil"/>
        </w:rPr>
        <w:t xml:space="preserve"> Major Projects Canberra Infrastructure Program</w:t>
      </w:r>
    </w:p>
    <w:tbl>
      <w:tblPr>
        <w:tblStyle w:val="CDMRange10"/>
        <w:tblpPr w:leftFromText="180" w:rightFromText="180" w:vertAnchor="text" w:horzAnchor="margin" w:tblpY="327"/>
        <w:tblW w:w="9599" w:type="dxa"/>
        <w:tblLayout w:type="fixed"/>
        <w:tblLook w:val="0600" w:firstRow="0" w:lastRow="0" w:firstColumn="0" w:lastColumn="0" w:noHBand="1" w:noVBand="1"/>
      </w:tblPr>
      <w:tblGrid>
        <w:gridCol w:w="101"/>
        <w:gridCol w:w="3124"/>
        <w:gridCol w:w="101"/>
        <w:gridCol w:w="975"/>
        <w:gridCol w:w="53"/>
        <w:gridCol w:w="922"/>
        <w:gridCol w:w="70"/>
        <w:gridCol w:w="905"/>
        <w:gridCol w:w="87"/>
        <w:gridCol w:w="888"/>
        <w:gridCol w:w="105"/>
        <w:gridCol w:w="1020"/>
        <w:gridCol w:w="114"/>
        <w:gridCol w:w="1134"/>
      </w:tblGrid>
      <w:tr w:rsidR="008A66C2" w14:paraId="36051907" w14:textId="77777777" w:rsidTr="004E3699">
        <w:trPr>
          <w:trHeight w:val="750"/>
        </w:trPr>
        <w:tc>
          <w:tcPr>
            <w:tcW w:w="3225" w:type="dxa"/>
            <w:gridSpan w:val="2"/>
            <w:tcBorders>
              <w:top w:val="single" w:sz="8" w:space="0" w:color="000000"/>
              <w:left w:val="nil"/>
              <w:bottom w:val="single" w:sz="8" w:space="0" w:color="000000"/>
              <w:right w:val="nil"/>
              <w:tl2br w:val="nil"/>
              <w:tr2bl w:val="nil"/>
            </w:tcBorders>
            <w:shd w:val="clear" w:color="FFFFFF" w:fill="FFFFFF"/>
            <w:tcMar>
              <w:left w:w="101" w:type="dxa"/>
              <w:right w:w="101" w:type="dxa"/>
            </w:tcMar>
          </w:tcPr>
          <w:bookmarkEnd w:id="14"/>
          <w:p w14:paraId="20C70905" w14:textId="77777777" w:rsidR="008A66C2" w:rsidRDefault="008A66C2" w:rsidP="008A66C2">
            <w:pPr>
              <w:pStyle w:val="Normal4"/>
              <w:rPr>
                <w:rFonts w:ascii="Calibri" w:eastAsia="Calibri" w:hAnsi="Calibri" w:cs="Calibri"/>
                <w:b/>
                <w:color w:val="000000"/>
                <w:sz w:val="18"/>
              </w:rPr>
            </w:pPr>
            <w:r>
              <w:rPr>
                <w:rFonts w:ascii="Calibri" w:eastAsia="Calibri" w:hAnsi="Calibri" w:cs="Calibri"/>
                <w:b/>
                <w:color w:val="000000"/>
                <w:sz w:val="18"/>
              </w:rPr>
              <w:t>Project</w:t>
            </w:r>
          </w:p>
        </w:tc>
        <w:tc>
          <w:tcPr>
            <w:tcW w:w="1129" w:type="dxa"/>
            <w:gridSpan w:val="3"/>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0EB1B9DE"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2020–21</w:t>
            </w:r>
          </w:p>
          <w:p w14:paraId="53344434"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992" w:type="dxa"/>
            <w:gridSpan w:val="2"/>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17294E78"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2021-22</w:t>
            </w:r>
          </w:p>
          <w:p w14:paraId="26B40153"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992" w:type="dxa"/>
            <w:gridSpan w:val="2"/>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2A39BAD"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2022-23</w:t>
            </w:r>
          </w:p>
          <w:p w14:paraId="39982379"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993" w:type="dxa"/>
            <w:gridSpan w:val="2"/>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1C95BAD1"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2023-24</w:t>
            </w:r>
          </w:p>
          <w:p w14:paraId="372C9FF2"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134" w:type="dxa"/>
            <w:gridSpan w:val="2"/>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4600CD59"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Four Year</w:t>
            </w:r>
          </w:p>
          <w:p w14:paraId="27D29F48"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Investment</w:t>
            </w:r>
          </w:p>
          <w:p w14:paraId="56355FBA"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$'000</w:t>
            </w:r>
          </w:p>
          <w:p w14:paraId="58A642DA" w14:textId="77777777" w:rsidR="008A66C2" w:rsidRDefault="008A66C2" w:rsidP="008A66C2">
            <w:pPr>
              <w:pStyle w:val="Normal4"/>
              <w:jc w:val="right"/>
              <w:rPr>
                <w:rFonts w:ascii="Calibri" w:eastAsia="Calibri" w:hAnsi="Calibri" w:cs="Calibri"/>
                <w:b/>
                <w:color w:val="000000"/>
                <w:sz w:val="18"/>
              </w:rPr>
            </w:pPr>
          </w:p>
        </w:tc>
        <w:tc>
          <w:tcPr>
            <w:tcW w:w="1134"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7D5F8EB1"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Physical</w:t>
            </w:r>
          </w:p>
          <w:p w14:paraId="55F212E9"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Completion</w:t>
            </w:r>
          </w:p>
          <w:p w14:paraId="42CC632A"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Date</w:t>
            </w:r>
          </w:p>
        </w:tc>
      </w:tr>
      <w:tr w:rsidR="008A66C2" w14:paraId="1BC6BA70"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gridSpan w:val="2"/>
            <w:tcBorders>
              <w:top w:val="single" w:sz="8" w:space="0" w:color="000000"/>
              <w:left w:val="nil"/>
              <w:bottom w:val="nil"/>
              <w:right w:val="nil"/>
              <w:tl2br w:val="nil"/>
              <w:tr2bl w:val="nil"/>
            </w:tcBorders>
            <w:shd w:val="clear" w:color="auto" w:fill="auto"/>
            <w:tcMar>
              <w:left w:w="0" w:type="dxa"/>
              <w:right w:w="0" w:type="dxa"/>
            </w:tcMar>
          </w:tcPr>
          <w:p w14:paraId="7C9DE20E" w14:textId="77777777" w:rsidR="008A66C2" w:rsidRDefault="008A66C2" w:rsidP="008A66C2">
            <w:pPr>
              <w:pStyle w:val="Normal4"/>
              <w:rPr>
                <w:rFonts w:ascii="Calibri" w:eastAsia="Calibri" w:hAnsi="Calibri" w:cs="Calibri"/>
                <w:color w:val="000000"/>
                <w:sz w:val="18"/>
              </w:rPr>
            </w:pPr>
          </w:p>
        </w:tc>
        <w:tc>
          <w:tcPr>
            <w:tcW w:w="1129" w:type="dxa"/>
            <w:gridSpan w:val="3"/>
            <w:tcBorders>
              <w:top w:val="single" w:sz="8" w:space="0" w:color="000000"/>
              <w:left w:val="nil"/>
              <w:bottom w:val="nil"/>
              <w:right w:val="nil"/>
              <w:tl2br w:val="nil"/>
              <w:tr2bl w:val="nil"/>
            </w:tcBorders>
            <w:shd w:val="clear" w:color="auto" w:fill="auto"/>
            <w:noWrap/>
            <w:tcMar>
              <w:left w:w="0" w:type="dxa"/>
              <w:right w:w="0" w:type="dxa"/>
            </w:tcMar>
          </w:tcPr>
          <w:p w14:paraId="4FF61BFC" w14:textId="77777777" w:rsidR="008A66C2" w:rsidRDefault="008A66C2" w:rsidP="008A66C2">
            <w:pPr>
              <w:pStyle w:val="Normal4"/>
              <w:rPr>
                <w:rFonts w:ascii="Calibri" w:eastAsia="Calibri" w:hAnsi="Calibri" w:cs="Calibri"/>
                <w:color w:val="000000"/>
                <w:sz w:val="18"/>
              </w:rPr>
            </w:pPr>
          </w:p>
        </w:tc>
        <w:tc>
          <w:tcPr>
            <w:tcW w:w="992" w:type="dxa"/>
            <w:gridSpan w:val="2"/>
            <w:tcBorders>
              <w:top w:val="single" w:sz="8" w:space="0" w:color="000000"/>
              <w:left w:val="nil"/>
              <w:bottom w:val="nil"/>
              <w:right w:val="nil"/>
              <w:tl2br w:val="nil"/>
              <w:tr2bl w:val="nil"/>
            </w:tcBorders>
            <w:shd w:val="clear" w:color="auto" w:fill="auto"/>
            <w:noWrap/>
            <w:tcMar>
              <w:left w:w="0" w:type="dxa"/>
              <w:right w:w="0" w:type="dxa"/>
            </w:tcMar>
          </w:tcPr>
          <w:p w14:paraId="2F9C77C7" w14:textId="77777777" w:rsidR="008A66C2" w:rsidRDefault="008A66C2" w:rsidP="008A66C2">
            <w:pPr>
              <w:pStyle w:val="Normal4"/>
              <w:rPr>
                <w:rFonts w:ascii="Calibri" w:eastAsia="Calibri" w:hAnsi="Calibri" w:cs="Calibri"/>
                <w:color w:val="000000"/>
                <w:sz w:val="18"/>
              </w:rPr>
            </w:pPr>
          </w:p>
        </w:tc>
        <w:tc>
          <w:tcPr>
            <w:tcW w:w="992" w:type="dxa"/>
            <w:gridSpan w:val="2"/>
            <w:tcBorders>
              <w:top w:val="single" w:sz="8" w:space="0" w:color="000000"/>
              <w:left w:val="nil"/>
              <w:bottom w:val="nil"/>
              <w:right w:val="nil"/>
              <w:tl2br w:val="nil"/>
              <w:tr2bl w:val="nil"/>
            </w:tcBorders>
            <w:shd w:val="clear" w:color="auto" w:fill="auto"/>
            <w:noWrap/>
            <w:tcMar>
              <w:left w:w="0" w:type="dxa"/>
              <w:right w:w="0" w:type="dxa"/>
            </w:tcMar>
          </w:tcPr>
          <w:p w14:paraId="20ABCFFB" w14:textId="77777777" w:rsidR="008A66C2" w:rsidRDefault="008A66C2" w:rsidP="008A66C2">
            <w:pPr>
              <w:pStyle w:val="Normal4"/>
              <w:rPr>
                <w:rFonts w:ascii="Calibri" w:eastAsia="Calibri" w:hAnsi="Calibri" w:cs="Calibri"/>
                <w:color w:val="000000"/>
                <w:sz w:val="18"/>
              </w:rPr>
            </w:pPr>
          </w:p>
        </w:tc>
        <w:tc>
          <w:tcPr>
            <w:tcW w:w="993" w:type="dxa"/>
            <w:gridSpan w:val="2"/>
            <w:tcBorders>
              <w:top w:val="single" w:sz="8" w:space="0" w:color="000000"/>
              <w:left w:val="nil"/>
              <w:bottom w:val="nil"/>
              <w:right w:val="nil"/>
              <w:tl2br w:val="nil"/>
              <w:tr2bl w:val="nil"/>
            </w:tcBorders>
            <w:shd w:val="clear" w:color="auto" w:fill="auto"/>
            <w:noWrap/>
            <w:tcMar>
              <w:left w:w="0" w:type="dxa"/>
              <w:right w:w="0" w:type="dxa"/>
            </w:tcMar>
          </w:tcPr>
          <w:p w14:paraId="7A569CFB" w14:textId="77777777" w:rsidR="008A66C2" w:rsidRDefault="008A66C2" w:rsidP="008A66C2">
            <w:pPr>
              <w:pStyle w:val="Normal4"/>
              <w:rPr>
                <w:rFonts w:ascii="Calibri" w:eastAsia="Calibri" w:hAnsi="Calibri" w:cs="Calibri"/>
                <w:color w:val="000000"/>
                <w:sz w:val="18"/>
              </w:rPr>
            </w:pPr>
          </w:p>
        </w:tc>
        <w:tc>
          <w:tcPr>
            <w:tcW w:w="1134" w:type="dxa"/>
            <w:gridSpan w:val="2"/>
            <w:tcBorders>
              <w:top w:val="single" w:sz="8" w:space="0" w:color="000000"/>
              <w:left w:val="nil"/>
              <w:bottom w:val="nil"/>
              <w:right w:val="nil"/>
              <w:tl2br w:val="nil"/>
              <w:tr2bl w:val="nil"/>
            </w:tcBorders>
            <w:shd w:val="clear" w:color="auto" w:fill="auto"/>
            <w:noWrap/>
            <w:tcMar>
              <w:left w:w="0" w:type="dxa"/>
              <w:right w:w="0" w:type="dxa"/>
            </w:tcMar>
          </w:tcPr>
          <w:p w14:paraId="67D1505A" w14:textId="77777777" w:rsidR="008A66C2" w:rsidRDefault="008A66C2" w:rsidP="008A66C2">
            <w:pPr>
              <w:pStyle w:val="Normal4"/>
              <w:rPr>
                <w:rFonts w:ascii="Calibri" w:eastAsia="Calibri" w:hAnsi="Calibri" w:cs="Calibri"/>
                <w:color w:val="000000"/>
                <w:sz w:val="18"/>
              </w:rPr>
            </w:pPr>
          </w:p>
        </w:tc>
        <w:tc>
          <w:tcPr>
            <w:tcW w:w="1134" w:type="dxa"/>
            <w:tcBorders>
              <w:top w:val="single" w:sz="8" w:space="0" w:color="000000"/>
              <w:left w:val="nil"/>
              <w:bottom w:val="nil"/>
              <w:right w:val="nil"/>
              <w:tl2br w:val="nil"/>
              <w:tr2bl w:val="nil"/>
            </w:tcBorders>
            <w:shd w:val="clear" w:color="auto" w:fill="auto"/>
            <w:noWrap/>
            <w:tcMar>
              <w:left w:w="0" w:type="dxa"/>
              <w:right w:w="0" w:type="dxa"/>
            </w:tcMar>
          </w:tcPr>
          <w:p w14:paraId="6404809C" w14:textId="77777777" w:rsidR="008A66C2" w:rsidRDefault="008A66C2" w:rsidP="008A66C2">
            <w:pPr>
              <w:pStyle w:val="Normal4"/>
              <w:rPr>
                <w:rFonts w:ascii="Calibri" w:eastAsia="Calibri" w:hAnsi="Calibri" w:cs="Calibri"/>
                <w:color w:val="000000"/>
                <w:sz w:val="18"/>
              </w:rPr>
            </w:pPr>
          </w:p>
        </w:tc>
      </w:tr>
      <w:tr w:rsidR="008A66C2" w14:paraId="362B536B"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240"/>
        </w:trPr>
        <w:tc>
          <w:tcPr>
            <w:tcW w:w="3225" w:type="dxa"/>
            <w:gridSpan w:val="2"/>
            <w:tcBorders>
              <w:top w:val="nil"/>
              <w:left w:val="nil"/>
              <w:bottom w:val="nil"/>
              <w:right w:val="nil"/>
            </w:tcBorders>
            <w:tcMar>
              <w:top w:w="0" w:type="dxa"/>
              <w:left w:w="40" w:type="dxa"/>
              <w:bottom w:w="0" w:type="dxa"/>
              <w:right w:w="40" w:type="dxa"/>
            </w:tcMar>
            <w:hideMark/>
          </w:tcPr>
          <w:p w14:paraId="31EB2564" w14:textId="77777777" w:rsidR="008A66C2" w:rsidRDefault="008A66C2" w:rsidP="008A66C2">
            <w:pPr>
              <w:pStyle w:val="Normal4"/>
              <w:rPr>
                <w:rFonts w:ascii="Calibri" w:eastAsia="Calibri" w:hAnsi="Calibri" w:cs="Calibri"/>
                <w:b/>
                <w:color w:val="000000"/>
                <w:sz w:val="18"/>
              </w:rPr>
            </w:pPr>
            <w:r>
              <w:rPr>
                <w:rFonts w:ascii="Calibri" w:eastAsia="Calibri" w:hAnsi="Calibri" w:cs="Calibri"/>
                <w:b/>
                <w:color w:val="000000"/>
                <w:sz w:val="18"/>
              </w:rPr>
              <w:t xml:space="preserve">Work </w:t>
            </w:r>
            <w:proofErr w:type="gramStart"/>
            <w:r>
              <w:rPr>
                <w:rFonts w:ascii="Calibri" w:eastAsia="Calibri" w:hAnsi="Calibri" w:cs="Calibri"/>
                <w:b/>
                <w:color w:val="000000"/>
                <w:sz w:val="18"/>
              </w:rPr>
              <w:t>In</w:t>
            </w:r>
            <w:proofErr w:type="gramEnd"/>
            <w:r>
              <w:rPr>
                <w:rFonts w:ascii="Calibri" w:eastAsia="Calibri" w:hAnsi="Calibri" w:cs="Calibri"/>
                <w:b/>
                <w:color w:val="000000"/>
                <w:sz w:val="18"/>
              </w:rPr>
              <w:t xml:space="preserve"> Progress</w:t>
            </w:r>
          </w:p>
        </w:tc>
        <w:tc>
          <w:tcPr>
            <w:tcW w:w="975" w:type="dxa"/>
            <w:tcBorders>
              <w:top w:val="nil"/>
              <w:left w:val="nil"/>
              <w:bottom w:val="nil"/>
              <w:right w:val="nil"/>
            </w:tcBorders>
            <w:noWrap/>
            <w:tcMar>
              <w:top w:w="0" w:type="dxa"/>
              <w:left w:w="0" w:type="dxa"/>
              <w:bottom w:w="0" w:type="dxa"/>
              <w:right w:w="0" w:type="dxa"/>
            </w:tcMar>
          </w:tcPr>
          <w:p w14:paraId="25064AD7" w14:textId="77777777" w:rsidR="008A66C2" w:rsidRDefault="008A66C2" w:rsidP="008A66C2">
            <w:pPr>
              <w:pStyle w:val="Normal4"/>
              <w:rPr>
                <w:rFonts w:ascii="Calibri" w:eastAsia="Calibri" w:hAnsi="Calibri" w:cs="Calibri"/>
                <w:color w:val="000000"/>
                <w:sz w:val="18"/>
              </w:rPr>
            </w:pPr>
          </w:p>
        </w:tc>
        <w:tc>
          <w:tcPr>
            <w:tcW w:w="975" w:type="dxa"/>
            <w:gridSpan w:val="2"/>
            <w:tcBorders>
              <w:top w:val="nil"/>
              <w:left w:val="nil"/>
              <w:bottom w:val="nil"/>
              <w:right w:val="nil"/>
            </w:tcBorders>
            <w:noWrap/>
            <w:tcMar>
              <w:top w:w="0" w:type="dxa"/>
              <w:left w:w="0" w:type="dxa"/>
              <w:bottom w:w="0" w:type="dxa"/>
              <w:right w:w="0" w:type="dxa"/>
            </w:tcMar>
          </w:tcPr>
          <w:p w14:paraId="7D71E7F4" w14:textId="77777777" w:rsidR="008A66C2" w:rsidRDefault="008A66C2" w:rsidP="008A66C2">
            <w:pPr>
              <w:pStyle w:val="Normal4"/>
              <w:rPr>
                <w:rFonts w:ascii="Calibri" w:eastAsia="Calibri" w:hAnsi="Calibri" w:cs="Calibri"/>
                <w:color w:val="000000"/>
                <w:sz w:val="18"/>
              </w:rPr>
            </w:pPr>
          </w:p>
        </w:tc>
        <w:tc>
          <w:tcPr>
            <w:tcW w:w="975" w:type="dxa"/>
            <w:gridSpan w:val="2"/>
            <w:tcBorders>
              <w:top w:val="nil"/>
              <w:left w:val="nil"/>
              <w:bottom w:val="nil"/>
              <w:right w:val="nil"/>
            </w:tcBorders>
            <w:noWrap/>
            <w:tcMar>
              <w:top w:w="0" w:type="dxa"/>
              <w:left w:w="0" w:type="dxa"/>
              <w:bottom w:w="0" w:type="dxa"/>
              <w:right w:w="0" w:type="dxa"/>
            </w:tcMar>
          </w:tcPr>
          <w:p w14:paraId="15DC7148" w14:textId="77777777" w:rsidR="008A66C2" w:rsidRDefault="008A66C2" w:rsidP="008A66C2">
            <w:pPr>
              <w:pStyle w:val="Normal4"/>
              <w:rPr>
                <w:rFonts w:ascii="Calibri" w:eastAsia="Calibri" w:hAnsi="Calibri" w:cs="Calibri"/>
                <w:color w:val="000000"/>
                <w:sz w:val="18"/>
              </w:rPr>
            </w:pPr>
          </w:p>
        </w:tc>
        <w:tc>
          <w:tcPr>
            <w:tcW w:w="975" w:type="dxa"/>
            <w:gridSpan w:val="2"/>
            <w:tcBorders>
              <w:top w:val="nil"/>
              <w:left w:val="nil"/>
              <w:bottom w:val="nil"/>
              <w:right w:val="nil"/>
            </w:tcBorders>
            <w:noWrap/>
            <w:tcMar>
              <w:top w:w="0" w:type="dxa"/>
              <w:left w:w="0" w:type="dxa"/>
              <w:bottom w:w="0" w:type="dxa"/>
              <w:right w:w="0" w:type="dxa"/>
            </w:tcMar>
          </w:tcPr>
          <w:p w14:paraId="44F29187" w14:textId="77777777" w:rsidR="008A66C2" w:rsidRDefault="008A66C2" w:rsidP="008A66C2">
            <w:pPr>
              <w:pStyle w:val="Normal4"/>
              <w:rPr>
                <w:rFonts w:ascii="Calibri" w:eastAsia="Calibri" w:hAnsi="Calibri" w:cs="Calibri"/>
                <w:color w:val="000000"/>
                <w:sz w:val="18"/>
              </w:rPr>
            </w:pPr>
          </w:p>
        </w:tc>
        <w:tc>
          <w:tcPr>
            <w:tcW w:w="1125" w:type="dxa"/>
            <w:gridSpan w:val="2"/>
            <w:tcBorders>
              <w:top w:val="nil"/>
              <w:left w:val="nil"/>
              <w:bottom w:val="nil"/>
              <w:right w:val="nil"/>
            </w:tcBorders>
            <w:noWrap/>
            <w:tcMar>
              <w:top w:w="0" w:type="dxa"/>
              <w:left w:w="0" w:type="dxa"/>
              <w:bottom w:w="0" w:type="dxa"/>
              <w:right w:w="0" w:type="dxa"/>
            </w:tcMar>
          </w:tcPr>
          <w:p w14:paraId="28C5AEA1" w14:textId="77777777" w:rsidR="008A66C2" w:rsidRDefault="008A66C2" w:rsidP="008A66C2">
            <w:pPr>
              <w:pStyle w:val="Normal4"/>
              <w:rPr>
                <w:rFonts w:ascii="Calibri" w:eastAsia="Calibri" w:hAnsi="Calibri" w:cs="Calibri"/>
                <w:color w:val="000000"/>
                <w:sz w:val="18"/>
              </w:rPr>
            </w:pPr>
          </w:p>
        </w:tc>
        <w:tc>
          <w:tcPr>
            <w:tcW w:w="1248" w:type="dxa"/>
            <w:gridSpan w:val="2"/>
            <w:tcBorders>
              <w:top w:val="nil"/>
              <w:left w:val="nil"/>
              <w:bottom w:val="nil"/>
              <w:right w:val="nil"/>
            </w:tcBorders>
            <w:noWrap/>
            <w:tcMar>
              <w:top w:w="0" w:type="dxa"/>
              <w:left w:w="0" w:type="dxa"/>
              <w:bottom w:w="0" w:type="dxa"/>
              <w:right w:w="0" w:type="dxa"/>
            </w:tcMar>
          </w:tcPr>
          <w:p w14:paraId="42C90E03" w14:textId="77777777" w:rsidR="008A66C2" w:rsidRDefault="008A66C2" w:rsidP="008A66C2">
            <w:pPr>
              <w:pStyle w:val="Normal4"/>
              <w:rPr>
                <w:rFonts w:ascii="Calibri" w:eastAsia="Calibri" w:hAnsi="Calibri" w:cs="Calibri"/>
                <w:color w:val="000000"/>
                <w:sz w:val="18"/>
              </w:rPr>
            </w:pPr>
          </w:p>
        </w:tc>
      </w:tr>
      <w:tr w:rsidR="008A66C2" w14:paraId="1E6D076B"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480"/>
        </w:trPr>
        <w:tc>
          <w:tcPr>
            <w:tcW w:w="3225" w:type="dxa"/>
            <w:gridSpan w:val="2"/>
            <w:tcBorders>
              <w:top w:val="nil"/>
              <w:left w:val="nil"/>
              <w:bottom w:val="nil"/>
              <w:right w:val="nil"/>
            </w:tcBorders>
            <w:tcMar>
              <w:top w:w="0" w:type="dxa"/>
              <w:left w:w="40" w:type="dxa"/>
              <w:bottom w:w="0" w:type="dxa"/>
              <w:right w:w="40" w:type="dxa"/>
            </w:tcMar>
            <w:hideMark/>
          </w:tcPr>
          <w:p w14:paraId="372C10E7" w14:textId="77777777" w:rsidR="008A66C2" w:rsidRDefault="008A66C2" w:rsidP="008A66C2">
            <w:pPr>
              <w:pStyle w:val="Normal4"/>
              <w:ind w:left="149" w:hanging="149"/>
              <w:rPr>
                <w:rFonts w:ascii="Calibri" w:eastAsia="Calibri" w:hAnsi="Calibri" w:cs="Calibri"/>
                <w:color w:val="000000"/>
                <w:sz w:val="18"/>
              </w:rPr>
            </w:pPr>
            <w:r>
              <w:rPr>
                <w:rFonts w:ascii="Calibri" w:eastAsia="Calibri" w:hAnsi="Calibri" w:cs="Calibri"/>
                <w:color w:val="000000"/>
                <w:sz w:val="18"/>
              </w:rPr>
              <w:t>Delivering the Canberra Hospital Expansion</w:t>
            </w:r>
          </w:p>
        </w:tc>
        <w:tc>
          <w:tcPr>
            <w:tcW w:w="975" w:type="dxa"/>
            <w:tcBorders>
              <w:top w:val="nil"/>
              <w:left w:val="nil"/>
              <w:bottom w:val="nil"/>
              <w:right w:val="nil"/>
            </w:tcBorders>
            <w:noWrap/>
            <w:tcMar>
              <w:top w:w="0" w:type="dxa"/>
              <w:left w:w="40" w:type="dxa"/>
              <w:bottom w:w="0" w:type="dxa"/>
              <w:right w:w="40" w:type="dxa"/>
            </w:tcMar>
            <w:hideMark/>
          </w:tcPr>
          <w:p w14:paraId="30915060"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40 782</w:t>
            </w:r>
          </w:p>
        </w:tc>
        <w:tc>
          <w:tcPr>
            <w:tcW w:w="975" w:type="dxa"/>
            <w:gridSpan w:val="2"/>
            <w:tcBorders>
              <w:top w:val="nil"/>
              <w:left w:val="nil"/>
              <w:bottom w:val="nil"/>
              <w:right w:val="nil"/>
            </w:tcBorders>
            <w:noWrap/>
            <w:tcMar>
              <w:top w:w="0" w:type="dxa"/>
              <w:left w:w="40" w:type="dxa"/>
              <w:bottom w:w="0" w:type="dxa"/>
              <w:right w:w="40" w:type="dxa"/>
            </w:tcMar>
            <w:hideMark/>
          </w:tcPr>
          <w:p w14:paraId="51C54046"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173FAFA0"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014139B6"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125" w:type="dxa"/>
            <w:gridSpan w:val="2"/>
            <w:tcBorders>
              <w:top w:val="nil"/>
              <w:left w:val="nil"/>
              <w:bottom w:val="nil"/>
              <w:right w:val="nil"/>
            </w:tcBorders>
            <w:noWrap/>
            <w:tcMar>
              <w:top w:w="0" w:type="dxa"/>
              <w:left w:w="40" w:type="dxa"/>
              <w:bottom w:w="0" w:type="dxa"/>
              <w:right w:w="40" w:type="dxa"/>
            </w:tcMar>
            <w:hideMark/>
          </w:tcPr>
          <w:p w14:paraId="3E4FB184"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40 782</w:t>
            </w:r>
          </w:p>
        </w:tc>
        <w:tc>
          <w:tcPr>
            <w:tcW w:w="1248" w:type="dxa"/>
            <w:gridSpan w:val="2"/>
            <w:tcBorders>
              <w:top w:val="nil"/>
              <w:left w:val="nil"/>
              <w:bottom w:val="nil"/>
              <w:right w:val="nil"/>
            </w:tcBorders>
            <w:noWrap/>
            <w:tcMar>
              <w:top w:w="0" w:type="dxa"/>
              <w:left w:w="40" w:type="dxa"/>
              <w:bottom w:w="0" w:type="dxa"/>
              <w:right w:w="40" w:type="dxa"/>
            </w:tcMar>
            <w:hideMark/>
          </w:tcPr>
          <w:p w14:paraId="1259E9DA" w14:textId="77777777" w:rsidR="008A66C2" w:rsidRPr="00E2361F" w:rsidRDefault="008A66C2" w:rsidP="008A66C2">
            <w:pPr>
              <w:pStyle w:val="Normal4"/>
              <w:jc w:val="right"/>
              <w:rPr>
                <w:rFonts w:ascii="Calibri" w:eastAsia="Calibri" w:hAnsi="Calibri" w:cs="Calibri"/>
                <w:color w:val="000000"/>
                <w:sz w:val="18"/>
                <w:vertAlign w:val="superscript"/>
              </w:rPr>
            </w:pPr>
            <w:r>
              <w:rPr>
                <w:rFonts w:ascii="Calibri" w:eastAsia="Calibri" w:hAnsi="Calibri" w:cs="Calibri"/>
                <w:color w:val="000000"/>
                <w:sz w:val="18"/>
              </w:rPr>
              <w:t>Jun-24</w:t>
            </w:r>
            <w:r>
              <w:rPr>
                <w:rFonts w:ascii="Calibri" w:eastAsia="Calibri" w:hAnsi="Calibri" w:cs="Calibri"/>
                <w:color w:val="000000"/>
                <w:sz w:val="18"/>
                <w:vertAlign w:val="superscript"/>
              </w:rPr>
              <w:t>1</w:t>
            </w:r>
          </w:p>
        </w:tc>
      </w:tr>
      <w:tr w:rsidR="008A66C2" w14:paraId="68A4157C"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480"/>
        </w:trPr>
        <w:tc>
          <w:tcPr>
            <w:tcW w:w="3225" w:type="dxa"/>
            <w:gridSpan w:val="2"/>
            <w:tcBorders>
              <w:top w:val="nil"/>
              <w:left w:val="nil"/>
              <w:bottom w:val="nil"/>
              <w:right w:val="nil"/>
            </w:tcBorders>
            <w:tcMar>
              <w:top w:w="0" w:type="dxa"/>
              <w:left w:w="40" w:type="dxa"/>
              <w:bottom w:w="0" w:type="dxa"/>
              <w:right w:w="40" w:type="dxa"/>
            </w:tcMar>
            <w:hideMark/>
          </w:tcPr>
          <w:p w14:paraId="57C268B0" w14:textId="77777777" w:rsidR="008A66C2" w:rsidRDefault="008A66C2" w:rsidP="008A66C2">
            <w:pPr>
              <w:pStyle w:val="Normal4"/>
              <w:ind w:left="149" w:hanging="149"/>
              <w:rPr>
                <w:rFonts w:ascii="Calibri" w:eastAsia="Calibri" w:hAnsi="Calibri" w:cs="Calibri"/>
                <w:color w:val="000000"/>
                <w:sz w:val="18"/>
              </w:rPr>
            </w:pPr>
            <w:r>
              <w:rPr>
                <w:rFonts w:ascii="Calibri" w:eastAsia="Calibri" w:hAnsi="Calibri" w:cs="Calibri"/>
                <w:color w:val="000000"/>
                <w:sz w:val="18"/>
              </w:rPr>
              <w:t>Commencing Light Rail Stage 1 Operations and Delivering a Light Rail Stop at Mitchell</w:t>
            </w:r>
          </w:p>
        </w:tc>
        <w:tc>
          <w:tcPr>
            <w:tcW w:w="975" w:type="dxa"/>
            <w:tcBorders>
              <w:top w:val="nil"/>
              <w:left w:val="nil"/>
              <w:bottom w:val="nil"/>
              <w:right w:val="nil"/>
            </w:tcBorders>
            <w:noWrap/>
            <w:tcMar>
              <w:top w:w="0" w:type="dxa"/>
              <w:left w:w="40" w:type="dxa"/>
              <w:bottom w:w="0" w:type="dxa"/>
              <w:right w:w="40" w:type="dxa"/>
            </w:tcMar>
            <w:hideMark/>
          </w:tcPr>
          <w:p w14:paraId="58371974"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1 536</w:t>
            </w:r>
          </w:p>
        </w:tc>
        <w:tc>
          <w:tcPr>
            <w:tcW w:w="975" w:type="dxa"/>
            <w:gridSpan w:val="2"/>
            <w:tcBorders>
              <w:top w:val="nil"/>
              <w:left w:val="nil"/>
              <w:bottom w:val="nil"/>
              <w:right w:val="nil"/>
            </w:tcBorders>
            <w:noWrap/>
            <w:tcMar>
              <w:top w:w="0" w:type="dxa"/>
              <w:left w:w="40" w:type="dxa"/>
              <w:bottom w:w="0" w:type="dxa"/>
              <w:right w:w="40" w:type="dxa"/>
            </w:tcMar>
            <w:hideMark/>
          </w:tcPr>
          <w:p w14:paraId="54D85819"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0AB89293"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65DBBC8F"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125" w:type="dxa"/>
            <w:gridSpan w:val="2"/>
            <w:tcBorders>
              <w:top w:val="nil"/>
              <w:left w:val="nil"/>
              <w:bottom w:val="nil"/>
              <w:right w:val="nil"/>
            </w:tcBorders>
            <w:noWrap/>
            <w:tcMar>
              <w:top w:w="0" w:type="dxa"/>
              <w:left w:w="40" w:type="dxa"/>
              <w:bottom w:w="0" w:type="dxa"/>
              <w:right w:w="40" w:type="dxa"/>
            </w:tcMar>
            <w:hideMark/>
          </w:tcPr>
          <w:p w14:paraId="39DDABC4"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1 536</w:t>
            </w:r>
          </w:p>
        </w:tc>
        <w:tc>
          <w:tcPr>
            <w:tcW w:w="1248" w:type="dxa"/>
            <w:gridSpan w:val="2"/>
            <w:tcBorders>
              <w:top w:val="nil"/>
              <w:left w:val="nil"/>
              <w:bottom w:val="nil"/>
              <w:right w:val="nil"/>
            </w:tcBorders>
            <w:noWrap/>
            <w:tcMar>
              <w:top w:w="0" w:type="dxa"/>
              <w:left w:w="40" w:type="dxa"/>
              <w:bottom w:w="0" w:type="dxa"/>
              <w:right w:w="40" w:type="dxa"/>
            </w:tcMar>
            <w:hideMark/>
          </w:tcPr>
          <w:p w14:paraId="081354AD"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Jun-21</w:t>
            </w:r>
          </w:p>
        </w:tc>
      </w:tr>
      <w:tr w:rsidR="008A66C2" w14:paraId="489C7552"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240"/>
        </w:trPr>
        <w:tc>
          <w:tcPr>
            <w:tcW w:w="3225" w:type="dxa"/>
            <w:gridSpan w:val="2"/>
            <w:tcBorders>
              <w:top w:val="nil"/>
              <w:left w:val="nil"/>
              <w:bottom w:val="nil"/>
              <w:right w:val="nil"/>
            </w:tcBorders>
            <w:tcMar>
              <w:top w:w="0" w:type="dxa"/>
              <w:left w:w="40" w:type="dxa"/>
              <w:bottom w:w="0" w:type="dxa"/>
              <w:right w:w="40" w:type="dxa"/>
            </w:tcMar>
            <w:hideMark/>
          </w:tcPr>
          <w:p w14:paraId="79D92F6D" w14:textId="77777777" w:rsidR="008A66C2" w:rsidRDefault="008A66C2" w:rsidP="008A66C2">
            <w:pPr>
              <w:pStyle w:val="Normal4"/>
              <w:rPr>
                <w:rFonts w:ascii="Calibri" w:eastAsia="Calibri" w:hAnsi="Calibri" w:cs="Calibri"/>
                <w:color w:val="000000"/>
                <w:sz w:val="18"/>
              </w:rPr>
            </w:pPr>
            <w:r>
              <w:rPr>
                <w:rFonts w:ascii="Calibri" w:eastAsia="Calibri" w:hAnsi="Calibri" w:cs="Calibri"/>
                <w:color w:val="000000"/>
                <w:sz w:val="18"/>
              </w:rPr>
              <w:t>Delivering Stage 2 of Light Rail to Woden</w:t>
            </w:r>
          </w:p>
        </w:tc>
        <w:tc>
          <w:tcPr>
            <w:tcW w:w="975" w:type="dxa"/>
            <w:tcBorders>
              <w:top w:val="nil"/>
              <w:left w:val="nil"/>
              <w:bottom w:val="nil"/>
              <w:right w:val="nil"/>
            </w:tcBorders>
            <w:noWrap/>
            <w:tcMar>
              <w:top w:w="0" w:type="dxa"/>
              <w:left w:w="40" w:type="dxa"/>
              <w:bottom w:w="0" w:type="dxa"/>
              <w:right w:w="40" w:type="dxa"/>
            </w:tcMar>
            <w:hideMark/>
          </w:tcPr>
          <w:p w14:paraId="1BFD72B1"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2 599</w:t>
            </w:r>
          </w:p>
        </w:tc>
        <w:tc>
          <w:tcPr>
            <w:tcW w:w="975" w:type="dxa"/>
            <w:gridSpan w:val="2"/>
            <w:tcBorders>
              <w:top w:val="nil"/>
              <w:left w:val="nil"/>
              <w:bottom w:val="nil"/>
              <w:right w:val="nil"/>
            </w:tcBorders>
            <w:noWrap/>
            <w:tcMar>
              <w:top w:w="0" w:type="dxa"/>
              <w:left w:w="40" w:type="dxa"/>
              <w:bottom w:w="0" w:type="dxa"/>
              <w:right w:w="40" w:type="dxa"/>
            </w:tcMar>
            <w:hideMark/>
          </w:tcPr>
          <w:p w14:paraId="6525C125"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746FA844"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7A973442"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125" w:type="dxa"/>
            <w:gridSpan w:val="2"/>
            <w:tcBorders>
              <w:top w:val="nil"/>
              <w:left w:val="nil"/>
              <w:bottom w:val="nil"/>
              <w:right w:val="nil"/>
            </w:tcBorders>
            <w:noWrap/>
            <w:tcMar>
              <w:top w:w="0" w:type="dxa"/>
              <w:left w:w="40" w:type="dxa"/>
              <w:bottom w:w="0" w:type="dxa"/>
              <w:right w:w="40" w:type="dxa"/>
            </w:tcMar>
            <w:hideMark/>
          </w:tcPr>
          <w:p w14:paraId="15BCB60D"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2 599</w:t>
            </w:r>
          </w:p>
        </w:tc>
        <w:tc>
          <w:tcPr>
            <w:tcW w:w="1248" w:type="dxa"/>
            <w:gridSpan w:val="2"/>
            <w:tcBorders>
              <w:top w:val="nil"/>
              <w:left w:val="nil"/>
              <w:bottom w:val="nil"/>
              <w:right w:val="nil"/>
            </w:tcBorders>
            <w:tcMar>
              <w:top w:w="0" w:type="dxa"/>
              <w:left w:w="40" w:type="dxa"/>
              <w:bottom w:w="0" w:type="dxa"/>
              <w:right w:w="40" w:type="dxa"/>
            </w:tcMar>
            <w:hideMark/>
          </w:tcPr>
          <w:p w14:paraId="03A0BDC2" w14:textId="77777777" w:rsidR="008A66C2" w:rsidRPr="00E2361F" w:rsidRDefault="008A66C2" w:rsidP="008A66C2">
            <w:pPr>
              <w:pStyle w:val="Normal4"/>
              <w:jc w:val="right"/>
              <w:rPr>
                <w:rFonts w:ascii="Calibri" w:eastAsia="Calibri" w:hAnsi="Calibri" w:cs="Calibri"/>
                <w:color w:val="000000"/>
                <w:sz w:val="18"/>
                <w:vertAlign w:val="superscript"/>
              </w:rPr>
            </w:pPr>
            <w:r>
              <w:rPr>
                <w:rFonts w:ascii="Calibri" w:eastAsia="Calibri" w:hAnsi="Calibri" w:cs="Calibri"/>
                <w:color w:val="000000"/>
                <w:sz w:val="18"/>
              </w:rPr>
              <w:t>TBD</w:t>
            </w:r>
            <w:r>
              <w:rPr>
                <w:rFonts w:ascii="Calibri" w:eastAsia="Calibri" w:hAnsi="Calibri" w:cs="Calibri"/>
                <w:color w:val="000000"/>
                <w:sz w:val="18"/>
                <w:vertAlign w:val="superscript"/>
              </w:rPr>
              <w:t>2</w:t>
            </w:r>
          </w:p>
        </w:tc>
      </w:tr>
      <w:tr w:rsidR="008A66C2" w14:paraId="55A3E043"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480"/>
        </w:trPr>
        <w:tc>
          <w:tcPr>
            <w:tcW w:w="3225" w:type="dxa"/>
            <w:gridSpan w:val="2"/>
            <w:tcBorders>
              <w:top w:val="nil"/>
              <w:left w:val="nil"/>
              <w:bottom w:val="nil"/>
              <w:right w:val="nil"/>
            </w:tcBorders>
            <w:tcMar>
              <w:top w:w="0" w:type="dxa"/>
              <w:left w:w="40" w:type="dxa"/>
              <w:bottom w:w="0" w:type="dxa"/>
              <w:right w:w="40" w:type="dxa"/>
            </w:tcMar>
            <w:hideMark/>
          </w:tcPr>
          <w:p w14:paraId="354DAD52" w14:textId="77777777" w:rsidR="008A66C2" w:rsidRDefault="008A66C2" w:rsidP="008A66C2">
            <w:pPr>
              <w:pStyle w:val="Normal4"/>
              <w:ind w:left="149" w:hanging="149"/>
              <w:rPr>
                <w:rFonts w:ascii="Calibri" w:eastAsia="Calibri" w:hAnsi="Calibri" w:cs="Calibri"/>
                <w:color w:val="000000"/>
                <w:sz w:val="18"/>
              </w:rPr>
            </w:pPr>
            <w:r>
              <w:rPr>
                <w:rFonts w:ascii="Calibri" w:eastAsia="Calibri" w:hAnsi="Calibri" w:cs="Calibri"/>
                <w:color w:val="000000"/>
                <w:sz w:val="18"/>
              </w:rPr>
              <w:t>Extending Light Rail to Woden - Delivering Stage 2A</w:t>
            </w:r>
          </w:p>
        </w:tc>
        <w:tc>
          <w:tcPr>
            <w:tcW w:w="975" w:type="dxa"/>
            <w:tcBorders>
              <w:top w:val="nil"/>
              <w:left w:val="nil"/>
              <w:bottom w:val="nil"/>
              <w:right w:val="nil"/>
            </w:tcBorders>
            <w:noWrap/>
            <w:tcMar>
              <w:top w:w="0" w:type="dxa"/>
              <w:left w:w="40" w:type="dxa"/>
              <w:bottom w:w="0" w:type="dxa"/>
              <w:right w:w="40" w:type="dxa"/>
            </w:tcMar>
            <w:hideMark/>
          </w:tcPr>
          <w:p w14:paraId="7FFEF728"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2 459</w:t>
            </w:r>
          </w:p>
        </w:tc>
        <w:tc>
          <w:tcPr>
            <w:tcW w:w="975" w:type="dxa"/>
            <w:gridSpan w:val="2"/>
            <w:tcBorders>
              <w:top w:val="nil"/>
              <w:left w:val="nil"/>
              <w:bottom w:val="nil"/>
              <w:right w:val="nil"/>
            </w:tcBorders>
            <w:noWrap/>
            <w:tcMar>
              <w:top w:w="0" w:type="dxa"/>
              <w:left w:w="40" w:type="dxa"/>
              <w:bottom w:w="0" w:type="dxa"/>
              <w:right w:w="40" w:type="dxa"/>
            </w:tcMar>
            <w:hideMark/>
          </w:tcPr>
          <w:p w14:paraId="735CA799"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44969257"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5F78F3E3"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125" w:type="dxa"/>
            <w:gridSpan w:val="2"/>
            <w:tcBorders>
              <w:top w:val="nil"/>
              <w:left w:val="nil"/>
              <w:bottom w:val="nil"/>
              <w:right w:val="nil"/>
            </w:tcBorders>
            <w:noWrap/>
            <w:tcMar>
              <w:top w:w="0" w:type="dxa"/>
              <w:left w:w="40" w:type="dxa"/>
              <w:bottom w:w="0" w:type="dxa"/>
              <w:right w:w="40" w:type="dxa"/>
            </w:tcMar>
            <w:hideMark/>
          </w:tcPr>
          <w:p w14:paraId="3E3134F7"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2 459</w:t>
            </w:r>
          </w:p>
        </w:tc>
        <w:tc>
          <w:tcPr>
            <w:tcW w:w="1248" w:type="dxa"/>
            <w:gridSpan w:val="2"/>
            <w:tcBorders>
              <w:top w:val="nil"/>
              <w:left w:val="nil"/>
              <w:bottom w:val="nil"/>
              <w:right w:val="nil"/>
            </w:tcBorders>
            <w:noWrap/>
            <w:tcMar>
              <w:top w:w="0" w:type="dxa"/>
              <w:left w:w="40" w:type="dxa"/>
              <w:bottom w:w="0" w:type="dxa"/>
              <w:right w:w="40" w:type="dxa"/>
            </w:tcMar>
            <w:hideMark/>
          </w:tcPr>
          <w:p w14:paraId="00C9B7FC" w14:textId="77777777" w:rsidR="008A66C2" w:rsidRPr="00E2361F" w:rsidRDefault="008A66C2" w:rsidP="008A66C2">
            <w:pPr>
              <w:pStyle w:val="Normal4"/>
              <w:jc w:val="right"/>
              <w:rPr>
                <w:rFonts w:ascii="Calibri" w:eastAsia="Calibri" w:hAnsi="Calibri" w:cs="Calibri"/>
                <w:color w:val="000000"/>
                <w:sz w:val="18"/>
                <w:vertAlign w:val="superscript"/>
              </w:rPr>
            </w:pPr>
            <w:r>
              <w:rPr>
                <w:rFonts w:ascii="Calibri" w:eastAsia="Calibri" w:hAnsi="Calibri" w:cs="Calibri"/>
                <w:color w:val="000000"/>
                <w:sz w:val="18"/>
              </w:rPr>
              <w:t>TBD</w:t>
            </w:r>
            <w:r>
              <w:rPr>
                <w:rFonts w:ascii="Calibri" w:eastAsia="Calibri" w:hAnsi="Calibri" w:cs="Calibri"/>
                <w:color w:val="000000"/>
                <w:sz w:val="18"/>
                <w:vertAlign w:val="superscript"/>
              </w:rPr>
              <w:t>2</w:t>
            </w:r>
          </w:p>
        </w:tc>
      </w:tr>
      <w:tr w:rsidR="008A66C2" w14:paraId="7DD723BE"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240"/>
        </w:trPr>
        <w:tc>
          <w:tcPr>
            <w:tcW w:w="3225" w:type="dxa"/>
            <w:gridSpan w:val="2"/>
            <w:tcBorders>
              <w:top w:val="nil"/>
              <w:left w:val="nil"/>
              <w:bottom w:val="nil"/>
              <w:right w:val="nil"/>
            </w:tcBorders>
            <w:tcMar>
              <w:top w:w="0" w:type="dxa"/>
              <w:left w:w="40" w:type="dxa"/>
              <w:bottom w:w="0" w:type="dxa"/>
              <w:right w:w="40" w:type="dxa"/>
            </w:tcMar>
            <w:hideMark/>
          </w:tcPr>
          <w:p w14:paraId="0ADF6082" w14:textId="77777777" w:rsidR="008A66C2" w:rsidRDefault="008A66C2" w:rsidP="008A66C2">
            <w:pPr>
              <w:pStyle w:val="Normal4"/>
              <w:rPr>
                <w:rFonts w:ascii="Calibri" w:eastAsia="Calibri" w:hAnsi="Calibri" w:cs="Calibri"/>
                <w:b/>
                <w:color w:val="000000"/>
                <w:sz w:val="18"/>
              </w:rPr>
            </w:pPr>
            <w:r>
              <w:rPr>
                <w:rFonts w:ascii="Calibri" w:eastAsia="Calibri" w:hAnsi="Calibri" w:cs="Calibri"/>
                <w:b/>
                <w:color w:val="000000"/>
                <w:sz w:val="18"/>
              </w:rPr>
              <w:t xml:space="preserve">Total Work </w:t>
            </w:r>
            <w:proofErr w:type="gramStart"/>
            <w:r>
              <w:rPr>
                <w:rFonts w:ascii="Calibri" w:eastAsia="Calibri" w:hAnsi="Calibri" w:cs="Calibri"/>
                <w:b/>
                <w:color w:val="000000"/>
                <w:sz w:val="18"/>
              </w:rPr>
              <w:t>In</w:t>
            </w:r>
            <w:proofErr w:type="gramEnd"/>
            <w:r>
              <w:rPr>
                <w:rFonts w:ascii="Calibri" w:eastAsia="Calibri" w:hAnsi="Calibri" w:cs="Calibri"/>
                <w:b/>
                <w:color w:val="000000"/>
                <w:sz w:val="18"/>
              </w:rPr>
              <w:t xml:space="preserve"> Progress</w:t>
            </w:r>
          </w:p>
        </w:tc>
        <w:tc>
          <w:tcPr>
            <w:tcW w:w="975" w:type="dxa"/>
            <w:tcBorders>
              <w:top w:val="nil"/>
              <w:left w:val="nil"/>
              <w:bottom w:val="nil"/>
              <w:right w:val="nil"/>
            </w:tcBorders>
            <w:noWrap/>
            <w:tcMar>
              <w:top w:w="0" w:type="dxa"/>
              <w:left w:w="40" w:type="dxa"/>
              <w:bottom w:w="0" w:type="dxa"/>
              <w:right w:w="40" w:type="dxa"/>
            </w:tcMar>
            <w:hideMark/>
          </w:tcPr>
          <w:p w14:paraId="368604F6"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47 376</w:t>
            </w:r>
          </w:p>
        </w:tc>
        <w:tc>
          <w:tcPr>
            <w:tcW w:w="975" w:type="dxa"/>
            <w:gridSpan w:val="2"/>
            <w:tcBorders>
              <w:top w:val="nil"/>
              <w:left w:val="nil"/>
              <w:bottom w:val="nil"/>
              <w:right w:val="nil"/>
            </w:tcBorders>
            <w:noWrap/>
            <w:tcMar>
              <w:top w:w="0" w:type="dxa"/>
              <w:left w:w="40" w:type="dxa"/>
              <w:bottom w:w="0" w:type="dxa"/>
              <w:right w:w="100" w:type="dxa"/>
            </w:tcMar>
            <w:hideMark/>
          </w:tcPr>
          <w:p w14:paraId="4E7931E0"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0</w:t>
            </w:r>
          </w:p>
        </w:tc>
        <w:tc>
          <w:tcPr>
            <w:tcW w:w="975" w:type="dxa"/>
            <w:gridSpan w:val="2"/>
            <w:tcBorders>
              <w:top w:val="nil"/>
              <w:left w:val="nil"/>
              <w:bottom w:val="nil"/>
              <w:right w:val="nil"/>
            </w:tcBorders>
            <w:noWrap/>
            <w:tcMar>
              <w:top w:w="0" w:type="dxa"/>
              <w:left w:w="40" w:type="dxa"/>
              <w:bottom w:w="0" w:type="dxa"/>
              <w:right w:w="100" w:type="dxa"/>
            </w:tcMar>
            <w:hideMark/>
          </w:tcPr>
          <w:p w14:paraId="1A7B366B"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0</w:t>
            </w:r>
          </w:p>
        </w:tc>
        <w:tc>
          <w:tcPr>
            <w:tcW w:w="975" w:type="dxa"/>
            <w:gridSpan w:val="2"/>
            <w:tcBorders>
              <w:top w:val="nil"/>
              <w:left w:val="nil"/>
              <w:bottom w:val="nil"/>
              <w:right w:val="nil"/>
            </w:tcBorders>
            <w:noWrap/>
            <w:tcMar>
              <w:top w:w="0" w:type="dxa"/>
              <w:left w:w="40" w:type="dxa"/>
              <w:bottom w:w="0" w:type="dxa"/>
              <w:right w:w="100" w:type="dxa"/>
            </w:tcMar>
            <w:hideMark/>
          </w:tcPr>
          <w:p w14:paraId="03E36AC3"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0</w:t>
            </w:r>
          </w:p>
        </w:tc>
        <w:tc>
          <w:tcPr>
            <w:tcW w:w="1125" w:type="dxa"/>
            <w:gridSpan w:val="2"/>
            <w:tcBorders>
              <w:top w:val="nil"/>
              <w:left w:val="nil"/>
              <w:bottom w:val="nil"/>
              <w:right w:val="nil"/>
            </w:tcBorders>
            <w:noWrap/>
            <w:tcMar>
              <w:top w:w="0" w:type="dxa"/>
              <w:left w:w="40" w:type="dxa"/>
              <w:bottom w:w="0" w:type="dxa"/>
              <w:right w:w="40" w:type="dxa"/>
            </w:tcMar>
            <w:hideMark/>
          </w:tcPr>
          <w:p w14:paraId="46835DAE"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47 376</w:t>
            </w:r>
          </w:p>
        </w:tc>
        <w:tc>
          <w:tcPr>
            <w:tcW w:w="1248" w:type="dxa"/>
            <w:gridSpan w:val="2"/>
            <w:tcBorders>
              <w:top w:val="nil"/>
              <w:left w:val="nil"/>
              <w:bottom w:val="nil"/>
              <w:right w:val="nil"/>
            </w:tcBorders>
            <w:noWrap/>
            <w:tcMar>
              <w:top w:w="0" w:type="dxa"/>
              <w:left w:w="0" w:type="dxa"/>
              <w:bottom w:w="0" w:type="dxa"/>
              <w:right w:w="0" w:type="dxa"/>
            </w:tcMar>
          </w:tcPr>
          <w:p w14:paraId="38ADC7CF" w14:textId="77777777" w:rsidR="008A66C2" w:rsidRDefault="008A66C2" w:rsidP="008A66C2">
            <w:pPr>
              <w:pStyle w:val="Normal4"/>
              <w:jc w:val="right"/>
              <w:rPr>
                <w:rFonts w:ascii="Calibri" w:eastAsia="Calibri" w:hAnsi="Calibri" w:cs="Calibri"/>
                <w:color w:val="000000"/>
                <w:sz w:val="18"/>
              </w:rPr>
            </w:pPr>
          </w:p>
        </w:tc>
      </w:tr>
      <w:tr w:rsidR="008A66C2" w14:paraId="6C490E34"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240"/>
        </w:trPr>
        <w:tc>
          <w:tcPr>
            <w:tcW w:w="3225" w:type="dxa"/>
            <w:gridSpan w:val="2"/>
            <w:tcBorders>
              <w:top w:val="nil"/>
              <w:left w:val="nil"/>
              <w:bottom w:val="nil"/>
              <w:right w:val="nil"/>
            </w:tcBorders>
            <w:tcMar>
              <w:top w:w="0" w:type="dxa"/>
              <w:left w:w="0" w:type="dxa"/>
              <w:bottom w:w="0" w:type="dxa"/>
              <w:right w:w="0" w:type="dxa"/>
            </w:tcMar>
          </w:tcPr>
          <w:p w14:paraId="41831E2B" w14:textId="77777777" w:rsidR="008A66C2" w:rsidRDefault="008A66C2" w:rsidP="008A66C2">
            <w:pPr>
              <w:pStyle w:val="Normal4"/>
              <w:rPr>
                <w:rFonts w:ascii="Calibri" w:eastAsia="Calibri" w:hAnsi="Calibri" w:cs="Calibri"/>
                <w:color w:val="000000"/>
                <w:sz w:val="18"/>
              </w:rPr>
            </w:pPr>
          </w:p>
        </w:tc>
        <w:tc>
          <w:tcPr>
            <w:tcW w:w="975" w:type="dxa"/>
            <w:tcBorders>
              <w:top w:val="nil"/>
              <w:left w:val="nil"/>
              <w:bottom w:val="nil"/>
              <w:right w:val="nil"/>
            </w:tcBorders>
            <w:noWrap/>
            <w:tcMar>
              <w:top w:w="0" w:type="dxa"/>
              <w:left w:w="0" w:type="dxa"/>
              <w:bottom w:w="0" w:type="dxa"/>
              <w:right w:w="0" w:type="dxa"/>
            </w:tcMar>
          </w:tcPr>
          <w:p w14:paraId="5E29320F" w14:textId="77777777" w:rsidR="008A66C2" w:rsidRDefault="008A66C2" w:rsidP="008A66C2">
            <w:pPr>
              <w:pStyle w:val="Normal4"/>
              <w:rPr>
                <w:rFonts w:ascii="Calibri" w:eastAsia="Calibri" w:hAnsi="Calibri" w:cs="Calibri"/>
                <w:color w:val="000000"/>
                <w:sz w:val="18"/>
              </w:rPr>
            </w:pPr>
          </w:p>
        </w:tc>
        <w:tc>
          <w:tcPr>
            <w:tcW w:w="975" w:type="dxa"/>
            <w:gridSpan w:val="2"/>
            <w:tcBorders>
              <w:top w:val="nil"/>
              <w:left w:val="nil"/>
              <w:bottom w:val="nil"/>
              <w:right w:val="nil"/>
            </w:tcBorders>
            <w:noWrap/>
            <w:tcMar>
              <w:top w:w="0" w:type="dxa"/>
              <w:left w:w="0" w:type="dxa"/>
              <w:bottom w:w="0" w:type="dxa"/>
              <w:right w:w="0" w:type="dxa"/>
            </w:tcMar>
          </w:tcPr>
          <w:p w14:paraId="6D724C81" w14:textId="77777777" w:rsidR="008A66C2" w:rsidRDefault="008A66C2" w:rsidP="008A66C2">
            <w:pPr>
              <w:pStyle w:val="Normal4"/>
              <w:rPr>
                <w:rFonts w:ascii="Calibri" w:eastAsia="Calibri" w:hAnsi="Calibri" w:cs="Calibri"/>
                <w:color w:val="000000"/>
                <w:sz w:val="18"/>
              </w:rPr>
            </w:pPr>
          </w:p>
        </w:tc>
        <w:tc>
          <w:tcPr>
            <w:tcW w:w="975" w:type="dxa"/>
            <w:gridSpan w:val="2"/>
            <w:tcBorders>
              <w:top w:val="nil"/>
              <w:left w:val="nil"/>
              <w:bottom w:val="nil"/>
              <w:right w:val="nil"/>
            </w:tcBorders>
            <w:noWrap/>
            <w:tcMar>
              <w:top w:w="0" w:type="dxa"/>
              <w:left w:w="0" w:type="dxa"/>
              <w:bottom w:w="0" w:type="dxa"/>
              <w:right w:w="0" w:type="dxa"/>
            </w:tcMar>
          </w:tcPr>
          <w:p w14:paraId="54EDCFA6" w14:textId="77777777" w:rsidR="008A66C2" w:rsidRDefault="008A66C2" w:rsidP="008A66C2">
            <w:pPr>
              <w:pStyle w:val="Normal4"/>
              <w:rPr>
                <w:rFonts w:ascii="Calibri" w:eastAsia="Calibri" w:hAnsi="Calibri" w:cs="Calibri"/>
                <w:color w:val="000000"/>
                <w:sz w:val="18"/>
              </w:rPr>
            </w:pPr>
          </w:p>
        </w:tc>
        <w:tc>
          <w:tcPr>
            <w:tcW w:w="975" w:type="dxa"/>
            <w:gridSpan w:val="2"/>
            <w:tcBorders>
              <w:top w:val="nil"/>
              <w:left w:val="nil"/>
              <w:bottom w:val="nil"/>
              <w:right w:val="nil"/>
            </w:tcBorders>
            <w:noWrap/>
            <w:tcMar>
              <w:top w:w="0" w:type="dxa"/>
              <w:left w:w="0" w:type="dxa"/>
              <w:bottom w:w="0" w:type="dxa"/>
              <w:right w:w="0" w:type="dxa"/>
            </w:tcMar>
          </w:tcPr>
          <w:p w14:paraId="4243E49A" w14:textId="77777777" w:rsidR="008A66C2" w:rsidRDefault="008A66C2" w:rsidP="008A66C2">
            <w:pPr>
              <w:pStyle w:val="Normal4"/>
              <w:rPr>
                <w:rFonts w:ascii="Calibri" w:eastAsia="Calibri" w:hAnsi="Calibri" w:cs="Calibri"/>
                <w:color w:val="000000"/>
                <w:sz w:val="18"/>
              </w:rPr>
            </w:pPr>
          </w:p>
        </w:tc>
        <w:tc>
          <w:tcPr>
            <w:tcW w:w="1125" w:type="dxa"/>
            <w:gridSpan w:val="2"/>
            <w:tcBorders>
              <w:top w:val="nil"/>
              <w:left w:val="nil"/>
              <w:bottom w:val="nil"/>
              <w:right w:val="nil"/>
            </w:tcBorders>
            <w:noWrap/>
            <w:tcMar>
              <w:top w:w="0" w:type="dxa"/>
              <w:left w:w="0" w:type="dxa"/>
              <w:bottom w:w="0" w:type="dxa"/>
              <w:right w:w="0" w:type="dxa"/>
            </w:tcMar>
          </w:tcPr>
          <w:p w14:paraId="41A5C4DB" w14:textId="77777777" w:rsidR="008A66C2" w:rsidRDefault="008A66C2" w:rsidP="008A66C2">
            <w:pPr>
              <w:pStyle w:val="Normal4"/>
              <w:rPr>
                <w:rFonts w:ascii="Calibri" w:eastAsia="Calibri" w:hAnsi="Calibri" w:cs="Calibri"/>
                <w:color w:val="000000"/>
                <w:sz w:val="18"/>
              </w:rPr>
            </w:pPr>
          </w:p>
        </w:tc>
        <w:tc>
          <w:tcPr>
            <w:tcW w:w="1248" w:type="dxa"/>
            <w:gridSpan w:val="2"/>
            <w:tcBorders>
              <w:top w:val="nil"/>
              <w:left w:val="nil"/>
              <w:bottom w:val="nil"/>
              <w:right w:val="nil"/>
            </w:tcBorders>
            <w:noWrap/>
            <w:tcMar>
              <w:top w:w="0" w:type="dxa"/>
              <w:left w:w="0" w:type="dxa"/>
              <w:bottom w:w="0" w:type="dxa"/>
              <w:right w:w="0" w:type="dxa"/>
            </w:tcMar>
          </w:tcPr>
          <w:p w14:paraId="0F7DE864" w14:textId="77777777" w:rsidR="008A66C2" w:rsidRDefault="008A66C2" w:rsidP="008A66C2">
            <w:pPr>
              <w:pStyle w:val="Normal4"/>
              <w:jc w:val="right"/>
              <w:rPr>
                <w:rFonts w:ascii="Calibri" w:eastAsia="Calibri" w:hAnsi="Calibri" w:cs="Calibri"/>
                <w:color w:val="000000"/>
                <w:sz w:val="18"/>
              </w:rPr>
            </w:pPr>
          </w:p>
        </w:tc>
      </w:tr>
      <w:tr w:rsidR="008A66C2" w14:paraId="21379E27"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240"/>
        </w:trPr>
        <w:tc>
          <w:tcPr>
            <w:tcW w:w="3225" w:type="dxa"/>
            <w:gridSpan w:val="2"/>
            <w:tcBorders>
              <w:top w:val="nil"/>
              <w:left w:val="nil"/>
              <w:bottom w:val="nil"/>
              <w:right w:val="nil"/>
            </w:tcBorders>
            <w:tcMar>
              <w:top w:w="0" w:type="dxa"/>
              <w:left w:w="40" w:type="dxa"/>
              <w:bottom w:w="0" w:type="dxa"/>
              <w:right w:w="40" w:type="dxa"/>
            </w:tcMar>
            <w:hideMark/>
          </w:tcPr>
          <w:p w14:paraId="49B2E4D7" w14:textId="77777777" w:rsidR="008A66C2" w:rsidRDefault="008A66C2" w:rsidP="008A66C2">
            <w:pPr>
              <w:pStyle w:val="Normal4"/>
              <w:rPr>
                <w:rFonts w:ascii="Calibri" w:eastAsia="Calibri" w:hAnsi="Calibri" w:cs="Calibri"/>
                <w:b/>
                <w:color w:val="000000"/>
                <w:sz w:val="18"/>
              </w:rPr>
            </w:pPr>
            <w:r>
              <w:rPr>
                <w:rFonts w:ascii="Calibri" w:eastAsia="Calibri" w:hAnsi="Calibri" w:cs="Calibri"/>
                <w:b/>
                <w:color w:val="000000"/>
                <w:sz w:val="18"/>
              </w:rPr>
              <w:t>New Works</w:t>
            </w:r>
          </w:p>
        </w:tc>
        <w:tc>
          <w:tcPr>
            <w:tcW w:w="975" w:type="dxa"/>
            <w:tcBorders>
              <w:top w:val="nil"/>
              <w:left w:val="nil"/>
              <w:bottom w:val="nil"/>
              <w:right w:val="nil"/>
            </w:tcBorders>
            <w:noWrap/>
            <w:tcMar>
              <w:top w:w="0" w:type="dxa"/>
              <w:left w:w="0" w:type="dxa"/>
              <w:bottom w:w="0" w:type="dxa"/>
              <w:right w:w="0" w:type="dxa"/>
            </w:tcMar>
          </w:tcPr>
          <w:p w14:paraId="6F01E0FF" w14:textId="77777777" w:rsidR="008A66C2" w:rsidRDefault="008A66C2" w:rsidP="008A66C2">
            <w:pPr>
              <w:pStyle w:val="Normal4"/>
              <w:rPr>
                <w:rFonts w:ascii="Calibri" w:eastAsia="Calibri" w:hAnsi="Calibri" w:cs="Calibri"/>
                <w:color w:val="000000"/>
                <w:sz w:val="18"/>
              </w:rPr>
            </w:pPr>
          </w:p>
        </w:tc>
        <w:tc>
          <w:tcPr>
            <w:tcW w:w="975" w:type="dxa"/>
            <w:gridSpan w:val="2"/>
            <w:tcBorders>
              <w:top w:val="nil"/>
              <w:left w:val="nil"/>
              <w:bottom w:val="nil"/>
              <w:right w:val="nil"/>
            </w:tcBorders>
            <w:noWrap/>
            <w:tcMar>
              <w:top w:w="0" w:type="dxa"/>
              <w:left w:w="0" w:type="dxa"/>
              <w:bottom w:w="0" w:type="dxa"/>
              <w:right w:w="0" w:type="dxa"/>
            </w:tcMar>
          </w:tcPr>
          <w:p w14:paraId="36218F1F" w14:textId="77777777" w:rsidR="008A66C2" w:rsidRDefault="008A66C2" w:rsidP="008A66C2">
            <w:pPr>
              <w:pStyle w:val="Normal4"/>
              <w:rPr>
                <w:rFonts w:ascii="Calibri" w:eastAsia="Calibri" w:hAnsi="Calibri" w:cs="Calibri"/>
                <w:color w:val="000000"/>
                <w:sz w:val="18"/>
              </w:rPr>
            </w:pPr>
          </w:p>
        </w:tc>
        <w:tc>
          <w:tcPr>
            <w:tcW w:w="975" w:type="dxa"/>
            <w:gridSpan w:val="2"/>
            <w:tcBorders>
              <w:top w:val="nil"/>
              <w:left w:val="nil"/>
              <w:bottom w:val="nil"/>
              <w:right w:val="nil"/>
            </w:tcBorders>
            <w:noWrap/>
            <w:tcMar>
              <w:top w:w="0" w:type="dxa"/>
              <w:left w:w="0" w:type="dxa"/>
              <w:bottom w:w="0" w:type="dxa"/>
              <w:right w:w="0" w:type="dxa"/>
            </w:tcMar>
          </w:tcPr>
          <w:p w14:paraId="407C7519" w14:textId="77777777" w:rsidR="008A66C2" w:rsidRDefault="008A66C2" w:rsidP="008A66C2">
            <w:pPr>
              <w:pStyle w:val="Normal4"/>
              <w:rPr>
                <w:rFonts w:ascii="Calibri" w:eastAsia="Calibri" w:hAnsi="Calibri" w:cs="Calibri"/>
                <w:color w:val="000000"/>
                <w:sz w:val="18"/>
              </w:rPr>
            </w:pPr>
          </w:p>
        </w:tc>
        <w:tc>
          <w:tcPr>
            <w:tcW w:w="975" w:type="dxa"/>
            <w:gridSpan w:val="2"/>
            <w:tcBorders>
              <w:top w:val="nil"/>
              <w:left w:val="nil"/>
              <w:bottom w:val="nil"/>
              <w:right w:val="nil"/>
            </w:tcBorders>
            <w:noWrap/>
            <w:tcMar>
              <w:top w:w="0" w:type="dxa"/>
              <w:left w:w="0" w:type="dxa"/>
              <w:bottom w:w="0" w:type="dxa"/>
              <w:right w:w="0" w:type="dxa"/>
            </w:tcMar>
          </w:tcPr>
          <w:p w14:paraId="01A51BF3" w14:textId="77777777" w:rsidR="008A66C2" w:rsidRDefault="008A66C2" w:rsidP="008A66C2">
            <w:pPr>
              <w:pStyle w:val="Normal4"/>
              <w:rPr>
                <w:rFonts w:ascii="Calibri" w:eastAsia="Calibri" w:hAnsi="Calibri" w:cs="Calibri"/>
                <w:color w:val="000000"/>
                <w:sz w:val="18"/>
              </w:rPr>
            </w:pPr>
          </w:p>
        </w:tc>
        <w:tc>
          <w:tcPr>
            <w:tcW w:w="1125" w:type="dxa"/>
            <w:gridSpan w:val="2"/>
            <w:tcBorders>
              <w:top w:val="nil"/>
              <w:left w:val="nil"/>
              <w:bottom w:val="nil"/>
              <w:right w:val="nil"/>
            </w:tcBorders>
            <w:noWrap/>
            <w:tcMar>
              <w:top w:w="0" w:type="dxa"/>
              <w:left w:w="0" w:type="dxa"/>
              <w:bottom w:w="0" w:type="dxa"/>
              <w:right w:w="0" w:type="dxa"/>
            </w:tcMar>
          </w:tcPr>
          <w:p w14:paraId="362DE0EA" w14:textId="77777777" w:rsidR="008A66C2" w:rsidRDefault="008A66C2" w:rsidP="008A66C2">
            <w:pPr>
              <w:pStyle w:val="Normal4"/>
              <w:rPr>
                <w:rFonts w:ascii="Calibri" w:eastAsia="Calibri" w:hAnsi="Calibri" w:cs="Calibri"/>
                <w:color w:val="000000"/>
                <w:sz w:val="18"/>
              </w:rPr>
            </w:pPr>
          </w:p>
        </w:tc>
        <w:tc>
          <w:tcPr>
            <w:tcW w:w="1248" w:type="dxa"/>
            <w:gridSpan w:val="2"/>
            <w:tcBorders>
              <w:top w:val="nil"/>
              <w:left w:val="nil"/>
              <w:bottom w:val="nil"/>
              <w:right w:val="nil"/>
            </w:tcBorders>
            <w:noWrap/>
            <w:tcMar>
              <w:top w:w="0" w:type="dxa"/>
              <w:left w:w="0" w:type="dxa"/>
              <w:bottom w:w="0" w:type="dxa"/>
              <w:right w:w="0" w:type="dxa"/>
            </w:tcMar>
          </w:tcPr>
          <w:p w14:paraId="191A4E39" w14:textId="77777777" w:rsidR="008A66C2" w:rsidRDefault="008A66C2" w:rsidP="008A66C2">
            <w:pPr>
              <w:pStyle w:val="Normal4"/>
              <w:jc w:val="right"/>
              <w:rPr>
                <w:rFonts w:ascii="Calibri" w:eastAsia="Calibri" w:hAnsi="Calibri" w:cs="Calibri"/>
                <w:color w:val="000000"/>
                <w:sz w:val="18"/>
              </w:rPr>
            </w:pPr>
          </w:p>
        </w:tc>
      </w:tr>
      <w:tr w:rsidR="008A66C2" w14:paraId="2C062764"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240"/>
        </w:trPr>
        <w:tc>
          <w:tcPr>
            <w:tcW w:w="3225" w:type="dxa"/>
            <w:gridSpan w:val="2"/>
            <w:tcBorders>
              <w:top w:val="nil"/>
              <w:left w:val="nil"/>
              <w:bottom w:val="nil"/>
              <w:right w:val="nil"/>
            </w:tcBorders>
            <w:tcMar>
              <w:top w:w="0" w:type="dxa"/>
              <w:left w:w="40" w:type="dxa"/>
              <w:bottom w:w="0" w:type="dxa"/>
              <w:right w:w="40" w:type="dxa"/>
            </w:tcMar>
            <w:vAlign w:val="center"/>
            <w:hideMark/>
          </w:tcPr>
          <w:p w14:paraId="6DBAEF8B" w14:textId="77777777" w:rsidR="008A66C2" w:rsidRDefault="008A66C2" w:rsidP="008A66C2">
            <w:pPr>
              <w:pStyle w:val="Normal4"/>
              <w:rPr>
                <w:rFonts w:ascii="Calibri" w:eastAsia="Calibri" w:hAnsi="Calibri" w:cs="Calibri"/>
                <w:color w:val="000000"/>
                <w:sz w:val="18"/>
              </w:rPr>
            </w:pPr>
            <w:r>
              <w:rPr>
                <w:rFonts w:ascii="Calibri" w:eastAsia="Calibri" w:hAnsi="Calibri" w:cs="Calibri"/>
                <w:color w:val="000000"/>
                <w:sz w:val="18"/>
              </w:rPr>
              <w:t>CIT Woden Campus and Bus Interchange</w:t>
            </w:r>
          </w:p>
        </w:tc>
        <w:tc>
          <w:tcPr>
            <w:tcW w:w="975" w:type="dxa"/>
            <w:tcBorders>
              <w:top w:val="nil"/>
              <w:left w:val="nil"/>
              <w:bottom w:val="nil"/>
              <w:right w:val="nil"/>
            </w:tcBorders>
            <w:noWrap/>
            <w:tcMar>
              <w:top w:w="0" w:type="dxa"/>
              <w:left w:w="40" w:type="dxa"/>
              <w:bottom w:w="0" w:type="dxa"/>
              <w:right w:w="40" w:type="dxa"/>
            </w:tcMar>
            <w:hideMark/>
          </w:tcPr>
          <w:p w14:paraId="37849C3C"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11 260</w:t>
            </w:r>
          </w:p>
        </w:tc>
        <w:tc>
          <w:tcPr>
            <w:tcW w:w="975" w:type="dxa"/>
            <w:gridSpan w:val="2"/>
            <w:tcBorders>
              <w:top w:val="nil"/>
              <w:left w:val="nil"/>
              <w:bottom w:val="nil"/>
              <w:right w:val="nil"/>
            </w:tcBorders>
            <w:noWrap/>
            <w:tcMar>
              <w:top w:w="0" w:type="dxa"/>
              <w:left w:w="40" w:type="dxa"/>
              <w:bottom w:w="0" w:type="dxa"/>
              <w:right w:w="40" w:type="dxa"/>
            </w:tcMar>
            <w:hideMark/>
          </w:tcPr>
          <w:p w14:paraId="756A83A2"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53 040</w:t>
            </w:r>
          </w:p>
        </w:tc>
        <w:tc>
          <w:tcPr>
            <w:tcW w:w="975" w:type="dxa"/>
            <w:gridSpan w:val="2"/>
            <w:tcBorders>
              <w:top w:val="nil"/>
              <w:left w:val="nil"/>
              <w:bottom w:val="nil"/>
              <w:right w:val="nil"/>
            </w:tcBorders>
            <w:noWrap/>
            <w:tcMar>
              <w:top w:w="0" w:type="dxa"/>
              <w:left w:w="40" w:type="dxa"/>
              <w:bottom w:w="0" w:type="dxa"/>
              <w:right w:w="40" w:type="dxa"/>
            </w:tcMar>
            <w:hideMark/>
          </w:tcPr>
          <w:p w14:paraId="1248D5E4"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84 000</w:t>
            </w:r>
          </w:p>
        </w:tc>
        <w:tc>
          <w:tcPr>
            <w:tcW w:w="975" w:type="dxa"/>
            <w:gridSpan w:val="2"/>
            <w:tcBorders>
              <w:top w:val="nil"/>
              <w:left w:val="nil"/>
              <w:bottom w:val="nil"/>
              <w:right w:val="nil"/>
            </w:tcBorders>
            <w:noWrap/>
            <w:tcMar>
              <w:top w:w="0" w:type="dxa"/>
              <w:left w:w="40" w:type="dxa"/>
              <w:bottom w:w="0" w:type="dxa"/>
              <w:right w:w="40" w:type="dxa"/>
            </w:tcMar>
            <w:hideMark/>
          </w:tcPr>
          <w:p w14:paraId="0F423F02"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92 000</w:t>
            </w:r>
          </w:p>
        </w:tc>
        <w:tc>
          <w:tcPr>
            <w:tcW w:w="1125" w:type="dxa"/>
            <w:gridSpan w:val="2"/>
            <w:tcBorders>
              <w:top w:val="nil"/>
              <w:left w:val="nil"/>
              <w:bottom w:val="nil"/>
              <w:right w:val="nil"/>
            </w:tcBorders>
            <w:noWrap/>
            <w:tcMar>
              <w:top w:w="0" w:type="dxa"/>
              <w:left w:w="40" w:type="dxa"/>
              <w:bottom w:w="0" w:type="dxa"/>
              <w:right w:w="40" w:type="dxa"/>
            </w:tcMar>
            <w:hideMark/>
          </w:tcPr>
          <w:p w14:paraId="7B77E586"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240 300</w:t>
            </w:r>
          </w:p>
        </w:tc>
        <w:tc>
          <w:tcPr>
            <w:tcW w:w="1248" w:type="dxa"/>
            <w:gridSpan w:val="2"/>
            <w:tcBorders>
              <w:top w:val="nil"/>
              <w:left w:val="nil"/>
              <w:bottom w:val="nil"/>
              <w:right w:val="nil"/>
            </w:tcBorders>
            <w:noWrap/>
            <w:tcMar>
              <w:top w:w="0" w:type="dxa"/>
              <w:left w:w="40" w:type="dxa"/>
              <w:bottom w:w="0" w:type="dxa"/>
              <w:right w:w="40" w:type="dxa"/>
            </w:tcMar>
            <w:hideMark/>
          </w:tcPr>
          <w:p w14:paraId="41AD2F8E"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Sep-24</w:t>
            </w:r>
          </w:p>
        </w:tc>
      </w:tr>
      <w:tr w:rsidR="008A66C2" w14:paraId="2AD0CA70"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480"/>
        </w:trPr>
        <w:tc>
          <w:tcPr>
            <w:tcW w:w="3225" w:type="dxa"/>
            <w:gridSpan w:val="2"/>
            <w:tcBorders>
              <w:top w:val="nil"/>
              <w:left w:val="nil"/>
              <w:bottom w:val="nil"/>
              <w:right w:val="nil"/>
            </w:tcBorders>
            <w:tcMar>
              <w:top w:w="0" w:type="dxa"/>
              <w:left w:w="40" w:type="dxa"/>
              <w:bottom w:w="0" w:type="dxa"/>
              <w:right w:w="40" w:type="dxa"/>
            </w:tcMar>
            <w:vAlign w:val="center"/>
            <w:hideMark/>
          </w:tcPr>
          <w:p w14:paraId="0321E1C7" w14:textId="77777777" w:rsidR="008A66C2" w:rsidRDefault="008A66C2" w:rsidP="008A66C2">
            <w:pPr>
              <w:pStyle w:val="Normal4"/>
              <w:ind w:left="149" w:hanging="149"/>
              <w:rPr>
                <w:rFonts w:ascii="Calibri" w:eastAsia="Calibri" w:hAnsi="Calibri" w:cs="Calibri"/>
                <w:color w:val="000000"/>
                <w:sz w:val="18"/>
              </w:rPr>
            </w:pPr>
            <w:r>
              <w:rPr>
                <w:rFonts w:ascii="Calibri" w:eastAsia="Calibri" w:hAnsi="Calibri" w:cs="Calibri"/>
                <w:color w:val="000000"/>
                <w:sz w:val="18"/>
              </w:rPr>
              <w:t>Building Light Rail to Woden and Raising London Circuit</w:t>
            </w:r>
          </w:p>
        </w:tc>
        <w:tc>
          <w:tcPr>
            <w:tcW w:w="975" w:type="dxa"/>
            <w:tcBorders>
              <w:top w:val="nil"/>
              <w:left w:val="nil"/>
              <w:bottom w:val="nil"/>
              <w:right w:val="nil"/>
            </w:tcBorders>
            <w:noWrap/>
            <w:tcMar>
              <w:top w:w="0" w:type="dxa"/>
              <w:left w:w="40" w:type="dxa"/>
              <w:bottom w:w="0" w:type="dxa"/>
              <w:right w:w="40" w:type="dxa"/>
            </w:tcMar>
            <w:hideMark/>
          </w:tcPr>
          <w:p w14:paraId="45DF367B"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22 202</w:t>
            </w:r>
          </w:p>
        </w:tc>
        <w:tc>
          <w:tcPr>
            <w:tcW w:w="975" w:type="dxa"/>
            <w:gridSpan w:val="2"/>
            <w:tcBorders>
              <w:top w:val="nil"/>
              <w:left w:val="nil"/>
              <w:bottom w:val="nil"/>
              <w:right w:val="nil"/>
            </w:tcBorders>
            <w:noWrap/>
            <w:tcMar>
              <w:top w:w="0" w:type="dxa"/>
              <w:left w:w="40" w:type="dxa"/>
              <w:bottom w:w="0" w:type="dxa"/>
              <w:right w:w="40" w:type="dxa"/>
            </w:tcMar>
            <w:hideMark/>
          </w:tcPr>
          <w:p w14:paraId="1F39E674"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1 798</w:t>
            </w:r>
          </w:p>
        </w:tc>
        <w:tc>
          <w:tcPr>
            <w:tcW w:w="975" w:type="dxa"/>
            <w:gridSpan w:val="2"/>
            <w:tcBorders>
              <w:top w:val="nil"/>
              <w:left w:val="nil"/>
              <w:bottom w:val="nil"/>
              <w:right w:val="nil"/>
            </w:tcBorders>
            <w:noWrap/>
            <w:tcMar>
              <w:top w:w="0" w:type="dxa"/>
              <w:left w:w="40" w:type="dxa"/>
              <w:bottom w:w="0" w:type="dxa"/>
              <w:right w:w="40" w:type="dxa"/>
            </w:tcMar>
            <w:hideMark/>
          </w:tcPr>
          <w:p w14:paraId="0B4AAB7D"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4AA1887E"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125" w:type="dxa"/>
            <w:gridSpan w:val="2"/>
            <w:tcBorders>
              <w:top w:val="nil"/>
              <w:left w:val="nil"/>
              <w:bottom w:val="nil"/>
              <w:right w:val="nil"/>
            </w:tcBorders>
            <w:noWrap/>
            <w:tcMar>
              <w:top w:w="0" w:type="dxa"/>
              <w:left w:w="40" w:type="dxa"/>
              <w:bottom w:w="0" w:type="dxa"/>
              <w:right w:w="40" w:type="dxa"/>
            </w:tcMar>
            <w:hideMark/>
          </w:tcPr>
          <w:p w14:paraId="31FE1873"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24 000</w:t>
            </w:r>
          </w:p>
        </w:tc>
        <w:tc>
          <w:tcPr>
            <w:tcW w:w="1248" w:type="dxa"/>
            <w:gridSpan w:val="2"/>
            <w:tcBorders>
              <w:top w:val="nil"/>
              <w:left w:val="nil"/>
              <w:bottom w:val="nil"/>
              <w:right w:val="nil"/>
            </w:tcBorders>
            <w:noWrap/>
            <w:tcMar>
              <w:top w:w="0" w:type="dxa"/>
              <w:left w:w="40" w:type="dxa"/>
              <w:bottom w:w="0" w:type="dxa"/>
              <w:right w:w="40" w:type="dxa"/>
            </w:tcMar>
            <w:hideMark/>
          </w:tcPr>
          <w:p w14:paraId="7BFCC2F9" w14:textId="77777777" w:rsidR="008A66C2" w:rsidRPr="00E2361F" w:rsidRDefault="008A66C2" w:rsidP="008A66C2">
            <w:pPr>
              <w:pStyle w:val="Normal4"/>
              <w:jc w:val="right"/>
              <w:rPr>
                <w:rFonts w:ascii="Calibri" w:eastAsia="Calibri" w:hAnsi="Calibri" w:cs="Calibri"/>
                <w:color w:val="000000"/>
                <w:sz w:val="18"/>
                <w:vertAlign w:val="superscript"/>
              </w:rPr>
            </w:pPr>
            <w:r>
              <w:rPr>
                <w:rFonts w:ascii="Calibri" w:eastAsia="Calibri" w:hAnsi="Calibri" w:cs="Calibri"/>
                <w:color w:val="000000"/>
                <w:sz w:val="18"/>
              </w:rPr>
              <w:t>TBD</w:t>
            </w:r>
            <w:r>
              <w:rPr>
                <w:rFonts w:ascii="Calibri" w:eastAsia="Calibri" w:hAnsi="Calibri" w:cs="Calibri"/>
                <w:color w:val="000000"/>
                <w:sz w:val="18"/>
                <w:vertAlign w:val="superscript"/>
              </w:rPr>
              <w:t>2</w:t>
            </w:r>
          </w:p>
        </w:tc>
      </w:tr>
      <w:tr w:rsidR="008A66C2" w14:paraId="29031F51"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480"/>
        </w:trPr>
        <w:tc>
          <w:tcPr>
            <w:tcW w:w="3225" w:type="dxa"/>
            <w:gridSpan w:val="2"/>
            <w:tcBorders>
              <w:top w:val="nil"/>
              <w:left w:val="nil"/>
              <w:bottom w:val="nil"/>
              <w:right w:val="nil"/>
            </w:tcBorders>
            <w:tcMar>
              <w:top w:w="0" w:type="dxa"/>
              <w:left w:w="40" w:type="dxa"/>
              <w:bottom w:w="0" w:type="dxa"/>
              <w:right w:w="40" w:type="dxa"/>
            </w:tcMar>
            <w:vAlign w:val="center"/>
            <w:hideMark/>
          </w:tcPr>
          <w:p w14:paraId="26F2E775" w14:textId="77777777" w:rsidR="008A66C2" w:rsidRDefault="008A66C2" w:rsidP="008A66C2">
            <w:pPr>
              <w:pStyle w:val="Normal4"/>
              <w:ind w:left="149" w:hanging="149"/>
              <w:rPr>
                <w:rFonts w:ascii="Calibri" w:eastAsia="Calibri" w:hAnsi="Calibri" w:cs="Calibri"/>
                <w:color w:val="000000"/>
                <w:sz w:val="18"/>
              </w:rPr>
            </w:pPr>
            <w:r>
              <w:rPr>
                <w:rFonts w:ascii="Calibri" w:eastAsia="Calibri" w:hAnsi="Calibri" w:cs="Calibri"/>
                <w:color w:val="000000"/>
                <w:sz w:val="18"/>
              </w:rPr>
              <w:t>Canberra Light Rail – New Mitchell Light Rail Stop</w:t>
            </w:r>
          </w:p>
        </w:tc>
        <w:tc>
          <w:tcPr>
            <w:tcW w:w="975" w:type="dxa"/>
            <w:tcBorders>
              <w:top w:val="nil"/>
              <w:left w:val="nil"/>
              <w:bottom w:val="nil"/>
              <w:right w:val="nil"/>
            </w:tcBorders>
            <w:noWrap/>
            <w:tcMar>
              <w:top w:w="0" w:type="dxa"/>
              <w:left w:w="40" w:type="dxa"/>
              <w:bottom w:w="0" w:type="dxa"/>
              <w:right w:w="40" w:type="dxa"/>
            </w:tcMar>
            <w:hideMark/>
          </w:tcPr>
          <w:p w14:paraId="4FA632E5"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10 486</w:t>
            </w:r>
          </w:p>
        </w:tc>
        <w:tc>
          <w:tcPr>
            <w:tcW w:w="975" w:type="dxa"/>
            <w:gridSpan w:val="2"/>
            <w:tcBorders>
              <w:top w:val="nil"/>
              <w:left w:val="nil"/>
              <w:bottom w:val="nil"/>
              <w:right w:val="nil"/>
            </w:tcBorders>
            <w:noWrap/>
            <w:tcMar>
              <w:top w:w="0" w:type="dxa"/>
              <w:left w:w="40" w:type="dxa"/>
              <w:bottom w:w="0" w:type="dxa"/>
              <w:right w:w="40" w:type="dxa"/>
            </w:tcMar>
            <w:hideMark/>
          </w:tcPr>
          <w:p w14:paraId="35FB484B"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1 514</w:t>
            </w:r>
          </w:p>
        </w:tc>
        <w:tc>
          <w:tcPr>
            <w:tcW w:w="975" w:type="dxa"/>
            <w:gridSpan w:val="2"/>
            <w:tcBorders>
              <w:top w:val="nil"/>
              <w:left w:val="nil"/>
              <w:bottom w:val="nil"/>
              <w:right w:val="nil"/>
            </w:tcBorders>
            <w:noWrap/>
            <w:tcMar>
              <w:top w:w="0" w:type="dxa"/>
              <w:left w:w="40" w:type="dxa"/>
              <w:bottom w:w="0" w:type="dxa"/>
              <w:right w:w="40" w:type="dxa"/>
            </w:tcMar>
            <w:hideMark/>
          </w:tcPr>
          <w:p w14:paraId="04113B91"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2426E6BF"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125" w:type="dxa"/>
            <w:gridSpan w:val="2"/>
            <w:tcBorders>
              <w:top w:val="nil"/>
              <w:left w:val="nil"/>
              <w:bottom w:val="nil"/>
              <w:right w:val="nil"/>
            </w:tcBorders>
            <w:noWrap/>
            <w:tcMar>
              <w:top w:w="0" w:type="dxa"/>
              <w:left w:w="40" w:type="dxa"/>
              <w:bottom w:w="0" w:type="dxa"/>
              <w:right w:w="40" w:type="dxa"/>
            </w:tcMar>
            <w:hideMark/>
          </w:tcPr>
          <w:p w14:paraId="036EE24A"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12 000</w:t>
            </w:r>
          </w:p>
        </w:tc>
        <w:tc>
          <w:tcPr>
            <w:tcW w:w="1248" w:type="dxa"/>
            <w:gridSpan w:val="2"/>
            <w:tcBorders>
              <w:top w:val="nil"/>
              <w:left w:val="nil"/>
              <w:bottom w:val="nil"/>
              <w:right w:val="nil"/>
            </w:tcBorders>
            <w:noWrap/>
            <w:tcMar>
              <w:top w:w="0" w:type="dxa"/>
              <w:left w:w="40" w:type="dxa"/>
              <w:bottom w:w="0" w:type="dxa"/>
              <w:right w:w="40" w:type="dxa"/>
            </w:tcMar>
            <w:hideMark/>
          </w:tcPr>
          <w:p w14:paraId="4FEBED80"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Jul-21</w:t>
            </w:r>
          </w:p>
        </w:tc>
      </w:tr>
      <w:tr w:rsidR="008A66C2" w14:paraId="7C636D68"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480"/>
        </w:trPr>
        <w:tc>
          <w:tcPr>
            <w:tcW w:w="3225" w:type="dxa"/>
            <w:gridSpan w:val="2"/>
            <w:tcBorders>
              <w:top w:val="nil"/>
              <w:left w:val="nil"/>
              <w:bottom w:val="nil"/>
              <w:right w:val="nil"/>
            </w:tcBorders>
            <w:tcMar>
              <w:top w:w="0" w:type="dxa"/>
              <w:left w:w="40" w:type="dxa"/>
              <w:bottom w:w="0" w:type="dxa"/>
              <w:right w:w="40" w:type="dxa"/>
            </w:tcMar>
            <w:vAlign w:val="center"/>
            <w:hideMark/>
          </w:tcPr>
          <w:p w14:paraId="77D53BC4" w14:textId="77777777" w:rsidR="008A66C2" w:rsidRDefault="008A66C2" w:rsidP="008A66C2">
            <w:pPr>
              <w:pStyle w:val="Normal4"/>
              <w:ind w:left="149" w:hanging="149"/>
              <w:rPr>
                <w:rFonts w:ascii="Calibri" w:eastAsia="Calibri" w:hAnsi="Calibri" w:cs="Calibri"/>
                <w:color w:val="000000"/>
                <w:sz w:val="18"/>
              </w:rPr>
            </w:pPr>
            <w:r>
              <w:rPr>
                <w:rFonts w:ascii="Calibri" w:eastAsia="Calibri" w:hAnsi="Calibri" w:cs="Calibri"/>
                <w:color w:val="000000"/>
                <w:sz w:val="18"/>
              </w:rPr>
              <w:t>Light Rail Stage 2 – Design and Raising London Circuit</w:t>
            </w:r>
          </w:p>
        </w:tc>
        <w:tc>
          <w:tcPr>
            <w:tcW w:w="975" w:type="dxa"/>
            <w:tcBorders>
              <w:top w:val="nil"/>
              <w:left w:val="nil"/>
              <w:bottom w:val="nil"/>
              <w:right w:val="nil"/>
            </w:tcBorders>
            <w:noWrap/>
            <w:tcMar>
              <w:top w:w="0" w:type="dxa"/>
              <w:left w:w="40" w:type="dxa"/>
              <w:bottom w:w="0" w:type="dxa"/>
              <w:right w:w="40" w:type="dxa"/>
            </w:tcMar>
            <w:hideMark/>
          </w:tcPr>
          <w:p w14:paraId="4A62CA22"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1 472</w:t>
            </w:r>
          </w:p>
        </w:tc>
        <w:tc>
          <w:tcPr>
            <w:tcW w:w="975" w:type="dxa"/>
            <w:gridSpan w:val="2"/>
            <w:tcBorders>
              <w:top w:val="nil"/>
              <w:left w:val="nil"/>
              <w:bottom w:val="nil"/>
              <w:right w:val="nil"/>
            </w:tcBorders>
            <w:noWrap/>
            <w:tcMar>
              <w:top w:w="0" w:type="dxa"/>
              <w:left w:w="40" w:type="dxa"/>
              <w:bottom w:w="0" w:type="dxa"/>
              <w:right w:w="40" w:type="dxa"/>
            </w:tcMar>
            <w:hideMark/>
          </w:tcPr>
          <w:p w14:paraId="4AF164F9"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29BB9081"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75" w:type="dxa"/>
            <w:gridSpan w:val="2"/>
            <w:tcBorders>
              <w:top w:val="nil"/>
              <w:left w:val="nil"/>
              <w:bottom w:val="nil"/>
              <w:right w:val="nil"/>
            </w:tcBorders>
            <w:noWrap/>
            <w:tcMar>
              <w:top w:w="0" w:type="dxa"/>
              <w:left w:w="40" w:type="dxa"/>
              <w:bottom w:w="0" w:type="dxa"/>
              <w:right w:w="40" w:type="dxa"/>
            </w:tcMar>
            <w:hideMark/>
          </w:tcPr>
          <w:p w14:paraId="1BA37BDC"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125" w:type="dxa"/>
            <w:gridSpan w:val="2"/>
            <w:tcBorders>
              <w:top w:val="nil"/>
              <w:left w:val="nil"/>
              <w:bottom w:val="nil"/>
              <w:right w:val="nil"/>
            </w:tcBorders>
            <w:noWrap/>
            <w:tcMar>
              <w:top w:w="0" w:type="dxa"/>
              <w:left w:w="40" w:type="dxa"/>
              <w:bottom w:w="0" w:type="dxa"/>
              <w:right w:w="40" w:type="dxa"/>
            </w:tcMar>
            <w:hideMark/>
          </w:tcPr>
          <w:p w14:paraId="69D355FA" w14:textId="77777777" w:rsidR="008A66C2" w:rsidRDefault="008A66C2" w:rsidP="008A66C2">
            <w:pPr>
              <w:pStyle w:val="Normal4"/>
              <w:jc w:val="right"/>
              <w:rPr>
                <w:rFonts w:ascii="Calibri" w:eastAsia="Calibri" w:hAnsi="Calibri" w:cs="Calibri"/>
                <w:color w:val="000000"/>
                <w:sz w:val="18"/>
              </w:rPr>
            </w:pPr>
            <w:r>
              <w:rPr>
                <w:rFonts w:ascii="Calibri" w:eastAsia="Calibri" w:hAnsi="Calibri" w:cs="Calibri"/>
                <w:color w:val="000000"/>
                <w:sz w:val="18"/>
              </w:rPr>
              <w:t>1 472</w:t>
            </w:r>
          </w:p>
        </w:tc>
        <w:tc>
          <w:tcPr>
            <w:tcW w:w="1248" w:type="dxa"/>
            <w:gridSpan w:val="2"/>
            <w:tcBorders>
              <w:top w:val="nil"/>
              <w:left w:val="nil"/>
              <w:bottom w:val="nil"/>
              <w:right w:val="nil"/>
            </w:tcBorders>
            <w:noWrap/>
            <w:tcMar>
              <w:top w:w="0" w:type="dxa"/>
              <w:left w:w="40" w:type="dxa"/>
              <w:bottom w:w="0" w:type="dxa"/>
              <w:right w:w="40" w:type="dxa"/>
            </w:tcMar>
            <w:hideMark/>
          </w:tcPr>
          <w:p w14:paraId="6B96345B" w14:textId="77777777" w:rsidR="008A66C2" w:rsidRPr="00E2361F" w:rsidRDefault="008A66C2" w:rsidP="008A66C2">
            <w:pPr>
              <w:pStyle w:val="Normal4"/>
              <w:jc w:val="right"/>
              <w:rPr>
                <w:rFonts w:ascii="Calibri" w:eastAsia="Calibri" w:hAnsi="Calibri" w:cs="Calibri"/>
                <w:color w:val="000000"/>
                <w:sz w:val="18"/>
                <w:vertAlign w:val="superscript"/>
              </w:rPr>
            </w:pPr>
            <w:r>
              <w:rPr>
                <w:rFonts w:ascii="Calibri" w:eastAsia="Calibri" w:hAnsi="Calibri" w:cs="Calibri"/>
                <w:color w:val="000000"/>
                <w:sz w:val="18"/>
              </w:rPr>
              <w:t>Jun-23</w:t>
            </w:r>
            <w:r>
              <w:rPr>
                <w:rFonts w:ascii="Calibri" w:eastAsia="Calibri" w:hAnsi="Calibri" w:cs="Calibri"/>
                <w:color w:val="000000"/>
                <w:sz w:val="18"/>
                <w:vertAlign w:val="superscript"/>
              </w:rPr>
              <w:t>1</w:t>
            </w:r>
          </w:p>
        </w:tc>
      </w:tr>
      <w:tr w:rsidR="008A66C2" w14:paraId="0210C751" w14:textId="77777777" w:rsidTr="008A6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240"/>
        </w:trPr>
        <w:tc>
          <w:tcPr>
            <w:tcW w:w="3225" w:type="dxa"/>
            <w:gridSpan w:val="2"/>
            <w:tcBorders>
              <w:top w:val="nil"/>
              <w:left w:val="nil"/>
              <w:bottom w:val="nil"/>
              <w:right w:val="nil"/>
            </w:tcBorders>
            <w:tcMar>
              <w:top w:w="0" w:type="dxa"/>
              <w:left w:w="40" w:type="dxa"/>
              <w:bottom w:w="0" w:type="dxa"/>
              <w:right w:w="40" w:type="dxa"/>
            </w:tcMar>
            <w:vAlign w:val="center"/>
            <w:hideMark/>
          </w:tcPr>
          <w:p w14:paraId="0D6933C8" w14:textId="77777777" w:rsidR="008A66C2" w:rsidRDefault="008A66C2" w:rsidP="008A66C2">
            <w:pPr>
              <w:pStyle w:val="Normal4"/>
              <w:rPr>
                <w:rFonts w:ascii="Calibri" w:eastAsia="Calibri" w:hAnsi="Calibri" w:cs="Calibri"/>
                <w:b/>
                <w:color w:val="000000"/>
                <w:sz w:val="18"/>
              </w:rPr>
            </w:pPr>
            <w:r>
              <w:rPr>
                <w:rFonts w:ascii="Calibri" w:eastAsia="Calibri" w:hAnsi="Calibri" w:cs="Calibri"/>
                <w:b/>
                <w:color w:val="000000"/>
                <w:sz w:val="18"/>
              </w:rPr>
              <w:t>Total New Works</w:t>
            </w:r>
          </w:p>
        </w:tc>
        <w:tc>
          <w:tcPr>
            <w:tcW w:w="975" w:type="dxa"/>
            <w:tcBorders>
              <w:top w:val="nil"/>
              <w:left w:val="nil"/>
              <w:bottom w:val="nil"/>
              <w:right w:val="nil"/>
            </w:tcBorders>
            <w:noWrap/>
            <w:tcMar>
              <w:top w:w="0" w:type="dxa"/>
              <w:left w:w="40" w:type="dxa"/>
              <w:bottom w:w="0" w:type="dxa"/>
              <w:right w:w="40" w:type="dxa"/>
            </w:tcMar>
            <w:vAlign w:val="center"/>
            <w:hideMark/>
          </w:tcPr>
          <w:p w14:paraId="17F44305"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45 420</w:t>
            </w:r>
          </w:p>
        </w:tc>
        <w:tc>
          <w:tcPr>
            <w:tcW w:w="975" w:type="dxa"/>
            <w:gridSpan w:val="2"/>
            <w:tcBorders>
              <w:top w:val="nil"/>
              <w:left w:val="nil"/>
              <w:bottom w:val="nil"/>
              <w:right w:val="nil"/>
            </w:tcBorders>
            <w:noWrap/>
            <w:tcMar>
              <w:top w:w="0" w:type="dxa"/>
              <w:left w:w="40" w:type="dxa"/>
              <w:bottom w:w="0" w:type="dxa"/>
              <w:right w:w="40" w:type="dxa"/>
            </w:tcMar>
            <w:vAlign w:val="center"/>
            <w:hideMark/>
          </w:tcPr>
          <w:p w14:paraId="10BBD59C"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56 352</w:t>
            </w:r>
          </w:p>
        </w:tc>
        <w:tc>
          <w:tcPr>
            <w:tcW w:w="975" w:type="dxa"/>
            <w:gridSpan w:val="2"/>
            <w:tcBorders>
              <w:top w:val="nil"/>
              <w:left w:val="nil"/>
              <w:bottom w:val="nil"/>
              <w:right w:val="nil"/>
            </w:tcBorders>
            <w:noWrap/>
            <w:tcMar>
              <w:top w:w="0" w:type="dxa"/>
              <w:left w:w="40" w:type="dxa"/>
              <w:bottom w:w="0" w:type="dxa"/>
              <w:right w:w="40" w:type="dxa"/>
            </w:tcMar>
            <w:vAlign w:val="center"/>
            <w:hideMark/>
          </w:tcPr>
          <w:p w14:paraId="10FE7D65"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84 000</w:t>
            </w:r>
          </w:p>
        </w:tc>
        <w:tc>
          <w:tcPr>
            <w:tcW w:w="975" w:type="dxa"/>
            <w:gridSpan w:val="2"/>
            <w:tcBorders>
              <w:top w:val="nil"/>
              <w:left w:val="nil"/>
              <w:bottom w:val="nil"/>
              <w:right w:val="nil"/>
            </w:tcBorders>
            <w:noWrap/>
            <w:tcMar>
              <w:top w:w="0" w:type="dxa"/>
              <w:left w:w="40" w:type="dxa"/>
              <w:bottom w:w="0" w:type="dxa"/>
              <w:right w:w="40" w:type="dxa"/>
            </w:tcMar>
            <w:vAlign w:val="center"/>
            <w:hideMark/>
          </w:tcPr>
          <w:p w14:paraId="0E1D3641"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92 000</w:t>
            </w:r>
          </w:p>
        </w:tc>
        <w:tc>
          <w:tcPr>
            <w:tcW w:w="1125" w:type="dxa"/>
            <w:gridSpan w:val="2"/>
            <w:tcBorders>
              <w:top w:val="nil"/>
              <w:left w:val="nil"/>
              <w:bottom w:val="nil"/>
              <w:right w:val="nil"/>
            </w:tcBorders>
            <w:noWrap/>
            <w:tcMar>
              <w:top w:w="0" w:type="dxa"/>
              <w:left w:w="40" w:type="dxa"/>
              <w:bottom w:w="0" w:type="dxa"/>
              <w:right w:w="40" w:type="dxa"/>
            </w:tcMar>
            <w:vAlign w:val="center"/>
            <w:hideMark/>
          </w:tcPr>
          <w:p w14:paraId="11B715B0" w14:textId="77777777" w:rsidR="008A66C2" w:rsidRDefault="008A66C2" w:rsidP="008A66C2">
            <w:pPr>
              <w:pStyle w:val="Normal4"/>
              <w:jc w:val="right"/>
              <w:rPr>
                <w:rFonts w:ascii="Calibri" w:eastAsia="Calibri" w:hAnsi="Calibri" w:cs="Calibri"/>
                <w:b/>
                <w:color w:val="000000"/>
                <w:sz w:val="18"/>
              </w:rPr>
            </w:pPr>
            <w:r>
              <w:rPr>
                <w:rFonts w:ascii="Calibri" w:eastAsia="Calibri" w:hAnsi="Calibri" w:cs="Calibri"/>
                <w:b/>
                <w:color w:val="000000"/>
                <w:sz w:val="18"/>
              </w:rPr>
              <w:t>277 772</w:t>
            </w:r>
          </w:p>
        </w:tc>
        <w:tc>
          <w:tcPr>
            <w:tcW w:w="1248" w:type="dxa"/>
            <w:gridSpan w:val="2"/>
            <w:tcBorders>
              <w:top w:val="nil"/>
              <w:left w:val="nil"/>
              <w:bottom w:val="nil"/>
              <w:right w:val="nil"/>
            </w:tcBorders>
            <w:noWrap/>
            <w:tcMar>
              <w:top w:w="0" w:type="dxa"/>
              <w:left w:w="0" w:type="dxa"/>
              <w:bottom w:w="0" w:type="dxa"/>
              <w:right w:w="0" w:type="dxa"/>
            </w:tcMar>
          </w:tcPr>
          <w:p w14:paraId="37C7ABA6" w14:textId="77777777" w:rsidR="008A66C2" w:rsidRDefault="008A66C2" w:rsidP="008A66C2">
            <w:pPr>
              <w:pStyle w:val="Normal4"/>
              <w:jc w:val="right"/>
              <w:rPr>
                <w:rFonts w:ascii="Calibri" w:eastAsia="Calibri" w:hAnsi="Calibri" w:cs="Calibri"/>
                <w:color w:val="000000"/>
                <w:sz w:val="18"/>
              </w:rPr>
            </w:pPr>
          </w:p>
        </w:tc>
      </w:tr>
      <w:tr w:rsidR="002109FF" w14:paraId="70DAC78B" w14:textId="77777777" w:rsidTr="00210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240"/>
        </w:trPr>
        <w:tc>
          <w:tcPr>
            <w:tcW w:w="3225" w:type="dxa"/>
            <w:gridSpan w:val="2"/>
            <w:tcBorders>
              <w:top w:val="nil"/>
              <w:left w:val="nil"/>
              <w:bottom w:val="single" w:sz="4" w:space="0" w:color="auto"/>
              <w:right w:val="nil"/>
            </w:tcBorders>
            <w:tcMar>
              <w:top w:w="0" w:type="dxa"/>
              <w:left w:w="40" w:type="dxa"/>
              <w:bottom w:w="0" w:type="dxa"/>
              <w:right w:w="40" w:type="dxa"/>
            </w:tcMar>
            <w:vAlign w:val="center"/>
          </w:tcPr>
          <w:p w14:paraId="2CAF28A1" w14:textId="77777777" w:rsidR="002109FF" w:rsidRDefault="002109FF" w:rsidP="008A66C2">
            <w:pPr>
              <w:pStyle w:val="Normal4"/>
              <w:rPr>
                <w:rFonts w:ascii="Calibri" w:eastAsia="Calibri" w:hAnsi="Calibri" w:cs="Calibri"/>
                <w:b/>
                <w:color w:val="000000"/>
                <w:sz w:val="18"/>
              </w:rPr>
            </w:pPr>
          </w:p>
        </w:tc>
        <w:tc>
          <w:tcPr>
            <w:tcW w:w="975" w:type="dxa"/>
            <w:tcBorders>
              <w:top w:val="nil"/>
              <w:left w:val="nil"/>
              <w:bottom w:val="single" w:sz="4" w:space="0" w:color="auto"/>
              <w:right w:val="nil"/>
            </w:tcBorders>
            <w:noWrap/>
            <w:tcMar>
              <w:top w:w="0" w:type="dxa"/>
              <w:left w:w="40" w:type="dxa"/>
              <w:bottom w:w="0" w:type="dxa"/>
              <w:right w:w="40" w:type="dxa"/>
            </w:tcMar>
            <w:vAlign w:val="center"/>
          </w:tcPr>
          <w:p w14:paraId="56B684CD" w14:textId="77777777" w:rsidR="002109FF" w:rsidRDefault="002109FF" w:rsidP="008A66C2">
            <w:pPr>
              <w:pStyle w:val="Normal4"/>
              <w:jc w:val="right"/>
              <w:rPr>
                <w:rFonts w:ascii="Calibri" w:eastAsia="Calibri" w:hAnsi="Calibri" w:cs="Calibri"/>
                <w:b/>
                <w:color w:val="000000"/>
                <w:sz w:val="18"/>
              </w:rPr>
            </w:pPr>
          </w:p>
        </w:tc>
        <w:tc>
          <w:tcPr>
            <w:tcW w:w="975" w:type="dxa"/>
            <w:gridSpan w:val="2"/>
            <w:tcBorders>
              <w:top w:val="nil"/>
              <w:left w:val="nil"/>
              <w:bottom w:val="single" w:sz="4" w:space="0" w:color="auto"/>
              <w:right w:val="nil"/>
            </w:tcBorders>
            <w:noWrap/>
            <w:tcMar>
              <w:top w:w="0" w:type="dxa"/>
              <w:left w:w="40" w:type="dxa"/>
              <w:bottom w:w="0" w:type="dxa"/>
              <w:right w:w="40" w:type="dxa"/>
            </w:tcMar>
            <w:vAlign w:val="center"/>
          </w:tcPr>
          <w:p w14:paraId="33117DEC" w14:textId="77777777" w:rsidR="002109FF" w:rsidRDefault="002109FF" w:rsidP="008A66C2">
            <w:pPr>
              <w:pStyle w:val="Normal4"/>
              <w:jc w:val="right"/>
              <w:rPr>
                <w:rFonts w:ascii="Calibri" w:eastAsia="Calibri" w:hAnsi="Calibri" w:cs="Calibri"/>
                <w:b/>
                <w:color w:val="000000"/>
                <w:sz w:val="18"/>
              </w:rPr>
            </w:pPr>
          </w:p>
        </w:tc>
        <w:tc>
          <w:tcPr>
            <w:tcW w:w="975" w:type="dxa"/>
            <w:gridSpan w:val="2"/>
            <w:tcBorders>
              <w:top w:val="nil"/>
              <w:left w:val="nil"/>
              <w:bottom w:val="single" w:sz="4" w:space="0" w:color="auto"/>
              <w:right w:val="nil"/>
            </w:tcBorders>
            <w:noWrap/>
            <w:tcMar>
              <w:top w:w="0" w:type="dxa"/>
              <w:left w:w="40" w:type="dxa"/>
              <w:bottom w:w="0" w:type="dxa"/>
              <w:right w:w="40" w:type="dxa"/>
            </w:tcMar>
            <w:vAlign w:val="center"/>
          </w:tcPr>
          <w:p w14:paraId="41188B38" w14:textId="77777777" w:rsidR="002109FF" w:rsidRDefault="002109FF" w:rsidP="008A66C2">
            <w:pPr>
              <w:pStyle w:val="Normal4"/>
              <w:jc w:val="right"/>
              <w:rPr>
                <w:rFonts w:ascii="Calibri" w:eastAsia="Calibri" w:hAnsi="Calibri" w:cs="Calibri"/>
                <w:b/>
                <w:color w:val="000000"/>
                <w:sz w:val="18"/>
              </w:rPr>
            </w:pPr>
          </w:p>
        </w:tc>
        <w:tc>
          <w:tcPr>
            <w:tcW w:w="975" w:type="dxa"/>
            <w:gridSpan w:val="2"/>
            <w:tcBorders>
              <w:top w:val="nil"/>
              <w:left w:val="nil"/>
              <w:bottom w:val="single" w:sz="4" w:space="0" w:color="auto"/>
              <w:right w:val="nil"/>
            </w:tcBorders>
            <w:noWrap/>
            <w:tcMar>
              <w:top w:w="0" w:type="dxa"/>
              <w:left w:w="40" w:type="dxa"/>
              <w:bottom w:w="0" w:type="dxa"/>
              <w:right w:w="40" w:type="dxa"/>
            </w:tcMar>
            <w:vAlign w:val="center"/>
          </w:tcPr>
          <w:p w14:paraId="65A1BDEE" w14:textId="77777777" w:rsidR="002109FF" w:rsidRDefault="002109FF" w:rsidP="008A66C2">
            <w:pPr>
              <w:pStyle w:val="Normal4"/>
              <w:jc w:val="right"/>
              <w:rPr>
                <w:rFonts w:ascii="Calibri" w:eastAsia="Calibri" w:hAnsi="Calibri" w:cs="Calibri"/>
                <w:b/>
                <w:color w:val="000000"/>
                <w:sz w:val="18"/>
              </w:rPr>
            </w:pPr>
          </w:p>
        </w:tc>
        <w:tc>
          <w:tcPr>
            <w:tcW w:w="1125" w:type="dxa"/>
            <w:gridSpan w:val="2"/>
            <w:tcBorders>
              <w:top w:val="nil"/>
              <w:left w:val="nil"/>
              <w:bottom w:val="single" w:sz="4" w:space="0" w:color="auto"/>
              <w:right w:val="nil"/>
            </w:tcBorders>
            <w:noWrap/>
            <w:tcMar>
              <w:top w:w="0" w:type="dxa"/>
              <w:left w:w="40" w:type="dxa"/>
              <w:bottom w:w="0" w:type="dxa"/>
              <w:right w:w="40" w:type="dxa"/>
            </w:tcMar>
            <w:vAlign w:val="center"/>
          </w:tcPr>
          <w:p w14:paraId="09004475" w14:textId="77777777" w:rsidR="002109FF" w:rsidRDefault="002109FF" w:rsidP="008A66C2">
            <w:pPr>
              <w:pStyle w:val="Normal4"/>
              <w:jc w:val="right"/>
              <w:rPr>
                <w:rFonts w:ascii="Calibri" w:eastAsia="Calibri" w:hAnsi="Calibri" w:cs="Calibri"/>
                <w:b/>
                <w:color w:val="000000"/>
                <w:sz w:val="18"/>
              </w:rPr>
            </w:pPr>
          </w:p>
        </w:tc>
        <w:tc>
          <w:tcPr>
            <w:tcW w:w="1248" w:type="dxa"/>
            <w:gridSpan w:val="2"/>
            <w:tcBorders>
              <w:top w:val="nil"/>
              <w:left w:val="nil"/>
              <w:bottom w:val="single" w:sz="4" w:space="0" w:color="auto"/>
              <w:right w:val="nil"/>
            </w:tcBorders>
            <w:noWrap/>
            <w:tcMar>
              <w:top w:w="0" w:type="dxa"/>
              <w:left w:w="0" w:type="dxa"/>
              <w:bottom w:w="0" w:type="dxa"/>
              <w:right w:w="0" w:type="dxa"/>
            </w:tcMar>
          </w:tcPr>
          <w:p w14:paraId="6A4EECAE" w14:textId="77777777" w:rsidR="002109FF" w:rsidRDefault="002109FF" w:rsidP="008A66C2">
            <w:pPr>
              <w:pStyle w:val="Normal4"/>
              <w:jc w:val="right"/>
              <w:rPr>
                <w:rFonts w:ascii="Calibri" w:eastAsia="Calibri" w:hAnsi="Calibri" w:cs="Calibri"/>
                <w:color w:val="000000"/>
                <w:sz w:val="18"/>
              </w:rPr>
            </w:pPr>
          </w:p>
        </w:tc>
      </w:tr>
      <w:tr w:rsidR="002109FF" w14:paraId="6E69A8F2" w14:textId="77777777" w:rsidTr="00210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240"/>
        </w:trPr>
        <w:tc>
          <w:tcPr>
            <w:tcW w:w="3225" w:type="dxa"/>
            <w:gridSpan w:val="2"/>
            <w:tcBorders>
              <w:top w:val="single" w:sz="4" w:space="0" w:color="auto"/>
              <w:left w:val="nil"/>
              <w:bottom w:val="single" w:sz="4" w:space="0" w:color="auto"/>
              <w:right w:val="nil"/>
            </w:tcBorders>
            <w:tcMar>
              <w:top w:w="0" w:type="dxa"/>
              <w:left w:w="40" w:type="dxa"/>
              <w:bottom w:w="0" w:type="dxa"/>
              <w:right w:w="40" w:type="dxa"/>
            </w:tcMar>
            <w:vAlign w:val="center"/>
          </w:tcPr>
          <w:p w14:paraId="0145C648" w14:textId="41D24DE0" w:rsidR="002109FF" w:rsidRDefault="002109FF" w:rsidP="008A66C2">
            <w:pPr>
              <w:pStyle w:val="Normal4"/>
              <w:rPr>
                <w:rFonts w:ascii="Calibri" w:eastAsia="Calibri" w:hAnsi="Calibri" w:cs="Calibri"/>
                <w:b/>
                <w:color w:val="000000"/>
                <w:sz w:val="18"/>
              </w:rPr>
            </w:pPr>
            <w:r>
              <w:rPr>
                <w:rFonts w:ascii="Calibri" w:eastAsia="Calibri" w:hAnsi="Calibri" w:cs="Calibri"/>
                <w:b/>
                <w:color w:val="000000"/>
                <w:sz w:val="18"/>
              </w:rPr>
              <w:t>Total Infrastructure Program</w:t>
            </w:r>
          </w:p>
        </w:tc>
        <w:tc>
          <w:tcPr>
            <w:tcW w:w="975" w:type="dxa"/>
            <w:tcBorders>
              <w:top w:val="single" w:sz="4" w:space="0" w:color="auto"/>
              <w:left w:val="nil"/>
              <w:bottom w:val="single" w:sz="4" w:space="0" w:color="auto"/>
              <w:right w:val="nil"/>
            </w:tcBorders>
            <w:noWrap/>
            <w:tcMar>
              <w:top w:w="0" w:type="dxa"/>
              <w:left w:w="40" w:type="dxa"/>
              <w:bottom w:w="0" w:type="dxa"/>
              <w:right w:w="40" w:type="dxa"/>
            </w:tcMar>
            <w:vAlign w:val="center"/>
          </w:tcPr>
          <w:p w14:paraId="6CD45813" w14:textId="515A8B27" w:rsidR="002109FF" w:rsidRDefault="00450635" w:rsidP="008A66C2">
            <w:pPr>
              <w:pStyle w:val="Normal4"/>
              <w:jc w:val="right"/>
              <w:rPr>
                <w:rFonts w:ascii="Calibri" w:eastAsia="Calibri" w:hAnsi="Calibri" w:cs="Calibri"/>
                <w:b/>
                <w:color w:val="000000"/>
                <w:sz w:val="18"/>
              </w:rPr>
            </w:pPr>
            <w:r>
              <w:rPr>
                <w:rFonts w:ascii="Calibri" w:eastAsia="Calibri" w:hAnsi="Calibri" w:cs="Calibri"/>
                <w:b/>
                <w:color w:val="000000"/>
                <w:sz w:val="18"/>
              </w:rPr>
              <w:t>92 796</w:t>
            </w:r>
          </w:p>
        </w:tc>
        <w:tc>
          <w:tcPr>
            <w:tcW w:w="975" w:type="dxa"/>
            <w:gridSpan w:val="2"/>
            <w:tcBorders>
              <w:top w:val="single" w:sz="4" w:space="0" w:color="auto"/>
              <w:left w:val="nil"/>
              <w:bottom w:val="single" w:sz="4" w:space="0" w:color="auto"/>
              <w:right w:val="nil"/>
            </w:tcBorders>
            <w:noWrap/>
            <w:tcMar>
              <w:top w:w="0" w:type="dxa"/>
              <w:left w:w="40" w:type="dxa"/>
              <w:bottom w:w="0" w:type="dxa"/>
              <w:right w:w="40" w:type="dxa"/>
            </w:tcMar>
            <w:vAlign w:val="center"/>
          </w:tcPr>
          <w:p w14:paraId="2943B948" w14:textId="53D72E53" w:rsidR="002109FF" w:rsidRDefault="00450635" w:rsidP="008A66C2">
            <w:pPr>
              <w:pStyle w:val="Normal4"/>
              <w:jc w:val="right"/>
              <w:rPr>
                <w:rFonts w:ascii="Calibri" w:eastAsia="Calibri" w:hAnsi="Calibri" w:cs="Calibri"/>
                <w:b/>
                <w:color w:val="000000"/>
                <w:sz w:val="18"/>
              </w:rPr>
            </w:pPr>
            <w:r>
              <w:rPr>
                <w:rFonts w:ascii="Calibri" w:eastAsia="Calibri" w:hAnsi="Calibri" w:cs="Calibri"/>
                <w:b/>
                <w:color w:val="000000"/>
                <w:sz w:val="18"/>
              </w:rPr>
              <w:t>56 352</w:t>
            </w:r>
          </w:p>
        </w:tc>
        <w:tc>
          <w:tcPr>
            <w:tcW w:w="975" w:type="dxa"/>
            <w:gridSpan w:val="2"/>
            <w:tcBorders>
              <w:top w:val="single" w:sz="4" w:space="0" w:color="auto"/>
              <w:left w:val="nil"/>
              <w:bottom w:val="single" w:sz="4" w:space="0" w:color="auto"/>
              <w:right w:val="nil"/>
            </w:tcBorders>
            <w:noWrap/>
            <w:tcMar>
              <w:top w:w="0" w:type="dxa"/>
              <w:left w:w="40" w:type="dxa"/>
              <w:bottom w:w="0" w:type="dxa"/>
              <w:right w:w="40" w:type="dxa"/>
            </w:tcMar>
            <w:vAlign w:val="center"/>
          </w:tcPr>
          <w:p w14:paraId="2627BF39" w14:textId="7D577293" w:rsidR="002109FF" w:rsidRDefault="00450635" w:rsidP="008A66C2">
            <w:pPr>
              <w:pStyle w:val="Normal4"/>
              <w:jc w:val="right"/>
              <w:rPr>
                <w:rFonts w:ascii="Calibri" w:eastAsia="Calibri" w:hAnsi="Calibri" w:cs="Calibri"/>
                <w:b/>
                <w:color w:val="000000"/>
                <w:sz w:val="18"/>
              </w:rPr>
            </w:pPr>
            <w:r>
              <w:rPr>
                <w:rFonts w:ascii="Calibri" w:eastAsia="Calibri" w:hAnsi="Calibri" w:cs="Calibri"/>
                <w:b/>
                <w:color w:val="000000"/>
                <w:sz w:val="18"/>
              </w:rPr>
              <w:t>84 000</w:t>
            </w:r>
          </w:p>
        </w:tc>
        <w:tc>
          <w:tcPr>
            <w:tcW w:w="975" w:type="dxa"/>
            <w:gridSpan w:val="2"/>
            <w:tcBorders>
              <w:top w:val="single" w:sz="4" w:space="0" w:color="auto"/>
              <w:left w:val="nil"/>
              <w:bottom w:val="single" w:sz="4" w:space="0" w:color="auto"/>
              <w:right w:val="nil"/>
            </w:tcBorders>
            <w:noWrap/>
            <w:tcMar>
              <w:top w:w="0" w:type="dxa"/>
              <w:left w:w="40" w:type="dxa"/>
              <w:bottom w:w="0" w:type="dxa"/>
              <w:right w:w="40" w:type="dxa"/>
            </w:tcMar>
            <w:vAlign w:val="center"/>
          </w:tcPr>
          <w:p w14:paraId="5DDFACCC" w14:textId="0FEE5172" w:rsidR="002109FF" w:rsidRDefault="00450635" w:rsidP="008A66C2">
            <w:pPr>
              <w:pStyle w:val="Normal4"/>
              <w:jc w:val="right"/>
              <w:rPr>
                <w:rFonts w:ascii="Calibri" w:eastAsia="Calibri" w:hAnsi="Calibri" w:cs="Calibri"/>
                <w:b/>
                <w:color w:val="000000"/>
                <w:sz w:val="18"/>
              </w:rPr>
            </w:pPr>
            <w:r>
              <w:rPr>
                <w:rFonts w:ascii="Calibri" w:eastAsia="Calibri" w:hAnsi="Calibri" w:cs="Calibri"/>
                <w:b/>
                <w:color w:val="000000"/>
                <w:sz w:val="18"/>
              </w:rPr>
              <w:t>92 000</w:t>
            </w:r>
          </w:p>
        </w:tc>
        <w:tc>
          <w:tcPr>
            <w:tcW w:w="1125" w:type="dxa"/>
            <w:gridSpan w:val="2"/>
            <w:tcBorders>
              <w:top w:val="single" w:sz="4" w:space="0" w:color="auto"/>
              <w:left w:val="nil"/>
              <w:bottom w:val="single" w:sz="4" w:space="0" w:color="auto"/>
              <w:right w:val="nil"/>
            </w:tcBorders>
            <w:noWrap/>
            <w:tcMar>
              <w:top w:w="0" w:type="dxa"/>
              <w:left w:w="40" w:type="dxa"/>
              <w:bottom w:w="0" w:type="dxa"/>
              <w:right w:w="40" w:type="dxa"/>
            </w:tcMar>
            <w:vAlign w:val="center"/>
          </w:tcPr>
          <w:p w14:paraId="68F4E5B3" w14:textId="4A6A4894" w:rsidR="002109FF" w:rsidRDefault="00450635" w:rsidP="008A66C2">
            <w:pPr>
              <w:pStyle w:val="Normal4"/>
              <w:jc w:val="right"/>
              <w:rPr>
                <w:rFonts w:ascii="Calibri" w:eastAsia="Calibri" w:hAnsi="Calibri" w:cs="Calibri"/>
                <w:b/>
                <w:color w:val="000000"/>
                <w:sz w:val="18"/>
              </w:rPr>
            </w:pPr>
            <w:r>
              <w:rPr>
                <w:rFonts w:ascii="Calibri" w:eastAsia="Calibri" w:hAnsi="Calibri" w:cs="Calibri"/>
                <w:b/>
                <w:color w:val="000000"/>
                <w:sz w:val="18"/>
              </w:rPr>
              <w:t>325 148</w:t>
            </w:r>
          </w:p>
        </w:tc>
        <w:tc>
          <w:tcPr>
            <w:tcW w:w="1248" w:type="dxa"/>
            <w:gridSpan w:val="2"/>
            <w:tcBorders>
              <w:top w:val="single" w:sz="4" w:space="0" w:color="auto"/>
              <w:left w:val="nil"/>
              <w:bottom w:val="single" w:sz="4" w:space="0" w:color="auto"/>
              <w:right w:val="nil"/>
            </w:tcBorders>
            <w:noWrap/>
            <w:tcMar>
              <w:top w:w="0" w:type="dxa"/>
              <w:left w:w="0" w:type="dxa"/>
              <w:bottom w:w="0" w:type="dxa"/>
              <w:right w:w="0" w:type="dxa"/>
            </w:tcMar>
          </w:tcPr>
          <w:p w14:paraId="161CEAD5" w14:textId="77777777" w:rsidR="002109FF" w:rsidRDefault="002109FF" w:rsidP="008A66C2">
            <w:pPr>
              <w:pStyle w:val="Normal4"/>
              <w:jc w:val="right"/>
              <w:rPr>
                <w:rFonts w:ascii="Calibri" w:eastAsia="Calibri" w:hAnsi="Calibri" w:cs="Calibri"/>
                <w:color w:val="000000"/>
                <w:sz w:val="18"/>
              </w:rPr>
            </w:pPr>
          </w:p>
        </w:tc>
      </w:tr>
      <w:tr w:rsidR="008A66C2" w14:paraId="16FC2517" w14:textId="77777777" w:rsidTr="00210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1" w:type="dxa"/>
          <w:trHeight w:val="240"/>
        </w:trPr>
        <w:tc>
          <w:tcPr>
            <w:tcW w:w="3225" w:type="dxa"/>
            <w:gridSpan w:val="2"/>
            <w:tcBorders>
              <w:top w:val="single" w:sz="4" w:space="0" w:color="auto"/>
              <w:left w:val="nil"/>
              <w:bottom w:val="nil"/>
              <w:right w:val="nil"/>
            </w:tcBorders>
            <w:tcMar>
              <w:top w:w="0" w:type="dxa"/>
              <w:left w:w="0" w:type="dxa"/>
              <w:bottom w:w="0" w:type="dxa"/>
              <w:right w:w="0" w:type="dxa"/>
            </w:tcMar>
          </w:tcPr>
          <w:p w14:paraId="58BB10E4" w14:textId="77777777" w:rsidR="008A66C2" w:rsidRDefault="008A66C2" w:rsidP="008A66C2">
            <w:pPr>
              <w:pStyle w:val="Normal4"/>
              <w:rPr>
                <w:rFonts w:ascii="Calibri" w:eastAsia="Calibri" w:hAnsi="Calibri" w:cs="Calibri"/>
                <w:color w:val="000000"/>
                <w:sz w:val="18"/>
              </w:rPr>
            </w:pPr>
          </w:p>
        </w:tc>
        <w:tc>
          <w:tcPr>
            <w:tcW w:w="975" w:type="dxa"/>
            <w:tcBorders>
              <w:top w:val="single" w:sz="4" w:space="0" w:color="auto"/>
              <w:left w:val="nil"/>
              <w:bottom w:val="nil"/>
              <w:right w:val="nil"/>
            </w:tcBorders>
            <w:noWrap/>
            <w:tcMar>
              <w:top w:w="0" w:type="dxa"/>
              <w:left w:w="0" w:type="dxa"/>
              <w:bottom w:w="0" w:type="dxa"/>
              <w:right w:w="0" w:type="dxa"/>
            </w:tcMar>
          </w:tcPr>
          <w:p w14:paraId="1B83E9F4" w14:textId="77777777" w:rsidR="008A66C2" w:rsidRDefault="008A66C2" w:rsidP="008A66C2">
            <w:pPr>
              <w:pStyle w:val="Normal4"/>
              <w:rPr>
                <w:rFonts w:ascii="Calibri" w:eastAsia="Calibri" w:hAnsi="Calibri" w:cs="Calibri"/>
                <w:color w:val="000000"/>
                <w:sz w:val="18"/>
              </w:rPr>
            </w:pPr>
          </w:p>
        </w:tc>
        <w:tc>
          <w:tcPr>
            <w:tcW w:w="975" w:type="dxa"/>
            <w:gridSpan w:val="2"/>
            <w:tcBorders>
              <w:top w:val="single" w:sz="4" w:space="0" w:color="auto"/>
              <w:left w:val="nil"/>
              <w:bottom w:val="nil"/>
              <w:right w:val="nil"/>
            </w:tcBorders>
            <w:noWrap/>
            <w:tcMar>
              <w:top w:w="0" w:type="dxa"/>
              <w:left w:w="0" w:type="dxa"/>
              <w:bottom w:w="0" w:type="dxa"/>
              <w:right w:w="0" w:type="dxa"/>
            </w:tcMar>
          </w:tcPr>
          <w:p w14:paraId="2EB2E812" w14:textId="77777777" w:rsidR="008A66C2" w:rsidRDefault="008A66C2" w:rsidP="008A66C2">
            <w:pPr>
              <w:pStyle w:val="Normal4"/>
              <w:rPr>
                <w:rFonts w:ascii="Calibri" w:eastAsia="Calibri" w:hAnsi="Calibri" w:cs="Calibri"/>
                <w:color w:val="000000"/>
                <w:sz w:val="18"/>
              </w:rPr>
            </w:pPr>
          </w:p>
        </w:tc>
        <w:tc>
          <w:tcPr>
            <w:tcW w:w="975" w:type="dxa"/>
            <w:gridSpan w:val="2"/>
            <w:tcBorders>
              <w:top w:val="single" w:sz="4" w:space="0" w:color="auto"/>
              <w:left w:val="nil"/>
              <w:bottom w:val="nil"/>
              <w:right w:val="nil"/>
            </w:tcBorders>
            <w:noWrap/>
            <w:tcMar>
              <w:top w:w="0" w:type="dxa"/>
              <w:left w:w="0" w:type="dxa"/>
              <w:bottom w:w="0" w:type="dxa"/>
              <w:right w:w="0" w:type="dxa"/>
            </w:tcMar>
          </w:tcPr>
          <w:p w14:paraId="207DB762" w14:textId="77777777" w:rsidR="008A66C2" w:rsidRDefault="008A66C2" w:rsidP="008A66C2">
            <w:pPr>
              <w:pStyle w:val="Normal4"/>
              <w:rPr>
                <w:rFonts w:ascii="Calibri" w:eastAsia="Calibri" w:hAnsi="Calibri" w:cs="Calibri"/>
                <w:color w:val="000000"/>
                <w:sz w:val="18"/>
              </w:rPr>
            </w:pPr>
          </w:p>
        </w:tc>
        <w:tc>
          <w:tcPr>
            <w:tcW w:w="975" w:type="dxa"/>
            <w:gridSpan w:val="2"/>
            <w:tcBorders>
              <w:top w:val="single" w:sz="4" w:space="0" w:color="auto"/>
              <w:left w:val="nil"/>
              <w:bottom w:val="nil"/>
              <w:right w:val="nil"/>
            </w:tcBorders>
            <w:noWrap/>
            <w:tcMar>
              <w:top w:w="0" w:type="dxa"/>
              <w:left w:w="0" w:type="dxa"/>
              <w:bottom w:w="0" w:type="dxa"/>
              <w:right w:w="0" w:type="dxa"/>
            </w:tcMar>
          </w:tcPr>
          <w:p w14:paraId="11F0F0F6" w14:textId="77777777" w:rsidR="008A66C2" w:rsidRDefault="008A66C2" w:rsidP="008A66C2">
            <w:pPr>
              <w:pStyle w:val="Normal4"/>
              <w:rPr>
                <w:rFonts w:ascii="Calibri" w:eastAsia="Calibri" w:hAnsi="Calibri" w:cs="Calibri"/>
                <w:color w:val="000000"/>
                <w:sz w:val="18"/>
              </w:rPr>
            </w:pPr>
          </w:p>
        </w:tc>
        <w:tc>
          <w:tcPr>
            <w:tcW w:w="1125" w:type="dxa"/>
            <w:gridSpan w:val="2"/>
            <w:tcBorders>
              <w:top w:val="single" w:sz="4" w:space="0" w:color="auto"/>
              <w:left w:val="nil"/>
              <w:bottom w:val="nil"/>
              <w:right w:val="nil"/>
            </w:tcBorders>
            <w:noWrap/>
            <w:tcMar>
              <w:top w:w="0" w:type="dxa"/>
              <w:left w:w="0" w:type="dxa"/>
              <w:bottom w:w="0" w:type="dxa"/>
              <w:right w:w="0" w:type="dxa"/>
            </w:tcMar>
          </w:tcPr>
          <w:p w14:paraId="6358D658" w14:textId="77777777" w:rsidR="008A66C2" w:rsidRDefault="008A66C2" w:rsidP="008A66C2">
            <w:pPr>
              <w:pStyle w:val="Normal4"/>
              <w:rPr>
                <w:rFonts w:ascii="Calibri" w:eastAsia="Calibri" w:hAnsi="Calibri" w:cs="Calibri"/>
                <w:color w:val="000000"/>
                <w:sz w:val="18"/>
              </w:rPr>
            </w:pPr>
          </w:p>
        </w:tc>
        <w:tc>
          <w:tcPr>
            <w:tcW w:w="1248" w:type="dxa"/>
            <w:gridSpan w:val="2"/>
            <w:tcBorders>
              <w:top w:val="single" w:sz="4" w:space="0" w:color="auto"/>
              <w:left w:val="nil"/>
              <w:bottom w:val="nil"/>
              <w:right w:val="nil"/>
            </w:tcBorders>
            <w:noWrap/>
            <w:tcMar>
              <w:top w:w="0" w:type="dxa"/>
              <w:left w:w="0" w:type="dxa"/>
              <w:bottom w:w="0" w:type="dxa"/>
              <w:right w:w="0" w:type="dxa"/>
            </w:tcMar>
          </w:tcPr>
          <w:p w14:paraId="6223EB06" w14:textId="77777777" w:rsidR="008A66C2" w:rsidRDefault="008A66C2" w:rsidP="008A66C2">
            <w:pPr>
              <w:pStyle w:val="Normal4"/>
              <w:jc w:val="center"/>
              <w:rPr>
                <w:rFonts w:ascii="Calibri" w:eastAsia="Calibri" w:hAnsi="Calibri" w:cs="Calibri"/>
                <w:color w:val="000000"/>
                <w:sz w:val="18"/>
              </w:rPr>
            </w:pPr>
          </w:p>
        </w:tc>
      </w:tr>
    </w:tbl>
    <w:p w14:paraId="5E05F078" w14:textId="4CDEA102" w:rsidR="002109FF" w:rsidRDefault="002109FF" w:rsidP="002109FF">
      <w:pPr>
        <w:pStyle w:val="Normal5"/>
        <w:rPr>
          <w:rFonts w:ascii="Calibri" w:eastAsia="Calibri" w:hAnsi="Calibri" w:cs="Calibri"/>
          <w:bCs/>
          <w:color w:val="000000"/>
          <w:sz w:val="18"/>
        </w:rPr>
      </w:pPr>
    </w:p>
    <w:p w14:paraId="13D3B900" w14:textId="06D0BE9B" w:rsidR="00450635" w:rsidRPr="00450635" w:rsidRDefault="00450635" w:rsidP="004E3699">
      <w:pPr>
        <w:pStyle w:val="Normal5"/>
        <w:ind w:left="142"/>
        <w:rPr>
          <w:rFonts w:ascii="Calibri" w:eastAsia="Calibri" w:hAnsi="Calibri" w:cs="Calibri"/>
          <w:b/>
          <w:color w:val="000000"/>
          <w:sz w:val="18"/>
        </w:rPr>
      </w:pPr>
      <w:r w:rsidRPr="00450635">
        <w:rPr>
          <w:rFonts w:ascii="Calibri" w:eastAsia="Calibri" w:hAnsi="Calibri" w:cs="Calibri"/>
          <w:b/>
          <w:color w:val="000000"/>
          <w:sz w:val="18"/>
        </w:rPr>
        <w:t>Notes:</w:t>
      </w:r>
    </w:p>
    <w:p w14:paraId="3C1DD3D5" w14:textId="4C366678" w:rsidR="002109FF" w:rsidRDefault="002109FF" w:rsidP="004E3699">
      <w:pPr>
        <w:pStyle w:val="Normal5"/>
        <w:numPr>
          <w:ilvl w:val="3"/>
          <w:numId w:val="15"/>
        </w:numPr>
        <w:ind w:left="426" w:hanging="284"/>
        <w:rPr>
          <w:rFonts w:ascii="Calibri" w:eastAsia="Calibri" w:hAnsi="Calibri" w:cs="Calibri"/>
          <w:bCs/>
          <w:color w:val="000000"/>
          <w:sz w:val="18"/>
        </w:rPr>
      </w:pPr>
      <w:r w:rsidRPr="00E2361F">
        <w:rPr>
          <w:rFonts w:ascii="Calibri" w:eastAsia="Calibri" w:hAnsi="Calibri" w:cs="Calibri"/>
          <w:bCs/>
          <w:color w:val="000000"/>
          <w:sz w:val="18"/>
        </w:rPr>
        <w:t xml:space="preserve">Future year </w:t>
      </w:r>
      <w:r>
        <w:rPr>
          <w:rFonts w:ascii="Calibri" w:eastAsia="Calibri" w:hAnsi="Calibri" w:cs="Calibri"/>
          <w:bCs/>
          <w:color w:val="000000"/>
          <w:sz w:val="18"/>
        </w:rPr>
        <w:t xml:space="preserve">project </w:t>
      </w:r>
      <w:r w:rsidRPr="00E2361F">
        <w:rPr>
          <w:rFonts w:ascii="Calibri" w:eastAsia="Calibri" w:hAnsi="Calibri" w:cs="Calibri"/>
          <w:bCs/>
          <w:color w:val="000000"/>
          <w:sz w:val="18"/>
        </w:rPr>
        <w:t>investment is held in central provision.</w:t>
      </w:r>
    </w:p>
    <w:p w14:paraId="4594548C" w14:textId="0B0775A1" w:rsidR="002109FF" w:rsidRPr="00E2361F" w:rsidRDefault="00450635" w:rsidP="004E3699">
      <w:pPr>
        <w:pStyle w:val="Normal5"/>
        <w:numPr>
          <w:ilvl w:val="3"/>
          <w:numId w:val="15"/>
        </w:numPr>
        <w:ind w:left="426" w:hanging="284"/>
        <w:rPr>
          <w:rFonts w:ascii="Calibri" w:eastAsia="Calibri" w:hAnsi="Calibri" w:cs="Calibri"/>
          <w:bCs/>
          <w:color w:val="000000"/>
          <w:sz w:val="18"/>
        </w:rPr>
      </w:pPr>
      <w:r>
        <w:rPr>
          <w:rFonts w:ascii="Calibri" w:eastAsia="Calibri" w:hAnsi="Calibri" w:cs="Calibri"/>
          <w:bCs/>
          <w:color w:val="000000"/>
          <w:sz w:val="18"/>
        </w:rPr>
        <w:t xml:space="preserve">To be determined </w:t>
      </w:r>
      <w:r w:rsidR="00063793">
        <w:rPr>
          <w:rFonts w:ascii="Calibri" w:eastAsia="Calibri" w:hAnsi="Calibri" w:cs="Calibri"/>
          <w:bCs/>
          <w:color w:val="000000"/>
          <w:sz w:val="18"/>
        </w:rPr>
        <w:t>following final Commonwealth G</w:t>
      </w:r>
      <w:r>
        <w:rPr>
          <w:rFonts w:ascii="Calibri" w:eastAsia="Calibri" w:hAnsi="Calibri" w:cs="Calibri"/>
          <w:bCs/>
          <w:color w:val="000000"/>
          <w:sz w:val="18"/>
        </w:rPr>
        <w:t xml:space="preserve">overnment </w:t>
      </w:r>
      <w:r w:rsidR="00063793">
        <w:rPr>
          <w:rFonts w:ascii="Calibri" w:eastAsia="Calibri" w:hAnsi="Calibri" w:cs="Calibri"/>
          <w:bCs/>
          <w:color w:val="000000"/>
          <w:sz w:val="18"/>
        </w:rPr>
        <w:t>approvals being received and procurement processes completed.</w:t>
      </w:r>
    </w:p>
    <w:p w14:paraId="2CAF3B31" w14:textId="5F546A31" w:rsidR="002109FF" w:rsidRDefault="002109FF" w:rsidP="008A66C2"/>
    <w:p w14:paraId="7A58EC29" w14:textId="77777777" w:rsidR="006E72F1" w:rsidRDefault="00900E2D" w:rsidP="006E72F1">
      <w:pPr>
        <w:pStyle w:val="Heading2"/>
        <w:pageBreakBefore/>
        <w:pBdr>
          <w:top w:val="nil"/>
          <w:left w:val="nil"/>
          <w:bottom w:val="nil"/>
          <w:right w:val="nil"/>
          <w:between w:val="nil"/>
          <w:bar w:val="nil"/>
        </w:pBdr>
        <w:ind w:left="-426" w:firstLine="426"/>
        <w:rPr>
          <w:bdr w:val="nil"/>
        </w:rPr>
      </w:pPr>
      <w:bookmarkStart w:id="15" w:name="_Toc452467803"/>
      <w:r>
        <w:rPr>
          <w:bdr w:val="nil"/>
        </w:rPr>
        <w:lastRenderedPageBreak/>
        <w:t>Financial Statements</w:t>
      </w:r>
      <w:bookmarkEnd w:id="15"/>
      <w:r>
        <w:rPr>
          <w:bdr w:val="nil"/>
        </w:rPr>
        <w:t xml:space="preserve"> – Controlled (GGS)</w:t>
      </w:r>
    </w:p>
    <w:p w14:paraId="4068E36C" w14:textId="77777777" w:rsidR="006E72F1" w:rsidRPr="00625775" w:rsidRDefault="00900E2D" w:rsidP="006E72F1">
      <w:pPr>
        <w:pStyle w:val="Caption"/>
        <w:pBdr>
          <w:top w:val="nil"/>
          <w:left w:val="nil"/>
          <w:bottom w:val="nil"/>
          <w:right w:val="nil"/>
          <w:between w:val="nil"/>
          <w:bar w:val="nil"/>
        </w:pBdr>
        <w:rPr>
          <w:bdr w:val="nil"/>
        </w:rPr>
      </w:pPr>
      <w:r>
        <w:rPr>
          <w:bdr w:val="nil"/>
        </w:rPr>
        <w:t xml:space="preserve">Table 7: Major Projects Canberra: Operating Statement </w:t>
      </w:r>
    </w:p>
    <w:tbl>
      <w:tblPr>
        <w:tblStyle w:val="CDMRange12"/>
        <w:tblW w:w="9195" w:type="dxa"/>
        <w:tblLayout w:type="fixed"/>
        <w:tblLook w:val="0600" w:firstRow="0" w:lastRow="0" w:firstColumn="0" w:lastColumn="0" w:noHBand="1" w:noVBand="1"/>
      </w:tblPr>
      <w:tblGrid>
        <w:gridCol w:w="851"/>
        <w:gridCol w:w="2569"/>
        <w:gridCol w:w="1035"/>
        <w:gridCol w:w="1035"/>
        <w:gridCol w:w="600"/>
        <w:gridCol w:w="1035"/>
        <w:gridCol w:w="1035"/>
        <w:gridCol w:w="1035"/>
      </w:tblGrid>
      <w:tr w:rsidR="003036F4" w14:paraId="1537ECC3" w14:textId="77777777" w:rsidTr="004E3699">
        <w:trPr>
          <w:trHeight w:val="1005"/>
        </w:trPr>
        <w:tc>
          <w:tcPr>
            <w:tcW w:w="851"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12E969E6" w14:textId="7A29666A" w:rsidR="003036F4" w:rsidRDefault="00332931">
            <w:pPr>
              <w:pStyle w:val="Normal8"/>
              <w:jc w:val="right"/>
              <w:rPr>
                <w:rFonts w:ascii="Calibri" w:eastAsia="Calibri" w:hAnsi="Calibri" w:cs="Calibri"/>
                <w:b/>
                <w:color w:val="000000"/>
                <w:sz w:val="18"/>
              </w:rPr>
            </w:pPr>
            <w:r>
              <w:rPr>
                <w:rFonts w:ascii="Calibri" w:eastAsia="Calibri" w:hAnsi="Calibri" w:cs="Calibri"/>
                <w:b/>
                <w:color w:val="000000"/>
                <w:sz w:val="18"/>
              </w:rPr>
              <w:t>2019–20</w:t>
            </w:r>
            <w:r w:rsidR="00900E2D">
              <w:rPr>
                <w:rFonts w:ascii="Calibri" w:eastAsia="Calibri" w:hAnsi="Calibri" w:cs="Calibri"/>
                <w:b/>
                <w:color w:val="000000"/>
                <w:sz w:val="18"/>
              </w:rPr>
              <w:t xml:space="preserve"> Budget            </w:t>
            </w:r>
          </w:p>
          <w:p w14:paraId="1F9050DB" w14:textId="77777777" w:rsidR="003036F4" w:rsidRDefault="003036F4">
            <w:pPr>
              <w:pStyle w:val="Normal8"/>
              <w:jc w:val="right"/>
              <w:rPr>
                <w:rFonts w:ascii="Calibri" w:eastAsia="Calibri" w:hAnsi="Calibri" w:cs="Calibri"/>
                <w:b/>
                <w:color w:val="000000"/>
                <w:sz w:val="18"/>
              </w:rPr>
            </w:pPr>
          </w:p>
          <w:p w14:paraId="7E7AB327"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569" w:type="dxa"/>
            <w:tcBorders>
              <w:top w:val="single" w:sz="8" w:space="0" w:color="000000"/>
              <w:left w:val="nil"/>
              <w:bottom w:val="single" w:sz="8" w:space="0" w:color="000000"/>
              <w:right w:val="nil"/>
              <w:tl2br w:val="nil"/>
              <w:tr2bl w:val="nil"/>
            </w:tcBorders>
            <w:shd w:val="clear" w:color="FFFFFF" w:fill="FFFFFF"/>
            <w:tcMar>
              <w:left w:w="0" w:type="dxa"/>
              <w:right w:w="0" w:type="dxa"/>
            </w:tcMar>
          </w:tcPr>
          <w:p w14:paraId="4437D7F4" w14:textId="77777777" w:rsidR="003036F4" w:rsidRDefault="003036F4">
            <w:pPr>
              <w:pStyle w:val="Normal8"/>
              <w:rPr>
                <w:rFonts w:ascii="Calibri" w:eastAsia="Calibri" w:hAnsi="Calibri" w:cs="Calibri"/>
                <w:b/>
                <w:color w:val="000000"/>
                <w:sz w:val="18"/>
              </w:rPr>
            </w:pP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2D647DFD" w14:textId="214AE759" w:rsidR="003036F4" w:rsidRDefault="00332931">
            <w:pPr>
              <w:pStyle w:val="Normal8"/>
              <w:jc w:val="right"/>
              <w:rPr>
                <w:rFonts w:ascii="Calibri" w:eastAsia="Calibri" w:hAnsi="Calibri" w:cs="Calibri"/>
                <w:b/>
                <w:color w:val="000000"/>
                <w:sz w:val="18"/>
              </w:rPr>
            </w:pPr>
            <w:r>
              <w:rPr>
                <w:rFonts w:ascii="Calibri" w:eastAsia="Calibri" w:hAnsi="Calibri" w:cs="Calibri"/>
                <w:b/>
                <w:color w:val="000000"/>
                <w:sz w:val="18"/>
              </w:rPr>
              <w:t>2019–20</w:t>
            </w:r>
            <w:r w:rsidR="00900E2D">
              <w:rPr>
                <w:rFonts w:ascii="Calibri" w:eastAsia="Calibri" w:hAnsi="Calibri" w:cs="Calibri"/>
                <w:b/>
                <w:color w:val="000000"/>
                <w:sz w:val="18"/>
              </w:rPr>
              <w:t xml:space="preserve"> Audited Outcome $'000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03421E4B" w14:textId="519A0F08" w:rsidR="003036F4" w:rsidRDefault="00332931">
            <w:pPr>
              <w:pStyle w:val="Normal8"/>
              <w:jc w:val="right"/>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Budget            </w:t>
            </w:r>
          </w:p>
          <w:p w14:paraId="1A90CC62" w14:textId="77777777" w:rsidR="003036F4" w:rsidRDefault="003036F4">
            <w:pPr>
              <w:pStyle w:val="Normal8"/>
              <w:jc w:val="right"/>
              <w:rPr>
                <w:rFonts w:ascii="Calibri" w:eastAsia="Calibri" w:hAnsi="Calibri" w:cs="Calibri"/>
                <w:b/>
                <w:color w:val="000000"/>
                <w:sz w:val="18"/>
              </w:rPr>
            </w:pPr>
          </w:p>
          <w:p w14:paraId="3FFD9ABA"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7F25BB37"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Var</w:t>
            </w:r>
          </w:p>
          <w:p w14:paraId="658C3187"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4E54EE52"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2B47974F" w14:textId="77777777" w:rsidR="003036F4" w:rsidRDefault="003036F4">
            <w:pPr>
              <w:pStyle w:val="Normal8"/>
              <w:jc w:val="right"/>
              <w:rPr>
                <w:rFonts w:ascii="Calibri" w:eastAsia="Calibri" w:hAnsi="Calibri" w:cs="Calibri"/>
                <w:b/>
                <w:color w:val="000000"/>
                <w:sz w:val="18"/>
              </w:rPr>
            </w:pPr>
          </w:p>
          <w:p w14:paraId="74846B2B"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171036AD"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640E4D9B" w14:textId="77777777" w:rsidR="003036F4" w:rsidRDefault="003036F4">
            <w:pPr>
              <w:pStyle w:val="Normal8"/>
              <w:jc w:val="right"/>
              <w:rPr>
                <w:rFonts w:ascii="Calibri" w:eastAsia="Calibri" w:hAnsi="Calibri" w:cs="Calibri"/>
                <w:b/>
                <w:color w:val="000000"/>
                <w:sz w:val="18"/>
              </w:rPr>
            </w:pPr>
          </w:p>
          <w:p w14:paraId="13C42D72"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81024BC"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4E5E3496" w14:textId="77777777" w:rsidR="003036F4" w:rsidRDefault="003036F4">
            <w:pPr>
              <w:pStyle w:val="Normal8"/>
              <w:jc w:val="right"/>
              <w:rPr>
                <w:rFonts w:ascii="Calibri" w:eastAsia="Calibri" w:hAnsi="Calibri" w:cs="Calibri"/>
                <w:b/>
                <w:color w:val="000000"/>
                <w:sz w:val="18"/>
              </w:rPr>
            </w:pPr>
          </w:p>
          <w:p w14:paraId="0F1434BD"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3036F4" w14:paraId="06B95DBA"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single" w:sz="8" w:space="0" w:color="000000"/>
              <w:left w:val="nil"/>
              <w:bottom w:val="nil"/>
              <w:right w:val="nil"/>
              <w:tl2br w:val="nil"/>
              <w:tr2bl w:val="nil"/>
            </w:tcBorders>
            <w:shd w:val="clear" w:color="FFFFFF" w:fill="FFFFFF"/>
            <w:tcMar>
              <w:left w:w="0" w:type="dxa"/>
              <w:right w:w="0" w:type="dxa"/>
            </w:tcMar>
          </w:tcPr>
          <w:p w14:paraId="1D82ADDD" w14:textId="77777777" w:rsidR="003036F4" w:rsidRDefault="003036F4">
            <w:pPr>
              <w:pStyle w:val="Normal8"/>
              <w:jc w:val="right"/>
              <w:rPr>
                <w:rFonts w:ascii="Calibri" w:eastAsia="Calibri" w:hAnsi="Calibri" w:cs="Calibri"/>
                <w:b/>
                <w:i/>
                <w:color w:val="000000"/>
                <w:sz w:val="18"/>
              </w:rPr>
            </w:pPr>
          </w:p>
        </w:tc>
        <w:tc>
          <w:tcPr>
            <w:tcW w:w="2569" w:type="dxa"/>
            <w:tcBorders>
              <w:top w:val="single" w:sz="8" w:space="0" w:color="000000"/>
              <w:left w:val="nil"/>
              <w:bottom w:val="nil"/>
              <w:right w:val="nil"/>
              <w:tl2br w:val="nil"/>
              <w:tr2bl w:val="nil"/>
            </w:tcBorders>
            <w:shd w:val="clear" w:color="FFFFFF" w:fill="FFFFFF"/>
            <w:tcMar>
              <w:left w:w="0" w:type="dxa"/>
              <w:right w:w="0" w:type="dxa"/>
            </w:tcMar>
          </w:tcPr>
          <w:p w14:paraId="3954B387" w14:textId="77777777" w:rsidR="003036F4" w:rsidRDefault="003036F4">
            <w:pPr>
              <w:pStyle w:val="Normal8"/>
              <w:rPr>
                <w:rFonts w:ascii="Calibri" w:eastAsia="Calibri" w:hAnsi="Calibri" w:cs="Calibri"/>
                <w:b/>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01781D62" w14:textId="77777777" w:rsidR="003036F4" w:rsidRDefault="003036F4">
            <w:pPr>
              <w:pStyle w:val="Normal8"/>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780BFC2F" w14:textId="77777777" w:rsidR="003036F4" w:rsidRDefault="003036F4">
            <w:pPr>
              <w:pStyle w:val="Normal8"/>
              <w:jc w:val="right"/>
              <w:rPr>
                <w:rFonts w:ascii="Calibri" w:eastAsia="Calibri" w:hAnsi="Calibri" w:cs="Calibri"/>
                <w:b/>
                <w:i/>
                <w:color w:val="000000"/>
                <w:sz w:val="18"/>
              </w:rPr>
            </w:pPr>
          </w:p>
        </w:tc>
        <w:tc>
          <w:tcPr>
            <w:tcW w:w="600" w:type="dxa"/>
            <w:tcBorders>
              <w:top w:val="single" w:sz="8" w:space="0" w:color="000000"/>
              <w:left w:val="nil"/>
              <w:bottom w:val="nil"/>
              <w:right w:val="nil"/>
              <w:tl2br w:val="nil"/>
              <w:tr2bl w:val="nil"/>
            </w:tcBorders>
            <w:shd w:val="clear" w:color="FFFFFF" w:fill="FFFFFF"/>
            <w:tcMar>
              <w:left w:w="0" w:type="dxa"/>
              <w:right w:w="0" w:type="dxa"/>
            </w:tcMar>
          </w:tcPr>
          <w:p w14:paraId="7ED69121" w14:textId="77777777" w:rsidR="003036F4" w:rsidRDefault="003036F4">
            <w:pPr>
              <w:pStyle w:val="Normal8"/>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088AA6B0" w14:textId="77777777" w:rsidR="003036F4" w:rsidRDefault="003036F4">
            <w:pPr>
              <w:pStyle w:val="Normal8"/>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4A295F9D" w14:textId="77777777" w:rsidR="003036F4" w:rsidRDefault="003036F4">
            <w:pPr>
              <w:pStyle w:val="Normal8"/>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3045F449" w14:textId="77777777" w:rsidR="003036F4" w:rsidRDefault="003036F4">
            <w:pPr>
              <w:pStyle w:val="Normal8"/>
              <w:jc w:val="right"/>
              <w:rPr>
                <w:rFonts w:ascii="Calibri" w:eastAsia="Calibri" w:hAnsi="Calibri" w:cs="Calibri"/>
                <w:b/>
                <w:i/>
                <w:color w:val="000000"/>
                <w:sz w:val="18"/>
              </w:rPr>
            </w:pPr>
          </w:p>
        </w:tc>
      </w:tr>
      <w:tr w:rsidR="003036F4" w14:paraId="76888621"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104D6DCF" w14:textId="77777777" w:rsidR="003036F4" w:rsidRDefault="003036F4">
            <w:pPr>
              <w:pStyle w:val="Normal8"/>
              <w:jc w:val="right"/>
              <w:rPr>
                <w:rFonts w:ascii="Calibri" w:eastAsia="Calibri" w:hAnsi="Calibri" w:cs="Calibri"/>
                <w:b/>
                <w:i/>
                <w:color w:val="000000"/>
                <w:sz w:val="18"/>
              </w:rPr>
            </w:pPr>
          </w:p>
        </w:tc>
        <w:tc>
          <w:tcPr>
            <w:tcW w:w="2569" w:type="dxa"/>
            <w:tcBorders>
              <w:top w:val="nil"/>
              <w:left w:val="nil"/>
              <w:bottom w:val="nil"/>
              <w:right w:val="nil"/>
              <w:tl2br w:val="nil"/>
              <w:tr2bl w:val="nil"/>
            </w:tcBorders>
            <w:shd w:val="clear" w:color="FFFFFF" w:fill="FFFFFF"/>
            <w:noWrap/>
            <w:tcMar>
              <w:left w:w="101" w:type="dxa"/>
              <w:right w:w="101" w:type="dxa"/>
            </w:tcMar>
          </w:tcPr>
          <w:p w14:paraId="057A4B63" w14:textId="77777777" w:rsidR="003036F4" w:rsidRDefault="00900E2D">
            <w:pPr>
              <w:pStyle w:val="Normal8"/>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3FAAB662" w14:textId="77777777" w:rsidR="003036F4" w:rsidRDefault="003036F4">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23A7E5" w14:textId="77777777" w:rsidR="003036F4" w:rsidRDefault="003036F4">
            <w:pPr>
              <w:pStyle w:val="Normal8"/>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9ECAAF2" w14:textId="77777777" w:rsidR="003036F4" w:rsidRDefault="003036F4">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66ECF0" w14:textId="77777777" w:rsidR="003036F4" w:rsidRDefault="003036F4">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9CAA05" w14:textId="77777777" w:rsidR="003036F4" w:rsidRDefault="003036F4">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33852A" w14:textId="77777777" w:rsidR="003036F4" w:rsidRDefault="003036F4">
            <w:pPr>
              <w:pStyle w:val="Normal8"/>
              <w:jc w:val="right"/>
              <w:rPr>
                <w:rFonts w:ascii="Calibri" w:eastAsia="Calibri" w:hAnsi="Calibri" w:cs="Calibri"/>
                <w:b/>
                <w:i/>
                <w:color w:val="000000"/>
                <w:sz w:val="18"/>
              </w:rPr>
            </w:pPr>
          </w:p>
        </w:tc>
      </w:tr>
      <w:tr w:rsidR="003036F4" w14:paraId="6489EBDD"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6E8E9327" w14:textId="77777777" w:rsidR="003036F4" w:rsidRDefault="003036F4">
            <w:pPr>
              <w:pStyle w:val="Normal8"/>
              <w:jc w:val="right"/>
              <w:rPr>
                <w:rFonts w:ascii="Calibri" w:eastAsia="Calibri" w:hAnsi="Calibri" w:cs="Calibri"/>
                <w:b/>
                <w:i/>
                <w:color w:val="000000"/>
                <w:sz w:val="18"/>
              </w:rPr>
            </w:pPr>
          </w:p>
        </w:tc>
        <w:tc>
          <w:tcPr>
            <w:tcW w:w="2569" w:type="dxa"/>
            <w:tcBorders>
              <w:top w:val="nil"/>
              <w:left w:val="nil"/>
              <w:bottom w:val="nil"/>
              <w:right w:val="nil"/>
              <w:tl2br w:val="nil"/>
              <w:tr2bl w:val="nil"/>
            </w:tcBorders>
            <w:shd w:val="clear" w:color="FFFFFF" w:fill="FFFFFF"/>
            <w:noWrap/>
            <w:tcMar>
              <w:left w:w="0" w:type="dxa"/>
              <w:right w:w="0" w:type="dxa"/>
            </w:tcMar>
          </w:tcPr>
          <w:p w14:paraId="6EB0200C"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CA6750" w14:textId="77777777" w:rsidR="003036F4" w:rsidRDefault="003036F4">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EA6B1C" w14:textId="77777777" w:rsidR="003036F4" w:rsidRDefault="003036F4">
            <w:pPr>
              <w:pStyle w:val="Normal8"/>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1C0588" w14:textId="77777777" w:rsidR="003036F4" w:rsidRDefault="003036F4">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0D360F" w14:textId="77777777" w:rsidR="003036F4" w:rsidRDefault="003036F4">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DF9678" w14:textId="77777777" w:rsidR="003036F4" w:rsidRDefault="003036F4">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9C5C34" w14:textId="77777777" w:rsidR="003036F4" w:rsidRDefault="003036F4">
            <w:pPr>
              <w:pStyle w:val="Normal8"/>
              <w:jc w:val="right"/>
              <w:rPr>
                <w:rFonts w:ascii="Calibri" w:eastAsia="Calibri" w:hAnsi="Calibri" w:cs="Calibri"/>
                <w:b/>
                <w:i/>
                <w:color w:val="000000"/>
                <w:sz w:val="18"/>
              </w:rPr>
            </w:pPr>
          </w:p>
        </w:tc>
      </w:tr>
      <w:tr w:rsidR="003036F4" w14:paraId="5B8A9C5D"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1A2A673D" w14:textId="77777777" w:rsidR="003036F4" w:rsidRDefault="003036F4">
            <w:pPr>
              <w:pStyle w:val="Normal8"/>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noWrap/>
            <w:tcMar>
              <w:left w:w="101" w:type="dxa"/>
              <w:right w:w="101" w:type="dxa"/>
            </w:tcMar>
          </w:tcPr>
          <w:p w14:paraId="67C73C7D" w14:textId="77777777" w:rsidR="003036F4" w:rsidRDefault="00900E2D">
            <w:pPr>
              <w:pStyle w:val="Normal8"/>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6168837D"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894AD3" w14:textId="77777777" w:rsidR="003036F4" w:rsidRDefault="003036F4">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083029"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2C4E84"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CCF715"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2FA99C" w14:textId="77777777" w:rsidR="003036F4" w:rsidRDefault="003036F4">
            <w:pPr>
              <w:pStyle w:val="Normal8"/>
              <w:rPr>
                <w:rFonts w:ascii="Calibri" w:eastAsia="Calibri" w:hAnsi="Calibri" w:cs="Calibri"/>
                <w:color w:val="000000"/>
                <w:sz w:val="18"/>
              </w:rPr>
            </w:pPr>
          </w:p>
        </w:tc>
      </w:tr>
      <w:tr w:rsidR="003036F4" w14:paraId="7DABE290"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101" w:type="dxa"/>
              <w:right w:w="101" w:type="dxa"/>
            </w:tcMar>
          </w:tcPr>
          <w:p w14:paraId="6F9D7BB1"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auto" w:fill="auto"/>
            <w:noWrap/>
            <w:tcMar>
              <w:left w:w="101" w:type="dxa"/>
              <w:right w:w="101" w:type="dxa"/>
            </w:tcMar>
          </w:tcPr>
          <w:p w14:paraId="079F2253" w14:textId="1BEE2C8F" w:rsidR="003036F4" w:rsidRDefault="00900E2D" w:rsidP="00852076">
            <w:pPr>
              <w:pStyle w:val="Normal8"/>
              <w:ind w:left="136" w:hanging="136"/>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7EF488B7"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11 200</w:t>
            </w:r>
          </w:p>
        </w:tc>
        <w:tc>
          <w:tcPr>
            <w:tcW w:w="1035" w:type="dxa"/>
            <w:tcBorders>
              <w:top w:val="nil"/>
              <w:left w:val="nil"/>
              <w:bottom w:val="nil"/>
              <w:right w:val="nil"/>
              <w:tl2br w:val="nil"/>
              <w:tr2bl w:val="nil"/>
            </w:tcBorders>
            <w:shd w:val="clear" w:color="FFFFFF" w:fill="FFFFFF"/>
            <w:noWrap/>
            <w:tcMar>
              <w:left w:w="101" w:type="dxa"/>
              <w:right w:w="101" w:type="dxa"/>
            </w:tcMar>
          </w:tcPr>
          <w:p w14:paraId="062DC806"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7 650</w:t>
            </w:r>
          </w:p>
        </w:tc>
        <w:tc>
          <w:tcPr>
            <w:tcW w:w="600" w:type="dxa"/>
            <w:tcBorders>
              <w:top w:val="nil"/>
              <w:left w:val="nil"/>
              <w:bottom w:val="nil"/>
              <w:right w:val="nil"/>
              <w:tl2br w:val="nil"/>
              <w:tr2bl w:val="nil"/>
            </w:tcBorders>
            <w:shd w:val="clear" w:color="FFFFFF" w:fill="FFFFFF"/>
            <w:tcMar>
              <w:left w:w="101" w:type="dxa"/>
              <w:right w:w="101" w:type="dxa"/>
            </w:tcMar>
          </w:tcPr>
          <w:p w14:paraId="255F4541"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 xml:space="preserve">-32 </w:t>
            </w:r>
          </w:p>
        </w:tc>
        <w:tc>
          <w:tcPr>
            <w:tcW w:w="1035" w:type="dxa"/>
            <w:tcBorders>
              <w:top w:val="nil"/>
              <w:left w:val="nil"/>
              <w:bottom w:val="nil"/>
              <w:right w:val="nil"/>
              <w:tl2br w:val="nil"/>
              <w:tr2bl w:val="nil"/>
            </w:tcBorders>
            <w:shd w:val="clear" w:color="FFFFFF" w:fill="FFFFFF"/>
            <w:noWrap/>
            <w:tcMar>
              <w:left w:w="101" w:type="dxa"/>
              <w:right w:w="101" w:type="dxa"/>
            </w:tcMar>
          </w:tcPr>
          <w:p w14:paraId="52F0957F"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1 000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72A3FC87"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1 120</w:t>
            </w:r>
          </w:p>
        </w:tc>
        <w:tc>
          <w:tcPr>
            <w:tcW w:w="1035" w:type="dxa"/>
            <w:tcBorders>
              <w:top w:val="nil"/>
              <w:left w:val="nil"/>
              <w:bottom w:val="nil"/>
              <w:right w:val="nil"/>
              <w:tl2br w:val="nil"/>
              <w:tr2bl w:val="nil"/>
            </w:tcBorders>
            <w:shd w:val="clear" w:color="FFFFFF" w:fill="FFFFFF"/>
            <w:noWrap/>
            <w:tcMar>
              <w:left w:w="101" w:type="dxa"/>
              <w:right w:w="101" w:type="dxa"/>
            </w:tcMar>
          </w:tcPr>
          <w:p w14:paraId="181BCD9E"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1 240</w:t>
            </w:r>
          </w:p>
        </w:tc>
      </w:tr>
      <w:tr w:rsidR="003036F4" w14:paraId="0EBCB80C"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61FA90C"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auto" w:fill="auto"/>
            <w:noWrap/>
            <w:tcMar>
              <w:left w:w="101" w:type="dxa"/>
              <w:right w:w="101" w:type="dxa"/>
            </w:tcMar>
          </w:tcPr>
          <w:p w14:paraId="47A4F937" w14:textId="77777777" w:rsidR="003036F4" w:rsidRDefault="00900E2D" w:rsidP="00852076">
            <w:pPr>
              <w:pStyle w:val="Normal8"/>
              <w:ind w:left="136" w:hanging="136"/>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1EF9943D"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14 934</w:t>
            </w:r>
          </w:p>
        </w:tc>
        <w:tc>
          <w:tcPr>
            <w:tcW w:w="1035" w:type="dxa"/>
            <w:tcBorders>
              <w:top w:val="nil"/>
              <w:left w:val="nil"/>
              <w:bottom w:val="nil"/>
              <w:right w:val="nil"/>
              <w:tl2br w:val="nil"/>
              <w:tr2bl w:val="nil"/>
            </w:tcBorders>
            <w:shd w:val="clear" w:color="FFFFFF" w:fill="FFFFFF"/>
            <w:tcMar>
              <w:left w:w="101" w:type="dxa"/>
              <w:right w:w="101" w:type="dxa"/>
            </w:tcMar>
          </w:tcPr>
          <w:p w14:paraId="67B8B928"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21 904</w:t>
            </w:r>
          </w:p>
        </w:tc>
        <w:tc>
          <w:tcPr>
            <w:tcW w:w="600" w:type="dxa"/>
            <w:tcBorders>
              <w:top w:val="nil"/>
              <w:left w:val="nil"/>
              <w:bottom w:val="nil"/>
              <w:right w:val="nil"/>
              <w:tl2br w:val="nil"/>
              <w:tr2bl w:val="nil"/>
            </w:tcBorders>
            <w:shd w:val="clear" w:color="FFFFFF" w:fill="FFFFFF"/>
            <w:tcMar>
              <w:left w:w="101" w:type="dxa"/>
              <w:right w:w="101" w:type="dxa"/>
            </w:tcMar>
          </w:tcPr>
          <w:p w14:paraId="34A41AEF"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 xml:space="preserve">47 </w:t>
            </w:r>
          </w:p>
        </w:tc>
        <w:tc>
          <w:tcPr>
            <w:tcW w:w="1035" w:type="dxa"/>
            <w:tcBorders>
              <w:top w:val="nil"/>
              <w:left w:val="nil"/>
              <w:bottom w:val="nil"/>
              <w:right w:val="nil"/>
              <w:tl2br w:val="nil"/>
              <w:tr2bl w:val="nil"/>
            </w:tcBorders>
            <w:shd w:val="clear" w:color="FFFFFF" w:fill="FFFFFF"/>
            <w:tcMar>
              <w:left w:w="101" w:type="dxa"/>
              <w:right w:w="101" w:type="dxa"/>
            </w:tcMar>
          </w:tcPr>
          <w:p w14:paraId="16AA0FC7"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22 306</w:t>
            </w:r>
          </w:p>
        </w:tc>
        <w:tc>
          <w:tcPr>
            <w:tcW w:w="1035" w:type="dxa"/>
            <w:tcBorders>
              <w:top w:val="nil"/>
              <w:left w:val="nil"/>
              <w:bottom w:val="nil"/>
              <w:right w:val="nil"/>
              <w:tl2br w:val="nil"/>
              <w:tr2bl w:val="nil"/>
            </w:tcBorders>
            <w:shd w:val="clear" w:color="FFFFFF" w:fill="FFFFFF"/>
            <w:tcMar>
              <w:left w:w="101" w:type="dxa"/>
              <w:right w:w="101" w:type="dxa"/>
            </w:tcMar>
          </w:tcPr>
          <w:p w14:paraId="152C0DAD"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22 567</w:t>
            </w:r>
          </w:p>
        </w:tc>
        <w:tc>
          <w:tcPr>
            <w:tcW w:w="1035" w:type="dxa"/>
            <w:tcBorders>
              <w:top w:val="nil"/>
              <w:left w:val="nil"/>
              <w:bottom w:val="nil"/>
              <w:right w:val="nil"/>
              <w:tl2br w:val="nil"/>
              <w:tr2bl w:val="nil"/>
            </w:tcBorders>
            <w:shd w:val="clear" w:color="FFFFFF" w:fill="FFFFFF"/>
            <w:tcMar>
              <w:left w:w="101" w:type="dxa"/>
              <w:right w:w="101" w:type="dxa"/>
            </w:tcMar>
          </w:tcPr>
          <w:p w14:paraId="56156B28"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22 843</w:t>
            </w:r>
          </w:p>
        </w:tc>
      </w:tr>
      <w:tr w:rsidR="003036F4" w14:paraId="355CF6A7"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8ED6804"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auto" w:fill="auto"/>
            <w:noWrap/>
            <w:tcMar>
              <w:left w:w="101" w:type="dxa"/>
              <w:right w:w="101" w:type="dxa"/>
            </w:tcMar>
          </w:tcPr>
          <w:p w14:paraId="46BC627B" w14:textId="77777777" w:rsidR="003036F4" w:rsidRDefault="00900E2D">
            <w:pPr>
              <w:pStyle w:val="Normal8"/>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441ADA6E"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80</w:t>
            </w:r>
          </w:p>
        </w:tc>
        <w:tc>
          <w:tcPr>
            <w:tcW w:w="1035" w:type="dxa"/>
            <w:tcBorders>
              <w:top w:val="nil"/>
              <w:left w:val="nil"/>
              <w:bottom w:val="nil"/>
              <w:right w:val="nil"/>
              <w:tl2br w:val="nil"/>
              <w:tr2bl w:val="nil"/>
            </w:tcBorders>
            <w:shd w:val="clear" w:color="FFFFFF" w:fill="FFFFFF"/>
            <w:tcMar>
              <w:left w:w="101" w:type="dxa"/>
              <w:right w:w="101" w:type="dxa"/>
            </w:tcMar>
          </w:tcPr>
          <w:p w14:paraId="553A8E51"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384</w:t>
            </w:r>
          </w:p>
        </w:tc>
        <w:tc>
          <w:tcPr>
            <w:tcW w:w="600" w:type="dxa"/>
            <w:tcBorders>
              <w:top w:val="nil"/>
              <w:left w:val="nil"/>
              <w:bottom w:val="nil"/>
              <w:right w:val="nil"/>
              <w:tl2br w:val="nil"/>
              <w:tr2bl w:val="nil"/>
            </w:tcBorders>
            <w:shd w:val="clear" w:color="FFFFFF" w:fill="FFFFFF"/>
            <w:tcMar>
              <w:left w:w="101" w:type="dxa"/>
              <w:right w:w="101" w:type="dxa"/>
            </w:tcMar>
          </w:tcPr>
          <w:p w14:paraId="4272A9E5"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 xml:space="preserve">380 </w:t>
            </w:r>
          </w:p>
        </w:tc>
        <w:tc>
          <w:tcPr>
            <w:tcW w:w="1035" w:type="dxa"/>
            <w:tcBorders>
              <w:top w:val="nil"/>
              <w:left w:val="nil"/>
              <w:bottom w:val="nil"/>
              <w:right w:val="nil"/>
              <w:tl2br w:val="nil"/>
              <w:tr2bl w:val="nil"/>
            </w:tcBorders>
            <w:shd w:val="clear" w:color="FFFFFF" w:fill="FFFFFF"/>
            <w:tcMar>
              <w:left w:w="101" w:type="dxa"/>
              <w:right w:w="101" w:type="dxa"/>
            </w:tcMar>
          </w:tcPr>
          <w:p w14:paraId="43EC8252"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391</w:t>
            </w:r>
          </w:p>
        </w:tc>
        <w:tc>
          <w:tcPr>
            <w:tcW w:w="1035" w:type="dxa"/>
            <w:tcBorders>
              <w:top w:val="nil"/>
              <w:left w:val="nil"/>
              <w:bottom w:val="nil"/>
              <w:right w:val="nil"/>
              <w:tl2br w:val="nil"/>
              <w:tr2bl w:val="nil"/>
            </w:tcBorders>
            <w:shd w:val="clear" w:color="FFFFFF" w:fill="FFFFFF"/>
            <w:tcMar>
              <w:left w:w="101" w:type="dxa"/>
              <w:right w:w="101" w:type="dxa"/>
            </w:tcMar>
          </w:tcPr>
          <w:p w14:paraId="63504C3E"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391</w:t>
            </w:r>
          </w:p>
        </w:tc>
        <w:tc>
          <w:tcPr>
            <w:tcW w:w="1035" w:type="dxa"/>
            <w:tcBorders>
              <w:top w:val="nil"/>
              <w:left w:val="nil"/>
              <w:bottom w:val="nil"/>
              <w:right w:val="nil"/>
              <w:tl2br w:val="nil"/>
              <w:tr2bl w:val="nil"/>
            </w:tcBorders>
            <w:shd w:val="clear" w:color="FFFFFF" w:fill="FFFFFF"/>
            <w:tcMar>
              <w:left w:w="101" w:type="dxa"/>
              <w:right w:w="101" w:type="dxa"/>
            </w:tcMar>
          </w:tcPr>
          <w:p w14:paraId="1A89D92B"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391</w:t>
            </w:r>
          </w:p>
        </w:tc>
      </w:tr>
      <w:tr w:rsidR="003036F4" w14:paraId="62578D16"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A6F28B4"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auto" w:fill="auto"/>
            <w:noWrap/>
            <w:tcMar>
              <w:left w:w="101" w:type="dxa"/>
              <w:right w:w="101" w:type="dxa"/>
            </w:tcMar>
          </w:tcPr>
          <w:p w14:paraId="25795889" w14:textId="77777777" w:rsidR="003036F4" w:rsidRDefault="00900E2D">
            <w:pPr>
              <w:pStyle w:val="Normal8"/>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3B463CC3"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16</w:t>
            </w:r>
          </w:p>
        </w:tc>
        <w:tc>
          <w:tcPr>
            <w:tcW w:w="1035" w:type="dxa"/>
            <w:tcBorders>
              <w:top w:val="nil"/>
              <w:left w:val="nil"/>
              <w:bottom w:val="nil"/>
              <w:right w:val="nil"/>
              <w:tl2br w:val="nil"/>
              <w:tr2bl w:val="nil"/>
            </w:tcBorders>
            <w:shd w:val="clear" w:color="FFFFFF" w:fill="FFFFFF"/>
            <w:tcMar>
              <w:left w:w="101" w:type="dxa"/>
              <w:right w:w="101" w:type="dxa"/>
            </w:tcMar>
          </w:tcPr>
          <w:p w14:paraId="1095D923"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185</w:t>
            </w:r>
          </w:p>
        </w:tc>
        <w:tc>
          <w:tcPr>
            <w:tcW w:w="600" w:type="dxa"/>
            <w:tcBorders>
              <w:top w:val="nil"/>
              <w:left w:val="nil"/>
              <w:bottom w:val="nil"/>
              <w:right w:val="nil"/>
              <w:tl2br w:val="nil"/>
              <w:tr2bl w:val="nil"/>
            </w:tcBorders>
            <w:shd w:val="clear" w:color="FFFFFF" w:fill="FFFFFF"/>
            <w:tcMar>
              <w:left w:w="101" w:type="dxa"/>
              <w:right w:w="101" w:type="dxa"/>
            </w:tcMar>
          </w:tcPr>
          <w:p w14:paraId="5FB7D474"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A5E3D95"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66</w:t>
            </w:r>
          </w:p>
        </w:tc>
        <w:tc>
          <w:tcPr>
            <w:tcW w:w="1035" w:type="dxa"/>
            <w:tcBorders>
              <w:top w:val="nil"/>
              <w:left w:val="nil"/>
              <w:bottom w:val="nil"/>
              <w:right w:val="nil"/>
              <w:tl2br w:val="nil"/>
              <w:tr2bl w:val="nil"/>
            </w:tcBorders>
            <w:shd w:val="clear" w:color="FFFFFF" w:fill="FFFFFF"/>
            <w:tcMar>
              <w:left w:w="101" w:type="dxa"/>
              <w:right w:w="101" w:type="dxa"/>
            </w:tcMar>
          </w:tcPr>
          <w:p w14:paraId="7C6D55FE"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68</w:t>
            </w:r>
          </w:p>
        </w:tc>
        <w:tc>
          <w:tcPr>
            <w:tcW w:w="1035" w:type="dxa"/>
            <w:tcBorders>
              <w:top w:val="nil"/>
              <w:left w:val="nil"/>
              <w:bottom w:val="nil"/>
              <w:right w:val="nil"/>
              <w:tl2br w:val="nil"/>
              <w:tr2bl w:val="nil"/>
            </w:tcBorders>
            <w:shd w:val="clear" w:color="FFFFFF" w:fill="FFFFFF"/>
            <w:tcMar>
              <w:left w:w="101" w:type="dxa"/>
              <w:right w:w="101" w:type="dxa"/>
            </w:tcMar>
          </w:tcPr>
          <w:p w14:paraId="0988DB73"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70</w:t>
            </w:r>
          </w:p>
        </w:tc>
      </w:tr>
      <w:tr w:rsidR="003036F4" w14:paraId="66A2024F"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53CC7BAD" w14:textId="77777777" w:rsidR="003036F4" w:rsidRDefault="003036F4">
            <w:pPr>
              <w:pStyle w:val="Normal8"/>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noWrap/>
            <w:tcMar>
              <w:left w:w="0" w:type="dxa"/>
              <w:right w:w="0" w:type="dxa"/>
            </w:tcMar>
          </w:tcPr>
          <w:p w14:paraId="66B19142"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1E8304"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951BD3" w14:textId="77777777" w:rsidR="003036F4" w:rsidRDefault="003036F4">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5952A7"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C4CB2C"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B35697"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0D9F38" w14:textId="77777777" w:rsidR="003036F4" w:rsidRDefault="003036F4">
            <w:pPr>
              <w:pStyle w:val="Normal8"/>
              <w:rPr>
                <w:rFonts w:ascii="Calibri" w:eastAsia="Calibri" w:hAnsi="Calibri" w:cs="Calibri"/>
                <w:color w:val="000000"/>
                <w:sz w:val="18"/>
              </w:rPr>
            </w:pPr>
          </w:p>
        </w:tc>
      </w:tr>
      <w:tr w:rsidR="003036F4" w14:paraId="2F91FFB7"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03F6ECE"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4C8ADA6F" w14:textId="77777777" w:rsidR="003036F4" w:rsidRDefault="00900E2D">
            <w:pPr>
              <w:pStyle w:val="Normal8"/>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05EAA912"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26 230</w:t>
            </w:r>
          </w:p>
        </w:tc>
        <w:tc>
          <w:tcPr>
            <w:tcW w:w="1035" w:type="dxa"/>
            <w:tcBorders>
              <w:top w:val="nil"/>
              <w:left w:val="nil"/>
              <w:bottom w:val="nil"/>
              <w:right w:val="nil"/>
              <w:tl2br w:val="nil"/>
              <w:tr2bl w:val="nil"/>
            </w:tcBorders>
            <w:shd w:val="clear" w:color="FFFFFF" w:fill="FFFFFF"/>
            <w:tcMar>
              <w:left w:w="101" w:type="dxa"/>
              <w:right w:w="101" w:type="dxa"/>
            </w:tcMar>
          </w:tcPr>
          <w:p w14:paraId="1664DBBA"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30 123</w:t>
            </w:r>
          </w:p>
        </w:tc>
        <w:tc>
          <w:tcPr>
            <w:tcW w:w="600" w:type="dxa"/>
            <w:tcBorders>
              <w:top w:val="nil"/>
              <w:left w:val="nil"/>
              <w:bottom w:val="nil"/>
              <w:right w:val="nil"/>
              <w:tl2br w:val="nil"/>
              <w:tr2bl w:val="nil"/>
            </w:tcBorders>
            <w:shd w:val="clear" w:color="FFFFFF" w:fill="FFFFFF"/>
            <w:tcMar>
              <w:left w:w="101" w:type="dxa"/>
              <w:right w:w="101" w:type="dxa"/>
            </w:tcMar>
          </w:tcPr>
          <w:p w14:paraId="364E2D49"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702C24A1"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23 763</w:t>
            </w:r>
          </w:p>
        </w:tc>
        <w:tc>
          <w:tcPr>
            <w:tcW w:w="1035" w:type="dxa"/>
            <w:tcBorders>
              <w:top w:val="nil"/>
              <w:left w:val="nil"/>
              <w:bottom w:val="nil"/>
              <w:right w:val="nil"/>
              <w:tl2br w:val="nil"/>
              <w:tr2bl w:val="nil"/>
            </w:tcBorders>
            <w:shd w:val="clear" w:color="FFFFFF" w:fill="FFFFFF"/>
            <w:tcMar>
              <w:left w:w="101" w:type="dxa"/>
              <w:right w:w="101" w:type="dxa"/>
            </w:tcMar>
          </w:tcPr>
          <w:p w14:paraId="68862FE5"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24 146</w:t>
            </w:r>
          </w:p>
        </w:tc>
        <w:tc>
          <w:tcPr>
            <w:tcW w:w="1035" w:type="dxa"/>
            <w:tcBorders>
              <w:top w:val="nil"/>
              <w:left w:val="nil"/>
              <w:bottom w:val="nil"/>
              <w:right w:val="nil"/>
              <w:tl2br w:val="nil"/>
              <w:tr2bl w:val="nil"/>
            </w:tcBorders>
            <w:shd w:val="clear" w:color="FFFFFF" w:fill="FFFFFF"/>
            <w:tcMar>
              <w:left w:w="101" w:type="dxa"/>
              <w:right w:w="101" w:type="dxa"/>
            </w:tcMar>
          </w:tcPr>
          <w:p w14:paraId="7EE84452"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24 544</w:t>
            </w:r>
          </w:p>
        </w:tc>
      </w:tr>
      <w:tr w:rsidR="003036F4" w14:paraId="771C3419"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0F0BE820" w14:textId="77777777" w:rsidR="003036F4" w:rsidRDefault="003036F4">
            <w:pPr>
              <w:pStyle w:val="Normal8"/>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noWrap/>
            <w:tcMar>
              <w:left w:w="0" w:type="dxa"/>
              <w:right w:w="0" w:type="dxa"/>
            </w:tcMar>
          </w:tcPr>
          <w:p w14:paraId="56D4C287"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37AA02"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81D6F5" w14:textId="77777777" w:rsidR="003036F4" w:rsidRDefault="003036F4">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2052BD"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12FF6A"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DD6EC9"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EFD070" w14:textId="77777777" w:rsidR="003036F4" w:rsidRDefault="003036F4">
            <w:pPr>
              <w:pStyle w:val="Normal8"/>
              <w:rPr>
                <w:rFonts w:ascii="Calibri" w:eastAsia="Calibri" w:hAnsi="Calibri" w:cs="Calibri"/>
                <w:color w:val="000000"/>
                <w:sz w:val="18"/>
              </w:rPr>
            </w:pPr>
          </w:p>
        </w:tc>
      </w:tr>
      <w:tr w:rsidR="003036F4" w14:paraId="7AF4C312"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10079401" w14:textId="77777777" w:rsidR="003036F4" w:rsidRDefault="003036F4">
            <w:pPr>
              <w:pStyle w:val="Normal8"/>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noWrap/>
            <w:tcMar>
              <w:left w:w="101" w:type="dxa"/>
              <w:right w:w="101" w:type="dxa"/>
            </w:tcMar>
          </w:tcPr>
          <w:p w14:paraId="0DC593A7" w14:textId="77777777" w:rsidR="003036F4" w:rsidRDefault="00900E2D">
            <w:pPr>
              <w:pStyle w:val="Normal8"/>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6FBE245D"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85F48D" w14:textId="77777777" w:rsidR="003036F4" w:rsidRDefault="003036F4">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A03AD4C"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1C21FD"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50B789"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9DC753" w14:textId="77777777" w:rsidR="003036F4" w:rsidRDefault="003036F4">
            <w:pPr>
              <w:pStyle w:val="Normal8"/>
              <w:rPr>
                <w:rFonts w:ascii="Calibri" w:eastAsia="Calibri" w:hAnsi="Calibri" w:cs="Calibri"/>
                <w:color w:val="000000"/>
                <w:sz w:val="18"/>
              </w:rPr>
            </w:pPr>
          </w:p>
        </w:tc>
      </w:tr>
      <w:tr w:rsidR="003036F4" w14:paraId="550A1B68"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1AEC7690" w14:textId="77777777" w:rsidR="003036F4" w:rsidRDefault="003036F4">
            <w:pPr>
              <w:pStyle w:val="Normal8"/>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noWrap/>
            <w:tcMar>
              <w:left w:w="0" w:type="dxa"/>
              <w:right w:w="0" w:type="dxa"/>
            </w:tcMar>
          </w:tcPr>
          <w:p w14:paraId="7C8D30E0"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98F4EA"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F89272" w14:textId="77777777" w:rsidR="003036F4" w:rsidRDefault="003036F4">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16E64D"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8DC501"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CB9793"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829E92" w14:textId="77777777" w:rsidR="003036F4" w:rsidRDefault="003036F4">
            <w:pPr>
              <w:pStyle w:val="Normal8"/>
              <w:rPr>
                <w:rFonts w:ascii="Calibri" w:eastAsia="Calibri" w:hAnsi="Calibri" w:cs="Calibri"/>
                <w:color w:val="000000"/>
                <w:sz w:val="18"/>
              </w:rPr>
            </w:pPr>
          </w:p>
        </w:tc>
      </w:tr>
      <w:tr w:rsidR="003036F4" w14:paraId="29568BB5"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FCA52D9"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0FD94885" w14:textId="77777777" w:rsidR="003036F4" w:rsidRDefault="00900E2D">
            <w:pPr>
              <w:pStyle w:val="Normal8"/>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1DBFC932"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1964373"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CA68D22"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C8142F1"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5F1FF7B"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FE2C2C3"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0</w:t>
            </w:r>
          </w:p>
        </w:tc>
      </w:tr>
      <w:tr w:rsidR="003036F4" w14:paraId="031F365E"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783A6290" w14:textId="77777777" w:rsidR="003036F4" w:rsidRDefault="003036F4">
            <w:pPr>
              <w:pStyle w:val="Normal8"/>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noWrap/>
            <w:tcMar>
              <w:left w:w="0" w:type="dxa"/>
              <w:right w:w="0" w:type="dxa"/>
            </w:tcMar>
          </w:tcPr>
          <w:p w14:paraId="72E416E9"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4FD85D"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2C3B08" w14:textId="77777777" w:rsidR="003036F4" w:rsidRDefault="003036F4">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E1742D"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32CD1E"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F3F1E1"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9339DA" w14:textId="77777777" w:rsidR="003036F4" w:rsidRDefault="003036F4">
            <w:pPr>
              <w:pStyle w:val="Normal8"/>
              <w:rPr>
                <w:rFonts w:ascii="Calibri" w:eastAsia="Calibri" w:hAnsi="Calibri" w:cs="Calibri"/>
                <w:color w:val="000000"/>
                <w:sz w:val="18"/>
              </w:rPr>
            </w:pPr>
          </w:p>
        </w:tc>
      </w:tr>
      <w:tr w:rsidR="003036F4" w14:paraId="08672691"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5F756347"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356E7E4D" w14:textId="77777777" w:rsidR="003036F4" w:rsidRDefault="00900E2D">
            <w:pPr>
              <w:pStyle w:val="Normal8"/>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6AF022D7"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26 230</w:t>
            </w:r>
          </w:p>
        </w:tc>
        <w:tc>
          <w:tcPr>
            <w:tcW w:w="1035" w:type="dxa"/>
            <w:tcBorders>
              <w:top w:val="nil"/>
              <w:left w:val="nil"/>
              <w:bottom w:val="nil"/>
              <w:right w:val="nil"/>
              <w:tl2br w:val="nil"/>
              <w:tr2bl w:val="nil"/>
            </w:tcBorders>
            <w:shd w:val="clear" w:color="FFFFFF" w:fill="FFFFFF"/>
            <w:tcMar>
              <w:left w:w="101" w:type="dxa"/>
              <w:right w:w="101" w:type="dxa"/>
            </w:tcMar>
          </w:tcPr>
          <w:p w14:paraId="19758E44"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30 123</w:t>
            </w:r>
          </w:p>
        </w:tc>
        <w:tc>
          <w:tcPr>
            <w:tcW w:w="600" w:type="dxa"/>
            <w:tcBorders>
              <w:top w:val="nil"/>
              <w:left w:val="nil"/>
              <w:bottom w:val="nil"/>
              <w:right w:val="nil"/>
              <w:tl2br w:val="nil"/>
              <w:tr2bl w:val="nil"/>
            </w:tcBorders>
            <w:shd w:val="clear" w:color="FFFFFF" w:fill="FFFFFF"/>
            <w:tcMar>
              <w:left w:w="101" w:type="dxa"/>
              <w:right w:w="101" w:type="dxa"/>
            </w:tcMar>
          </w:tcPr>
          <w:p w14:paraId="4DDF796E"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114249AE"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23 763</w:t>
            </w:r>
          </w:p>
        </w:tc>
        <w:tc>
          <w:tcPr>
            <w:tcW w:w="1035" w:type="dxa"/>
            <w:tcBorders>
              <w:top w:val="nil"/>
              <w:left w:val="nil"/>
              <w:bottom w:val="nil"/>
              <w:right w:val="nil"/>
              <w:tl2br w:val="nil"/>
              <w:tr2bl w:val="nil"/>
            </w:tcBorders>
            <w:shd w:val="clear" w:color="FFFFFF" w:fill="FFFFFF"/>
            <w:tcMar>
              <w:left w:w="101" w:type="dxa"/>
              <w:right w:w="101" w:type="dxa"/>
            </w:tcMar>
          </w:tcPr>
          <w:p w14:paraId="37114E16"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24 146</w:t>
            </w:r>
          </w:p>
        </w:tc>
        <w:tc>
          <w:tcPr>
            <w:tcW w:w="1035" w:type="dxa"/>
            <w:tcBorders>
              <w:top w:val="nil"/>
              <w:left w:val="nil"/>
              <w:bottom w:val="nil"/>
              <w:right w:val="nil"/>
              <w:tl2br w:val="nil"/>
              <w:tr2bl w:val="nil"/>
            </w:tcBorders>
            <w:shd w:val="clear" w:color="FFFFFF" w:fill="FFFFFF"/>
            <w:tcMar>
              <w:left w:w="101" w:type="dxa"/>
              <w:right w:w="101" w:type="dxa"/>
            </w:tcMar>
          </w:tcPr>
          <w:p w14:paraId="2DED6C79"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24 544</w:t>
            </w:r>
          </w:p>
        </w:tc>
      </w:tr>
      <w:tr w:rsidR="003036F4" w14:paraId="0004BE19"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783F3C86" w14:textId="77777777" w:rsidR="003036F4" w:rsidRDefault="003036F4">
            <w:pPr>
              <w:pStyle w:val="Normal8"/>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noWrap/>
            <w:tcMar>
              <w:left w:w="0" w:type="dxa"/>
              <w:right w:w="0" w:type="dxa"/>
            </w:tcMar>
          </w:tcPr>
          <w:p w14:paraId="2D01D532"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5CA406"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0D5140" w14:textId="77777777" w:rsidR="003036F4" w:rsidRDefault="003036F4">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CF2BA47"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E0E7D8"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2B3033"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E4C920" w14:textId="77777777" w:rsidR="003036F4" w:rsidRDefault="003036F4">
            <w:pPr>
              <w:pStyle w:val="Normal8"/>
              <w:rPr>
                <w:rFonts w:ascii="Calibri" w:eastAsia="Calibri" w:hAnsi="Calibri" w:cs="Calibri"/>
                <w:color w:val="000000"/>
                <w:sz w:val="18"/>
              </w:rPr>
            </w:pPr>
          </w:p>
        </w:tc>
      </w:tr>
      <w:tr w:rsidR="003036F4" w14:paraId="119E0517"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50FD8705" w14:textId="77777777" w:rsidR="003036F4" w:rsidRDefault="003036F4">
            <w:pPr>
              <w:pStyle w:val="Normal8"/>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noWrap/>
            <w:tcMar>
              <w:left w:w="101" w:type="dxa"/>
              <w:right w:w="101" w:type="dxa"/>
            </w:tcMar>
          </w:tcPr>
          <w:p w14:paraId="29319EAA" w14:textId="77777777" w:rsidR="003036F4" w:rsidRDefault="00900E2D">
            <w:pPr>
              <w:pStyle w:val="Normal8"/>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6FA0AAE9"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C98D9B" w14:textId="77777777" w:rsidR="003036F4" w:rsidRDefault="003036F4">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4A2896"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03BB97"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406A13"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3202B0" w14:textId="77777777" w:rsidR="003036F4" w:rsidRDefault="003036F4">
            <w:pPr>
              <w:pStyle w:val="Normal8"/>
              <w:rPr>
                <w:rFonts w:ascii="Calibri" w:eastAsia="Calibri" w:hAnsi="Calibri" w:cs="Calibri"/>
                <w:color w:val="000000"/>
                <w:sz w:val="18"/>
              </w:rPr>
            </w:pPr>
          </w:p>
        </w:tc>
      </w:tr>
      <w:tr w:rsidR="003036F4" w14:paraId="0A1F06AB"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635ED16"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0DD56BDE" w14:textId="77777777" w:rsidR="003036F4" w:rsidRDefault="00900E2D">
            <w:pPr>
              <w:pStyle w:val="Normal8"/>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4F97D553"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18 775</w:t>
            </w:r>
          </w:p>
        </w:tc>
        <w:tc>
          <w:tcPr>
            <w:tcW w:w="1035" w:type="dxa"/>
            <w:tcBorders>
              <w:top w:val="nil"/>
              <w:left w:val="nil"/>
              <w:bottom w:val="nil"/>
              <w:right w:val="nil"/>
              <w:tl2br w:val="nil"/>
              <w:tr2bl w:val="nil"/>
            </w:tcBorders>
            <w:shd w:val="clear" w:color="FFFFFF" w:fill="FFFFFF"/>
            <w:tcMar>
              <w:left w:w="101" w:type="dxa"/>
              <w:right w:w="101" w:type="dxa"/>
            </w:tcMar>
          </w:tcPr>
          <w:p w14:paraId="0EDFBB67"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14 395</w:t>
            </w:r>
          </w:p>
        </w:tc>
        <w:tc>
          <w:tcPr>
            <w:tcW w:w="600" w:type="dxa"/>
            <w:tcBorders>
              <w:top w:val="nil"/>
              <w:left w:val="nil"/>
              <w:bottom w:val="nil"/>
              <w:right w:val="nil"/>
              <w:tl2br w:val="nil"/>
              <w:tr2bl w:val="nil"/>
            </w:tcBorders>
            <w:shd w:val="clear" w:color="FFFFFF" w:fill="FFFFFF"/>
            <w:tcMar>
              <w:left w:w="101" w:type="dxa"/>
              <w:right w:w="101" w:type="dxa"/>
            </w:tcMar>
          </w:tcPr>
          <w:p w14:paraId="382527A0"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 xml:space="preserve">-23 </w:t>
            </w:r>
          </w:p>
        </w:tc>
        <w:tc>
          <w:tcPr>
            <w:tcW w:w="1035" w:type="dxa"/>
            <w:tcBorders>
              <w:top w:val="nil"/>
              <w:left w:val="nil"/>
              <w:bottom w:val="nil"/>
              <w:right w:val="nil"/>
              <w:tl2br w:val="nil"/>
              <w:tr2bl w:val="nil"/>
            </w:tcBorders>
            <w:shd w:val="clear" w:color="FFFFFF" w:fill="FFFFFF"/>
            <w:tcMar>
              <w:left w:w="101" w:type="dxa"/>
              <w:right w:w="101" w:type="dxa"/>
            </w:tcMar>
          </w:tcPr>
          <w:p w14:paraId="046DEA5D"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14 389</w:t>
            </w:r>
          </w:p>
        </w:tc>
        <w:tc>
          <w:tcPr>
            <w:tcW w:w="1035" w:type="dxa"/>
            <w:tcBorders>
              <w:top w:val="nil"/>
              <w:left w:val="nil"/>
              <w:bottom w:val="nil"/>
              <w:right w:val="nil"/>
              <w:tl2br w:val="nil"/>
              <w:tr2bl w:val="nil"/>
            </w:tcBorders>
            <w:shd w:val="clear" w:color="FFFFFF" w:fill="FFFFFF"/>
            <w:tcMar>
              <w:left w:w="101" w:type="dxa"/>
              <w:right w:w="101" w:type="dxa"/>
            </w:tcMar>
          </w:tcPr>
          <w:p w14:paraId="07C49EF8"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14 590</w:t>
            </w:r>
          </w:p>
        </w:tc>
        <w:tc>
          <w:tcPr>
            <w:tcW w:w="1035" w:type="dxa"/>
            <w:tcBorders>
              <w:top w:val="nil"/>
              <w:left w:val="nil"/>
              <w:bottom w:val="nil"/>
              <w:right w:val="nil"/>
              <w:tl2br w:val="nil"/>
              <w:tr2bl w:val="nil"/>
            </w:tcBorders>
            <w:shd w:val="clear" w:color="FFFFFF" w:fill="FFFFFF"/>
            <w:tcMar>
              <w:left w:w="101" w:type="dxa"/>
              <w:right w:w="101" w:type="dxa"/>
            </w:tcMar>
          </w:tcPr>
          <w:p w14:paraId="1D1357E1"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14 713</w:t>
            </w:r>
          </w:p>
        </w:tc>
      </w:tr>
      <w:tr w:rsidR="003036F4" w14:paraId="1F855646"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634F7CE0"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7B768466" w14:textId="77777777" w:rsidR="003036F4" w:rsidRDefault="00900E2D">
            <w:pPr>
              <w:pStyle w:val="Normal8"/>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0CC233E5"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2 975</w:t>
            </w:r>
          </w:p>
        </w:tc>
        <w:tc>
          <w:tcPr>
            <w:tcW w:w="1035" w:type="dxa"/>
            <w:tcBorders>
              <w:top w:val="nil"/>
              <w:left w:val="nil"/>
              <w:bottom w:val="nil"/>
              <w:right w:val="nil"/>
              <w:tl2br w:val="nil"/>
              <w:tr2bl w:val="nil"/>
            </w:tcBorders>
            <w:shd w:val="clear" w:color="FFFFFF" w:fill="FFFFFF"/>
            <w:tcMar>
              <w:left w:w="101" w:type="dxa"/>
              <w:right w:w="101" w:type="dxa"/>
            </w:tcMar>
          </w:tcPr>
          <w:p w14:paraId="114D8EF8"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2 673</w:t>
            </w:r>
          </w:p>
        </w:tc>
        <w:tc>
          <w:tcPr>
            <w:tcW w:w="600" w:type="dxa"/>
            <w:tcBorders>
              <w:top w:val="nil"/>
              <w:left w:val="nil"/>
              <w:bottom w:val="nil"/>
              <w:right w:val="nil"/>
              <w:tl2br w:val="nil"/>
              <w:tr2bl w:val="nil"/>
            </w:tcBorders>
            <w:shd w:val="clear" w:color="FFFFFF" w:fill="FFFFFF"/>
            <w:tcMar>
              <w:left w:w="101" w:type="dxa"/>
              <w:right w:w="101" w:type="dxa"/>
            </w:tcMar>
          </w:tcPr>
          <w:p w14:paraId="67726B1A"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2B83A854"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2 709</w:t>
            </w:r>
          </w:p>
        </w:tc>
        <w:tc>
          <w:tcPr>
            <w:tcW w:w="1035" w:type="dxa"/>
            <w:tcBorders>
              <w:top w:val="nil"/>
              <w:left w:val="nil"/>
              <w:bottom w:val="nil"/>
              <w:right w:val="nil"/>
              <w:tl2br w:val="nil"/>
              <w:tr2bl w:val="nil"/>
            </w:tcBorders>
            <w:shd w:val="clear" w:color="FFFFFF" w:fill="FFFFFF"/>
            <w:tcMar>
              <w:left w:w="101" w:type="dxa"/>
              <w:right w:w="101" w:type="dxa"/>
            </w:tcMar>
          </w:tcPr>
          <w:p w14:paraId="74DD56DC"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2 714</w:t>
            </w:r>
          </w:p>
        </w:tc>
        <w:tc>
          <w:tcPr>
            <w:tcW w:w="1035" w:type="dxa"/>
            <w:tcBorders>
              <w:top w:val="nil"/>
              <w:left w:val="nil"/>
              <w:bottom w:val="nil"/>
              <w:right w:val="nil"/>
              <w:tl2br w:val="nil"/>
              <w:tr2bl w:val="nil"/>
            </w:tcBorders>
            <w:shd w:val="clear" w:color="FFFFFF" w:fill="FFFFFF"/>
            <w:tcMar>
              <w:left w:w="101" w:type="dxa"/>
              <w:right w:w="101" w:type="dxa"/>
            </w:tcMar>
          </w:tcPr>
          <w:p w14:paraId="6A5A2689"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2 734</w:t>
            </w:r>
          </w:p>
        </w:tc>
      </w:tr>
      <w:tr w:rsidR="003036F4" w14:paraId="6A275928"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594B829C"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40DE89F1" w14:textId="77777777" w:rsidR="003036F4" w:rsidRDefault="00900E2D">
            <w:pPr>
              <w:pStyle w:val="Normal8"/>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45EB247"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9 044</w:t>
            </w:r>
          </w:p>
        </w:tc>
        <w:tc>
          <w:tcPr>
            <w:tcW w:w="1035" w:type="dxa"/>
            <w:tcBorders>
              <w:top w:val="nil"/>
              <w:left w:val="nil"/>
              <w:bottom w:val="nil"/>
              <w:right w:val="nil"/>
              <w:tl2br w:val="nil"/>
              <w:tr2bl w:val="nil"/>
            </w:tcBorders>
            <w:shd w:val="clear" w:color="FFFFFF" w:fill="FFFFFF"/>
            <w:tcMar>
              <w:left w:w="101" w:type="dxa"/>
              <w:right w:w="101" w:type="dxa"/>
            </w:tcMar>
          </w:tcPr>
          <w:p w14:paraId="2FEA0B76"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12 825</w:t>
            </w:r>
          </w:p>
        </w:tc>
        <w:tc>
          <w:tcPr>
            <w:tcW w:w="600" w:type="dxa"/>
            <w:tcBorders>
              <w:top w:val="nil"/>
              <w:left w:val="nil"/>
              <w:bottom w:val="nil"/>
              <w:right w:val="nil"/>
              <w:tl2br w:val="nil"/>
              <w:tr2bl w:val="nil"/>
            </w:tcBorders>
            <w:shd w:val="clear" w:color="FFFFFF" w:fill="FFFFFF"/>
            <w:tcMar>
              <w:left w:w="101" w:type="dxa"/>
              <w:right w:w="101" w:type="dxa"/>
            </w:tcMar>
          </w:tcPr>
          <w:p w14:paraId="40C67426"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 xml:space="preserve">42 </w:t>
            </w:r>
          </w:p>
        </w:tc>
        <w:tc>
          <w:tcPr>
            <w:tcW w:w="1035" w:type="dxa"/>
            <w:tcBorders>
              <w:top w:val="nil"/>
              <w:left w:val="nil"/>
              <w:bottom w:val="nil"/>
              <w:right w:val="nil"/>
              <w:tl2br w:val="nil"/>
              <w:tr2bl w:val="nil"/>
            </w:tcBorders>
            <w:shd w:val="clear" w:color="FFFFFF" w:fill="FFFFFF"/>
            <w:tcMar>
              <w:left w:w="101" w:type="dxa"/>
              <w:right w:w="101" w:type="dxa"/>
            </w:tcMar>
          </w:tcPr>
          <w:p w14:paraId="1862BE2F"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6 665</w:t>
            </w:r>
          </w:p>
        </w:tc>
        <w:tc>
          <w:tcPr>
            <w:tcW w:w="1035" w:type="dxa"/>
            <w:tcBorders>
              <w:top w:val="nil"/>
              <w:left w:val="nil"/>
              <w:bottom w:val="nil"/>
              <w:right w:val="nil"/>
              <w:tl2br w:val="nil"/>
              <w:tr2bl w:val="nil"/>
            </w:tcBorders>
            <w:shd w:val="clear" w:color="FFFFFF" w:fill="FFFFFF"/>
            <w:tcMar>
              <w:left w:w="101" w:type="dxa"/>
              <w:right w:w="101" w:type="dxa"/>
            </w:tcMar>
          </w:tcPr>
          <w:p w14:paraId="1F26C587"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6 842</w:t>
            </w:r>
          </w:p>
        </w:tc>
        <w:tc>
          <w:tcPr>
            <w:tcW w:w="1035" w:type="dxa"/>
            <w:tcBorders>
              <w:top w:val="nil"/>
              <w:left w:val="nil"/>
              <w:bottom w:val="nil"/>
              <w:right w:val="nil"/>
              <w:tl2br w:val="nil"/>
              <w:tr2bl w:val="nil"/>
            </w:tcBorders>
            <w:shd w:val="clear" w:color="FFFFFF" w:fill="FFFFFF"/>
            <w:tcMar>
              <w:left w:w="101" w:type="dxa"/>
              <w:right w:w="101" w:type="dxa"/>
            </w:tcMar>
          </w:tcPr>
          <w:p w14:paraId="2D748537"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7 097</w:t>
            </w:r>
          </w:p>
        </w:tc>
      </w:tr>
      <w:tr w:rsidR="003036F4" w14:paraId="564F8035"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02944CFE"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0E5A709D" w14:textId="77777777" w:rsidR="003036F4" w:rsidRDefault="00900E2D" w:rsidP="00852076">
            <w:pPr>
              <w:pStyle w:val="Normal8"/>
              <w:ind w:left="136" w:hanging="136"/>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3E9EDD54"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1 466</w:t>
            </w:r>
          </w:p>
        </w:tc>
        <w:tc>
          <w:tcPr>
            <w:tcW w:w="1035" w:type="dxa"/>
            <w:tcBorders>
              <w:top w:val="nil"/>
              <w:left w:val="nil"/>
              <w:bottom w:val="nil"/>
              <w:right w:val="nil"/>
              <w:tl2br w:val="nil"/>
              <w:tr2bl w:val="nil"/>
            </w:tcBorders>
            <w:shd w:val="clear" w:color="FFFFFF" w:fill="FFFFFF"/>
            <w:tcMar>
              <w:left w:w="101" w:type="dxa"/>
              <w:right w:w="101" w:type="dxa"/>
            </w:tcMar>
          </w:tcPr>
          <w:p w14:paraId="6F9DA306"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1 334</w:t>
            </w:r>
          </w:p>
        </w:tc>
        <w:tc>
          <w:tcPr>
            <w:tcW w:w="600" w:type="dxa"/>
            <w:tcBorders>
              <w:top w:val="nil"/>
              <w:left w:val="nil"/>
              <w:bottom w:val="nil"/>
              <w:right w:val="nil"/>
              <w:tl2br w:val="nil"/>
              <w:tr2bl w:val="nil"/>
            </w:tcBorders>
            <w:shd w:val="clear" w:color="FFFFFF" w:fill="FFFFFF"/>
            <w:tcMar>
              <w:left w:w="101" w:type="dxa"/>
              <w:right w:w="101" w:type="dxa"/>
            </w:tcMar>
          </w:tcPr>
          <w:p w14:paraId="0D841046"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1E7100E8"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2 634</w:t>
            </w:r>
          </w:p>
        </w:tc>
        <w:tc>
          <w:tcPr>
            <w:tcW w:w="1035" w:type="dxa"/>
            <w:tcBorders>
              <w:top w:val="nil"/>
              <w:left w:val="nil"/>
              <w:bottom w:val="nil"/>
              <w:right w:val="nil"/>
              <w:tl2br w:val="nil"/>
              <w:tr2bl w:val="nil"/>
            </w:tcBorders>
            <w:shd w:val="clear" w:color="FFFFFF" w:fill="FFFFFF"/>
            <w:tcMar>
              <w:left w:w="101" w:type="dxa"/>
              <w:right w:w="101" w:type="dxa"/>
            </w:tcMar>
          </w:tcPr>
          <w:p w14:paraId="703C95F3"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3 432</w:t>
            </w:r>
          </w:p>
        </w:tc>
        <w:tc>
          <w:tcPr>
            <w:tcW w:w="1035" w:type="dxa"/>
            <w:tcBorders>
              <w:top w:val="nil"/>
              <w:left w:val="nil"/>
              <w:bottom w:val="nil"/>
              <w:right w:val="nil"/>
              <w:tl2br w:val="nil"/>
              <w:tr2bl w:val="nil"/>
            </w:tcBorders>
            <w:shd w:val="clear" w:color="FFFFFF" w:fill="FFFFFF"/>
            <w:tcMar>
              <w:left w:w="101" w:type="dxa"/>
              <w:right w:w="101" w:type="dxa"/>
            </w:tcMar>
          </w:tcPr>
          <w:p w14:paraId="5F518B07"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3 432</w:t>
            </w:r>
          </w:p>
        </w:tc>
      </w:tr>
      <w:tr w:rsidR="003036F4" w14:paraId="63F77D89"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2F643FA"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7C9A95AC" w14:textId="77777777" w:rsidR="003036F4" w:rsidRDefault="00900E2D">
            <w:pPr>
              <w:pStyle w:val="Normal8"/>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516CEF1B"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5B1DAFF4"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CF418FB"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B6F19E4"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0412F52"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FC1416A"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r>
      <w:tr w:rsidR="003036F4" w14:paraId="613DB28E"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2897DEB1"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6546F1AF" w14:textId="77777777" w:rsidR="003036F4" w:rsidRDefault="00900E2D">
            <w:pPr>
              <w:pStyle w:val="Normal8"/>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6DB2A80E"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tcMar>
              <w:left w:w="101" w:type="dxa"/>
              <w:right w:w="101" w:type="dxa"/>
            </w:tcMar>
          </w:tcPr>
          <w:p w14:paraId="79E606FC"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162</w:t>
            </w:r>
          </w:p>
        </w:tc>
        <w:tc>
          <w:tcPr>
            <w:tcW w:w="600" w:type="dxa"/>
            <w:tcBorders>
              <w:top w:val="nil"/>
              <w:left w:val="nil"/>
              <w:bottom w:val="nil"/>
              <w:right w:val="nil"/>
              <w:tl2br w:val="nil"/>
              <w:tr2bl w:val="nil"/>
            </w:tcBorders>
            <w:shd w:val="clear" w:color="FFFFFF" w:fill="FFFFFF"/>
            <w:tcMar>
              <w:left w:w="101" w:type="dxa"/>
              <w:right w:w="101" w:type="dxa"/>
            </w:tcMar>
          </w:tcPr>
          <w:p w14:paraId="08A6F2F4"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 xml:space="preserve">-76 </w:t>
            </w:r>
          </w:p>
        </w:tc>
        <w:tc>
          <w:tcPr>
            <w:tcW w:w="1035" w:type="dxa"/>
            <w:tcBorders>
              <w:top w:val="nil"/>
              <w:left w:val="nil"/>
              <w:bottom w:val="nil"/>
              <w:right w:val="nil"/>
              <w:tl2br w:val="nil"/>
              <w:tr2bl w:val="nil"/>
            </w:tcBorders>
            <w:shd w:val="clear" w:color="FFFFFF" w:fill="FFFFFF"/>
            <w:tcMar>
              <w:left w:w="101" w:type="dxa"/>
              <w:right w:w="101" w:type="dxa"/>
            </w:tcMar>
          </w:tcPr>
          <w:p w14:paraId="07C3226E"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40C9ABE"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299617C" w14:textId="77777777" w:rsidR="003036F4" w:rsidRDefault="00900E2D">
            <w:pPr>
              <w:pStyle w:val="Normal8"/>
              <w:jc w:val="right"/>
              <w:rPr>
                <w:rFonts w:ascii="Calibri" w:eastAsia="Calibri" w:hAnsi="Calibri" w:cs="Calibri"/>
                <w:color w:val="000000"/>
                <w:sz w:val="18"/>
              </w:rPr>
            </w:pPr>
            <w:r>
              <w:rPr>
                <w:rFonts w:ascii="Calibri" w:eastAsia="Calibri" w:hAnsi="Calibri" w:cs="Calibri"/>
                <w:color w:val="000000"/>
                <w:sz w:val="18"/>
              </w:rPr>
              <w:t>0</w:t>
            </w:r>
          </w:p>
        </w:tc>
      </w:tr>
      <w:tr w:rsidR="003036F4" w14:paraId="16B520D4"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16F7C9A1" w14:textId="77777777" w:rsidR="003036F4" w:rsidRDefault="003036F4">
            <w:pPr>
              <w:pStyle w:val="Normal8"/>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noWrap/>
            <w:tcMar>
              <w:left w:w="0" w:type="dxa"/>
              <w:right w:w="0" w:type="dxa"/>
            </w:tcMar>
          </w:tcPr>
          <w:p w14:paraId="3AFEE960"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4BD114"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A0D7DD" w14:textId="77777777" w:rsidR="003036F4" w:rsidRDefault="003036F4">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860CD4"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A70F29"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FD722F"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124A31" w14:textId="77777777" w:rsidR="003036F4" w:rsidRDefault="003036F4">
            <w:pPr>
              <w:pStyle w:val="Normal8"/>
              <w:rPr>
                <w:rFonts w:ascii="Calibri" w:eastAsia="Calibri" w:hAnsi="Calibri" w:cs="Calibri"/>
                <w:color w:val="000000"/>
                <w:sz w:val="18"/>
              </w:rPr>
            </w:pPr>
          </w:p>
        </w:tc>
      </w:tr>
      <w:tr w:rsidR="003036F4" w14:paraId="065ADF6E"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3DB9357D"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0545D966" w14:textId="77777777" w:rsidR="003036F4" w:rsidRDefault="00900E2D">
            <w:pPr>
              <w:pStyle w:val="Normal8"/>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63B1E17D"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32 948</w:t>
            </w:r>
          </w:p>
        </w:tc>
        <w:tc>
          <w:tcPr>
            <w:tcW w:w="1035" w:type="dxa"/>
            <w:tcBorders>
              <w:top w:val="nil"/>
              <w:left w:val="nil"/>
              <w:bottom w:val="nil"/>
              <w:right w:val="nil"/>
              <w:tl2br w:val="nil"/>
              <w:tr2bl w:val="nil"/>
            </w:tcBorders>
            <w:shd w:val="clear" w:color="FFFFFF" w:fill="FFFFFF"/>
            <w:tcMar>
              <w:left w:w="101" w:type="dxa"/>
              <w:right w:w="101" w:type="dxa"/>
            </w:tcMar>
          </w:tcPr>
          <w:p w14:paraId="3A246488"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31 389</w:t>
            </w:r>
          </w:p>
        </w:tc>
        <w:tc>
          <w:tcPr>
            <w:tcW w:w="600" w:type="dxa"/>
            <w:tcBorders>
              <w:top w:val="nil"/>
              <w:left w:val="nil"/>
              <w:bottom w:val="nil"/>
              <w:right w:val="nil"/>
              <w:tl2br w:val="nil"/>
              <w:tr2bl w:val="nil"/>
            </w:tcBorders>
            <w:shd w:val="clear" w:color="FFFFFF" w:fill="FFFFFF"/>
            <w:tcMar>
              <w:left w:w="101" w:type="dxa"/>
              <w:right w:w="101" w:type="dxa"/>
            </w:tcMar>
          </w:tcPr>
          <w:p w14:paraId="2131935E"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05EF4E73"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26 397</w:t>
            </w:r>
          </w:p>
        </w:tc>
        <w:tc>
          <w:tcPr>
            <w:tcW w:w="1035" w:type="dxa"/>
            <w:tcBorders>
              <w:top w:val="nil"/>
              <w:left w:val="nil"/>
              <w:bottom w:val="nil"/>
              <w:right w:val="nil"/>
              <w:tl2br w:val="nil"/>
              <w:tr2bl w:val="nil"/>
            </w:tcBorders>
            <w:shd w:val="clear" w:color="FFFFFF" w:fill="FFFFFF"/>
            <w:tcMar>
              <w:left w:w="101" w:type="dxa"/>
              <w:right w:w="101" w:type="dxa"/>
            </w:tcMar>
          </w:tcPr>
          <w:p w14:paraId="48A14853"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27 578</w:t>
            </w:r>
          </w:p>
        </w:tc>
        <w:tc>
          <w:tcPr>
            <w:tcW w:w="1035" w:type="dxa"/>
            <w:tcBorders>
              <w:top w:val="nil"/>
              <w:left w:val="nil"/>
              <w:bottom w:val="nil"/>
              <w:right w:val="nil"/>
              <w:tl2br w:val="nil"/>
              <w:tr2bl w:val="nil"/>
            </w:tcBorders>
            <w:shd w:val="clear" w:color="FFFFFF" w:fill="FFFFFF"/>
            <w:tcMar>
              <w:left w:w="101" w:type="dxa"/>
              <w:right w:w="101" w:type="dxa"/>
            </w:tcMar>
          </w:tcPr>
          <w:p w14:paraId="6E607AFB"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27 976</w:t>
            </w:r>
          </w:p>
        </w:tc>
      </w:tr>
      <w:tr w:rsidR="003036F4" w14:paraId="0001AA5A"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673A3655" w14:textId="77777777" w:rsidR="003036F4" w:rsidRDefault="003036F4">
            <w:pPr>
              <w:pStyle w:val="Normal8"/>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noWrap/>
            <w:tcMar>
              <w:left w:w="0" w:type="dxa"/>
              <w:right w:w="0" w:type="dxa"/>
            </w:tcMar>
          </w:tcPr>
          <w:p w14:paraId="3F433DA2"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A05921"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880255" w14:textId="77777777" w:rsidR="003036F4" w:rsidRDefault="003036F4">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FCE4B53"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2C7DD4"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E3FD36" w14:textId="77777777" w:rsidR="003036F4" w:rsidRDefault="003036F4">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760099" w14:textId="77777777" w:rsidR="003036F4" w:rsidRDefault="003036F4">
            <w:pPr>
              <w:pStyle w:val="Normal8"/>
              <w:rPr>
                <w:rFonts w:ascii="Calibri" w:eastAsia="Calibri" w:hAnsi="Calibri" w:cs="Calibri"/>
                <w:color w:val="000000"/>
                <w:sz w:val="18"/>
              </w:rPr>
            </w:pPr>
          </w:p>
        </w:tc>
      </w:tr>
      <w:tr w:rsidR="003036F4" w14:paraId="04E5C888"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5AF0FE15"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6A505F18" w14:textId="77777777" w:rsidR="003036F4" w:rsidRDefault="00900E2D">
            <w:pPr>
              <w:pStyle w:val="Normal8"/>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285CFFE6"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-6 718</w:t>
            </w:r>
          </w:p>
        </w:tc>
        <w:tc>
          <w:tcPr>
            <w:tcW w:w="1035" w:type="dxa"/>
            <w:tcBorders>
              <w:top w:val="nil"/>
              <w:left w:val="nil"/>
              <w:bottom w:val="nil"/>
              <w:right w:val="nil"/>
              <w:tl2br w:val="nil"/>
              <w:tr2bl w:val="nil"/>
            </w:tcBorders>
            <w:shd w:val="clear" w:color="FFFFFF" w:fill="FFFFFF"/>
            <w:tcMar>
              <w:left w:w="101" w:type="dxa"/>
              <w:right w:w="101" w:type="dxa"/>
            </w:tcMar>
          </w:tcPr>
          <w:p w14:paraId="12D1EEC7"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-1 266</w:t>
            </w:r>
          </w:p>
        </w:tc>
        <w:tc>
          <w:tcPr>
            <w:tcW w:w="600" w:type="dxa"/>
            <w:tcBorders>
              <w:top w:val="nil"/>
              <w:left w:val="nil"/>
              <w:bottom w:val="nil"/>
              <w:right w:val="nil"/>
              <w:tl2br w:val="nil"/>
              <w:tr2bl w:val="nil"/>
            </w:tcBorders>
            <w:shd w:val="clear" w:color="FFFFFF" w:fill="FFFFFF"/>
            <w:tcMar>
              <w:left w:w="101" w:type="dxa"/>
              <w:right w:w="101" w:type="dxa"/>
            </w:tcMar>
          </w:tcPr>
          <w:p w14:paraId="1AC20211"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81</w:t>
            </w:r>
          </w:p>
        </w:tc>
        <w:tc>
          <w:tcPr>
            <w:tcW w:w="1035" w:type="dxa"/>
            <w:tcBorders>
              <w:top w:val="nil"/>
              <w:left w:val="nil"/>
              <w:bottom w:val="nil"/>
              <w:right w:val="nil"/>
              <w:tl2br w:val="nil"/>
              <w:tr2bl w:val="nil"/>
            </w:tcBorders>
            <w:shd w:val="clear" w:color="FFFFFF" w:fill="FFFFFF"/>
            <w:tcMar>
              <w:left w:w="101" w:type="dxa"/>
              <w:right w:w="101" w:type="dxa"/>
            </w:tcMar>
          </w:tcPr>
          <w:p w14:paraId="1FD5FB61"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-2 634</w:t>
            </w:r>
          </w:p>
        </w:tc>
        <w:tc>
          <w:tcPr>
            <w:tcW w:w="1035" w:type="dxa"/>
            <w:tcBorders>
              <w:top w:val="nil"/>
              <w:left w:val="nil"/>
              <w:bottom w:val="nil"/>
              <w:right w:val="nil"/>
              <w:tl2br w:val="nil"/>
              <w:tr2bl w:val="nil"/>
            </w:tcBorders>
            <w:shd w:val="clear" w:color="FFFFFF" w:fill="FFFFFF"/>
            <w:tcMar>
              <w:left w:w="101" w:type="dxa"/>
              <w:right w:w="101" w:type="dxa"/>
            </w:tcMar>
          </w:tcPr>
          <w:p w14:paraId="6F196A5D"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-3 432</w:t>
            </w:r>
          </w:p>
        </w:tc>
        <w:tc>
          <w:tcPr>
            <w:tcW w:w="1035" w:type="dxa"/>
            <w:tcBorders>
              <w:top w:val="nil"/>
              <w:left w:val="nil"/>
              <w:bottom w:val="nil"/>
              <w:right w:val="nil"/>
              <w:tl2br w:val="nil"/>
              <w:tr2bl w:val="nil"/>
            </w:tcBorders>
            <w:shd w:val="clear" w:color="FFFFFF" w:fill="FFFFFF"/>
            <w:tcMar>
              <w:left w:w="101" w:type="dxa"/>
              <w:right w:w="101" w:type="dxa"/>
            </w:tcMar>
          </w:tcPr>
          <w:p w14:paraId="3D125F7B"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-3 432</w:t>
            </w:r>
          </w:p>
        </w:tc>
      </w:tr>
      <w:tr w:rsidR="003036F4" w14:paraId="1D29123F"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7E4AAA85" w14:textId="77777777" w:rsidR="003036F4" w:rsidRDefault="003036F4">
            <w:pPr>
              <w:pStyle w:val="Normal8"/>
              <w:rPr>
                <w:rFonts w:ascii="Calibri" w:eastAsia="Calibri" w:hAnsi="Calibri" w:cs="Calibri"/>
                <w:b/>
                <w:color w:val="000000"/>
                <w:sz w:val="18"/>
              </w:rPr>
            </w:pPr>
          </w:p>
        </w:tc>
        <w:tc>
          <w:tcPr>
            <w:tcW w:w="2569" w:type="dxa"/>
            <w:tcBorders>
              <w:top w:val="nil"/>
              <w:left w:val="nil"/>
              <w:bottom w:val="nil"/>
              <w:right w:val="nil"/>
              <w:tl2br w:val="nil"/>
              <w:tr2bl w:val="nil"/>
            </w:tcBorders>
            <w:shd w:val="clear" w:color="FFFFFF" w:fill="FFFFFF"/>
            <w:noWrap/>
            <w:tcMar>
              <w:left w:w="0" w:type="dxa"/>
              <w:right w:w="0" w:type="dxa"/>
            </w:tcMar>
          </w:tcPr>
          <w:p w14:paraId="117CBB76"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305D2E"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739A35" w14:textId="77777777" w:rsidR="003036F4" w:rsidRDefault="003036F4">
            <w:pPr>
              <w:pStyle w:val="Normal8"/>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EFBDB2"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4D125C"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C60BD8" w14:textId="77777777" w:rsidR="003036F4" w:rsidRDefault="003036F4">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C12EB1" w14:textId="77777777" w:rsidR="003036F4" w:rsidRDefault="003036F4">
            <w:pPr>
              <w:pStyle w:val="Normal8"/>
              <w:rPr>
                <w:rFonts w:ascii="Calibri" w:eastAsia="Calibri" w:hAnsi="Calibri" w:cs="Calibri"/>
                <w:b/>
                <w:color w:val="000000"/>
                <w:sz w:val="18"/>
              </w:rPr>
            </w:pPr>
          </w:p>
        </w:tc>
      </w:tr>
      <w:tr w:rsidR="003036F4" w14:paraId="1A39FB8A"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BADBB79"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62FE00D3" w14:textId="77777777" w:rsidR="003036F4" w:rsidRDefault="00900E2D">
            <w:pPr>
              <w:pStyle w:val="Normal8"/>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45727FC2"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-6 718</w:t>
            </w:r>
          </w:p>
        </w:tc>
        <w:tc>
          <w:tcPr>
            <w:tcW w:w="1035" w:type="dxa"/>
            <w:tcBorders>
              <w:top w:val="nil"/>
              <w:left w:val="nil"/>
              <w:bottom w:val="nil"/>
              <w:right w:val="nil"/>
              <w:tl2br w:val="nil"/>
              <w:tr2bl w:val="nil"/>
            </w:tcBorders>
            <w:shd w:val="clear" w:color="FFFFFF" w:fill="FFFFFF"/>
            <w:tcMar>
              <w:left w:w="101" w:type="dxa"/>
              <w:right w:w="101" w:type="dxa"/>
            </w:tcMar>
          </w:tcPr>
          <w:p w14:paraId="549C1EE6"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-1 266</w:t>
            </w:r>
          </w:p>
        </w:tc>
        <w:tc>
          <w:tcPr>
            <w:tcW w:w="600" w:type="dxa"/>
            <w:tcBorders>
              <w:top w:val="nil"/>
              <w:left w:val="nil"/>
              <w:bottom w:val="nil"/>
              <w:right w:val="nil"/>
              <w:tl2br w:val="nil"/>
              <w:tr2bl w:val="nil"/>
            </w:tcBorders>
            <w:shd w:val="clear" w:color="FFFFFF" w:fill="FFFFFF"/>
            <w:tcMar>
              <w:left w:w="101" w:type="dxa"/>
              <w:right w:w="101" w:type="dxa"/>
            </w:tcMar>
          </w:tcPr>
          <w:p w14:paraId="045A4D34"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81 </w:t>
            </w:r>
          </w:p>
        </w:tc>
        <w:tc>
          <w:tcPr>
            <w:tcW w:w="1035" w:type="dxa"/>
            <w:tcBorders>
              <w:top w:val="nil"/>
              <w:left w:val="nil"/>
              <w:bottom w:val="nil"/>
              <w:right w:val="nil"/>
              <w:tl2br w:val="nil"/>
              <w:tr2bl w:val="nil"/>
            </w:tcBorders>
            <w:shd w:val="clear" w:color="FFFFFF" w:fill="FFFFFF"/>
            <w:tcMar>
              <w:left w:w="101" w:type="dxa"/>
              <w:right w:w="101" w:type="dxa"/>
            </w:tcMar>
          </w:tcPr>
          <w:p w14:paraId="175069BB"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-2 634</w:t>
            </w:r>
          </w:p>
        </w:tc>
        <w:tc>
          <w:tcPr>
            <w:tcW w:w="1035" w:type="dxa"/>
            <w:tcBorders>
              <w:top w:val="nil"/>
              <w:left w:val="nil"/>
              <w:bottom w:val="nil"/>
              <w:right w:val="nil"/>
              <w:tl2br w:val="nil"/>
              <w:tr2bl w:val="nil"/>
            </w:tcBorders>
            <w:shd w:val="clear" w:color="FFFFFF" w:fill="FFFFFF"/>
            <w:tcMar>
              <w:left w:w="101" w:type="dxa"/>
              <w:right w:w="101" w:type="dxa"/>
            </w:tcMar>
          </w:tcPr>
          <w:p w14:paraId="02F4FA5D"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-3 432</w:t>
            </w:r>
          </w:p>
        </w:tc>
        <w:tc>
          <w:tcPr>
            <w:tcW w:w="1035" w:type="dxa"/>
            <w:tcBorders>
              <w:top w:val="nil"/>
              <w:left w:val="nil"/>
              <w:bottom w:val="nil"/>
              <w:right w:val="nil"/>
              <w:tl2br w:val="nil"/>
              <w:tr2bl w:val="nil"/>
            </w:tcBorders>
            <w:shd w:val="clear" w:color="FFFFFF" w:fill="FFFFFF"/>
            <w:tcMar>
              <w:left w:w="101" w:type="dxa"/>
              <w:right w:w="101" w:type="dxa"/>
            </w:tcMar>
          </w:tcPr>
          <w:p w14:paraId="0B356395" w14:textId="77777777" w:rsidR="003036F4" w:rsidRDefault="00900E2D">
            <w:pPr>
              <w:pStyle w:val="Normal8"/>
              <w:jc w:val="right"/>
              <w:rPr>
                <w:rFonts w:ascii="Calibri" w:eastAsia="Calibri" w:hAnsi="Calibri" w:cs="Calibri"/>
                <w:b/>
                <w:color w:val="000000"/>
                <w:sz w:val="18"/>
              </w:rPr>
            </w:pPr>
            <w:r>
              <w:rPr>
                <w:rFonts w:ascii="Calibri" w:eastAsia="Calibri" w:hAnsi="Calibri" w:cs="Calibri"/>
                <w:b/>
                <w:color w:val="000000"/>
                <w:sz w:val="18"/>
              </w:rPr>
              <w:t>-3 432</w:t>
            </w:r>
          </w:p>
        </w:tc>
      </w:tr>
      <w:tr w:rsidR="003036F4" w14:paraId="6C2552FB"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851" w:type="dxa"/>
            <w:tcBorders>
              <w:top w:val="nil"/>
              <w:left w:val="nil"/>
              <w:bottom w:val="single" w:sz="8" w:space="0" w:color="000000"/>
              <w:right w:val="nil"/>
              <w:tl2br w:val="nil"/>
              <w:tr2bl w:val="nil"/>
            </w:tcBorders>
            <w:shd w:val="clear" w:color="FFFFFF" w:fill="FFFFFF"/>
            <w:tcMar>
              <w:left w:w="0" w:type="dxa"/>
              <w:right w:w="0" w:type="dxa"/>
            </w:tcMar>
          </w:tcPr>
          <w:p w14:paraId="3D738E47" w14:textId="77777777" w:rsidR="003036F4" w:rsidRDefault="003036F4">
            <w:pPr>
              <w:pStyle w:val="Normal8"/>
              <w:rPr>
                <w:rFonts w:ascii="Calibri" w:eastAsia="Calibri" w:hAnsi="Calibri" w:cs="Calibri"/>
                <w:color w:val="000000"/>
                <w:sz w:val="18"/>
              </w:rPr>
            </w:pPr>
          </w:p>
        </w:tc>
        <w:tc>
          <w:tcPr>
            <w:tcW w:w="2569" w:type="dxa"/>
            <w:tcBorders>
              <w:top w:val="nil"/>
              <w:left w:val="nil"/>
              <w:bottom w:val="single" w:sz="8" w:space="0" w:color="000000"/>
              <w:right w:val="nil"/>
              <w:tl2br w:val="nil"/>
              <w:tr2bl w:val="nil"/>
            </w:tcBorders>
            <w:shd w:val="clear" w:color="FFFFFF" w:fill="FFFFFF"/>
            <w:tcMar>
              <w:left w:w="0" w:type="dxa"/>
              <w:right w:w="0" w:type="dxa"/>
            </w:tcMar>
          </w:tcPr>
          <w:p w14:paraId="15260A62" w14:textId="77777777" w:rsidR="003036F4" w:rsidRDefault="003036F4">
            <w:pPr>
              <w:pStyle w:val="Normal8"/>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6F68FF75" w14:textId="77777777" w:rsidR="003036F4" w:rsidRDefault="003036F4">
            <w:pPr>
              <w:pStyle w:val="Normal8"/>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2A1D0BA3" w14:textId="77777777" w:rsidR="003036F4" w:rsidRDefault="003036F4">
            <w:pPr>
              <w:pStyle w:val="Normal8"/>
              <w:rPr>
                <w:rFonts w:ascii="Calibri" w:eastAsia="Calibri" w:hAnsi="Calibri" w:cs="Calibri"/>
                <w:color w:val="000000"/>
                <w:sz w:val="18"/>
              </w:rPr>
            </w:pPr>
          </w:p>
        </w:tc>
        <w:tc>
          <w:tcPr>
            <w:tcW w:w="600" w:type="dxa"/>
            <w:tcBorders>
              <w:top w:val="nil"/>
              <w:left w:val="nil"/>
              <w:bottom w:val="single" w:sz="8" w:space="0" w:color="000000"/>
              <w:right w:val="nil"/>
              <w:tl2br w:val="nil"/>
              <w:tr2bl w:val="nil"/>
            </w:tcBorders>
            <w:shd w:val="clear" w:color="FFFFFF" w:fill="FFFFFF"/>
            <w:tcMar>
              <w:left w:w="0" w:type="dxa"/>
              <w:right w:w="0" w:type="dxa"/>
            </w:tcMar>
          </w:tcPr>
          <w:p w14:paraId="375447DA" w14:textId="77777777" w:rsidR="003036F4" w:rsidRDefault="003036F4">
            <w:pPr>
              <w:pStyle w:val="Normal8"/>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375555A8" w14:textId="77777777" w:rsidR="003036F4" w:rsidRDefault="003036F4">
            <w:pPr>
              <w:pStyle w:val="Normal8"/>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5FC3D13E" w14:textId="77777777" w:rsidR="003036F4" w:rsidRDefault="003036F4">
            <w:pPr>
              <w:pStyle w:val="Normal8"/>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763F0EBD" w14:textId="77777777" w:rsidR="003036F4" w:rsidRDefault="003036F4">
            <w:pPr>
              <w:pStyle w:val="Normal8"/>
              <w:rPr>
                <w:rFonts w:ascii="Calibri" w:eastAsia="Calibri" w:hAnsi="Calibri" w:cs="Calibri"/>
                <w:color w:val="000000"/>
                <w:sz w:val="18"/>
              </w:rPr>
            </w:pPr>
          </w:p>
        </w:tc>
      </w:tr>
    </w:tbl>
    <w:p w14:paraId="6EED5DCB" w14:textId="77777777" w:rsidR="006E72F1" w:rsidRDefault="00900E2D" w:rsidP="006E72F1">
      <w:pPr>
        <w:pStyle w:val="Caption"/>
        <w:pageBreakBefore/>
        <w:pBdr>
          <w:top w:val="nil"/>
          <w:left w:val="nil"/>
          <w:bottom w:val="nil"/>
          <w:right w:val="nil"/>
          <w:between w:val="nil"/>
          <w:bar w:val="nil"/>
        </w:pBdr>
        <w:outlineLvl w:val="0"/>
        <w:rPr>
          <w:bdr w:val="nil"/>
        </w:rPr>
      </w:pPr>
      <w:r>
        <w:rPr>
          <w:bdr w:val="nil"/>
        </w:rPr>
        <w:lastRenderedPageBreak/>
        <w:t xml:space="preserve">Table 8: Major Projects Canberra: Balance Sheet </w:t>
      </w:r>
    </w:p>
    <w:tbl>
      <w:tblPr>
        <w:tblStyle w:val="CDMRange22"/>
        <w:tblW w:w="9195" w:type="dxa"/>
        <w:tblLayout w:type="fixed"/>
        <w:tblLook w:val="0600" w:firstRow="0" w:lastRow="0" w:firstColumn="0" w:lastColumn="0" w:noHBand="1" w:noVBand="1"/>
      </w:tblPr>
      <w:tblGrid>
        <w:gridCol w:w="851"/>
        <w:gridCol w:w="2569"/>
        <w:gridCol w:w="1035"/>
        <w:gridCol w:w="1035"/>
        <w:gridCol w:w="600"/>
        <w:gridCol w:w="1035"/>
        <w:gridCol w:w="1035"/>
        <w:gridCol w:w="1035"/>
      </w:tblGrid>
      <w:tr w:rsidR="003036F4" w14:paraId="1725D8C2" w14:textId="77777777" w:rsidTr="004E3699">
        <w:trPr>
          <w:trHeight w:val="945"/>
        </w:trPr>
        <w:tc>
          <w:tcPr>
            <w:tcW w:w="851" w:type="dxa"/>
            <w:tcBorders>
              <w:top w:val="single" w:sz="8" w:space="0" w:color="000000"/>
              <w:left w:val="nil"/>
              <w:bottom w:val="single" w:sz="8" w:space="0" w:color="000000"/>
              <w:right w:val="nil"/>
              <w:tl2br w:val="nil"/>
              <w:tr2bl w:val="nil"/>
            </w:tcBorders>
            <w:shd w:val="clear" w:color="FFFFFF" w:fill="FFFFFF"/>
            <w:tcMar>
              <w:left w:w="40" w:type="dxa"/>
              <w:right w:w="40" w:type="dxa"/>
            </w:tcMar>
          </w:tcPr>
          <w:p w14:paraId="23342344"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Budget</w:t>
            </w:r>
          </w:p>
          <w:p w14:paraId="2239BE8C"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1C4FC858"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3BC59662"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2569" w:type="dxa"/>
            <w:tcBorders>
              <w:top w:val="single" w:sz="8" w:space="0" w:color="000000"/>
              <w:left w:val="nil"/>
              <w:bottom w:val="single" w:sz="8" w:space="0" w:color="000000"/>
              <w:right w:val="nil"/>
              <w:tl2br w:val="nil"/>
              <w:tr2bl w:val="nil"/>
            </w:tcBorders>
            <w:shd w:val="clear" w:color="FFFFFF" w:fill="FFFFFF"/>
            <w:tcMar>
              <w:left w:w="0" w:type="dxa"/>
              <w:right w:w="0" w:type="dxa"/>
            </w:tcMar>
          </w:tcPr>
          <w:p w14:paraId="26271335" w14:textId="77777777" w:rsidR="003036F4" w:rsidRDefault="003036F4">
            <w:pPr>
              <w:pStyle w:val="Normal9"/>
              <w:rPr>
                <w:rFonts w:ascii="Calibri" w:eastAsia="Calibri" w:hAnsi="Calibri" w:cs="Calibri"/>
                <w:b/>
                <w:color w:val="000000"/>
                <w:sz w:val="18"/>
              </w:rPr>
            </w:pPr>
          </w:p>
        </w:tc>
        <w:tc>
          <w:tcPr>
            <w:tcW w:w="1035" w:type="dxa"/>
            <w:tcBorders>
              <w:top w:val="single" w:sz="8" w:space="0" w:color="000000"/>
              <w:left w:val="nil"/>
              <w:bottom w:val="single" w:sz="8" w:space="0" w:color="000000"/>
              <w:right w:val="nil"/>
              <w:tl2br w:val="nil"/>
              <w:tr2bl w:val="nil"/>
            </w:tcBorders>
            <w:shd w:val="clear" w:color="FFFFFF" w:fill="FFFFFF"/>
            <w:tcMar>
              <w:left w:w="40" w:type="dxa"/>
              <w:right w:w="40" w:type="dxa"/>
            </w:tcMar>
          </w:tcPr>
          <w:p w14:paraId="4418976B" w14:textId="17A27C02"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Audited Outcome</w:t>
            </w:r>
            <w:r w:rsidR="00EE07A4">
              <w:rPr>
                <w:rFonts w:ascii="Calibri" w:eastAsia="Calibri" w:hAnsi="Calibri" w:cs="Calibri"/>
                <w:b/>
                <w:color w:val="000000"/>
                <w:sz w:val="18"/>
              </w:rPr>
              <w:t xml:space="preserve"> at 30/6/20</w:t>
            </w:r>
          </w:p>
          <w:p w14:paraId="7E75C26D"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8" w:space="0" w:color="000000"/>
              <w:left w:val="nil"/>
              <w:bottom w:val="single" w:sz="8" w:space="0" w:color="000000"/>
              <w:right w:val="nil"/>
              <w:tl2br w:val="nil"/>
              <w:tr2bl w:val="nil"/>
            </w:tcBorders>
            <w:shd w:val="clear" w:color="FFFFFF" w:fill="FFFFFF"/>
            <w:tcMar>
              <w:left w:w="40" w:type="dxa"/>
              <w:right w:w="40" w:type="dxa"/>
            </w:tcMar>
          </w:tcPr>
          <w:p w14:paraId="06B0D8A5"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Budget</w:t>
            </w:r>
          </w:p>
          <w:p w14:paraId="4973EDF5"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7F7CBCCC"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6F63D46B"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8" w:space="0" w:color="000000"/>
              <w:left w:val="nil"/>
              <w:bottom w:val="single" w:sz="8" w:space="0" w:color="000000"/>
              <w:right w:val="nil"/>
              <w:tl2br w:val="nil"/>
              <w:tr2bl w:val="nil"/>
            </w:tcBorders>
            <w:shd w:val="clear" w:color="FFFFFF" w:fill="FFFFFF"/>
            <w:tcMar>
              <w:left w:w="40" w:type="dxa"/>
              <w:right w:w="40" w:type="dxa"/>
            </w:tcMar>
          </w:tcPr>
          <w:p w14:paraId="63D905E1"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Var</w:t>
            </w:r>
          </w:p>
          <w:p w14:paraId="17C37011"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8" w:space="0" w:color="000000"/>
              <w:left w:val="nil"/>
              <w:bottom w:val="single" w:sz="8" w:space="0" w:color="000000"/>
              <w:right w:val="nil"/>
              <w:tl2br w:val="nil"/>
              <w:tr2bl w:val="nil"/>
            </w:tcBorders>
            <w:shd w:val="clear" w:color="FFFFFF" w:fill="FFFFFF"/>
            <w:tcMar>
              <w:left w:w="40" w:type="dxa"/>
              <w:right w:w="40" w:type="dxa"/>
            </w:tcMar>
          </w:tcPr>
          <w:p w14:paraId="3FAF0229"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37F2AB66"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73A62CFC"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4918C3F2"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8" w:space="0" w:color="000000"/>
              <w:left w:val="nil"/>
              <w:bottom w:val="single" w:sz="8" w:space="0" w:color="000000"/>
              <w:right w:val="nil"/>
              <w:tl2br w:val="nil"/>
              <w:tr2bl w:val="nil"/>
            </w:tcBorders>
            <w:shd w:val="clear" w:color="FFFFFF" w:fill="FFFFFF"/>
            <w:tcMar>
              <w:left w:w="40" w:type="dxa"/>
              <w:right w:w="40" w:type="dxa"/>
            </w:tcMar>
          </w:tcPr>
          <w:p w14:paraId="5621F341"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6F7DE45E"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4BAEEF98"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112A8764"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8" w:space="0" w:color="000000"/>
              <w:left w:val="nil"/>
              <w:bottom w:val="single" w:sz="8" w:space="0" w:color="000000"/>
              <w:right w:val="nil"/>
              <w:tl2br w:val="nil"/>
              <w:tr2bl w:val="nil"/>
            </w:tcBorders>
            <w:shd w:val="clear" w:color="FFFFFF" w:fill="FFFFFF"/>
            <w:tcMar>
              <w:left w:w="40" w:type="dxa"/>
              <w:right w:w="40" w:type="dxa"/>
            </w:tcMar>
          </w:tcPr>
          <w:p w14:paraId="2798D3C2"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2D007772"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05F30C36"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58282525"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r>
      <w:tr w:rsidR="003036F4" w14:paraId="4DA6546D"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single" w:sz="8" w:space="0" w:color="000000"/>
              <w:left w:val="nil"/>
              <w:bottom w:val="nil"/>
              <w:right w:val="nil"/>
              <w:tl2br w:val="nil"/>
              <w:tr2bl w:val="nil"/>
            </w:tcBorders>
            <w:shd w:val="clear" w:color="FFFFFF" w:fill="FFFFFF"/>
            <w:tcMar>
              <w:left w:w="0" w:type="dxa"/>
              <w:right w:w="0" w:type="dxa"/>
            </w:tcMar>
          </w:tcPr>
          <w:p w14:paraId="21F93590" w14:textId="77777777" w:rsidR="003036F4" w:rsidRDefault="003036F4">
            <w:pPr>
              <w:pStyle w:val="Normal9"/>
              <w:jc w:val="right"/>
              <w:rPr>
                <w:rFonts w:ascii="Calibri" w:eastAsia="Calibri" w:hAnsi="Calibri" w:cs="Calibri"/>
                <w:b/>
                <w:i/>
                <w:color w:val="000000"/>
                <w:sz w:val="18"/>
              </w:rPr>
            </w:pPr>
          </w:p>
        </w:tc>
        <w:tc>
          <w:tcPr>
            <w:tcW w:w="2569" w:type="dxa"/>
            <w:tcBorders>
              <w:top w:val="single" w:sz="8" w:space="0" w:color="000000"/>
              <w:left w:val="nil"/>
              <w:bottom w:val="nil"/>
              <w:right w:val="nil"/>
              <w:tl2br w:val="nil"/>
              <w:tr2bl w:val="nil"/>
            </w:tcBorders>
            <w:shd w:val="clear" w:color="FFFFFF" w:fill="FFFFFF"/>
            <w:tcMar>
              <w:left w:w="0" w:type="dxa"/>
              <w:right w:w="0" w:type="dxa"/>
            </w:tcMar>
          </w:tcPr>
          <w:p w14:paraId="708899CB" w14:textId="77777777" w:rsidR="003036F4" w:rsidRDefault="003036F4">
            <w:pPr>
              <w:pStyle w:val="Normal9"/>
              <w:rPr>
                <w:rFonts w:ascii="Calibri" w:eastAsia="Calibri" w:hAnsi="Calibri" w:cs="Calibri"/>
                <w:b/>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438101B3" w14:textId="77777777" w:rsidR="003036F4" w:rsidRDefault="003036F4">
            <w:pPr>
              <w:pStyle w:val="Normal9"/>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472AFABB" w14:textId="77777777" w:rsidR="003036F4" w:rsidRDefault="003036F4">
            <w:pPr>
              <w:pStyle w:val="Normal9"/>
              <w:jc w:val="right"/>
              <w:rPr>
                <w:rFonts w:ascii="Calibri" w:eastAsia="Calibri" w:hAnsi="Calibri" w:cs="Calibri"/>
                <w:b/>
                <w:i/>
                <w:color w:val="000000"/>
                <w:sz w:val="18"/>
              </w:rPr>
            </w:pPr>
          </w:p>
        </w:tc>
        <w:tc>
          <w:tcPr>
            <w:tcW w:w="600" w:type="dxa"/>
            <w:tcBorders>
              <w:top w:val="single" w:sz="8" w:space="0" w:color="000000"/>
              <w:left w:val="nil"/>
              <w:bottom w:val="nil"/>
              <w:right w:val="nil"/>
              <w:tl2br w:val="nil"/>
              <w:tr2bl w:val="nil"/>
            </w:tcBorders>
            <w:shd w:val="clear" w:color="FFFFFF" w:fill="FFFFFF"/>
            <w:tcMar>
              <w:left w:w="0" w:type="dxa"/>
              <w:right w:w="0" w:type="dxa"/>
            </w:tcMar>
          </w:tcPr>
          <w:p w14:paraId="56E1B571" w14:textId="77777777" w:rsidR="003036F4" w:rsidRDefault="003036F4">
            <w:pPr>
              <w:pStyle w:val="Normal9"/>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2BFAA444" w14:textId="77777777" w:rsidR="003036F4" w:rsidRDefault="003036F4">
            <w:pPr>
              <w:pStyle w:val="Normal9"/>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497C93FA" w14:textId="77777777" w:rsidR="003036F4" w:rsidRDefault="003036F4">
            <w:pPr>
              <w:pStyle w:val="Normal9"/>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4B45BE67" w14:textId="77777777" w:rsidR="003036F4" w:rsidRDefault="003036F4">
            <w:pPr>
              <w:pStyle w:val="Normal9"/>
              <w:jc w:val="right"/>
              <w:rPr>
                <w:rFonts w:ascii="Calibri" w:eastAsia="Calibri" w:hAnsi="Calibri" w:cs="Calibri"/>
                <w:b/>
                <w:i/>
                <w:color w:val="000000"/>
                <w:sz w:val="18"/>
              </w:rPr>
            </w:pPr>
          </w:p>
        </w:tc>
      </w:tr>
      <w:tr w:rsidR="003036F4" w14:paraId="52145177"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0101BFBB"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40" w:type="dxa"/>
              <w:right w:w="40" w:type="dxa"/>
            </w:tcMar>
          </w:tcPr>
          <w:p w14:paraId="3B250C27"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174FF5E2"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98A981"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8ABA1DE"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6D799F"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DF9689"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9EF471" w14:textId="77777777" w:rsidR="003036F4" w:rsidRDefault="003036F4">
            <w:pPr>
              <w:pStyle w:val="Normal9"/>
              <w:rPr>
                <w:rFonts w:ascii="Calibri" w:eastAsia="Calibri" w:hAnsi="Calibri" w:cs="Calibri"/>
                <w:color w:val="000000"/>
                <w:sz w:val="18"/>
              </w:rPr>
            </w:pPr>
          </w:p>
        </w:tc>
      </w:tr>
      <w:tr w:rsidR="003036F4" w14:paraId="36614A29"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708627D5"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auto" w:fill="auto"/>
            <w:noWrap/>
            <w:tcMar>
              <w:left w:w="40" w:type="dxa"/>
              <w:right w:w="40" w:type="dxa"/>
            </w:tcMar>
          </w:tcPr>
          <w:p w14:paraId="65B2FBE8"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40" w:type="dxa"/>
              <w:right w:w="40" w:type="dxa"/>
            </w:tcMar>
          </w:tcPr>
          <w:p w14:paraId="1E76D1EB"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16 420</w:t>
            </w:r>
          </w:p>
        </w:tc>
        <w:tc>
          <w:tcPr>
            <w:tcW w:w="1035" w:type="dxa"/>
            <w:tcBorders>
              <w:top w:val="nil"/>
              <w:left w:val="nil"/>
              <w:bottom w:val="nil"/>
              <w:right w:val="nil"/>
              <w:tl2br w:val="nil"/>
              <w:tr2bl w:val="nil"/>
            </w:tcBorders>
            <w:shd w:val="clear" w:color="FFFFFF" w:fill="FFFFFF"/>
            <w:tcMar>
              <w:left w:w="40" w:type="dxa"/>
              <w:right w:w="40" w:type="dxa"/>
            </w:tcMar>
          </w:tcPr>
          <w:p w14:paraId="4F5FE7A8"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4 081</w:t>
            </w:r>
          </w:p>
        </w:tc>
        <w:tc>
          <w:tcPr>
            <w:tcW w:w="600" w:type="dxa"/>
            <w:tcBorders>
              <w:top w:val="nil"/>
              <w:left w:val="nil"/>
              <w:bottom w:val="nil"/>
              <w:right w:val="nil"/>
              <w:tl2br w:val="nil"/>
              <w:tr2bl w:val="nil"/>
            </w:tcBorders>
            <w:shd w:val="clear" w:color="FFFFFF" w:fill="FFFFFF"/>
            <w:tcMar>
              <w:left w:w="40" w:type="dxa"/>
              <w:right w:w="40" w:type="dxa"/>
            </w:tcMar>
          </w:tcPr>
          <w:p w14:paraId="2D46F638"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-75 </w:t>
            </w:r>
          </w:p>
        </w:tc>
        <w:tc>
          <w:tcPr>
            <w:tcW w:w="1035" w:type="dxa"/>
            <w:tcBorders>
              <w:top w:val="nil"/>
              <w:left w:val="nil"/>
              <w:bottom w:val="nil"/>
              <w:right w:val="nil"/>
              <w:tl2br w:val="nil"/>
              <w:tr2bl w:val="nil"/>
            </w:tcBorders>
            <w:shd w:val="clear" w:color="FFFFFF" w:fill="FFFFFF"/>
            <w:tcMar>
              <w:left w:w="40" w:type="dxa"/>
              <w:right w:w="40" w:type="dxa"/>
            </w:tcMar>
          </w:tcPr>
          <w:p w14:paraId="1660822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4 333</w:t>
            </w:r>
          </w:p>
        </w:tc>
        <w:tc>
          <w:tcPr>
            <w:tcW w:w="1035" w:type="dxa"/>
            <w:tcBorders>
              <w:top w:val="nil"/>
              <w:left w:val="nil"/>
              <w:bottom w:val="nil"/>
              <w:right w:val="nil"/>
              <w:tl2br w:val="nil"/>
              <w:tr2bl w:val="nil"/>
            </w:tcBorders>
            <w:shd w:val="clear" w:color="FFFFFF" w:fill="FFFFFF"/>
            <w:tcMar>
              <w:left w:w="40" w:type="dxa"/>
              <w:right w:w="40" w:type="dxa"/>
            </w:tcMar>
          </w:tcPr>
          <w:p w14:paraId="0F6F15A0"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4 591</w:t>
            </w:r>
          </w:p>
        </w:tc>
        <w:tc>
          <w:tcPr>
            <w:tcW w:w="1035" w:type="dxa"/>
            <w:tcBorders>
              <w:top w:val="nil"/>
              <w:left w:val="nil"/>
              <w:bottom w:val="nil"/>
              <w:right w:val="nil"/>
              <w:tl2br w:val="nil"/>
              <w:tr2bl w:val="nil"/>
            </w:tcBorders>
            <w:shd w:val="clear" w:color="FFFFFF" w:fill="FFFFFF"/>
            <w:tcMar>
              <w:left w:w="40" w:type="dxa"/>
              <w:right w:w="40" w:type="dxa"/>
            </w:tcMar>
          </w:tcPr>
          <w:p w14:paraId="339D58B8"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4 856</w:t>
            </w:r>
          </w:p>
        </w:tc>
      </w:tr>
      <w:tr w:rsidR="003036F4" w14:paraId="465B9589"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4D66CD07"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auto" w:fill="auto"/>
            <w:noWrap/>
            <w:tcMar>
              <w:left w:w="40" w:type="dxa"/>
              <w:right w:w="40" w:type="dxa"/>
            </w:tcMar>
          </w:tcPr>
          <w:p w14:paraId="7BD45FFA"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40" w:type="dxa"/>
              <w:right w:w="40" w:type="dxa"/>
            </w:tcMar>
          </w:tcPr>
          <w:p w14:paraId="1D73033E"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2 345</w:t>
            </w:r>
          </w:p>
        </w:tc>
        <w:tc>
          <w:tcPr>
            <w:tcW w:w="1035" w:type="dxa"/>
            <w:tcBorders>
              <w:top w:val="nil"/>
              <w:left w:val="nil"/>
              <w:bottom w:val="nil"/>
              <w:right w:val="nil"/>
              <w:tl2br w:val="nil"/>
              <w:tr2bl w:val="nil"/>
            </w:tcBorders>
            <w:shd w:val="clear" w:color="FFFFFF" w:fill="FFFFFF"/>
            <w:tcMar>
              <w:left w:w="40" w:type="dxa"/>
              <w:right w:w="40" w:type="dxa"/>
            </w:tcMar>
          </w:tcPr>
          <w:p w14:paraId="60501A18"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2 360</w:t>
            </w:r>
          </w:p>
        </w:tc>
        <w:tc>
          <w:tcPr>
            <w:tcW w:w="600" w:type="dxa"/>
            <w:tcBorders>
              <w:top w:val="nil"/>
              <w:left w:val="nil"/>
              <w:bottom w:val="nil"/>
              <w:right w:val="nil"/>
              <w:tl2br w:val="nil"/>
              <w:tr2bl w:val="nil"/>
            </w:tcBorders>
            <w:shd w:val="clear" w:color="FFFFFF" w:fill="FFFFFF"/>
            <w:tcMar>
              <w:left w:w="40" w:type="dxa"/>
              <w:right w:w="40" w:type="dxa"/>
            </w:tcMar>
          </w:tcPr>
          <w:p w14:paraId="7C05E9E0"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40" w:type="dxa"/>
              <w:right w:w="40" w:type="dxa"/>
            </w:tcMar>
          </w:tcPr>
          <w:p w14:paraId="09EA2A71"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2 376</w:t>
            </w:r>
          </w:p>
        </w:tc>
        <w:tc>
          <w:tcPr>
            <w:tcW w:w="1035" w:type="dxa"/>
            <w:tcBorders>
              <w:top w:val="nil"/>
              <w:left w:val="nil"/>
              <w:bottom w:val="nil"/>
              <w:right w:val="nil"/>
              <w:tl2br w:val="nil"/>
              <w:tr2bl w:val="nil"/>
            </w:tcBorders>
            <w:shd w:val="clear" w:color="FFFFFF" w:fill="FFFFFF"/>
            <w:tcMar>
              <w:left w:w="40" w:type="dxa"/>
              <w:right w:w="40" w:type="dxa"/>
            </w:tcMar>
          </w:tcPr>
          <w:p w14:paraId="776AF27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2 391</w:t>
            </w:r>
          </w:p>
        </w:tc>
        <w:tc>
          <w:tcPr>
            <w:tcW w:w="1035" w:type="dxa"/>
            <w:tcBorders>
              <w:top w:val="nil"/>
              <w:left w:val="nil"/>
              <w:bottom w:val="nil"/>
              <w:right w:val="nil"/>
              <w:tl2br w:val="nil"/>
              <w:tr2bl w:val="nil"/>
            </w:tcBorders>
            <w:shd w:val="clear" w:color="FFFFFF" w:fill="FFFFFF"/>
            <w:tcMar>
              <w:left w:w="40" w:type="dxa"/>
              <w:right w:w="40" w:type="dxa"/>
            </w:tcMar>
          </w:tcPr>
          <w:p w14:paraId="5CE488A9"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2 408</w:t>
            </w:r>
          </w:p>
        </w:tc>
      </w:tr>
      <w:tr w:rsidR="003036F4" w14:paraId="2B7504E0"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42846FF4"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auto" w:fill="auto"/>
            <w:noWrap/>
            <w:tcMar>
              <w:left w:w="40" w:type="dxa"/>
              <w:right w:w="40" w:type="dxa"/>
            </w:tcMar>
          </w:tcPr>
          <w:p w14:paraId="6DC7AC8B"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40" w:type="dxa"/>
              <w:right w:w="40" w:type="dxa"/>
            </w:tcMar>
          </w:tcPr>
          <w:p w14:paraId="2033469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40" w:type="dxa"/>
              <w:right w:w="40" w:type="dxa"/>
            </w:tcMar>
          </w:tcPr>
          <w:p w14:paraId="6A27A628"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w:t>
            </w:r>
          </w:p>
        </w:tc>
        <w:tc>
          <w:tcPr>
            <w:tcW w:w="600" w:type="dxa"/>
            <w:tcBorders>
              <w:top w:val="nil"/>
              <w:left w:val="nil"/>
              <w:bottom w:val="nil"/>
              <w:right w:val="nil"/>
              <w:tl2br w:val="nil"/>
              <w:tr2bl w:val="nil"/>
            </w:tcBorders>
            <w:shd w:val="clear" w:color="FFFFFF" w:fill="FFFFFF"/>
            <w:tcMar>
              <w:left w:w="40" w:type="dxa"/>
              <w:right w:w="40" w:type="dxa"/>
            </w:tcMar>
          </w:tcPr>
          <w:p w14:paraId="0E1E392E"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38845BB9"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40" w:type="dxa"/>
              <w:right w:w="40" w:type="dxa"/>
            </w:tcMar>
          </w:tcPr>
          <w:p w14:paraId="48BFA305"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40" w:type="dxa"/>
              <w:right w:w="40" w:type="dxa"/>
            </w:tcMar>
          </w:tcPr>
          <w:p w14:paraId="7ADDD659"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w:t>
            </w:r>
          </w:p>
        </w:tc>
      </w:tr>
      <w:tr w:rsidR="003036F4" w14:paraId="068098E6"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4348D89F"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5CAB1E08" w14:textId="77777777" w:rsidR="003036F4" w:rsidRDefault="003036F4">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AC03AE"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15FDD6"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B7A321"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F9FF27"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BE827C"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A0D10B" w14:textId="77777777" w:rsidR="003036F4" w:rsidRDefault="003036F4">
            <w:pPr>
              <w:pStyle w:val="Normal9"/>
              <w:rPr>
                <w:rFonts w:ascii="Calibri" w:eastAsia="Calibri" w:hAnsi="Calibri" w:cs="Calibri"/>
                <w:color w:val="000000"/>
                <w:sz w:val="18"/>
              </w:rPr>
            </w:pPr>
          </w:p>
        </w:tc>
      </w:tr>
      <w:tr w:rsidR="003036F4" w14:paraId="4CC1596A"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0E765373"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40" w:type="dxa"/>
              <w:right w:w="40" w:type="dxa"/>
            </w:tcMar>
          </w:tcPr>
          <w:p w14:paraId="6C6C167A"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40" w:type="dxa"/>
              <w:right w:w="40" w:type="dxa"/>
            </w:tcMar>
          </w:tcPr>
          <w:p w14:paraId="09A72CE7"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18 767</w:t>
            </w:r>
          </w:p>
        </w:tc>
        <w:tc>
          <w:tcPr>
            <w:tcW w:w="1035" w:type="dxa"/>
            <w:tcBorders>
              <w:top w:val="nil"/>
              <w:left w:val="nil"/>
              <w:bottom w:val="nil"/>
              <w:right w:val="nil"/>
              <w:tl2br w:val="nil"/>
              <w:tr2bl w:val="nil"/>
            </w:tcBorders>
            <w:shd w:val="clear" w:color="FFFFFF" w:fill="FFFFFF"/>
            <w:tcMar>
              <w:left w:w="40" w:type="dxa"/>
              <w:right w:w="40" w:type="dxa"/>
            </w:tcMar>
          </w:tcPr>
          <w:p w14:paraId="6D7240A7"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6 443</w:t>
            </w:r>
          </w:p>
        </w:tc>
        <w:tc>
          <w:tcPr>
            <w:tcW w:w="600" w:type="dxa"/>
            <w:tcBorders>
              <w:top w:val="nil"/>
              <w:left w:val="nil"/>
              <w:bottom w:val="nil"/>
              <w:right w:val="nil"/>
              <w:tl2br w:val="nil"/>
              <w:tr2bl w:val="nil"/>
            </w:tcBorders>
            <w:shd w:val="clear" w:color="FFFFFF" w:fill="FFFFFF"/>
            <w:tcMar>
              <w:left w:w="40" w:type="dxa"/>
              <w:right w:w="40" w:type="dxa"/>
            </w:tcMar>
          </w:tcPr>
          <w:p w14:paraId="53274359"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-66 </w:t>
            </w:r>
          </w:p>
        </w:tc>
        <w:tc>
          <w:tcPr>
            <w:tcW w:w="1035" w:type="dxa"/>
            <w:tcBorders>
              <w:top w:val="nil"/>
              <w:left w:val="nil"/>
              <w:bottom w:val="nil"/>
              <w:right w:val="nil"/>
              <w:tl2br w:val="nil"/>
              <w:tr2bl w:val="nil"/>
            </w:tcBorders>
            <w:shd w:val="clear" w:color="FFFFFF" w:fill="FFFFFF"/>
            <w:tcMar>
              <w:left w:w="40" w:type="dxa"/>
              <w:right w:w="40" w:type="dxa"/>
            </w:tcMar>
          </w:tcPr>
          <w:p w14:paraId="244F90C4"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6 711</w:t>
            </w:r>
          </w:p>
        </w:tc>
        <w:tc>
          <w:tcPr>
            <w:tcW w:w="1035" w:type="dxa"/>
            <w:tcBorders>
              <w:top w:val="nil"/>
              <w:left w:val="nil"/>
              <w:bottom w:val="nil"/>
              <w:right w:val="nil"/>
              <w:tl2br w:val="nil"/>
              <w:tr2bl w:val="nil"/>
            </w:tcBorders>
            <w:shd w:val="clear" w:color="FFFFFF" w:fill="FFFFFF"/>
            <w:tcMar>
              <w:left w:w="40" w:type="dxa"/>
              <w:right w:w="40" w:type="dxa"/>
            </w:tcMar>
          </w:tcPr>
          <w:p w14:paraId="1B71641B"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6 984</w:t>
            </w:r>
          </w:p>
        </w:tc>
        <w:tc>
          <w:tcPr>
            <w:tcW w:w="1035" w:type="dxa"/>
            <w:tcBorders>
              <w:top w:val="nil"/>
              <w:left w:val="nil"/>
              <w:bottom w:val="nil"/>
              <w:right w:val="nil"/>
              <w:tl2br w:val="nil"/>
              <w:tr2bl w:val="nil"/>
            </w:tcBorders>
            <w:shd w:val="clear" w:color="FFFFFF" w:fill="FFFFFF"/>
            <w:tcMar>
              <w:left w:w="40" w:type="dxa"/>
              <w:right w:w="40" w:type="dxa"/>
            </w:tcMar>
          </w:tcPr>
          <w:p w14:paraId="681A1C6C"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7 266</w:t>
            </w:r>
          </w:p>
        </w:tc>
      </w:tr>
      <w:tr w:rsidR="003036F4" w14:paraId="2073E988"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30900CDA"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2149DCC4" w14:textId="77777777" w:rsidR="003036F4" w:rsidRDefault="003036F4">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A70F51"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034E2D"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EDACD37"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FFB204"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5D00AC"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EF8953" w14:textId="77777777" w:rsidR="003036F4" w:rsidRDefault="003036F4">
            <w:pPr>
              <w:pStyle w:val="Normal9"/>
              <w:rPr>
                <w:rFonts w:ascii="Calibri" w:eastAsia="Calibri" w:hAnsi="Calibri" w:cs="Calibri"/>
                <w:color w:val="000000"/>
                <w:sz w:val="18"/>
              </w:rPr>
            </w:pPr>
          </w:p>
        </w:tc>
      </w:tr>
      <w:tr w:rsidR="003036F4" w14:paraId="5E72D03B"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19D2B89C"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40" w:type="dxa"/>
              <w:right w:w="40" w:type="dxa"/>
            </w:tcMar>
          </w:tcPr>
          <w:p w14:paraId="440106F9"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7675512D"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B81992"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AB9B101"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C871B1"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BE7694"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D7FF88" w14:textId="77777777" w:rsidR="003036F4" w:rsidRDefault="003036F4">
            <w:pPr>
              <w:pStyle w:val="Normal9"/>
              <w:rPr>
                <w:rFonts w:ascii="Calibri" w:eastAsia="Calibri" w:hAnsi="Calibri" w:cs="Calibri"/>
                <w:color w:val="000000"/>
                <w:sz w:val="18"/>
              </w:rPr>
            </w:pPr>
          </w:p>
        </w:tc>
      </w:tr>
      <w:tr w:rsidR="003036F4" w14:paraId="0B06CC0E"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75AB60BD"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4AAB35C9"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40" w:type="dxa"/>
              <w:right w:w="40" w:type="dxa"/>
            </w:tcMar>
          </w:tcPr>
          <w:p w14:paraId="253B3511"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257</w:t>
            </w:r>
          </w:p>
        </w:tc>
        <w:tc>
          <w:tcPr>
            <w:tcW w:w="1035" w:type="dxa"/>
            <w:tcBorders>
              <w:top w:val="nil"/>
              <w:left w:val="nil"/>
              <w:bottom w:val="nil"/>
              <w:right w:val="nil"/>
              <w:tl2br w:val="nil"/>
              <w:tr2bl w:val="nil"/>
            </w:tcBorders>
            <w:shd w:val="clear" w:color="FFFFFF" w:fill="FFFFFF"/>
            <w:tcMar>
              <w:left w:w="40" w:type="dxa"/>
              <w:right w:w="40" w:type="dxa"/>
            </w:tcMar>
          </w:tcPr>
          <w:p w14:paraId="6B6F86DE"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225</w:t>
            </w:r>
          </w:p>
        </w:tc>
        <w:tc>
          <w:tcPr>
            <w:tcW w:w="600" w:type="dxa"/>
            <w:tcBorders>
              <w:top w:val="nil"/>
              <w:left w:val="nil"/>
              <w:bottom w:val="nil"/>
              <w:right w:val="nil"/>
              <w:tl2br w:val="nil"/>
              <w:tr2bl w:val="nil"/>
            </w:tcBorders>
            <w:shd w:val="clear" w:color="FFFFFF" w:fill="FFFFFF"/>
            <w:tcMar>
              <w:left w:w="40" w:type="dxa"/>
              <w:right w:w="40" w:type="dxa"/>
            </w:tcMar>
          </w:tcPr>
          <w:p w14:paraId="3095ED9B"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-12 </w:t>
            </w:r>
          </w:p>
        </w:tc>
        <w:tc>
          <w:tcPr>
            <w:tcW w:w="1035" w:type="dxa"/>
            <w:tcBorders>
              <w:top w:val="nil"/>
              <w:left w:val="nil"/>
              <w:bottom w:val="nil"/>
              <w:right w:val="nil"/>
              <w:tl2br w:val="nil"/>
              <w:tr2bl w:val="nil"/>
            </w:tcBorders>
            <w:shd w:val="clear" w:color="FFFFFF" w:fill="FFFFFF"/>
            <w:tcMar>
              <w:left w:w="40" w:type="dxa"/>
              <w:right w:w="40" w:type="dxa"/>
            </w:tcMar>
          </w:tcPr>
          <w:p w14:paraId="02C93000"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193</w:t>
            </w:r>
          </w:p>
        </w:tc>
        <w:tc>
          <w:tcPr>
            <w:tcW w:w="1035" w:type="dxa"/>
            <w:tcBorders>
              <w:top w:val="nil"/>
              <w:left w:val="nil"/>
              <w:bottom w:val="nil"/>
              <w:right w:val="nil"/>
              <w:tl2br w:val="nil"/>
              <w:tr2bl w:val="nil"/>
            </w:tcBorders>
            <w:shd w:val="clear" w:color="FFFFFF" w:fill="FFFFFF"/>
            <w:tcMar>
              <w:left w:w="40" w:type="dxa"/>
              <w:right w:w="40" w:type="dxa"/>
            </w:tcMar>
          </w:tcPr>
          <w:p w14:paraId="7B43178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161</w:t>
            </w:r>
          </w:p>
        </w:tc>
        <w:tc>
          <w:tcPr>
            <w:tcW w:w="1035" w:type="dxa"/>
            <w:tcBorders>
              <w:top w:val="nil"/>
              <w:left w:val="nil"/>
              <w:bottom w:val="nil"/>
              <w:right w:val="nil"/>
              <w:tl2br w:val="nil"/>
              <w:tr2bl w:val="nil"/>
            </w:tcBorders>
            <w:shd w:val="clear" w:color="FFFFFF" w:fill="FFFFFF"/>
            <w:tcMar>
              <w:left w:w="40" w:type="dxa"/>
              <w:right w:w="40" w:type="dxa"/>
            </w:tcMar>
          </w:tcPr>
          <w:p w14:paraId="57EBC58E"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129</w:t>
            </w:r>
          </w:p>
        </w:tc>
      </w:tr>
      <w:tr w:rsidR="003036F4" w14:paraId="26489CC6"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1ECEE50B"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02359411"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40" w:type="dxa"/>
              <w:right w:w="40" w:type="dxa"/>
            </w:tcMar>
          </w:tcPr>
          <w:p w14:paraId="5C7E051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5 238</w:t>
            </w:r>
          </w:p>
        </w:tc>
        <w:tc>
          <w:tcPr>
            <w:tcW w:w="1035" w:type="dxa"/>
            <w:tcBorders>
              <w:top w:val="nil"/>
              <w:left w:val="nil"/>
              <w:bottom w:val="nil"/>
              <w:right w:val="nil"/>
              <w:tl2br w:val="nil"/>
              <w:tr2bl w:val="nil"/>
            </w:tcBorders>
            <w:shd w:val="clear" w:color="FFFFFF" w:fill="FFFFFF"/>
            <w:tcMar>
              <w:left w:w="40" w:type="dxa"/>
              <w:right w:w="40" w:type="dxa"/>
            </w:tcMar>
          </w:tcPr>
          <w:p w14:paraId="69958CE2"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3 936</w:t>
            </w:r>
          </w:p>
        </w:tc>
        <w:tc>
          <w:tcPr>
            <w:tcW w:w="600" w:type="dxa"/>
            <w:tcBorders>
              <w:top w:val="nil"/>
              <w:left w:val="nil"/>
              <w:bottom w:val="nil"/>
              <w:right w:val="nil"/>
              <w:tl2br w:val="nil"/>
              <w:tr2bl w:val="nil"/>
            </w:tcBorders>
            <w:shd w:val="clear" w:color="FFFFFF" w:fill="FFFFFF"/>
            <w:tcMar>
              <w:left w:w="40" w:type="dxa"/>
              <w:right w:w="40" w:type="dxa"/>
            </w:tcMar>
          </w:tcPr>
          <w:p w14:paraId="294AA8EC"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-25 </w:t>
            </w:r>
          </w:p>
        </w:tc>
        <w:tc>
          <w:tcPr>
            <w:tcW w:w="1035" w:type="dxa"/>
            <w:tcBorders>
              <w:top w:val="nil"/>
              <w:left w:val="nil"/>
              <w:bottom w:val="nil"/>
              <w:right w:val="nil"/>
              <w:tl2br w:val="nil"/>
              <w:tr2bl w:val="nil"/>
            </w:tcBorders>
            <w:shd w:val="clear" w:color="FFFFFF" w:fill="FFFFFF"/>
            <w:tcMar>
              <w:left w:w="40" w:type="dxa"/>
              <w:right w:w="40" w:type="dxa"/>
            </w:tcMar>
          </w:tcPr>
          <w:p w14:paraId="303F320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2 634</w:t>
            </w:r>
          </w:p>
        </w:tc>
        <w:tc>
          <w:tcPr>
            <w:tcW w:w="1035" w:type="dxa"/>
            <w:tcBorders>
              <w:top w:val="nil"/>
              <w:left w:val="nil"/>
              <w:bottom w:val="nil"/>
              <w:right w:val="nil"/>
              <w:tl2br w:val="nil"/>
              <w:tr2bl w:val="nil"/>
            </w:tcBorders>
            <w:shd w:val="clear" w:color="FFFFFF" w:fill="FFFFFF"/>
            <w:tcMar>
              <w:left w:w="40" w:type="dxa"/>
              <w:right w:w="40" w:type="dxa"/>
            </w:tcMar>
          </w:tcPr>
          <w:p w14:paraId="036E737C"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1 334</w:t>
            </w:r>
          </w:p>
        </w:tc>
        <w:tc>
          <w:tcPr>
            <w:tcW w:w="1035" w:type="dxa"/>
            <w:tcBorders>
              <w:top w:val="nil"/>
              <w:left w:val="nil"/>
              <w:bottom w:val="nil"/>
              <w:right w:val="nil"/>
              <w:tl2br w:val="nil"/>
              <w:tr2bl w:val="nil"/>
            </w:tcBorders>
            <w:shd w:val="clear" w:color="FFFFFF" w:fill="FFFFFF"/>
            <w:tcMar>
              <w:left w:w="40" w:type="dxa"/>
              <w:right w:w="40" w:type="dxa"/>
            </w:tcMar>
          </w:tcPr>
          <w:p w14:paraId="3F512015"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34</w:t>
            </w:r>
          </w:p>
        </w:tc>
      </w:tr>
      <w:tr w:rsidR="003036F4" w14:paraId="26238887"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4AB314EC"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53367607"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40" w:type="dxa"/>
              <w:right w:w="40" w:type="dxa"/>
            </w:tcMar>
          </w:tcPr>
          <w:p w14:paraId="6B5AD1A4"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46 529</w:t>
            </w:r>
          </w:p>
        </w:tc>
        <w:tc>
          <w:tcPr>
            <w:tcW w:w="1035" w:type="dxa"/>
            <w:tcBorders>
              <w:top w:val="nil"/>
              <w:left w:val="nil"/>
              <w:bottom w:val="nil"/>
              <w:right w:val="nil"/>
              <w:tl2br w:val="nil"/>
              <w:tr2bl w:val="nil"/>
            </w:tcBorders>
            <w:shd w:val="clear" w:color="FFFFFF" w:fill="FFFFFF"/>
            <w:tcMar>
              <w:left w:w="40" w:type="dxa"/>
              <w:right w:w="40" w:type="dxa"/>
            </w:tcMar>
          </w:tcPr>
          <w:p w14:paraId="16297E6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139 325</w:t>
            </w:r>
          </w:p>
        </w:tc>
        <w:tc>
          <w:tcPr>
            <w:tcW w:w="600" w:type="dxa"/>
            <w:tcBorders>
              <w:top w:val="nil"/>
              <w:left w:val="nil"/>
              <w:bottom w:val="nil"/>
              <w:right w:val="nil"/>
              <w:tl2br w:val="nil"/>
              <w:tr2bl w:val="nil"/>
            </w:tcBorders>
            <w:shd w:val="clear" w:color="FFFFFF" w:fill="FFFFFF"/>
            <w:tcMar>
              <w:left w:w="40" w:type="dxa"/>
              <w:right w:w="40" w:type="dxa"/>
            </w:tcMar>
          </w:tcPr>
          <w:p w14:paraId="50E24E8A"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199 </w:t>
            </w:r>
          </w:p>
        </w:tc>
        <w:tc>
          <w:tcPr>
            <w:tcW w:w="1035" w:type="dxa"/>
            <w:tcBorders>
              <w:top w:val="nil"/>
              <w:left w:val="nil"/>
              <w:bottom w:val="nil"/>
              <w:right w:val="nil"/>
              <w:tl2br w:val="nil"/>
              <w:tr2bl w:val="nil"/>
            </w:tcBorders>
            <w:shd w:val="clear" w:color="FFFFFF" w:fill="FFFFFF"/>
            <w:tcMar>
              <w:left w:w="40" w:type="dxa"/>
              <w:right w:w="40" w:type="dxa"/>
            </w:tcMar>
          </w:tcPr>
          <w:p w14:paraId="14EBF547"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194 377</w:t>
            </w:r>
          </w:p>
        </w:tc>
        <w:tc>
          <w:tcPr>
            <w:tcW w:w="1035" w:type="dxa"/>
            <w:tcBorders>
              <w:top w:val="nil"/>
              <w:left w:val="nil"/>
              <w:bottom w:val="nil"/>
              <w:right w:val="nil"/>
              <w:tl2br w:val="nil"/>
              <w:tr2bl w:val="nil"/>
            </w:tcBorders>
            <w:shd w:val="clear" w:color="FFFFFF" w:fill="FFFFFF"/>
            <w:tcMar>
              <w:left w:w="40" w:type="dxa"/>
              <w:right w:w="40" w:type="dxa"/>
            </w:tcMar>
          </w:tcPr>
          <w:p w14:paraId="3B2D62E9"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276 277</w:t>
            </w:r>
          </w:p>
        </w:tc>
        <w:tc>
          <w:tcPr>
            <w:tcW w:w="1035" w:type="dxa"/>
            <w:tcBorders>
              <w:top w:val="nil"/>
              <w:left w:val="nil"/>
              <w:bottom w:val="nil"/>
              <w:right w:val="nil"/>
              <w:tl2br w:val="nil"/>
              <w:tr2bl w:val="nil"/>
            </w:tcBorders>
            <w:shd w:val="clear" w:color="FFFFFF" w:fill="FFFFFF"/>
            <w:tcMar>
              <w:left w:w="40" w:type="dxa"/>
              <w:right w:w="40" w:type="dxa"/>
            </w:tcMar>
          </w:tcPr>
          <w:p w14:paraId="57384E5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366 177</w:t>
            </w:r>
          </w:p>
        </w:tc>
      </w:tr>
      <w:tr w:rsidR="003036F4" w14:paraId="75F1FF5F"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3C3959BE"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7F34986C" w14:textId="77777777" w:rsidR="003036F4" w:rsidRDefault="003036F4">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C8759A"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544CEA"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17A127"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8DF71C"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4DD1E0"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795D03" w14:textId="77777777" w:rsidR="003036F4" w:rsidRDefault="003036F4">
            <w:pPr>
              <w:pStyle w:val="Normal9"/>
              <w:rPr>
                <w:rFonts w:ascii="Calibri" w:eastAsia="Calibri" w:hAnsi="Calibri" w:cs="Calibri"/>
                <w:color w:val="000000"/>
                <w:sz w:val="18"/>
              </w:rPr>
            </w:pPr>
          </w:p>
        </w:tc>
      </w:tr>
      <w:tr w:rsidR="003036F4" w14:paraId="0C4B3C1F"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5FDEE40F"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40" w:type="dxa"/>
              <w:right w:w="40" w:type="dxa"/>
            </w:tcMar>
          </w:tcPr>
          <w:p w14:paraId="04DFF9BB"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Total Non Current Assets</w:t>
            </w:r>
          </w:p>
        </w:tc>
        <w:tc>
          <w:tcPr>
            <w:tcW w:w="1035" w:type="dxa"/>
            <w:tcBorders>
              <w:top w:val="nil"/>
              <w:left w:val="nil"/>
              <w:bottom w:val="nil"/>
              <w:right w:val="nil"/>
              <w:tl2br w:val="nil"/>
              <w:tr2bl w:val="nil"/>
            </w:tcBorders>
            <w:shd w:val="clear" w:color="FFFFFF" w:fill="FFFFFF"/>
            <w:tcMar>
              <w:left w:w="40" w:type="dxa"/>
              <w:right w:w="40" w:type="dxa"/>
            </w:tcMar>
          </w:tcPr>
          <w:p w14:paraId="1F7C2C17"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52 024</w:t>
            </w:r>
          </w:p>
        </w:tc>
        <w:tc>
          <w:tcPr>
            <w:tcW w:w="1035" w:type="dxa"/>
            <w:tcBorders>
              <w:top w:val="nil"/>
              <w:left w:val="nil"/>
              <w:bottom w:val="nil"/>
              <w:right w:val="nil"/>
              <w:tl2br w:val="nil"/>
              <w:tr2bl w:val="nil"/>
            </w:tcBorders>
            <w:shd w:val="clear" w:color="FFFFFF" w:fill="FFFFFF"/>
            <w:tcMar>
              <w:left w:w="40" w:type="dxa"/>
              <w:right w:w="40" w:type="dxa"/>
            </w:tcMar>
          </w:tcPr>
          <w:p w14:paraId="79B427D3"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143 486</w:t>
            </w:r>
          </w:p>
        </w:tc>
        <w:tc>
          <w:tcPr>
            <w:tcW w:w="600" w:type="dxa"/>
            <w:tcBorders>
              <w:top w:val="nil"/>
              <w:left w:val="nil"/>
              <w:bottom w:val="nil"/>
              <w:right w:val="nil"/>
              <w:tl2br w:val="nil"/>
              <w:tr2bl w:val="nil"/>
            </w:tcBorders>
            <w:shd w:val="clear" w:color="FFFFFF" w:fill="FFFFFF"/>
            <w:tcMar>
              <w:left w:w="40" w:type="dxa"/>
              <w:right w:w="40" w:type="dxa"/>
            </w:tcMar>
          </w:tcPr>
          <w:p w14:paraId="0F68AFB5"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176 </w:t>
            </w:r>
          </w:p>
        </w:tc>
        <w:tc>
          <w:tcPr>
            <w:tcW w:w="1035" w:type="dxa"/>
            <w:tcBorders>
              <w:top w:val="nil"/>
              <w:left w:val="nil"/>
              <w:bottom w:val="nil"/>
              <w:right w:val="nil"/>
              <w:tl2br w:val="nil"/>
              <w:tr2bl w:val="nil"/>
            </w:tcBorders>
            <w:shd w:val="clear" w:color="FFFFFF" w:fill="FFFFFF"/>
            <w:tcMar>
              <w:left w:w="40" w:type="dxa"/>
              <w:right w:w="40" w:type="dxa"/>
            </w:tcMar>
          </w:tcPr>
          <w:p w14:paraId="3E297584"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197 204</w:t>
            </w:r>
          </w:p>
        </w:tc>
        <w:tc>
          <w:tcPr>
            <w:tcW w:w="1035" w:type="dxa"/>
            <w:tcBorders>
              <w:top w:val="nil"/>
              <w:left w:val="nil"/>
              <w:bottom w:val="nil"/>
              <w:right w:val="nil"/>
              <w:tl2br w:val="nil"/>
              <w:tr2bl w:val="nil"/>
            </w:tcBorders>
            <w:shd w:val="clear" w:color="FFFFFF" w:fill="FFFFFF"/>
            <w:tcMar>
              <w:left w:w="40" w:type="dxa"/>
              <w:right w:w="40" w:type="dxa"/>
            </w:tcMar>
          </w:tcPr>
          <w:p w14:paraId="578E1CB9"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277 772</w:t>
            </w:r>
          </w:p>
        </w:tc>
        <w:tc>
          <w:tcPr>
            <w:tcW w:w="1035" w:type="dxa"/>
            <w:tcBorders>
              <w:top w:val="nil"/>
              <w:left w:val="nil"/>
              <w:bottom w:val="nil"/>
              <w:right w:val="nil"/>
              <w:tl2br w:val="nil"/>
              <w:tr2bl w:val="nil"/>
            </w:tcBorders>
            <w:shd w:val="clear" w:color="FFFFFF" w:fill="FFFFFF"/>
            <w:tcMar>
              <w:left w:w="40" w:type="dxa"/>
              <w:right w:w="40" w:type="dxa"/>
            </w:tcMar>
          </w:tcPr>
          <w:p w14:paraId="01F0C1E6"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366 340</w:t>
            </w:r>
          </w:p>
        </w:tc>
      </w:tr>
      <w:tr w:rsidR="003036F4" w14:paraId="1EBBE2B7"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3D4E2125"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795A5588" w14:textId="77777777" w:rsidR="003036F4" w:rsidRDefault="003036F4">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902FCE"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86ACCE"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8A032CE"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C9C5C2"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B44A70"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9895E9" w14:textId="77777777" w:rsidR="003036F4" w:rsidRDefault="003036F4">
            <w:pPr>
              <w:pStyle w:val="Normal9"/>
              <w:rPr>
                <w:rFonts w:ascii="Calibri" w:eastAsia="Calibri" w:hAnsi="Calibri" w:cs="Calibri"/>
                <w:color w:val="000000"/>
                <w:sz w:val="18"/>
              </w:rPr>
            </w:pPr>
          </w:p>
        </w:tc>
      </w:tr>
      <w:tr w:rsidR="003036F4" w14:paraId="26AE74A2"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28F53C81"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40" w:type="dxa"/>
              <w:right w:w="40" w:type="dxa"/>
            </w:tcMar>
          </w:tcPr>
          <w:p w14:paraId="631EF947"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40" w:type="dxa"/>
              <w:right w:w="40" w:type="dxa"/>
            </w:tcMar>
          </w:tcPr>
          <w:p w14:paraId="364DFF85"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70 791</w:t>
            </w:r>
          </w:p>
        </w:tc>
        <w:tc>
          <w:tcPr>
            <w:tcW w:w="1035" w:type="dxa"/>
            <w:tcBorders>
              <w:top w:val="nil"/>
              <w:left w:val="nil"/>
              <w:bottom w:val="nil"/>
              <w:right w:val="nil"/>
              <w:tl2br w:val="nil"/>
              <w:tr2bl w:val="nil"/>
            </w:tcBorders>
            <w:shd w:val="clear" w:color="FFFFFF" w:fill="FFFFFF"/>
            <w:tcMar>
              <w:left w:w="40" w:type="dxa"/>
              <w:right w:w="40" w:type="dxa"/>
            </w:tcMar>
          </w:tcPr>
          <w:p w14:paraId="69506C47"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149 929</w:t>
            </w:r>
          </w:p>
        </w:tc>
        <w:tc>
          <w:tcPr>
            <w:tcW w:w="600" w:type="dxa"/>
            <w:tcBorders>
              <w:top w:val="nil"/>
              <w:left w:val="nil"/>
              <w:bottom w:val="nil"/>
              <w:right w:val="nil"/>
              <w:tl2br w:val="nil"/>
              <w:tr2bl w:val="nil"/>
            </w:tcBorders>
            <w:shd w:val="clear" w:color="FFFFFF" w:fill="FFFFFF"/>
            <w:tcMar>
              <w:left w:w="40" w:type="dxa"/>
              <w:right w:w="40" w:type="dxa"/>
            </w:tcMar>
          </w:tcPr>
          <w:p w14:paraId="4D56CD43"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112 </w:t>
            </w:r>
          </w:p>
        </w:tc>
        <w:tc>
          <w:tcPr>
            <w:tcW w:w="1035" w:type="dxa"/>
            <w:tcBorders>
              <w:top w:val="nil"/>
              <w:left w:val="nil"/>
              <w:bottom w:val="nil"/>
              <w:right w:val="nil"/>
              <w:tl2br w:val="nil"/>
              <w:tr2bl w:val="nil"/>
            </w:tcBorders>
            <w:shd w:val="clear" w:color="FFFFFF" w:fill="FFFFFF"/>
            <w:tcMar>
              <w:left w:w="40" w:type="dxa"/>
              <w:right w:w="40" w:type="dxa"/>
            </w:tcMar>
          </w:tcPr>
          <w:p w14:paraId="160D6BA5"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203 915</w:t>
            </w:r>
          </w:p>
        </w:tc>
        <w:tc>
          <w:tcPr>
            <w:tcW w:w="1035" w:type="dxa"/>
            <w:tcBorders>
              <w:top w:val="nil"/>
              <w:left w:val="nil"/>
              <w:bottom w:val="nil"/>
              <w:right w:val="nil"/>
              <w:tl2br w:val="nil"/>
              <w:tr2bl w:val="nil"/>
            </w:tcBorders>
            <w:shd w:val="clear" w:color="FFFFFF" w:fill="FFFFFF"/>
            <w:tcMar>
              <w:left w:w="40" w:type="dxa"/>
              <w:right w:w="40" w:type="dxa"/>
            </w:tcMar>
          </w:tcPr>
          <w:p w14:paraId="1BE7466D"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284 756</w:t>
            </w:r>
          </w:p>
        </w:tc>
        <w:tc>
          <w:tcPr>
            <w:tcW w:w="1035" w:type="dxa"/>
            <w:tcBorders>
              <w:top w:val="nil"/>
              <w:left w:val="nil"/>
              <w:bottom w:val="nil"/>
              <w:right w:val="nil"/>
              <w:tl2br w:val="nil"/>
              <w:tr2bl w:val="nil"/>
            </w:tcBorders>
            <w:shd w:val="clear" w:color="FFFFFF" w:fill="FFFFFF"/>
            <w:tcMar>
              <w:left w:w="40" w:type="dxa"/>
              <w:right w:w="40" w:type="dxa"/>
            </w:tcMar>
          </w:tcPr>
          <w:p w14:paraId="128580E4"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373 606</w:t>
            </w:r>
          </w:p>
        </w:tc>
      </w:tr>
      <w:tr w:rsidR="003036F4" w14:paraId="7CF6B66E"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0DBD4179"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30857189" w14:textId="77777777" w:rsidR="003036F4" w:rsidRDefault="003036F4">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615F8D"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9B6256"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186D55"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274BE5"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9746E3"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87633B" w14:textId="77777777" w:rsidR="003036F4" w:rsidRDefault="003036F4">
            <w:pPr>
              <w:pStyle w:val="Normal9"/>
              <w:rPr>
                <w:rFonts w:ascii="Calibri" w:eastAsia="Calibri" w:hAnsi="Calibri" w:cs="Calibri"/>
                <w:color w:val="000000"/>
                <w:sz w:val="18"/>
              </w:rPr>
            </w:pPr>
          </w:p>
        </w:tc>
      </w:tr>
      <w:tr w:rsidR="003036F4" w14:paraId="704FB1A1"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1FC19EA9"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40" w:type="dxa"/>
              <w:right w:w="40" w:type="dxa"/>
            </w:tcMar>
          </w:tcPr>
          <w:p w14:paraId="61F0873E"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63814B29"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2D4479"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A8DB54"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F30BA4"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128285"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261065" w14:textId="77777777" w:rsidR="003036F4" w:rsidRDefault="003036F4">
            <w:pPr>
              <w:pStyle w:val="Normal9"/>
              <w:rPr>
                <w:rFonts w:ascii="Calibri" w:eastAsia="Calibri" w:hAnsi="Calibri" w:cs="Calibri"/>
                <w:color w:val="000000"/>
                <w:sz w:val="18"/>
              </w:rPr>
            </w:pPr>
          </w:p>
        </w:tc>
      </w:tr>
      <w:tr w:rsidR="003036F4" w14:paraId="4E784B39"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3C5E5D82"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0B360CFC"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40" w:type="dxa"/>
              <w:right w:w="40" w:type="dxa"/>
            </w:tcMar>
          </w:tcPr>
          <w:p w14:paraId="339CE15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14 769</w:t>
            </w:r>
          </w:p>
        </w:tc>
        <w:tc>
          <w:tcPr>
            <w:tcW w:w="1035" w:type="dxa"/>
            <w:tcBorders>
              <w:top w:val="nil"/>
              <w:left w:val="nil"/>
              <w:bottom w:val="nil"/>
              <w:right w:val="nil"/>
              <w:tl2br w:val="nil"/>
              <w:tr2bl w:val="nil"/>
            </w:tcBorders>
            <w:shd w:val="clear" w:color="FFFFFF" w:fill="FFFFFF"/>
            <w:tcMar>
              <w:left w:w="40" w:type="dxa"/>
              <w:right w:w="40" w:type="dxa"/>
            </w:tcMar>
          </w:tcPr>
          <w:p w14:paraId="247D6627"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4 569</w:t>
            </w:r>
          </w:p>
        </w:tc>
        <w:tc>
          <w:tcPr>
            <w:tcW w:w="600" w:type="dxa"/>
            <w:tcBorders>
              <w:top w:val="nil"/>
              <w:left w:val="nil"/>
              <w:bottom w:val="nil"/>
              <w:right w:val="nil"/>
              <w:tl2br w:val="nil"/>
              <w:tr2bl w:val="nil"/>
            </w:tcBorders>
            <w:shd w:val="clear" w:color="FFFFFF" w:fill="FFFFFF"/>
            <w:tcMar>
              <w:left w:w="40" w:type="dxa"/>
              <w:right w:w="40" w:type="dxa"/>
            </w:tcMar>
          </w:tcPr>
          <w:p w14:paraId="79C4ABB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-69 </w:t>
            </w:r>
          </w:p>
        </w:tc>
        <w:tc>
          <w:tcPr>
            <w:tcW w:w="1035" w:type="dxa"/>
            <w:tcBorders>
              <w:top w:val="nil"/>
              <w:left w:val="nil"/>
              <w:bottom w:val="nil"/>
              <w:right w:val="nil"/>
              <w:tl2br w:val="nil"/>
              <w:tr2bl w:val="nil"/>
            </w:tcBorders>
            <w:shd w:val="clear" w:color="FFFFFF" w:fill="FFFFFF"/>
            <w:tcMar>
              <w:left w:w="40" w:type="dxa"/>
              <w:right w:w="40" w:type="dxa"/>
            </w:tcMar>
          </w:tcPr>
          <w:p w14:paraId="08FBE17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4 569</w:t>
            </w:r>
          </w:p>
        </w:tc>
        <w:tc>
          <w:tcPr>
            <w:tcW w:w="1035" w:type="dxa"/>
            <w:tcBorders>
              <w:top w:val="nil"/>
              <w:left w:val="nil"/>
              <w:bottom w:val="nil"/>
              <w:right w:val="nil"/>
              <w:tl2br w:val="nil"/>
              <w:tr2bl w:val="nil"/>
            </w:tcBorders>
            <w:shd w:val="clear" w:color="FFFFFF" w:fill="FFFFFF"/>
            <w:tcMar>
              <w:left w:w="40" w:type="dxa"/>
              <w:right w:w="40" w:type="dxa"/>
            </w:tcMar>
          </w:tcPr>
          <w:p w14:paraId="4204B02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4 569</w:t>
            </w:r>
          </w:p>
        </w:tc>
        <w:tc>
          <w:tcPr>
            <w:tcW w:w="1035" w:type="dxa"/>
            <w:tcBorders>
              <w:top w:val="nil"/>
              <w:left w:val="nil"/>
              <w:bottom w:val="nil"/>
              <w:right w:val="nil"/>
              <w:tl2br w:val="nil"/>
              <w:tr2bl w:val="nil"/>
            </w:tcBorders>
            <w:shd w:val="clear" w:color="FFFFFF" w:fill="FFFFFF"/>
            <w:tcMar>
              <w:left w:w="40" w:type="dxa"/>
              <w:right w:w="40" w:type="dxa"/>
            </w:tcMar>
          </w:tcPr>
          <w:p w14:paraId="48E6848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4 569</w:t>
            </w:r>
          </w:p>
        </w:tc>
      </w:tr>
      <w:tr w:rsidR="003036F4" w14:paraId="4C09187C"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77EAAB69"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00BED5F5"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40" w:type="dxa"/>
              <w:right w:w="40" w:type="dxa"/>
            </w:tcMar>
          </w:tcPr>
          <w:p w14:paraId="3422C064"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8 986</w:t>
            </w:r>
          </w:p>
        </w:tc>
        <w:tc>
          <w:tcPr>
            <w:tcW w:w="1035" w:type="dxa"/>
            <w:tcBorders>
              <w:top w:val="nil"/>
              <w:left w:val="nil"/>
              <w:bottom w:val="nil"/>
              <w:right w:val="nil"/>
              <w:tl2br w:val="nil"/>
              <w:tr2bl w:val="nil"/>
            </w:tcBorders>
            <w:shd w:val="clear" w:color="FFFFFF" w:fill="FFFFFF"/>
            <w:tcMar>
              <w:left w:w="40" w:type="dxa"/>
              <w:right w:w="40" w:type="dxa"/>
            </w:tcMar>
          </w:tcPr>
          <w:p w14:paraId="343B927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8 986</w:t>
            </w:r>
          </w:p>
        </w:tc>
        <w:tc>
          <w:tcPr>
            <w:tcW w:w="600" w:type="dxa"/>
            <w:tcBorders>
              <w:top w:val="nil"/>
              <w:left w:val="nil"/>
              <w:bottom w:val="nil"/>
              <w:right w:val="nil"/>
              <w:tl2br w:val="nil"/>
              <w:tr2bl w:val="nil"/>
            </w:tcBorders>
            <w:shd w:val="clear" w:color="FFFFFF" w:fill="FFFFFF"/>
            <w:tcMar>
              <w:left w:w="40" w:type="dxa"/>
              <w:right w:w="40" w:type="dxa"/>
            </w:tcMar>
          </w:tcPr>
          <w:p w14:paraId="6C6FF321"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1DCF2B25"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8 986</w:t>
            </w:r>
          </w:p>
        </w:tc>
        <w:tc>
          <w:tcPr>
            <w:tcW w:w="1035" w:type="dxa"/>
            <w:tcBorders>
              <w:top w:val="nil"/>
              <w:left w:val="nil"/>
              <w:bottom w:val="nil"/>
              <w:right w:val="nil"/>
              <w:tl2br w:val="nil"/>
              <w:tr2bl w:val="nil"/>
            </w:tcBorders>
            <w:shd w:val="clear" w:color="FFFFFF" w:fill="FFFFFF"/>
            <w:tcMar>
              <w:left w:w="40" w:type="dxa"/>
              <w:right w:w="40" w:type="dxa"/>
            </w:tcMar>
          </w:tcPr>
          <w:p w14:paraId="2FB6E6C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8 986</w:t>
            </w:r>
          </w:p>
        </w:tc>
        <w:tc>
          <w:tcPr>
            <w:tcW w:w="1035" w:type="dxa"/>
            <w:tcBorders>
              <w:top w:val="nil"/>
              <w:left w:val="nil"/>
              <w:bottom w:val="nil"/>
              <w:right w:val="nil"/>
              <w:tl2br w:val="nil"/>
              <w:tr2bl w:val="nil"/>
            </w:tcBorders>
            <w:shd w:val="clear" w:color="FFFFFF" w:fill="FFFFFF"/>
            <w:tcMar>
              <w:left w:w="40" w:type="dxa"/>
              <w:right w:w="40" w:type="dxa"/>
            </w:tcMar>
          </w:tcPr>
          <w:p w14:paraId="16BF82C9"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8 986</w:t>
            </w:r>
          </w:p>
        </w:tc>
      </w:tr>
      <w:tr w:rsidR="003036F4" w14:paraId="4709A2C1"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13FD211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70EC4E18"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40" w:type="dxa"/>
              <w:right w:w="40" w:type="dxa"/>
            </w:tcMar>
          </w:tcPr>
          <w:p w14:paraId="347CD28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64</w:t>
            </w:r>
          </w:p>
        </w:tc>
        <w:tc>
          <w:tcPr>
            <w:tcW w:w="1035" w:type="dxa"/>
            <w:tcBorders>
              <w:top w:val="nil"/>
              <w:left w:val="nil"/>
              <w:bottom w:val="nil"/>
              <w:right w:val="nil"/>
              <w:tl2br w:val="nil"/>
              <w:tr2bl w:val="nil"/>
            </w:tcBorders>
            <w:shd w:val="clear" w:color="FFFFFF" w:fill="FFFFFF"/>
            <w:tcMar>
              <w:left w:w="40" w:type="dxa"/>
              <w:right w:w="40" w:type="dxa"/>
            </w:tcMar>
          </w:tcPr>
          <w:p w14:paraId="33A5366C"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64</w:t>
            </w:r>
          </w:p>
        </w:tc>
        <w:tc>
          <w:tcPr>
            <w:tcW w:w="600" w:type="dxa"/>
            <w:tcBorders>
              <w:top w:val="nil"/>
              <w:left w:val="nil"/>
              <w:bottom w:val="nil"/>
              <w:right w:val="nil"/>
              <w:tl2br w:val="nil"/>
              <w:tr2bl w:val="nil"/>
            </w:tcBorders>
            <w:shd w:val="clear" w:color="FFFFFF" w:fill="FFFFFF"/>
            <w:tcMar>
              <w:left w:w="40" w:type="dxa"/>
              <w:right w:w="40" w:type="dxa"/>
            </w:tcMar>
          </w:tcPr>
          <w:p w14:paraId="64259B9C"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11CF895D"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64</w:t>
            </w:r>
          </w:p>
        </w:tc>
        <w:tc>
          <w:tcPr>
            <w:tcW w:w="1035" w:type="dxa"/>
            <w:tcBorders>
              <w:top w:val="nil"/>
              <w:left w:val="nil"/>
              <w:bottom w:val="nil"/>
              <w:right w:val="nil"/>
              <w:tl2br w:val="nil"/>
              <w:tr2bl w:val="nil"/>
            </w:tcBorders>
            <w:shd w:val="clear" w:color="FFFFFF" w:fill="FFFFFF"/>
            <w:tcMar>
              <w:left w:w="40" w:type="dxa"/>
              <w:right w:w="40" w:type="dxa"/>
            </w:tcMar>
          </w:tcPr>
          <w:p w14:paraId="61D57885"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64</w:t>
            </w:r>
          </w:p>
        </w:tc>
        <w:tc>
          <w:tcPr>
            <w:tcW w:w="1035" w:type="dxa"/>
            <w:tcBorders>
              <w:top w:val="nil"/>
              <w:left w:val="nil"/>
              <w:bottom w:val="nil"/>
              <w:right w:val="nil"/>
              <w:tl2br w:val="nil"/>
              <w:tr2bl w:val="nil"/>
            </w:tcBorders>
            <w:shd w:val="clear" w:color="FFFFFF" w:fill="FFFFFF"/>
            <w:tcMar>
              <w:left w:w="40" w:type="dxa"/>
              <w:right w:w="40" w:type="dxa"/>
            </w:tcMar>
          </w:tcPr>
          <w:p w14:paraId="557D67F2"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64</w:t>
            </w:r>
          </w:p>
        </w:tc>
      </w:tr>
      <w:tr w:rsidR="003036F4" w14:paraId="12CBFB18"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57B598E8"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6CB7F177"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40" w:type="dxa"/>
              <w:right w:w="40" w:type="dxa"/>
            </w:tcMar>
          </w:tcPr>
          <w:p w14:paraId="67B765BA"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8 078</w:t>
            </w:r>
          </w:p>
        </w:tc>
        <w:tc>
          <w:tcPr>
            <w:tcW w:w="1035" w:type="dxa"/>
            <w:tcBorders>
              <w:top w:val="nil"/>
              <w:left w:val="nil"/>
              <w:bottom w:val="nil"/>
              <w:right w:val="nil"/>
              <w:tl2br w:val="nil"/>
              <w:tr2bl w:val="nil"/>
            </w:tcBorders>
            <w:shd w:val="clear" w:color="FFFFFF" w:fill="FFFFFF"/>
            <w:tcMar>
              <w:left w:w="40" w:type="dxa"/>
              <w:right w:w="40" w:type="dxa"/>
            </w:tcMar>
          </w:tcPr>
          <w:p w14:paraId="01C6886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8 243</w:t>
            </w:r>
          </w:p>
        </w:tc>
        <w:tc>
          <w:tcPr>
            <w:tcW w:w="600" w:type="dxa"/>
            <w:tcBorders>
              <w:top w:val="nil"/>
              <w:left w:val="nil"/>
              <w:bottom w:val="nil"/>
              <w:right w:val="nil"/>
              <w:tl2br w:val="nil"/>
              <w:tr2bl w:val="nil"/>
            </w:tcBorders>
            <w:shd w:val="clear" w:color="FFFFFF" w:fill="FFFFFF"/>
            <w:tcMar>
              <w:left w:w="40" w:type="dxa"/>
              <w:right w:w="40" w:type="dxa"/>
            </w:tcMar>
          </w:tcPr>
          <w:p w14:paraId="386ADC1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768A1294"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8 481</w:t>
            </w:r>
          </w:p>
        </w:tc>
        <w:tc>
          <w:tcPr>
            <w:tcW w:w="1035" w:type="dxa"/>
            <w:tcBorders>
              <w:top w:val="nil"/>
              <w:left w:val="nil"/>
              <w:bottom w:val="nil"/>
              <w:right w:val="nil"/>
              <w:tl2br w:val="nil"/>
              <w:tr2bl w:val="nil"/>
            </w:tcBorders>
            <w:shd w:val="clear" w:color="FFFFFF" w:fill="FFFFFF"/>
            <w:tcMar>
              <w:left w:w="40" w:type="dxa"/>
              <w:right w:w="40" w:type="dxa"/>
            </w:tcMar>
          </w:tcPr>
          <w:p w14:paraId="29F7BFC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8 725</w:t>
            </w:r>
          </w:p>
        </w:tc>
        <w:tc>
          <w:tcPr>
            <w:tcW w:w="1035" w:type="dxa"/>
            <w:tcBorders>
              <w:top w:val="nil"/>
              <w:left w:val="nil"/>
              <w:bottom w:val="nil"/>
              <w:right w:val="nil"/>
              <w:tl2br w:val="nil"/>
              <w:tr2bl w:val="nil"/>
            </w:tcBorders>
            <w:shd w:val="clear" w:color="FFFFFF" w:fill="FFFFFF"/>
            <w:tcMar>
              <w:left w:w="40" w:type="dxa"/>
              <w:right w:w="40" w:type="dxa"/>
            </w:tcMar>
          </w:tcPr>
          <w:p w14:paraId="20846965"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8 976</w:t>
            </w:r>
          </w:p>
        </w:tc>
      </w:tr>
      <w:tr w:rsidR="003036F4" w14:paraId="5B7CF71A"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366C926C"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7E3A16BE"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40" w:type="dxa"/>
              <w:right w:w="40" w:type="dxa"/>
            </w:tcMar>
          </w:tcPr>
          <w:p w14:paraId="15876B3D"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2 000</w:t>
            </w:r>
          </w:p>
        </w:tc>
        <w:tc>
          <w:tcPr>
            <w:tcW w:w="1035" w:type="dxa"/>
            <w:tcBorders>
              <w:top w:val="nil"/>
              <w:left w:val="nil"/>
              <w:bottom w:val="nil"/>
              <w:right w:val="nil"/>
              <w:tl2br w:val="nil"/>
              <w:tr2bl w:val="nil"/>
            </w:tcBorders>
            <w:shd w:val="clear" w:color="FFFFFF" w:fill="FFFFFF"/>
            <w:tcMar>
              <w:left w:w="40" w:type="dxa"/>
              <w:right w:w="40" w:type="dxa"/>
            </w:tcMar>
          </w:tcPr>
          <w:p w14:paraId="0729D28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40" w:type="dxa"/>
              <w:right w:w="40" w:type="dxa"/>
            </w:tcMar>
          </w:tcPr>
          <w:p w14:paraId="6A7DACC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40" w:type="dxa"/>
              <w:right w:w="40" w:type="dxa"/>
            </w:tcMar>
          </w:tcPr>
          <w:p w14:paraId="725A292E"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15</w:t>
            </w:r>
          </w:p>
        </w:tc>
        <w:tc>
          <w:tcPr>
            <w:tcW w:w="1035" w:type="dxa"/>
            <w:tcBorders>
              <w:top w:val="nil"/>
              <w:left w:val="nil"/>
              <w:bottom w:val="nil"/>
              <w:right w:val="nil"/>
              <w:tl2br w:val="nil"/>
              <w:tr2bl w:val="nil"/>
            </w:tcBorders>
            <w:shd w:val="clear" w:color="FFFFFF" w:fill="FFFFFF"/>
            <w:tcMar>
              <w:left w:w="40" w:type="dxa"/>
              <w:right w:w="40" w:type="dxa"/>
            </w:tcMar>
          </w:tcPr>
          <w:p w14:paraId="07EAB037"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29</w:t>
            </w:r>
          </w:p>
        </w:tc>
        <w:tc>
          <w:tcPr>
            <w:tcW w:w="1035" w:type="dxa"/>
            <w:tcBorders>
              <w:top w:val="nil"/>
              <w:left w:val="nil"/>
              <w:bottom w:val="nil"/>
              <w:right w:val="nil"/>
              <w:tl2br w:val="nil"/>
              <w:tr2bl w:val="nil"/>
            </w:tcBorders>
            <w:shd w:val="clear" w:color="FFFFFF" w:fill="FFFFFF"/>
            <w:tcMar>
              <w:left w:w="40" w:type="dxa"/>
              <w:right w:w="40" w:type="dxa"/>
            </w:tcMar>
          </w:tcPr>
          <w:p w14:paraId="5176F40A"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45</w:t>
            </w:r>
          </w:p>
        </w:tc>
      </w:tr>
      <w:tr w:rsidR="003036F4" w14:paraId="189E0C5A"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6420879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4EFFBD2C"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Contract Liabilities</w:t>
            </w:r>
          </w:p>
        </w:tc>
        <w:tc>
          <w:tcPr>
            <w:tcW w:w="1035" w:type="dxa"/>
            <w:tcBorders>
              <w:top w:val="nil"/>
              <w:left w:val="nil"/>
              <w:bottom w:val="nil"/>
              <w:right w:val="nil"/>
              <w:tl2br w:val="nil"/>
              <w:tr2bl w:val="nil"/>
            </w:tcBorders>
            <w:shd w:val="clear" w:color="FFFFFF" w:fill="FFFFFF"/>
            <w:tcMar>
              <w:left w:w="40" w:type="dxa"/>
              <w:right w:w="40" w:type="dxa"/>
            </w:tcMar>
          </w:tcPr>
          <w:p w14:paraId="440915BA"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3 175</w:t>
            </w:r>
          </w:p>
        </w:tc>
        <w:tc>
          <w:tcPr>
            <w:tcW w:w="1035" w:type="dxa"/>
            <w:tcBorders>
              <w:top w:val="nil"/>
              <w:left w:val="nil"/>
              <w:bottom w:val="nil"/>
              <w:right w:val="nil"/>
              <w:tl2br w:val="nil"/>
              <w:tr2bl w:val="nil"/>
            </w:tcBorders>
            <w:shd w:val="clear" w:color="FFFFFF" w:fill="FFFFFF"/>
            <w:tcMar>
              <w:left w:w="40" w:type="dxa"/>
              <w:right w:w="40" w:type="dxa"/>
            </w:tcMar>
          </w:tcPr>
          <w:p w14:paraId="2B936B1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3 175</w:t>
            </w:r>
          </w:p>
        </w:tc>
        <w:tc>
          <w:tcPr>
            <w:tcW w:w="600" w:type="dxa"/>
            <w:tcBorders>
              <w:top w:val="nil"/>
              <w:left w:val="nil"/>
              <w:bottom w:val="nil"/>
              <w:right w:val="nil"/>
              <w:tl2br w:val="nil"/>
              <w:tr2bl w:val="nil"/>
            </w:tcBorders>
            <w:shd w:val="clear" w:color="FFFFFF" w:fill="FFFFFF"/>
            <w:tcMar>
              <w:left w:w="40" w:type="dxa"/>
              <w:right w:w="40" w:type="dxa"/>
            </w:tcMar>
          </w:tcPr>
          <w:p w14:paraId="518142FA"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66F34BEE"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3 175</w:t>
            </w:r>
          </w:p>
        </w:tc>
        <w:tc>
          <w:tcPr>
            <w:tcW w:w="1035" w:type="dxa"/>
            <w:tcBorders>
              <w:top w:val="nil"/>
              <w:left w:val="nil"/>
              <w:bottom w:val="nil"/>
              <w:right w:val="nil"/>
              <w:tl2br w:val="nil"/>
              <w:tr2bl w:val="nil"/>
            </w:tcBorders>
            <w:shd w:val="clear" w:color="FFFFFF" w:fill="FFFFFF"/>
            <w:tcMar>
              <w:left w:w="40" w:type="dxa"/>
              <w:right w:w="40" w:type="dxa"/>
            </w:tcMar>
          </w:tcPr>
          <w:p w14:paraId="1EB4E4D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3 175</w:t>
            </w:r>
          </w:p>
        </w:tc>
        <w:tc>
          <w:tcPr>
            <w:tcW w:w="1035" w:type="dxa"/>
            <w:tcBorders>
              <w:top w:val="nil"/>
              <w:left w:val="nil"/>
              <w:bottom w:val="nil"/>
              <w:right w:val="nil"/>
              <w:tl2br w:val="nil"/>
              <w:tr2bl w:val="nil"/>
            </w:tcBorders>
            <w:shd w:val="clear" w:color="FFFFFF" w:fill="FFFFFF"/>
            <w:tcMar>
              <w:left w:w="40" w:type="dxa"/>
              <w:right w:w="40" w:type="dxa"/>
            </w:tcMar>
          </w:tcPr>
          <w:p w14:paraId="1CBCF8B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3 175</w:t>
            </w:r>
          </w:p>
        </w:tc>
      </w:tr>
      <w:tr w:rsidR="003036F4" w14:paraId="5F874B1B"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024C8EF3"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4E14A0DF"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6C6562"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7A06F7"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16A0B93" w14:textId="77777777" w:rsidR="003036F4" w:rsidRDefault="003036F4">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4AB1B6"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906C82"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9F90EB" w14:textId="77777777" w:rsidR="003036F4" w:rsidRDefault="003036F4">
            <w:pPr>
              <w:pStyle w:val="Normal9"/>
              <w:rPr>
                <w:rFonts w:ascii="Calibri" w:eastAsia="Calibri" w:hAnsi="Calibri" w:cs="Calibri"/>
                <w:color w:val="000000"/>
                <w:sz w:val="18"/>
              </w:rPr>
            </w:pPr>
          </w:p>
        </w:tc>
      </w:tr>
      <w:tr w:rsidR="003036F4" w14:paraId="7E7A3BCB"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40" w:type="dxa"/>
              <w:right w:w="40" w:type="dxa"/>
            </w:tcMar>
          </w:tcPr>
          <w:p w14:paraId="64592C70"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40" w:type="dxa"/>
              <w:right w:w="40" w:type="dxa"/>
            </w:tcMar>
          </w:tcPr>
          <w:p w14:paraId="4C0AB887"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40" w:type="dxa"/>
              <w:right w:w="40" w:type="dxa"/>
            </w:tcMar>
          </w:tcPr>
          <w:p w14:paraId="5255E5D7"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37 072</w:t>
            </w:r>
          </w:p>
        </w:tc>
        <w:tc>
          <w:tcPr>
            <w:tcW w:w="1035" w:type="dxa"/>
            <w:tcBorders>
              <w:top w:val="nil"/>
              <w:left w:val="nil"/>
              <w:bottom w:val="nil"/>
              <w:right w:val="nil"/>
              <w:tl2br w:val="nil"/>
              <w:tr2bl w:val="nil"/>
            </w:tcBorders>
            <w:shd w:val="clear" w:color="FFFFFF" w:fill="FFFFFF"/>
            <w:noWrap/>
            <w:tcMar>
              <w:left w:w="40" w:type="dxa"/>
              <w:right w:w="40" w:type="dxa"/>
            </w:tcMar>
          </w:tcPr>
          <w:p w14:paraId="445F37EE"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25 037</w:t>
            </w:r>
          </w:p>
        </w:tc>
        <w:tc>
          <w:tcPr>
            <w:tcW w:w="600" w:type="dxa"/>
            <w:tcBorders>
              <w:top w:val="nil"/>
              <w:left w:val="nil"/>
              <w:bottom w:val="nil"/>
              <w:right w:val="nil"/>
              <w:tl2br w:val="nil"/>
              <w:tr2bl w:val="nil"/>
            </w:tcBorders>
            <w:shd w:val="clear" w:color="FFFFFF" w:fill="FFFFFF"/>
            <w:tcMar>
              <w:left w:w="40" w:type="dxa"/>
              <w:right w:w="40" w:type="dxa"/>
            </w:tcMar>
          </w:tcPr>
          <w:p w14:paraId="13F1829A"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-32 </w:t>
            </w:r>
          </w:p>
        </w:tc>
        <w:tc>
          <w:tcPr>
            <w:tcW w:w="1035" w:type="dxa"/>
            <w:tcBorders>
              <w:top w:val="nil"/>
              <w:left w:val="nil"/>
              <w:bottom w:val="nil"/>
              <w:right w:val="nil"/>
              <w:tl2br w:val="nil"/>
              <w:tr2bl w:val="nil"/>
            </w:tcBorders>
            <w:shd w:val="clear" w:color="FFFFFF" w:fill="FFFFFF"/>
            <w:noWrap/>
            <w:tcMar>
              <w:left w:w="40" w:type="dxa"/>
              <w:right w:w="40" w:type="dxa"/>
            </w:tcMar>
          </w:tcPr>
          <w:p w14:paraId="332BF8F5"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25 290</w:t>
            </w:r>
          </w:p>
        </w:tc>
        <w:tc>
          <w:tcPr>
            <w:tcW w:w="1035" w:type="dxa"/>
            <w:tcBorders>
              <w:top w:val="nil"/>
              <w:left w:val="nil"/>
              <w:bottom w:val="nil"/>
              <w:right w:val="nil"/>
              <w:tl2br w:val="nil"/>
              <w:tr2bl w:val="nil"/>
            </w:tcBorders>
            <w:shd w:val="clear" w:color="FFFFFF" w:fill="FFFFFF"/>
            <w:noWrap/>
            <w:tcMar>
              <w:left w:w="40" w:type="dxa"/>
              <w:right w:w="40" w:type="dxa"/>
            </w:tcMar>
          </w:tcPr>
          <w:p w14:paraId="38FA8C85"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25 548</w:t>
            </w:r>
          </w:p>
        </w:tc>
        <w:tc>
          <w:tcPr>
            <w:tcW w:w="1035" w:type="dxa"/>
            <w:tcBorders>
              <w:top w:val="nil"/>
              <w:left w:val="nil"/>
              <w:bottom w:val="nil"/>
              <w:right w:val="nil"/>
              <w:tl2br w:val="nil"/>
              <w:tr2bl w:val="nil"/>
            </w:tcBorders>
            <w:shd w:val="clear" w:color="FFFFFF" w:fill="FFFFFF"/>
            <w:noWrap/>
            <w:tcMar>
              <w:left w:w="40" w:type="dxa"/>
              <w:right w:w="40" w:type="dxa"/>
            </w:tcMar>
          </w:tcPr>
          <w:p w14:paraId="7EEDA906"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25 815</w:t>
            </w:r>
          </w:p>
        </w:tc>
      </w:tr>
      <w:tr w:rsidR="003036F4" w14:paraId="7D88E994"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3254DB40"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7C6BED81"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836419"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A40532"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9684182" w14:textId="77777777" w:rsidR="003036F4" w:rsidRDefault="003036F4">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A5D2E5"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987DA6"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1916B5" w14:textId="77777777" w:rsidR="003036F4" w:rsidRDefault="003036F4">
            <w:pPr>
              <w:pStyle w:val="Normal9"/>
              <w:rPr>
                <w:rFonts w:ascii="Calibri" w:eastAsia="Calibri" w:hAnsi="Calibri" w:cs="Calibri"/>
                <w:color w:val="000000"/>
                <w:sz w:val="18"/>
              </w:rPr>
            </w:pPr>
          </w:p>
        </w:tc>
      </w:tr>
      <w:tr w:rsidR="003036F4" w14:paraId="140AC9EC"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0875CC14"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40" w:type="dxa"/>
              <w:right w:w="40" w:type="dxa"/>
            </w:tcMar>
          </w:tcPr>
          <w:p w14:paraId="2A22D1BD"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14D51B86"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8DB1AE"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E63D6C" w14:textId="77777777" w:rsidR="003036F4" w:rsidRDefault="003036F4">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CF3094"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87572A"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279EFB" w14:textId="77777777" w:rsidR="003036F4" w:rsidRDefault="003036F4">
            <w:pPr>
              <w:pStyle w:val="Normal9"/>
              <w:rPr>
                <w:rFonts w:ascii="Calibri" w:eastAsia="Calibri" w:hAnsi="Calibri" w:cs="Calibri"/>
                <w:color w:val="000000"/>
                <w:sz w:val="18"/>
              </w:rPr>
            </w:pPr>
          </w:p>
        </w:tc>
      </w:tr>
      <w:tr w:rsidR="003036F4" w14:paraId="7EF57776"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7CF118D4"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485282C3"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40" w:type="dxa"/>
              <w:right w:w="40" w:type="dxa"/>
            </w:tcMar>
          </w:tcPr>
          <w:p w14:paraId="206F558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FFFFFF" w:fill="FFFFFF"/>
            <w:tcMar>
              <w:left w:w="40" w:type="dxa"/>
              <w:right w:w="40" w:type="dxa"/>
            </w:tcMar>
          </w:tcPr>
          <w:p w14:paraId="6A30B19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30</w:t>
            </w:r>
          </w:p>
        </w:tc>
        <w:tc>
          <w:tcPr>
            <w:tcW w:w="600" w:type="dxa"/>
            <w:tcBorders>
              <w:top w:val="nil"/>
              <w:left w:val="nil"/>
              <w:bottom w:val="nil"/>
              <w:right w:val="nil"/>
              <w:tl2br w:val="nil"/>
              <w:tr2bl w:val="nil"/>
            </w:tcBorders>
            <w:shd w:val="clear" w:color="FFFFFF" w:fill="FFFFFF"/>
            <w:tcMar>
              <w:left w:w="40" w:type="dxa"/>
              <w:right w:w="40" w:type="dxa"/>
            </w:tcMar>
          </w:tcPr>
          <w:p w14:paraId="691B069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40" w:type="dxa"/>
              <w:right w:w="40" w:type="dxa"/>
            </w:tcMar>
          </w:tcPr>
          <w:p w14:paraId="4CD8A2ED"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FFFFFF" w:fill="FFFFFF"/>
            <w:tcMar>
              <w:left w:w="40" w:type="dxa"/>
              <w:right w:w="40" w:type="dxa"/>
            </w:tcMar>
          </w:tcPr>
          <w:p w14:paraId="2DEF304C"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FFFFFF" w:fill="FFFFFF"/>
            <w:tcMar>
              <w:left w:w="40" w:type="dxa"/>
              <w:right w:w="40" w:type="dxa"/>
            </w:tcMar>
          </w:tcPr>
          <w:p w14:paraId="4C1C910D"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30</w:t>
            </w:r>
          </w:p>
        </w:tc>
      </w:tr>
      <w:tr w:rsidR="003036F4" w14:paraId="79B39669"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29F4DE9B"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320CBA26"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40" w:type="dxa"/>
              <w:right w:w="40" w:type="dxa"/>
            </w:tcMar>
          </w:tcPr>
          <w:p w14:paraId="2D4E157A"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474</w:t>
            </w:r>
          </w:p>
        </w:tc>
        <w:tc>
          <w:tcPr>
            <w:tcW w:w="1035" w:type="dxa"/>
            <w:tcBorders>
              <w:top w:val="nil"/>
              <w:left w:val="nil"/>
              <w:bottom w:val="nil"/>
              <w:right w:val="nil"/>
              <w:tl2br w:val="nil"/>
              <w:tr2bl w:val="nil"/>
            </w:tcBorders>
            <w:shd w:val="clear" w:color="FFFFFF" w:fill="FFFFFF"/>
            <w:tcMar>
              <w:left w:w="40" w:type="dxa"/>
              <w:right w:w="40" w:type="dxa"/>
            </w:tcMar>
          </w:tcPr>
          <w:p w14:paraId="279AC2B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485</w:t>
            </w:r>
          </w:p>
        </w:tc>
        <w:tc>
          <w:tcPr>
            <w:tcW w:w="600" w:type="dxa"/>
            <w:tcBorders>
              <w:top w:val="nil"/>
              <w:left w:val="nil"/>
              <w:bottom w:val="nil"/>
              <w:right w:val="nil"/>
              <w:tl2br w:val="nil"/>
              <w:tr2bl w:val="nil"/>
            </w:tcBorders>
            <w:shd w:val="clear" w:color="FFFFFF" w:fill="FFFFFF"/>
            <w:tcMar>
              <w:left w:w="40" w:type="dxa"/>
              <w:right w:w="40" w:type="dxa"/>
            </w:tcMar>
          </w:tcPr>
          <w:p w14:paraId="772C8E57"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40" w:type="dxa"/>
              <w:right w:w="40" w:type="dxa"/>
            </w:tcMar>
          </w:tcPr>
          <w:p w14:paraId="035D91BA"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FFFFFF" w:fill="FFFFFF"/>
            <w:tcMar>
              <w:left w:w="40" w:type="dxa"/>
              <w:right w:w="40" w:type="dxa"/>
            </w:tcMar>
          </w:tcPr>
          <w:p w14:paraId="37AC324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515</w:t>
            </w:r>
          </w:p>
        </w:tc>
        <w:tc>
          <w:tcPr>
            <w:tcW w:w="1035" w:type="dxa"/>
            <w:tcBorders>
              <w:top w:val="nil"/>
              <w:left w:val="nil"/>
              <w:bottom w:val="nil"/>
              <w:right w:val="nil"/>
              <w:tl2br w:val="nil"/>
              <w:tr2bl w:val="nil"/>
            </w:tcBorders>
            <w:shd w:val="clear" w:color="FFFFFF" w:fill="FFFFFF"/>
            <w:tcMar>
              <w:left w:w="40" w:type="dxa"/>
              <w:right w:w="40" w:type="dxa"/>
            </w:tcMar>
          </w:tcPr>
          <w:p w14:paraId="6410F5D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530</w:t>
            </w:r>
          </w:p>
        </w:tc>
      </w:tr>
      <w:tr w:rsidR="003036F4" w14:paraId="1B20FE15"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799E3686"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459EA099"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40" w:type="dxa"/>
              <w:right w:w="40" w:type="dxa"/>
            </w:tcMar>
          </w:tcPr>
          <w:p w14:paraId="7183F967"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368</w:t>
            </w:r>
          </w:p>
        </w:tc>
        <w:tc>
          <w:tcPr>
            <w:tcW w:w="1035" w:type="dxa"/>
            <w:tcBorders>
              <w:top w:val="nil"/>
              <w:left w:val="nil"/>
              <w:bottom w:val="nil"/>
              <w:right w:val="nil"/>
              <w:tl2br w:val="nil"/>
              <w:tr2bl w:val="nil"/>
            </w:tcBorders>
            <w:shd w:val="clear" w:color="FFFFFF" w:fill="FFFFFF"/>
            <w:tcMar>
              <w:left w:w="40" w:type="dxa"/>
              <w:right w:w="40" w:type="dxa"/>
            </w:tcMar>
          </w:tcPr>
          <w:p w14:paraId="6F03CCDE"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40" w:type="dxa"/>
              <w:right w:w="40" w:type="dxa"/>
            </w:tcMar>
          </w:tcPr>
          <w:p w14:paraId="7FD74293"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40" w:type="dxa"/>
              <w:right w:w="40" w:type="dxa"/>
            </w:tcMar>
          </w:tcPr>
          <w:p w14:paraId="00221132"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35FA4E28"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40" w:type="dxa"/>
              <w:right w:w="40" w:type="dxa"/>
            </w:tcMar>
          </w:tcPr>
          <w:p w14:paraId="5E9527B4"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r>
      <w:tr w:rsidR="003036F4" w14:paraId="013EFDD0"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5BC02F5D"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76E5E46A" w14:textId="77777777" w:rsidR="003036F4" w:rsidRDefault="003036F4">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78AA58"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2BEB46"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BEDDFA0"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A8FF6D"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5BCDA4"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ECECA3" w14:textId="77777777" w:rsidR="003036F4" w:rsidRDefault="003036F4">
            <w:pPr>
              <w:pStyle w:val="Normal9"/>
              <w:rPr>
                <w:rFonts w:ascii="Calibri" w:eastAsia="Calibri" w:hAnsi="Calibri" w:cs="Calibri"/>
                <w:color w:val="000000"/>
                <w:sz w:val="18"/>
              </w:rPr>
            </w:pPr>
          </w:p>
        </w:tc>
      </w:tr>
      <w:tr w:rsidR="003036F4" w14:paraId="7F1A10DD"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40" w:type="dxa"/>
              <w:right w:w="40" w:type="dxa"/>
            </w:tcMar>
          </w:tcPr>
          <w:p w14:paraId="689BCACF"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40" w:type="dxa"/>
              <w:right w:w="40" w:type="dxa"/>
            </w:tcMar>
          </w:tcPr>
          <w:p w14:paraId="3BC05485"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40" w:type="dxa"/>
              <w:right w:w="40" w:type="dxa"/>
            </w:tcMar>
          </w:tcPr>
          <w:p w14:paraId="5C775824"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872</w:t>
            </w:r>
          </w:p>
        </w:tc>
        <w:tc>
          <w:tcPr>
            <w:tcW w:w="1035" w:type="dxa"/>
            <w:tcBorders>
              <w:top w:val="nil"/>
              <w:left w:val="nil"/>
              <w:bottom w:val="nil"/>
              <w:right w:val="nil"/>
              <w:tl2br w:val="nil"/>
              <w:tr2bl w:val="nil"/>
            </w:tcBorders>
            <w:shd w:val="clear" w:color="FFFFFF" w:fill="FFFFFF"/>
            <w:noWrap/>
            <w:tcMar>
              <w:left w:w="40" w:type="dxa"/>
              <w:right w:w="40" w:type="dxa"/>
            </w:tcMar>
          </w:tcPr>
          <w:p w14:paraId="697D5782"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515</w:t>
            </w:r>
          </w:p>
        </w:tc>
        <w:tc>
          <w:tcPr>
            <w:tcW w:w="600" w:type="dxa"/>
            <w:tcBorders>
              <w:top w:val="nil"/>
              <w:left w:val="nil"/>
              <w:bottom w:val="nil"/>
              <w:right w:val="nil"/>
              <w:tl2br w:val="nil"/>
              <w:tr2bl w:val="nil"/>
            </w:tcBorders>
            <w:shd w:val="clear" w:color="FFFFFF" w:fill="FFFFFF"/>
            <w:tcMar>
              <w:left w:w="40" w:type="dxa"/>
              <w:right w:w="40" w:type="dxa"/>
            </w:tcMar>
          </w:tcPr>
          <w:p w14:paraId="08930ECA"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-41 </w:t>
            </w:r>
          </w:p>
        </w:tc>
        <w:tc>
          <w:tcPr>
            <w:tcW w:w="1035" w:type="dxa"/>
            <w:tcBorders>
              <w:top w:val="nil"/>
              <w:left w:val="nil"/>
              <w:bottom w:val="nil"/>
              <w:right w:val="nil"/>
              <w:tl2br w:val="nil"/>
              <w:tr2bl w:val="nil"/>
            </w:tcBorders>
            <w:shd w:val="clear" w:color="FFFFFF" w:fill="FFFFFF"/>
            <w:noWrap/>
            <w:tcMar>
              <w:left w:w="40" w:type="dxa"/>
              <w:right w:w="40" w:type="dxa"/>
            </w:tcMar>
          </w:tcPr>
          <w:p w14:paraId="0CAB18D4"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530</w:t>
            </w:r>
          </w:p>
        </w:tc>
        <w:tc>
          <w:tcPr>
            <w:tcW w:w="1035" w:type="dxa"/>
            <w:tcBorders>
              <w:top w:val="nil"/>
              <w:left w:val="nil"/>
              <w:bottom w:val="nil"/>
              <w:right w:val="nil"/>
              <w:tl2br w:val="nil"/>
              <w:tr2bl w:val="nil"/>
            </w:tcBorders>
            <w:shd w:val="clear" w:color="FFFFFF" w:fill="FFFFFF"/>
            <w:noWrap/>
            <w:tcMar>
              <w:left w:w="40" w:type="dxa"/>
              <w:right w:w="40" w:type="dxa"/>
            </w:tcMar>
          </w:tcPr>
          <w:p w14:paraId="1AE42E65"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545</w:t>
            </w:r>
          </w:p>
        </w:tc>
        <w:tc>
          <w:tcPr>
            <w:tcW w:w="1035" w:type="dxa"/>
            <w:tcBorders>
              <w:top w:val="nil"/>
              <w:left w:val="nil"/>
              <w:bottom w:val="nil"/>
              <w:right w:val="nil"/>
              <w:tl2br w:val="nil"/>
              <w:tr2bl w:val="nil"/>
            </w:tcBorders>
            <w:shd w:val="clear" w:color="FFFFFF" w:fill="FFFFFF"/>
            <w:noWrap/>
            <w:tcMar>
              <w:left w:w="40" w:type="dxa"/>
              <w:right w:w="40" w:type="dxa"/>
            </w:tcMar>
          </w:tcPr>
          <w:p w14:paraId="3ED4A711"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560</w:t>
            </w:r>
          </w:p>
        </w:tc>
      </w:tr>
      <w:tr w:rsidR="003036F4" w14:paraId="52676AAD"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2605D863"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494B093C"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AE1045"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B32039"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0E81FE5"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1C7154"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3474E3"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750C59" w14:textId="77777777" w:rsidR="003036F4" w:rsidRDefault="003036F4">
            <w:pPr>
              <w:pStyle w:val="Normal9"/>
              <w:rPr>
                <w:rFonts w:ascii="Calibri" w:eastAsia="Calibri" w:hAnsi="Calibri" w:cs="Calibri"/>
                <w:color w:val="000000"/>
                <w:sz w:val="18"/>
              </w:rPr>
            </w:pPr>
          </w:p>
        </w:tc>
      </w:tr>
      <w:tr w:rsidR="003036F4" w14:paraId="3C01DDA7"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40" w:type="dxa"/>
              <w:right w:w="40" w:type="dxa"/>
            </w:tcMar>
          </w:tcPr>
          <w:p w14:paraId="64745F77"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40" w:type="dxa"/>
              <w:right w:w="40" w:type="dxa"/>
            </w:tcMar>
          </w:tcPr>
          <w:p w14:paraId="5F7F324B"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40" w:type="dxa"/>
              <w:right w:w="40" w:type="dxa"/>
            </w:tcMar>
          </w:tcPr>
          <w:p w14:paraId="2DB94DD3"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37 944</w:t>
            </w:r>
          </w:p>
        </w:tc>
        <w:tc>
          <w:tcPr>
            <w:tcW w:w="1035" w:type="dxa"/>
            <w:tcBorders>
              <w:top w:val="nil"/>
              <w:left w:val="nil"/>
              <w:bottom w:val="nil"/>
              <w:right w:val="nil"/>
              <w:tl2br w:val="nil"/>
              <w:tr2bl w:val="nil"/>
            </w:tcBorders>
            <w:shd w:val="clear" w:color="FFFFFF" w:fill="FFFFFF"/>
            <w:noWrap/>
            <w:tcMar>
              <w:left w:w="40" w:type="dxa"/>
              <w:right w:w="40" w:type="dxa"/>
            </w:tcMar>
          </w:tcPr>
          <w:p w14:paraId="38EB64AE"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25 552</w:t>
            </w:r>
          </w:p>
        </w:tc>
        <w:tc>
          <w:tcPr>
            <w:tcW w:w="600" w:type="dxa"/>
            <w:tcBorders>
              <w:top w:val="nil"/>
              <w:left w:val="nil"/>
              <w:bottom w:val="nil"/>
              <w:right w:val="nil"/>
              <w:tl2br w:val="nil"/>
              <w:tr2bl w:val="nil"/>
            </w:tcBorders>
            <w:shd w:val="clear" w:color="FFFFFF" w:fill="FFFFFF"/>
            <w:tcMar>
              <w:left w:w="40" w:type="dxa"/>
              <w:right w:w="40" w:type="dxa"/>
            </w:tcMar>
          </w:tcPr>
          <w:p w14:paraId="39823690"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-33 </w:t>
            </w:r>
          </w:p>
        </w:tc>
        <w:tc>
          <w:tcPr>
            <w:tcW w:w="1035" w:type="dxa"/>
            <w:tcBorders>
              <w:top w:val="nil"/>
              <w:left w:val="nil"/>
              <w:bottom w:val="nil"/>
              <w:right w:val="nil"/>
              <w:tl2br w:val="nil"/>
              <w:tr2bl w:val="nil"/>
            </w:tcBorders>
            <w:shd w:val="clear" w:color="FFFFFF" w:fill="FFFFFF"/>
            <w:noWrap/>
            <w:tcMar>
              <w:left w:w="40" w:type="dxa"/>
              <w:right w:w="40" w:type="dxa"/>
            </w:tcMar>
          </w:tcPr>
          <w:p w14:paraId="5373F380"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25 820</w:t>
            </w:r>
          </w:p>
        </w:tc>
        <w:tc>
          <w:tcPr>
            <w:tcW w:w="1035" w:type="dxa"/>
            <w:tcBorders>
              <w:top w:val="nil"/>
              <w:left w:val="nil"/>
              <w:bottom w:val="nil"/>
              <w:right w:val="nil"/>
              <w:tl2br w:val="nil"/>
              <w:tr2bl w:val="nil"/>
            </w:tcBorders>
            <w:shd w:val="clear" w:color="FFFFFF" w:fill="FFFFFF"/>
            <w:noWrap/>
            <w:tcMar>
              <w:left w:w="40" w:type="dxa"/>
              <w:right w:w="40" w:type="dxa"/>
            </w:tcMar>
          </w:tcPr>
          <w:p w14:paraId="22515064"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26 093</w:t>
            </w:r>
          </w:p>
        </w:tc>
        <w:tc>
          <w:tcPr>
            <w:tcW w:w="1035" w:type="dxa"/>
            <w:tcBorders>
              <w:top w:val="nil"/>
              <w:left w:val="nil"/>
              <w:bottom w:val="nil"/>
              <w:right w:val="nil"/>
              <w:tl2br w:val="nil"/>
              <w:tr2bl w:val="nil"/>
            </w:tcBorders>
            <w:shd w:val="clear" w:color="FFFFFF" w:fill="FFFFFF"/>
            <w:noWrap/>
            <w:tcMar>
              <w:left w:w="40" w:type="dxa"/>
              <w:right w:w="40" w:type="dxa"/>
            </w:tcMar>
          </w:tcPr>
          <w:p w14:paraId="2485CC78"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26 375</w:t>
            </w:r>
          </w:p>
        </w:tc>
      </w:tr>
      <w:tr w:rsidR="003036F4" w14:paraId="400BAC42"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2EA12324"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76CDDCE3"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9FF53D"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8FF9E7"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772FD77"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72A350"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EFE8E2"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C6287B" w14:textId="77777777" w:rsidR="003036F4" w:rsidRDefault="003036F4">
            <w:pPr>
              <w:pStyle w:val="Normal9"/>
              <w:rPr>
                <w:rFonts w:ascii="Calibri" w:eastAsia="Calibri" w:hAnsi="Calibri" w:cs="Calibri"/>
                <w:color w:val="000000"/>
                <w:sz w:val="18"/>
              </w:rPr>
            </w:pPr>
          </w:p>
        </w:tc>
      </w:tr>
      <w:tr w:rsidR="003036F4" w14:paraId="5C662001"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40" w:type="dxa"/>
              <w:right w:w="40" w:type="dxa"/>
            </w:tcMar>
          </w:tcPr>
          <w:p w14:paraId="1ADC34F3"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40" w:type="dxa"/>
              <w:right w:w="40" w:type="dxa"/>
            </w:tcMar>
          </w:tcPr>
          <w:p w14:paraId="0CE80102"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40" w:type="dxa"/>
              <w:right w:w="40" w:type="dxa"/>
            </w:tcMar>
          </w:tcPr>
          <w:p w14:paraId="3B7B5C14"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32 847</w:t>
            </w:r>
          </w:p>
        </w:tc>
        <w:tc>
          <w:tcPr>
            <w:tcW w:w="1035" w:type="dxa"/>
            <w:tcBorders>
              <w:top w:val="nil"/>
              <w:left w:val="nil"/>
              <w:bottom w:val="nil"/>
              <w:right w:val="nil"/>
              <w:tl2br w:val="nil"/>
              <w:tr2bl w:val="nil"/>
            </w:tcBorders>
            <w:shd w:val="clear" w:color="FFFFFF" w:fill="FFFFFF"/>
            <w:noWrap/>
            <w:tcMar>
              <w:left w:w="40" w:type="dxa"/>
              <w:right w:w="40" w:type="dxa"/>
            </w:tcMar>
          </w:tcPr>
          <w:p w14:paraId="06884782"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124 377</w:t>
            </w:r>
          </w:p>
        </w:tc>
        <w:tc>
          <w:tcPr>
            <w:tcW w:w="600" w:type="dxa"/>
            <w:tcBorders>
              <w:top w:val="nil"/>
              <w:left w:val="nil"/>
              <w:bottom w:val="nil"/>
              <w:right w:val="nil"/>
              <w:tl2br w:val="nil"/>
              <w:tr2bl w:val="nil"/>
            </w:tcBorders>
            <w:shd w:val="clear" w:color="FFFFFF" w:fill="FFFFFF"/>
            <w:tcMar>
              <w:left w:w="40" w:type="dxa"/>
              <w:right w:w="40" w:type="dxa"/>
            </w:tcMar>
          </w:tcPr>
          <w:p w14:paraId="352BEA58"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279 </w:t>
            </w:r>
          </w:p>
        </w:tc>
        <w:tc>
          <w:tcPr>
            <w:tcW w:w="1035" w:type="dxa"/>
            <w:tcBorders>
              <w:top w:val="nil"/>
              <w:left w:val="nil"/>
              <w:bottom w:val="nil"/>
              <w:right w:val="nil"/>
              <w:tl2br w:val="nil"/>
              <w:tr2bl w:val="nil"/>
            </w:tcBorders>
            <w:shd w:val="clear" w:color="FFFFFF" w:fill="FFFFFF"/>
            <w:noWrap/>
            <w:tcMar>
              <w:left w:w="40" w:type="dxa"/>
              <w:right w:w="40" w:type="dxa"/>
            </w:tcMar>
          </w:tcPr>
          <w:p w14:paraId="70C9FA92"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178 095</w:t>
            </w:r>
          </w:p>
        </w:tc>
        <w:tc>
          <w:tcPr>
            <w:tcW w:w="1035" w:type="dxa"/>
            <w:tcBorders>
              <w:top w:val="nil"/>
              <w:left w:val="nil"/>
              <w:bottom w:val="nil"/>
              <w:right w:val="nil"/>
              <w:tl2br w:val="nil"/>
              <w:tr2bl w:val="nil"/>
            </w:tcBorders>
            <w:shd w:val="clear" w:color="FFFFFF" w:fill="FFFFFF"/>
            <w:noWrap/>
            <w:tcMar>
              <w:left w:w="40" w:type="dxa"/>
              <w:right w:w="40" w:type="dxa"/>
            </w:tcMar>
          </w:tcPr>
          <w:p w14:paraId="0F9EB39F"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258 663</w:t>
            </w:r>
          </w:p>
        </w:tc>
        <w:tc>
          <w:tcPr>
            <w:tcW w:w="1035" w:type="dxa"/>
            <w:tcBorders>
              <w:top w:val="nil"/>
              <w:left w:val="nil"/>
              <w:bottom w:val="nil"/>
              <w:right w:val="nil"/>
              <w:tl2br w:val="nil"/>
              <w:tr2bl w:val="nil"/>
            </w:tcBorders>
            <w:shd w:val="clear" w:color="FFFFFF" w:fill="FFFFFF"/>
            <w:noWrap/>
            <w:tcMar>
              <w:left w:w="40" w:type="dxa"/>
              <w:right w:w="40" w:type="dxa"/>
            </w:tcMar>
          </w:tcPr>
          <w:p w14:paraId="565D828C"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347 231</w:t>
            </w:r>
          </w:p>
        </w:tc>
      </w:tr>
      <w:tr w:rsidR="003036F4" w14:paraId="42F72BC5"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54E6BCD3" w14:textId="77777777" w:rsidR="003036F4" w:rsidRDefault="003036F4">
            <w:pPr>
              <w:pStyle w:val="Normal9"/>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32E6CB29"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0CBBEF"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92AA13" w14:textId="77777777" w:rsidR="003036F4" w:rsidRDefault="003036F4">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F93641C"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744B67"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7DA854" w14:textId="77777777" w:rsidR="003036F4" w:rsidRDefault="003036F4">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AF665F" w14:textId="77777777" w:rsidR="003036F4" w:rsidRDefault="003036F4">
            <w:pPr>
              <w:pStyle w:val="Normal9"/>
              <w:rPr>
                <w:rFonts w:ascii="Calibri" w:eastAsia="Calibri" w:hAnsi="Calibri" w:cs="Calibri"/>
                <w:color w:val="000000"/>
                <w:sz w:val="18"/>
              </w:rPr>
            </w:pPr>
          </w:p>
        </w:tc>
      </w:tr>
      <w:tr w:rsidR="003036F4" w14:paraId="7C0B1D5F"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40" w:type="dxa"/>
              <w:right w:w="40" w:type="dxa"/>
            </w:tcMar>
          </w:tcPr>
          <w:p w14:paraId="1F56F5B7"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40" w:type="dxa"/>
              <w:right w:w="40" w:type="dxa"/>
            </w:tcMar>
          </w:tcPr>
          <w:p w14:paraId="661D3C74" w14:textId="77777777" w:rsidR="003036F4" w:rsidRDefault="00900E2D">
            <w:pPr>
              <w:pStyle w:val="Normal9"/>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40" w:type="dxa"/>
              <w:right w:w="40" w:type="dxa"/>
            </w:tcMar>
          </w:tcPr>
          <w:p w14:paraId="0AA51937"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32 847</w:t>
            </w:r>
          </w:p>
        </w:tc>
        <w:tc>
          <w:tcPr>
            <w:tcW w:w="1035" w:type="dxa"/>
            <w:tcBorders>
              <w:top w:val="nil"/>
              <w:left w:val="nil"/>
              <w:bottom w:val="nil"/>
              <w:right w:val="nil"/>
              <w:tl2br w:val="nil"/>
              <w:tr2bl w:val="nil"/>
            </w:tcBorders>
            <w:shd w:val="clear" w:color="FFFFFF" w:fill="FFFFFF"/>
            <w:tcMar>
              <w:left w:w="40" w:type="dxa"/>
              <w:right w:w="40" w:type="dxa"/>
            </w:tcMar>
          </w:tcPr>
          <w:p w14:paraId="7AC51C1B"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124 377</w:t>
            </w:r>
          </w:p>
        </w:tc>
        <w:tc>
          <w:tcPr>
            <w:tcW w:w="600" w:type="dxa"/>
            <w:tcBorders>
              <w:top w:val="nil"/>
              <w:left w:val="nil"/>
              <w:bottom w:val="nil"/>
              <w:right w:val="nil"/>
              <w:tl2br w:val="nil"/>
              <w:tr2bl w:val="nil"/>
            </w:tcBorders>
            <w:shd w:val="clear" w:color="FFFFFF" w:fill="FFFFFF"/>
            <w:tcMar>
              <w:left w:w="40" w:type="dxa"/>
              <w:right w:w="40" w:type="dxa"/>
            </w:tcMar>
          </w:tcPr>
          <w:p w14:paraId="76D442CC"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 xml:space="preserve">279 </w:t>
            </w:r>
          </w:p>
        </w:tc>
        <w:tc>
          <w:tcPr>
            <w:tcW w:w="1035" w:type="dxa"/>
            <w:tcBorders>
              <w:top w:val="nil"/>
              <w:left w:val="nil"/>
              <w:bottom w:val="nil"/>
              <w:right w:val="nil"/>
              <w:tl2br w:val="nil"/>
              <w:tr2bl w:val="nil"/>
            </w:tcBorders>
            <w:shd w:val="clear" w:color="FFFFFF" w:fill="FFFFFF"/>
            <w:tcMar>
              <w:left w:w="40" w:type="dxa"/>
              <w:right w:w="40" w:type="dxa"/>
            </w:tcMar>
          </w:tcPr>
          <w:p w14:paraId="48138A37"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178 095</w:t>
            </w:r>
          </w:p>
        </w:tc>
        <w:tc>
          <w:tcPr>
            <w:tcW w:w="1035" w:type="dxa"/>
            <w:tcBorders>
              <w:top w:val="nil"/>
              <w:left w:val="nil"/>
              <w:bottom w:val="nil"/>
              <w:right w:val="nil"/>
              <w:tl2br w:val="nil"/>
              <w:tr2bl w:val="nil"/>
            </w:tcBorders>
            <w:shd w:val="clear" w:color="FFFFFF" w:fill="FFFFFF"/>
            <w:tcMar>
              <w:left w:w="40" w:type="dxa"/>
              <w:right w:w="40" w:type="dxa"/>
            </w:tcMar>
          </w:tcPr>
          <w:p w14:paraId="30AA2E6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258 663</w:t>
            </w:r>
          </w:p>
        </w:tc>
        <w:tc>
          <w:tcPr>
            <w:tcW w:w="1035" w:type="dxa"/>
            <w:tcBorders>
              <w:top w:val="nil"/>
              <w:left w:val="nil"/>
              <w:bottom w:val="nil"/>
              <w:right w:val="nil"/>
              <w:tl2br w:val="nil"/>
              <w:tr2bl w:val="nil"/>
            </w:tcBorders>
            <w:shd w:val="clear" w:color="FFFFFF" w:fill="FFFFFF"/>
            <w:tcMar>
              <w:left w:w="40" w:type="dxa"/>
              <w:right w:w="40" w:type="dxa"/>
            </w:tcMar>
          </w:tcPr>
          <w:p w14:paraId="0BC4129F" w14:textId="77777777" w:rsidR="003036F4" w:rsidRDefault="00900E2D">
            <w:pPr>
              <w:pStyle w:val="Normal9"/>
              <w:jc w:val="right"/>
              <w:rPr>
                <w:rFonts w:ascii="Calibri" w:eastAsia="Calibri" w:hAnsi="Calibri" w:cs="Calibri"/>
                <w:color w:val="000000"/>
                <w:sz w:val="18"/>
              </w:rPr>
            </w:pPr>
            <w:r>
              <w:rPr>
                <w:rFonts w:ascii="Calibri" w:eastAsia="Calibri" w:hAnsi="Calibri" w:cs="Calibri"/>
                <w:color w:val="000000"/>
                <w:sz w:val="18"/>
              </w:rPr>
              <w:t>347 231</w:t>
            </w:r>
          </w:p>
        </w:tc>
      </w:tr>
      <w:tr w:rsidR="003036F4" w14:paraId="43385C7A"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5172CDE1" w14:textId="77777777" w:rsidR="003036F4" w:rsidRDefault="003036F4">
            <w:pPr>
              <w:pStyle w:val="Normal9"/>
              <w:rPr>
                <w:rFonts w:ascii="Calibri" w:eastAsia="Calibri" w:hAnsi="Calibri" w:cs="Calibri"/>
                <w:b/>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3C51210E" w14:textId="77777777" w:rsidR="003036F4" w:rsidRDefault="003036F4">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6DFAA5" w14:textId="77777777" w:rsidR="003036F4" w:rsidRDefault="003036F4">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353648" w14:textId="77777777" w:rsidR="003036F4" w:rsidRDefault="003036F4">
            <w:pPr>
              <w:pStyle w:val="Normal9"/>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9700D52" w14:textId="77777777" w:rsidR="003036F4" w:rsidRDefault="003036F4">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BBE03A" w14:textId="77777777" w:rsidR="003036F4" w:rsidRDefault="003036F4">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95D7F4" w14:textId="77777777" w:rsidR="003036F4" w:rsidRDefault="003036F4">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8A7F0A" w14:textId="77777777" w:rsidR="003036F4" w:rsidRDefault="003036F4">
            <w:pPr>
              <w:pStyle w:val="Normal9"/>
              <w:rPr>
                <w:rFonts w:ascii="Calibri" w:eastAsia="Calibri" w:hAnsi="Calibri" w:cs="Calibri"/>
                <w:b/>
                <w:color w:val="000000"/>
                <w:sz w:val="18"/>
              </w:rPr>
            </w:pPr>
          </w:p>
        </w:tc>
      </w:tr>
      <w:tr w:rsidR="003036F4" w14:paraId="5FF2C4A0"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40" w:type="dxa"/>
              <w:right w:w="40" w:type="dxa"/>
            </w:tcMar>
          </w:tcPr>
          <w:p w14:paraId="644096D9"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40" w:type="dxa"/>
              <w:right w:w="40" w:type="dxa"/>
            </w:tcMar>
          </w:tcPr>
          <w:p w14:paraId="1CE7FD91" w14:textId="77777777" w:rsidR="003036F4" w:rsidRDefault="00900E2D">
            <w:pPr>
              <w:pStyle w:val="Normal9"/>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40" w:type="dxa"/>
              <w:right w:w="40" w:type="dxa"/>
            </w:tcMar>
          </w:tcPr>
          <w:p w14:paraId="0AF76B63"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32 847</w:t>
            </w:r>
          </w:p>
        </w:tc>
        <w:tc>
          <w:tcPr>
            <w:tcW w:w="1035" w:type="dxa"/>
            <w:tcBorders>
              <w:top w:val="nil"/>
              <w:left w:val="nil"/>
              <w:bottom w:val="nil"/>
              <w:right w:val="nil"/>
              <w:tl2br w:val="nil"/>
              <w:tr2bl w:val="nil"/>
            </w:tcBorders>
            <w:shd w:val="clear" w:color="FFFFFF" w:fill="FFFFFF"/>
            <w:noWrap/>
            <w:tcMar>
              <w:left w:w="40" w:type="dxa"/>
              <w:right w:w="40" w:type="dxa"/>
            </w:tcMar>
          </w:tcPr>
          <w:p w14:paraId="50DF61EC"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124 377</w:t>
            </w:r>
          </w:p>
        </w:tc>
        <w:tc>
          <w:tcPr>
            <w:tcW w:w="600" w:type="dxa"/>
            <w:tcBorders>
              <w:top w:val="nil"/>
              <w:left w:val="nil"/>
              <w:bottom w:val="nil"/>
              <w:right w:val="nil"/>
              <w:tl2br w:val="nil"/>
              <w:tr2bl w:val="nil"/>
            </w:tcBorders>
            <w:shd w:val="clear" w:color="FFFFFF" w:fill="FFFFFF"/>
            <w:tcMar>
              <w:left w:w="40" w:type="dxa"/>
              <w:right w:w="40" w:type="dxa"/>
            </w:tcMar>
          </w:tcPr>
          <w:p w14:paraId="24BC73FA"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279</w:t>
            </w:r>
          </w:p>
        </w:tc>
        <w:tc>
          <w:tcPr>
            <w:tcW w:w="1035" w:type="dxa"/>
            <w:tcBorders>
              <w:top w:val="nil"/>
              <w:left w:val="nil"/>
              <w:bottom w:val="nil"/>
              <w:right w:val="nil"/>
              <w:tl2br w:val="nil"/>
              <w:tr2bl w:val="nil"/>
            </w:tcBorders>
            <w:shd w:val="clear" w:color="FFFFFF" w:fill="FFFFFF"/>
            <w:noWrap/>
            <w:tcMar>
              <w:left w:w="40" w:type="dxa"/>
              <w:right w:w="40" w:type="dxa"/>
            </w:tcMar>
          </w:tcPr>
          <w:p w14:paraId="6CB9FE1B"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178 095</w:t>
            </w:r>
          </w:p>
        </w:tc>
        <w:tc>
          <w:tcPr>
            <w:tcW w:w="1035" w:type="dxa"/>
            <w:tcBorders>
              <w:top w:val="nil"/>
              <w:left w:val="nil"/>
              <w:bottom w:val="nil"/>
              <w:right w:val="nil"/>
              <w:tl2br w:val="nil"/>
              <w:tr2bl w:val="nil"/>
            </w:tcBorders>
            <w:shd w:val="clear" w:color="FFFFFF" w:fill="FFFFFF"/>
            <w:noWrap/>
            <w:tcMar>
              <w:left w:w="40" w:type="dxa"/>
              <w:right w:w="40" w:type="dxa"/>
            </w:tcMar>
          </w:tcPr>
          <w:p w14:paraId="36564C2B"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258 663</w:t>
            </w:r>
          </w:p>
        </w:tc>
        <w:tc>
          <w:tcPr>
            <w:tcW w:w="1035" w:type="dxa"/>
            <w:tcBorders>
              <w:top w:val="nil"/>
              <w:left w:val="nil"/>
              <w:bottom w:val="nil"/>
              <w:right w:val="nil"/>
              <w:tl2br w:val="nil"/>
              <w:tr2bl w:val="nil"/>
            </w:tcBorders>
            <w:shd w:val="clear" w:color="FFFFFF" w:fill="FFFFFF"/>
            <w:noWrap/>
            <w:tcMar>
              <w:left w:w="40" w:type="dxa"/>
              <w:right w:w="40" w:type="dxa"/>
            </w:tcMar>
          </w:tcPr>
          <w:p w14:paraId="27B4D8ED" w14:textId="77777777" w:rsidR="003036F4" w:rsidRDefault="00900E2D">
            <w:pPr>
              <w:pStyle w:val="Normal9"/>
              <w:jc w:val="right"/>
              <w:rPr>
                <w:rFonts w:ascii="Calibri" w:eastAsia="Calibri" w:hAnsi="Calibri" w:cs="Calibri"/>
                <w:b/>
                <w:color w:val="000000"/>
                <w:sz w:val="18"/>
              </w:rPr>
            </w:pPr>
            <w:r>
              <w:rPr>
                <w:rFonts w:ascii="Calibri" w:eastAsia="Calibri" w:hAnsi="Calibri" w:cs="Calibri"/>
                <w:b/>
                <w:color w:val="000000"/>
                <w:sz w:val="18"/>
              </w:rPr>
              <w:t>347 231</w:t>
            </w:r>
          </w:p>
        </w:tc>
      </w:tr>
      <w:tr w:rsidR="003036F4" w14:paraId="66DB495A" w14:textId="77777777" w:rsidTr="004E3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single" w:sz="8" w:space="0" w:color="000000"/>
              <w:right w:val="nil"/>
              <w:tl2br w:val="nil"/>
              <w:tr2bl w:val="nil"/>
            </w:tcBorders>
            <w:shd w:val="clear" w:color="FFFFFF" w:fill="FFFFFF"/>
            <w:tcMar>
              <w:left w:w="0" w:type="dxa"/>
              <w:right w:w="0" w:type="dxa"/>
            </w:tcMar>
          </w:tcPr>
          <w:p w14:paraId="7F6E27BB" w14:textId="77777777" w:rsidR="003036F4" w:rsidRDefault="003036F4">
            <w:pPr>
              <w:pStyle w:val="Normal9"/>
              <w:rPr>
                <w:rFonts w:ascii="Calibri" w:eastAsia="Calibri" w:hAnsi="Calibri" w:cs="Calibri"/>
                <w:color w:val="000000"/>
                <w:sz w:val="18"/>
              </w:rPr>
            </w:pPr>
          </w:p>
        </w:tc>
        <w:tc>
          <w:tcPr>
            <w:tcW w:w="2569" w:type="dxa"/>
            <w:tcBorders>
              <w:top w:val="nil"/>
              <w:left w:val="nil"/>
              <w:bottom w:val="single" w:sz="8" w:space="0" w:color="000000"/>
              <w:right w:val="nil"/>
              <w:tl2br w:val="nil"/>
              <w:tr2bl w:val="nil"/>
            </w:tcBorders>
            <w:shd w:val="clear" w:color="FFFFFF" w:fill="FFFFFF"/>
            <w:tcMar>
              <w:left w:w="0" w:type="dxa"/>
              <w:right w:w="0" w:type="dxa"/>
            </w:tcMar>
          </w:tcPr>
          <w:p w14:paraId="3FF72992" w14:textId="77777777" w:rsidR="003036F4" w:rsidRDefault="003036F4">
            <w:pPr>
              <w:pStyle w:val="Normal9"/>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08028A9A" w14:textId="77777777" w:rsidR="003036F4" w:rsidRDefault="003036F4">
            <w:pPr>
              <w:pStyle w:val="Normal9"/>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648BF123" w14:textId="77777777" w:rsidR="003036F4" w:rsidRDefault="003036F4">
            <w:pPr>
              <w:pStyle w:val="Normal9"/>
              <w:rPr>
                <w:rFonts w:ascii="Calibri" w:eastAsia="Calibri" w:hAnsi="Calibri" w:cs="Calibri"/>
                <w:color w:val="000000"/>
                <w:sz w:val="18"/>
              </w:rPr>
            </w:pPr>
          </w:p>
        </w:tc>
        <w:tc>
          <w:tcPr>
            <w:tcW w:w="600" w:type="dxa"/>
            <w:tcBorders>
              <w:top w:val="nil"/>
              <w:left w:val="nil"/>
              <w:bottom w:val="single" w:sz="8" w:space="0" w:color="000000"/>
              <w:right w:val="nil"/>
              <w:tl2br w:val="nil"/>
              <w:tr2bl w:val="nil"/>
            </w:tcBorders>
            <w:shd w:val="clear" w:color="FFFFFF" w:fill="FFFFFF"/>
            <w:tcMar>
              <w:left w:w="0" w:type="dxa"/>
              <w:right w:w="0" w:type="dxa"/>
            </w:tcMar>
          </w:tcPr>
          <w:p w14:paraId="67AEB895" w14:textId="77777777" w:rsidR="003036F4" w:rsidRDefault="003036F4">
            <w:pPr>
              <w:pStyle w:val="Normal9"/>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34EC2969" w14:textId="77777777" w:rsidR="003036F4" w:rsidRDefault="003036F4">
            <w:pPr>
              <w:pStyle w:val="Normal9"/>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62FD6F98" w14:textId="77777777" w:rsidR="003036F4" w:rsidRDefault="003036F4">
            <w:pPr>
              <w:pStyle w:val="Normal9"/>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2FAEFAE1" w14:textId="77777777" w:rsidR="003036F4" w:rsidRDefault="003036F4">
            <w:pPr>
              <w:pStyle w:val="Normal9"/>
              <w:rPr>
                <w:rFonts w:ascii="Calibri" w:eastAsia="Calibri" w:hAnsi="Calibri" w:cs="Calibri"/>
                <w:color w:val="000000"/>
                <w:sz w:val="18"/>
              </w:rPr>
            </w:pPr>
          </w:p>
        </w:tc>
      </w:tr>
    </w:tbl>
    <w:p w14:paraId="0599E3B5" w14:textId="77777777" w:rsidR="006E72F1" w:rsidRPr="00DB70E3" w:rsidRDefault="00900E2D" w:rsidP="006E72F1">
      <w:pPr>
        <w:pStyle w:val="Caption"/>
        <w:pageBreakBefore/>
        <w:pBdr>
          <w:top w:val="nil"/>
          <w:left w:val="nil"/>
          <w:bottom w:val="nil"/>
          <w:right w:val="nil"/>
          <w:between w:val="nil"/>
          <w:bar w:val="nil"/>
        </w:pBdr>
        <w:outlineLvl w:val="0"/>
        <w:rPr>
          <w:bdr w:val="nil"/>
        </w:rPr>
      </w:pPr>
      <w:r>
        <w:rPr>
          <w:bdr w:val="nil"/>
        </w:rPr>
        <w:lastRenderedPageBreak/>
        <w:t xml:space="preserve">Table 9: Major Projects Canberra: Statement of Changes in Equity </w:t>
      </w:r>
    </w:p>
    <w:tbl>
      <w:tblPr>
        <w:tblStyle w:val="CDMRange13"/>
        <w:tblW w:w="9555" w:type="dxa"/>
        <w:tblLayout w:type="fixed"/>
        <w:tblLook w:val="0600" w:firstRow="0" w:lastRow="0" w:firstColumn="0" w:lastColumn="0" w:noHBand="1" w:noVBand="1"/>
      </w:tblPr>
      <w:tblGrid>
        <w:gridCol w:w="851"/>
        <w:gridCol w:w="2929"/>
        <w:gridCol w:w="1035"/>
        <w:gridCol w:w="1035"/>
        <w:gridCol w:w="600"/>
        <w:gridCol w:w="1035"/>
        <w:gridCol w:w="1035"/>
        <w:gridCol w:w="1035"/>
      </w:tblGrid>
      <w:tr w:rsidR="003036F4" w14:paraId="6F1E2EC3" w14:textId="77777777" w:rsidTr="00BC637C">
        <w:trPr>
          <w:trHeight w:val="930"/>
        </w:trPr>
        <w:tc>
          <w:tcPr>
            <w:tcW w:w="851"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7BC13A57"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Budget</w:t>
            </w:r>
          </w:p>
          <w:p w14:paraId="3EE82686"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at</w:t>
            </w:r>
          </w:p>
          <w:p w14:paraId="6B1AB386"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7A661B81"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c>
          <w:tcPr>
            <w:tcW w:w="2929" w:type="dxa"/>
            <w:tcBorders>
              <w:top w:val="single" w:sz="8" w:space="0" w:color="000000"/>
              <w:left w:val="nil"/>
              <w:bottom w:val="single" w:sz="8" w:space="0" w:color="000000"/>
              <w:right w:val="nil"/>
              <w:tl2br w:val="nil"/>
              <w:tr2bl w:val="nil"/>
            </w:tcBorders>
            <w:shd w:val="clear" w:color="FFFFFF" w:fill="FFFFFF"/>
            <w:tcMar>
              <w:left w:w="0" w:type="dxa"/>
              <w:right w:w="0" w:type="dxa"/>
            </w:tcMar>
          </w:tcPr>
          <w:p w14:paraId="3A3A1F92" w14:textId="77777777" w:rsidR="003036F4" w:rsidRDefault="003036F4">
            <w:pPr>
              <w:pStyle w:val="Normal10"/>
              <w:rPr>
                <w:rFonts w:ascii="Calibri" w:eastAsia="Calibri" w:hAnsi="Calibri" w:cs="Calibri"/>
                <w:b/>
                <w:color w:val="000000"/>
                <w:sz w:val="18"/>
              </w:rPr>
            </w:pP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2D9F9AE" w14:textId="07285C23" w:rsidR="003036F4" w:rsidRDefault="00332931">
            <w:pPr>
              <w:pStyle w:val="Normal10"/>
              <w:jc w:val="right"/>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Audited Outcome</w:t>
            </w:r>
          </w:p>
          <w:p w14:paraId="5F4C79A7"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13E3D5A9"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Budget</w:t>
            </w:r>
          </w:p>
          <w:p w14:paraId="26886DA4"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at</w:t>
            </w:r>
          </w:p>
          <w:p w14:paraId="5AE2FDB9"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512C978B"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36BE9A92"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Var</w:t>
            </w:r>
          </w:p>
          <w:p w14:paraId="493C9C2B"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35400240"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Estimate</w:t>
            </w:r>
          </w:p>
          <w:p w14:paraId="73A328EA"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at</w:t>
            </w:r>
          </w:p>
          <w:p w14:paraId="556586C7"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32F05E2E"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4A59D50A"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Estimate</w:t>
            </w:r>
          </w:p>
          <w:p w14:paraId="734EC1AA"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at</w:t>
            </w:r>
          </w:p>
          <w:p w14:paraId="2F687937"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55FF0088"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32C43B2C"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Estimate</w:t>
            </w:r>
          </w:p>
          <w:p w14:paraId="2D1ED1B0"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at</w:t>
            </w:r>
          </w:p>
          <w:p w14:paraId="125F2A73"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67EC4BA0"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$'000</w:t>
            </w:r>
          </w:p>
        </w:tc>
      </w:tr>
      <w:tr w:rsidR="003036F4" w14:paraId="14E750F1"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851" w:type="dxa"/>
            <w:tcBorders>
              <w:top w:val="single" w:sz="8" w:space="0" w:color="000000"/>
              <w:left w:val="nil"/>
              <w:bottom w:val="nil"/>
              <w:right w:val="nil"/>
              <w:tl2br w:val="nil"/>
              <w:tr2bl w:val="nil"/>
            </w:tcBorders>
            <w:shd w:val="clear" w:color="FFFFFF" w:fill="FFFFFF"/>
            <w:tcMar>
              <w:left w:w="0" w:type="dxa"/>
              <w:right w:w="0" w:type="dxa"/>
            </w:tcMar>
          </w:tcPr>
          <w:p w14:paraId="73F4CF6B" w14:textId="77777777" w:rsidR="003036F4" w:rsidRDefault="003036F4">
            <w:pPr>
              <w:pStyle w:val="Normal10"/>
              <w:jc w:val="right"/>
              <w:rPr>
                <w:rFonts w:ascii="Calibri" w:eastAsia="Calibri" w:hAnsi="Calibri" w:cs="Calibri"/>
                <w:b/>
                <w:i/>
                <w:color w:val="000000"/>
                <w:sz w:val="18"/>
              </w:rPr>
            </w:pPr>
          </w:p>
        </w:tc>
        <w:tc>
          <w:tcPr>
            <w:tcW w:w="2929" w:type="dxa"/>
            <w:tcBorders>
              <w:top w:val="single" w:sz="8" w:space="0" w:color="000000"/>
              <w:left w:val="nil"/>
              <w:bottom w:val="nil"/>
              <w:right w:val="nil"/>
              <w:tl2br w:val="nil"/>
              <w:tr2bl w:val="nil"/>
            </w:tcBorders>
            <w:shd w:val="clear" w:color="FFFFFF" w:fill="FFFFFF"/>
            <w:tcMar>
              <w:left w:w="0" w:type="dxa"/>
              <w:right w:w="0" w:type="dxa"/>
            </w:tcMar>
          </w:tcPr>
          <w:p w14:paraId="11C64152" w14:textId="77777777" w:rsidR="003036F4" w:rsidRDefault="003036F4">
            <w:pPr>
              <w:pStyle w:val="Normal10"/>
              <w:rPr>
                <w:rFonts w:ascii="Calibri" w:eastAsia="Calibri" w:hAnsi="Calibri" w:cs="Calibri"/>
                <w:b/>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7DC4AD98" w14:textId="77777777" w:rsidR="003036F4" w:rsidRDefault="003036F4">
            <w:pPr>
              <w:pStyle w:val="Normal10"/>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7D449301" w14:textId="77777777" w:rsidR="003036F4" w:rsidRDefault="003036F4">
            <w:pPr>
              <w:pStyle w:val="Normal10"/>
              <w:jc w:val="right"/>
              <w:rPr>
                <w:rFonts w:ascii="Calibri" w:eastAsia="Calibri" w:hAnsi="Calibri" w:cs="Calibri"/>
                <w:b/>
                <w:i/>
                <w:color w:val="000000"/>
                <w:sz w:val="18"/>
              </w:rPr>
            </w:pPr>
          </w:p>
        </w:tc>
        <w:tc>
          <w:tcPr>
            <w:tcW w:w="600" w:type="dxa"/>
            <w:tcBorders>
              <w:top w:val="single" w:sz="8" w:space="0" w:color="000000"/>
              <w:left w:val="nil"/>
              <w:bottom w:val="nil"/>
              <w:right w:val="nil"/>
              <w:tl2br w:val="nil"/>
              <w:tr2bl w:val="nil"/>
            </w:tcBorders>
            <w:shd w:val="clear" w:color="FFFFFF" w:fill="FFFFFF"/>
            <w:tcMar>
              <w:left w:w="0" w:type="dxa"/>
              <w:right w:w="0" w:type="dxa"/>
            </w:tcMar>
          </w:tcPr>
          <w:p w14:paraId="4AC8980E" w14:textId="77777777" w:rsidR="003036F4" w:rsidRDefault="003036F4">
            <w:pPr>
              <w:pStyle w:val="Normal10"/>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0C7E3352" w14:textId="77777777" w:rsidR="003036F4" w:rsidRDefault="003036F4">
            <w:pPr>
              <w:pStyle w:val="Normal10"/>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60838949" w14:textId="77777777" w:rsidR="003036F4" w:rsidRDefault="003036F4">
            <w:pPr>
              <w:pStyle w:val="Normal10"/>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31368DB6" w14:textId="77777777" w:rsidR="003036F4" w:rsidRDefault="003036F4">
            <w:pPr>
              <w:pStyle w:val="Normal10"/>
              <w:jc w:val="right"/>
              <w:rPr>
                <w:rFonts w:ascii="Calibri" w:eastAsia="Calibri" w:hAnsi="Calibri" w:cs="Calibri"/>
                <w:b/>
                <w:i/>
                <w:color w:val="000000"/>
                <w:sz w:val="18"/>
              </w:rPr>
            </w:pPr>
          </w:p>
        </w:tc>
      </w:tr>
      <w:tr w:rsidR="003036F4" w14:paraId="5A4EC56F"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0918EE84" w14:textId="77777777" w:rsidR="003036F4" w:rsidRDefault="003036F4">
            <w:pPr>
              <w:pStyle w:val="Normal10"/>
              <w:jc w:val="right"/>
              <w:rPr>
                <w:rFonts w:ascii="Calibri" w:eastAsia="Calibri" w:hAnsi="Calibri" w:cs="Calibri"/>
                <w:b/>
                <w:i/>
                <w:color w:val="000000"/>
                <w:sz w:val="18"/>
              </w:rPr>
            </w:pPr>
          </w:p>
        </w:tc>
        <w:tc>
          <w:tcPr>
            <w:tcW w:w="2929" w:type="dxa"/>
            <w:tcBorders>
              <w:top w:val="nil"/>
              <w:left w:val="nil"/>
              <w:bottom w:val="nil"/>
              <w:right w:val="nil"/>
              <w:tl2br w:val="nil"/>
              <w:tr2bl w:val="nil"/>
            </w:tcBorders>
            <w:shd w:val="clear" w:color="auto" w:fill="auto"/>
            <w:tcMar>
              <w:left w:w="101" w:type="dxa"/>
              <w:right w:w="101" w:type="dxa"/>
            </w:tcMar>
          </w:tcPr>
          <w:p w14:paraId="1C8303F0" w14:textId="77777777" w:rsidR="003036F4" w:rsidRDefault="00900E2D">
            <w:pPr>
              <w:pStyle w:val="Normal10"/>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693ADAB0" w14:textId="77777777" w:rsidR="003036F4" w:rsidRDefault="003036F4">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1E47D3D" w14:textId="77777777" w:rsidR="003036F4" w:rsidRDefault="003036F4">
            <w:pPr>
              <w:pStyle w:val="Normal10"/>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5A544D6" w14:textId="77777777" w:rsidR="003036F4" w:rsidRDefault="003036F4">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04E77A5" w14:textId="77777777" w:rsidR="003036F4" w:rsidRDefault="003036F4">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50CDBB" w14:textId="77777777" w:rsidR="003036F4" w:rsidRDefault="003036F4">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F16224" w14:textId="77777777" w:rsidR="003036F4" w:rsidRDefault="003036F4">
            <w:pPr>
              <w:pStyle w:val="Normal10"/>
              <w:jc w:val="right"/>
              <w:rPr>
                <w:rFonts w:ascii="Calibri" w:eastAsia="Calibri" w:hAnsi="Calibri" w:cs="Calibri"/>
                <w:b/>
                <w:i/>
                <w:color w:val="000000"/>
                <w:sz w:val="18"/>
              </w:rPr>
            </w:pPr>
          </w:p>
        </w:tc>
      </w:tr>
      <w:tr w:rsidR="003036F4" w14:paraId="76663D30"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851" w:type="dxa"/>
            <w:tcBorders>
              <w:top w:val="nil"/>
              <w:left w:val="nil"/>
              <w:bottom w:val="nil"/>
              <w:right w:val="nil"/>
              <w:tl2br w:val="nil"/>
              <w:tr2bl w:val="nil"/>
            </w:tcBorders>
            <w:shd w:val="clear" w:color="FFFFFF" w:fill="FFFFFF"/>
            <w:noWrap/>
            <w:tcMar>
              <w:left w:w="101" w:type="dxa"/>
              <w:right w:w="101" w:type="dxa"/>
            </w:tcMar>
          </w:tcPr>
          <w:p w14:paraId="1AF922AC"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2929" w:type="dxa"/>
            <w:tcBorders>
              <w:top w:val="nil"/>
              <w:left w:val="nil"/>
              <w:bottom w:val="nil"/>
              <w:right w:val="nil"/>
              <w:tl2br w:val="nil"/>
              <w:tr2bl w:val="nil"/>
            </w:tcBorders>
            <w:shd w:val="clear" w:color="auto" w:fill="auto"/>
            <w:noWrap/>
            <w:tcMar>
              <w:left w:w="101" w:type="dxa"/>
              <w:right w:w="101" w:type="dxa"/>
            </w:tcMar>
          </w:tcPr>
          <w:p w14:paraId="62B3D0D0" w14:textId="77777777" w:rsidR="003036F4" w:rsidRDefault="00900E2D">
            <w:pPr>
              <w:pStyle w:val="Normal10"/>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275E9B79"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37F379D"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32 847</w:t>
            </w:r>
          </w:p>
        </w:tc>
        <w:tc>
          <w:tcPr>
            <w:tcW w:w="600" w:type="dxa"/>
            <w:tcBorders>
              <w:top w:val="nil"/>
              <w:left w:val="nil"/>
              <w:bottom w:val="nil"/>
              <w:right w:val="nil"/>
              <w:tl2br w:val="nil"/>
              <w:tr2bl w:val="nil"/>
            </w:tcBorders>
            <w:shd w:val="clear" w:color="FFFFFF" w:fill="FFFFFF"/>
            <w:noWrap/>
            <w:tcMar>
              <w:left w:w="101" w:type="dxa"/>
              <w:right w:w="101" w:type="dxa"/>
            </w:tcMar>
          </w:tcPr>
          <w:p w14:paraId="728566E3"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02C8FF31"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124 377</w:t>
            </w:r>
          </w:p>
        </w:tc>
        <w:tc>
          <w:tcPr>
            <w:tcW w:w="1035" w:type="dxa"/>
            <w:tcBorders>
              <w:top w:val="nil"/>
              <w:left w:val="nil"/>
              <w:bottom w:val="nil"/>
              <w:right w:val="nil"/>
              <w:tl2br w:val="nil"/>
              <w:tr2bl w:val="nil"/>
            </w:tcBorders>
            <w:shd w:val="clear" w:color="FFFFFF" w:fill="FFFFFF"/>
            <w:noWrap/>
            <w:tcMar>
              <w:left w:w="101" w:type="dxa"/>
              <w:right w:w="101" w:type="dxa"/>
            </w:tcMar>
          </w:tcPr>
          <w:p w14:paraId="73F29D7D"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178 095</w:t>
            </w:r>
          </w:p>
        </w:tc>
        <w:tc>
          <w:tcPr>
            <w:tcW w:w="1035" w:type="dxa"/>
            <w:tcBorders>
              <w:top w:val="nil"/>
              <w:left w:val="nil"/>
              <w:bottom w:val="nil"/>
              <w:right w:val="nil"/>
              <w:tl2br w:val="nil"/>
              <w:tr2bl w:val="nil"/>
            </w:tcBorders>
            <w:shd w:val="clear" w:color="FFFFFF" w:fill="FFFFFF"/>
            <w:noWrap/>
            <w:tcMar>
              <w:left w:w="101" w:type="dxa"/>
              <w:right w:w="101" w:type="dxa"/>
            </w:tcMar>
          </w:tcPr>
          <w:p w14:paraId="3D90C870"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258 663</w:t>
            </w:r>
          </w:p>
        </w:tc>
      </w:tr>
      <w:tr w:rsidR="003036F4" w14:paraId="7389B3F8"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4B4645BC" w14:textId="77777777" w:rsidR="003036F4" w:rsidRDefault="003036F4">
            <w:pPr>
              <w:pStyle w:val="Normal10"/>
              <w:jc w:val="right"/>
              <w:rPr>
                <w:rFonts w:ascii="Calibri" w:eastAsia="Calibri" w:hAnsi="Calibri" w:cs="Calibri"/>
                <w:b/>
                <w:color w:val="000000"/>
                <w:sz w:val="18"/>
              </w:rPr>
            </w:pPr>
          </w:p>
        </w:tc>
        <w:tc>
          <w:tcPr>
            <w:tcW w:w="2929" w:type="dxa"/>
            <w:tcBorders>
              <w:top w:val="nil"/>
              <w:left w:val="nil"/>
              <w:bottom w:val="nil"/>
              <w:right w:val="nil"/>
              <w:tl2br w:val="nil"/>
              <w:tr2bl w:val="nil"/>
            </w:tcBorders>
            <w:shd w:val="clear" w:color="auto" w:fill="auto"/>
            <w:tcMar>
              <w:left w:w="0" w:type="dxa"/>
              <w:right w:w="0" w:type="dxa"/>
            </w:tcMar>
          </w:tcPr>
          <w:p w14:paraId="61EE1B55"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9B6426" w14:textId="77777777" w:rsidR="003036F4" w:rsidRDefault="003036F4">
            <w:pPr>
              <w:pStyle w:val="Normal10"/>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5DB83C" w14:textId="77777777" w:rsidR="003036F4" w:rsidRDefault="003036F4">
            <w:pPr>
              <w:pStyle w:val="Normal10"/>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07192A4" w14:textId="77777777" w:rsidR="003036F4" w:rsidRDefault="003036F4">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1363F0" w14:textId="77777777" w:rsidR="003036F4" w:rsidRDefault="003036F4">
            <w:pPr>
              <w:pStyle w:val="Normal10"/>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EDB72B" w14:textId="77777777" w:rsidR="003036F4" w:rsidRDefault="003036F4">
            <w:pPr>
              <w:pStyle w:val="Normal10"/>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498C351" w14:textId="77777777" w:rsidR="003036F4" w:rsidRDefault="003036F4">
            <w:pPr>
              <w:pStyle w:val="Normal10"/>
              <w:jc w:val="right"/>
              <w:rPr>
                <w:rFonts w:ascii="Calibri" w:eastAsia="Calibri" w:hAnsi="Calibri" w:cs="Calibri"/>
                <w:b/>
                <w:color w:val="000000"/>
                <w:sz w:val="18"/>
              </w:rPr>
            </w:pPr>
          </w:p>
        </w:tc>
      </w:tr>
      <w:tr w:rsidR="003036F4" w14:paraId="5061C5E6"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51" w:type="dxa"/>
            <w:tcBorders>
              <w:top w:val="nil"/>
              <w:left w:val="nil"/>
              <w:bottom w:val="nil"/>
              <w:right w:val="nil"/>
              <w:tl2br w:val="nil"/>
              <w:tr2bl w:val="nil"/>
            </w:tcBorders>
            <w:shd w:val="clear" w:color="FFFFFF" w:fill="FFFFFF"/>
            <w:noWrap/>
            <w:tcMar>
              <w:left w:w="101" w:type="dxa"/>
              <w:right w:w="101" w:type="dxa"/>
            </w:tcMar>
          </w:tcPr>
          <w:p w14:paraId="04CA1E1E"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2929" w:type="dxa"/>
            <w:tcBorders>
              <w:top w:val="nil"/>
              <w:left w:val="nil"/>
              <w:bottom w:val="nil"/>
              <w:right w:val="nil"/>
              <w:tl2br w:val="nil"/>
              <w:tr2bl w:val="nil"/>
            </w:tcBorders>
            <w:shd w:val="clear" w:color="auto" w:fill="auto"/>
            <w:tcMar>
              <w:left w:w="101" w:type="dxa"/>
              <w:right w:w="101" w:type="dxa"/>
            </w:tcMar>
          </w:tcPr>
          <w:p w14:paraId="58F22376" w14:textId="77777777" w:rsidR="003036F4" w:rsidRDefault="00900E2D" w:rsidP="00BC637C">
            <w:pPr>
              <w:pStyle w:val="Normal10"/>
              <w:ind w:left="189" w:hanging="189"/>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5C475968"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83DC811"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32 847</w:t>
            </w:r>
          </w:p>
        </w:tc>
        <w:tc>
          <w:tcPr>
            <w:tcW w:w="600" w:type="dxa"/>
            <w:tcBorders>
              <w:top w:val="nil"/>
              <w:left w:val="nil"/>
              <w:bottom w:val="nil"/>
              <w:right w:val="nil"/>
              <w:tl2br w:val="nil"/>
              <w:tr2bl w:val="nil"/>
            </w:tcBorders>
            <w:shd w:val="clear" w:color="FFFFFF" w:fill="FFFFFF"/>
            <w:noWrap/>
            <w:tcMar>
              <w:left w:w="101" w:type="dxa"/>
              <w:right w:w="101" w:type="dxa"/>
            </w:tcMar>
          </w:tcPr>
          <w:p w14:paraId="3531137C"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6C557AF"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124 377</w:t>
            </w:r>
          </w:p>
        </w:tc>
        <w:tc>
          <w:tcPr>
            <w:tcW w:w="1035" w:type="dxa"/>
            <w:tcBorders>
              <w:top w:val="nil"/>
              <w:left w:val="nil"/>
              <w:bottom w:val="nil"/>
              <w:right w:val="nil"/>
              <w:tl2br w:val="nil"/>
              <w:tr2bl w:val="nil"/>
            </w:tcBorders>
            <w:shd w:val="clear" w:color="FFFFFF" w:fill="FFFFFF"/>
            <w:noWrap/>
            <w:tcMar>
              <w:left w:w="101" w:type="dxa"/>
              <w:right w:w="101" w:type="dxa"/>
            </w:tcMar>
          </w:tcPr>
          <w:p w14:paraId="4BC1B408"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178 095</w:t>
            </w:r>
          </w:p>
        </w:tc>
        <w:tc>
          <w:tcPr>
            <w:tcW w:w="1035" w:type="dxa"/>
            <w:tcBorders>
              <w:top w:val="nil"/>
              <w:left w:val="nil"/>
              <w:bottom w:val="nil"/>
              <w:right w:val="nil"/>
              <w:tl2br w:val="nil"/>
              <w:tr2bl w:val="nil"/>
            </w:tcBorders>
            <w:shd w:val="clear" w:color="FFFFFF" w:fill="FFFFFF"/>
            <w:noWrap/>
            <w:tcMar>
              <w:left w:w="101" w:type="dxa"/>
              <w:right w:w="101" w:type="dxa"/>
            </w:tcMar>
          </w:tcPr>
          <w:p w14:paraId="6124807A"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258 663</w:t>
            </w:r>
          </w:p>
        </w:tc>
      </w:tr>
      <w:tr w:rsidR="003036F4" w14:paraId="719451C3"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51F1F2E1" w14:textId="77777777" w:rsidR="003036F4" w:rsidRDefault="003036F4">
            <w:pPr>
              <w:pStyle w:val="Normal10"/>
              <w:jc w:val="right"/>
              <w:rPr>
                <w:rFonts w:ascii="Calibri" w:eastAsia="Calibri" w:hAnsi="Calibri" w:cs="Calibri"/>
                <w:b/>
                <w:i/>
                <w:color w:val="000000"/>
                <w:sz w:val="18"/>
              </w:rPr>
            </w:pPr>
          </w:p>
        </w:tc>
        <w:tc>
          <w:tcPr>
            <w:tcW w:w="2929" w:type="dxa"/>
            <w:tcBorders>
              <w:top w:val="nil"/>
              <w:left w:val="nil"/>
              <w:bottom w:val="nil"/>
              <w:right w:val="nil"/>
              <w:tl2br w:val="nil"/>
              <w:tr2bl w:val="nil"/>
            </w:tcBorders>
            <w:shd w:val="clear" w:color="FFFFFF" w:fill="FFFFFF"/>
            <w:tcMar>
              <w:left w:w="0" w:type="dxa"/>
              <w:right w:w="0" w:type="dxa"/>
            </w:tcMar>
          </w:tcPr>
          <w:p w14:paraId="49FF71E9" w14:textId="77777777" w:rsidR="003036F4" w:rsidRDefault="003036F4">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C1DF1E" w14:textId="77777777" w:rsidR="003036F4" w:rsidRDefault="003036F4">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997C2F" w14:textId="77777777" w:rsidR="003036F4" w:rsidRDefault="003036F4">
            <w:pPr>
              <w:pStyle w:val="Normal10"/>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23DDB57" w14:textId="77777777" w:rsidR="003036F4" w:rsidRDefault="003036F4">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A1437EE" w14:textId="77777777" w:rsidR="003036F4" w:rsidRDefault="003036F4">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4B25618" w14:textId="77777777" w:rsidR="003036F4" w:rsidRDefault="003036F4">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9D9CC8" w14:textId="77777777" w:rsidR="003036F4" w:rsidRDefault="003036F4">
            <w:pPr>
              <w:pStyle w:val="Normal10"/>
              <w:jc w:val="right"/>
              <w:rPr>
                <w:rFonts w:ascii="Calibri" w:eastAsia="Calibri" w:hAnsi="Calibri" w:cs="Calibri"/>
                <w:b/>
                <w:i/>
                <w:color w:val="000000"/>
                <w:sz w:val="18"/>
              </w:rPr>
            </w:pPr>
          </w:p>
        </w:tc>
      </w:tr>
      <w:tr w:rsidR="003036F4" w14:paraId="7E32BFAE"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62118D04" w14:textId="77777777" w:rsidR="003036F4" w:rsidRDefault="003036F4">
            <w:pPr>
              <w:pStyle w:val="Normal10"/>
              <w:rPr>
                <w:rFonts w:ascii="Calibri" w:eastAsia="Calibri" w:hAnsi="Calibri" w:cs="Calibri"/>
                <w:color w:val="000000"/>
                <w:sz w:val="18"/>
              </w:rPr>
            </w:pPr>
          </w:p>
        </w:tc>
        <w:tc>
          <w:tcPr>
            <w:tcW w:w="2929" w:type="dxa"/>
            <w:tcBorders>
              <w:top w:val="nil"/>
              <w:left w:val="nil"/>
              <w:bottom w:val="nil"/>
              <w:right w:val="nil"/>
              <w:tl2br w:val="nil"/>
              <w:tr2bl w:val="nil"/>
            </w:tcBorders>
            <w:shd w:val="clear" w:color="FFFFFF" w:fill="FFFFFF"/>
            <w:tcMar>
              <w:left w:w="101" w:type="dxa"/>
              <w:right w:w="101" w:type="dxa"/>
            </w:tcMar>
          </w:tcPr>
          <w:p w14:paraId="565BB0F0" w14:textId="77777777" w:rsidR="003036F4" w:rsidRDefault="00900E2D">
            <w:pPr>
              <w:pStyle w:val="Normal10"/>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169FC2E7"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04D7FC" w14:textId="77777777" w:rsidR="003036F4" w:rsidRDefault="003036F4">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6DE9DA2"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5524DCE"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7FBEB6"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C43505" w14:textId="77777777" w:rsidR="003036F4" w:rsidRDefault="003036F4">
            <w:pPr>
              <w:pStyle w:val="Normal10"/>
              <w:rPr>
                <w:rFonts w:ascii="Calibri" w:eastAsia="Calibri" w:hAnsi="Calibri" w:cs="Calibri"/>
                <w:color w:val="000000"/>
                <w:sz w:val="18"/>
              </w:rPr>
            </w:pPr>
          </w:p>
        </w:tc>
      </w:tr>
      <w:tr w:rsidR="003036F4" w14:paraId="57E9EA14"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51" w:type="dxa"/>
            <w:tcBorders>
              <w:top w:val="nil"/>
              <w:left w:val="nil"/>
              <w:bottom w:val="nil"/>
              <w:right w:val="nil"/>
              <w:tl2br w:val="nil"/>
              <w:tr2bl w:val="nil"/>
            </w:tcBorders>
            <w:shd w:val="clear" w:color="FFFFFF" w:fill="FFFFFF"/>
            <w:noWrap/>
            <w:tcMar>
              <w:left w:w="101" w:type="dxa"/>
              <w:right w:w="101" w:type="dxa"/>
            </w:tcMar>
          </w:tcPr>
          <w:p w14:paraId="7BF05F42"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2929" w:type="dxa"/>
            <w:tcBorders>
              <w:top w:val="nil"/>
              <w:left w:val="nil"/>
              <w:bottom w:val="nil"/>
              <w:right w:val="nil"/>
              <w:tl2br w:val="nil"/>
              <w:tr2bl w:val="nil"/>
            </w:tcBorders>
            <w:shd w:val="clear" w:color="auto" w:fill="auto"/>
            <w:tcMar>
              <w:left w:w="101" w:type="dxa"/>
              <w:right w:w="101" w:type="dxa"/>
            </w:tcMar>
          </w:tcPr>
          <w:p w14:paraId="4F835A4A" w14:textId="3263629D" w:rsidR="003036F4" w:rsidRDefault="00900E2D" w:rsidP="00852076">
            <w:pPr>
              <w:pStyle w:val="Normal10"/>
              <w:ind w:left="136" w:hanging="136"/>
              <w:rPr>
                <w:rFonts w:ascii="Calibri" w:eastAsia="Calibri" w:hAnsi="Calibri" w:cs="Calibri"/>
                <w:color w:val="000000"/>
                <w:sz w:val="18"/>
              </w:rPr>
            </w:pPr>
            <w:r>
              <w:rPr>
                <w:rFonts w:ascii="Calibri" w:eastAsia="Calibri" w:hAnsi="Calibri" w:cs="Calibri"/>
                <w:color w:val="000000"/>
                <w:sz w:val="18"/>
              </w:rPr>
              <w:t xml:space="preserve">Operating Result </w:t>
            </w:r>
            <w:r w:rsidR="00332931">
              <w:rPr>
                <w:rFonts w:ascii="Calibri" w:eastAsia="Calibri" w:hAnsi="Calibri" w:cs="Calibri"/>
                <w:color w:val="000000"/>
                <w:sz w:val="18"/>
              </w:rPr>
              <w:t>–</w:t>
            </w:r>
            <w:r>
              <w:rPr>
                <w:rFonts w:ascii="Calibri" w:eastAsia="Calibri" w:hAnsi="Calibri" w:cs="Calibri"/>
                <w:color w:val="000000"/>
                <w:sz w:val="18"/>
              </w:rPr>
              <w:t xml:space="preserve">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7D2BB7B3"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-6 718</w:t>
            </w:r>
          </w:p>
        </w:tc>
        <w:tc>
          <w:tcPr>
            <w:tcW w:w="1035" w:type="dxa"/>
            <w:tcBorders>
              <w:top w:val="nil"/>
              <w:left w:val="nil"/>
              <w:bottom w:val="nil"/>
              <w:right w:val="nil"/>
              <w:tl2br w:val="nil"/>
              <w:tr2bl w:val="nil"/>
            </w:tcBorders>
            <w:shd w:val="clear" w:color="FFFFFF" w:fill="FFFFFF"/>
            <w:noWrap/>
            <w:tcMar>
              <w:left w:w="101" w:type="dxa"/>
              <w:right w:w="101" w:type="dxa"/>
            </w:tcMar>
          </w:tcPr>
          <w:p w14:paraId="113340AC"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-1 266</w:t>
            </w:r>
          </w:p>
        </w:tc>
        <w:tc>
          <w:tcPr>
            <w:tcW w:w="600" w:type="dxa"/>
            <w:tcBorders>
              <w:top w:val="nil"/>
              <w:left w:val="nil"/>
              <w:bottom w:val="nil"/>
              <w:right w:val="nil"/>
              <w:tl2br w:val="nil"/>
              <w:tr2bl w:val="nil"/>
            </w:tcBorders>
            <w:shd w:val="clear" w:color="FFFFFF" w:fill="FFFFFF"/>
            <w:noWrap/>
            <w:tcMar>
              <w:left w:w="101" w:type="dxa"/>
              <w:right w:w="101" w:type="dxa"/>
            </w:tcMar>
          </w:tcPr>
          <w:p w14:paraId="7644B6A9"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 xml:space="preserve">81 </w:t>
            </w:r>
          </w:p>
        </w:tc>
        <w:tc>
          <w:tcPr>
            <w:tcW w:w="1035" w:type="dxa"/>
            <w:tcBorders>
              <w:top w:val="nil"/>
              <w:left w:val="nil"/>
              <w:bottom w:val="nil"/>
              <w:right w:val="nil"/>
              <w:tl2br w:val="nil"/>
              <w:tr2bl w:val="nil"/>
            </w:tcBorders>
            <w:shd w:val="clear" w:color="FFFFFF" w:fill="FFFFFF"/>
            <w:noWrap/>
            <w:tcMar>
              <w:left w:w="101" w:type="dxa"/>
              <w:right w:w="101" w:type="dxa"/>
            </w:tcMar>
          </w:tcPr>
          <w:p w14:paraId="452069BB"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-2 634</w:t>
            </w:r>
          </w:p>
        </w:tc>
        <w:tc>
          <w:tcPr>
            <w:tcW w:w="1035" w:type="dxa"/>
            <w:tcBorders>
              <w:top w:val="nil"/>
              <w:left w:val="nil"/>
              <w:bottom w:val="nil"/>
              <w:right w:val="nil"/>
              <w:tl2br w:val="nil"/>
              <w:tr2bl w:val="nil"/>
            </w:tcBorders>
            <w:shd w:val="clear" w:color="FFFFFF" w:fill="FFFFFF"/>
            <w:noWrap/>
            <w:tcMar>
              <w:left w:w="101" w:type="dxa"/>
              <w:right w:w="101" w:type="dxa"/>
            </w:tcMar>
          </w:tcPr>
          <w:p w14:paraId="0784F9FD"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-3 432</w:t>
            </w:r>
          </w:p>
        </w:tc>
        <w:tc>
          <w:tcPr>
            <w:tcW w:w="1035" w:type="dxa"/>
            <w:tcBorders>
              <w:top w:val="nil"/>
              <w:left w:val="nil"/>
              <w:bottom w:val="nil"/>
              <w:right w:val="nil"/>
              <w:tl2br w:val="nil"/>
              <w:tr2bl w:val="nil"/>
            </w:tcBorders>
            <w:shd w:val="clear" w:color="FFFFFF" w:fill="FFFFFF"/>
            <w:noWrap/>
            <w:tcMar>
              <w:left w:w="101" w:type="dxa"/>
              <w:right w:w="101" w:type="dxa"/>
            </w:tcMar>
          </w:tcPr>
          <w:p w14:paraId="1377043A"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-3 432</w:t>
            </w:r>
          </w:p>
        </w:tc>
      </w:tr>
      <w:tr w:rsidR="003036F4" w14:paraId="5C3E14B7"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43C5E645" w14:textId="77777777" w:rsidR="003036F4" w:rsidRDefault="003036F4">
            <w:pPr>
              <w:pStyle w:val="Normal10"/>
              <w:rPr>
                <w:rFonts w:ascii="Calibri" w:eastAsia="Calibri" w:hAnsi="Calibri" w:cs="Calibri"/>
                <w:color w:val="000000"/>
                <w:sz w:val="18"/>
              </w:rPr>
            </w:pPr>
          </w:p>
        </w:tc>
        <w:tc>
          <w:tcPr>
            <w:tcW w:w="2929" w:type="dxa"/>
            <w:tcBorders>
              <w:top w:val="nil"/>
              <w:left w:val="nil"/>
              <w:bottom w:val="nil"/>
              <w:right w:val="nil"/>
              <w:tl2br w:val="nil"/>
              <w:tr2bl w:val="nil"/>
            </w:tcBorders>
            <w:shd w:val="clear" w:color="FFFFFF" w:fill="FFFFFF"/>
            <w:tcMar>
              <w:left w:w="0" w:type="dxa"/>
              <w:right w:w="0" w:type="dxa"/>
            </w:tcMar>
          </w:tcPr>
          <w:p w14:paraId="1A1FB937" w14:textId="77777777" w:rsidR="003036F4" w:rsidRDefault="003036F4">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E1125C8"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E34958" w14:textId="77777777" w:rsidR="003036F4" w:rsidRDefault="003036F4">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48166B8"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4E9210"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8464BE7"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DA9977" w14:textId="77777777" w:rsidR="003036F4" w:rsidRDefault="003036F4">
            <w:pPr>
              <w:pStyle w:val="Normal10"/>
              <w:rPr>
                <w:rFonts w:ascii="Calibri" w:eastAsia="Calibri" w:hAnsi="Calibri" w:cs="Calibri"/>
                <w:color w:val="000000"/>
                <w:sz w:val="18"/>
              </w:rPr>
            </w:pPr>
          </w:p>
        </w:tc>
      </w:tr>
      <w:tr w:rsidR="003036F4" w14:paraId="26957502"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101" w:type="dxa"/>
              <w:right w:w="101" w:type="dxa"/>
            </w:tcMar>
          </w:tcPr>
          <w:p w14:paraId="54AD89F2"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2929" w:type="dxa"/>
            <w:tcBorders>
              <w:top w:val="nil"/>
              <w:left w:val="nil"/>
              <w:bottom w:val="nil"/>
              <w:right w:val="nil"/>
              <w:tl2br w:val="nil"/>
              <w:tr2bl w:val="nil"/>
            </w:tcBorders>
            <w:shd w:val="clear" w:color="FFFFFF" w:fill="FFFFFF"/>
            <w:tcMar>
              <w:left w:w="101" w:type="dxa"/>
              <w:right w:w="101" w:type="dxa"/>
            </w:tcMar>
          </w:tcPr>
          <w:p w14:paraId="2091DE1C" w14:textId="77777777" w:rsidR="003036F4" w:rsidRDefault="00900E2D">
            <w:pPr>
              <w:pStyle w:val="Normal10"/>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17029FCE"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-6 718</w:t>
            </w:r>
          </w:p>
        </w:tc>
        <w:tc>
          <w:tcPr>
            <w:tcW w:w="1035" w:type="dxa"/>
            <w:tcBorders>
              <w:top w:val="nil"/>
              <w:left w:val="nil"/>
              <w:bottom w:val="nil"/>
              <w:right w:val="nil"/>
              <w:tl2br w:val="nil"/>
              <w:tr2bl w:val="nil"/>
            </w:tcBorders>
            <w:shd w:val="clear" w:color="FFFFFF" w:fill="FFFFFF"/>
            <w:noWrap/>
            <w:tcMar>
              <w:left w:w="101" w:type="dxa"/>
              <w:right w:w="101" w:type="dxa"/>
            </w:tcMar>
          </w:tcPr>
          <w:p w14:paraId="5AB96E30"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-1 266</w:t>
            </w:r>
          </w:p>
        </w:tc>
        <w:tc>
          <w:tcPr>
            <w:tcW w:w="600" w:type="dxa"/>
            <w:tcBorders>
              <w:top w:val="nil"/>
              <w:left w:val="nil"/>
              <w:bottom w:val="nil"/>
              <w:right w:val="nil"/>
              <w:tl2br w:val="nil"/>
              <w:tr2bl w:val="nil"/>
            </w:tcBorders>
            <w:shd w:val="clear" w:color="FFFFFF" w:fill="FFFFFF"/>
            <w:noWrap/>
            <w:tcMar>
              <w:left w:w="101" w:type="dxa"/>
              <w:right w:w="101" w:type="dxa"/>
            </w:tcMar>
          </w:tcPr>
          <w:p w14:paraId="16C504CD"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81 </w:t>
            </w:r>
          </w:p>
        </w:tc>
        <w:tc>
          <w:tcPr>
            <w:tcW w:w="1035" w:type="dxa"/>
            <w:tcBorders>
              <w:top w:val="nil"/>
              <w:left w:val="nil"/>
              <w:bottom w:val="nil"/>
              <w:right w:val="nil"/>
              <w:tl2br w:val="nil"/>
              <w:tr2bl w:val="nil"/>
            </w:tcBorders>
            <w:shd w:val="clear" w:color="FFFFFF" w:fill="FFFFFF"/>
            <w:noWrap/>
            <w:tcMar>
              <w:left w:w="101" w:type="dxa"/>
              <w:right w:w="101" w:type="dxa"/>
            </w:tcMar>
          </w:tcPr>
          <w:p w14:paraId="1F55EC64"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-2 634</w:t>
            </w:r>
          </w:p>
        </w:tc>
        <w:tc>
          <w:tcPr>
            <w:tcW w:w="1035" w:type="dxa"/>
            <w:tcBorders>
              <w:top w:val="nil"/>
              <w:left w:val="nil"/>
              <w:bottom w:val="nil"/>
              <w:right w:val="nil"/>
              <w:tl2br w:val="nil"/>
              <w:tr2bl w:val="nil"/>
            </w:tcBorders>
            <w:shd w:val="clear" w:color="FFFFFF" w:fill="FFFFFF"/>
            <w:noWrap/>
            <w:tcMar>
              <w:left w:w="101" w:type="dxa"/>
              <w:right w:w="101" w:type="dxa"/>
            </w:tcMar>
          </w:tcPr>
          <w:p w14:paraId="3E5A697B"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-3 432</w:t>
            </w:r>
          </w:p>
        </w:tc>
        <w:tc>
          <w:tcPr>
            <w:tcW w:w="1035" w:type="dxa"/>
            <w:tcBorders>
              <w:top w:val="nil"/>
              <w:left w:val="nil"/>
              <w:bottom w:val="nil"/>
              <w:right w:val="nil"/>
              <w:tl2br w:val="nil"/>
              <w:tr2bl w:val="nil"/>
            </w:tcBorders>
            <w:shd w:val="clear" w:color="FFFFFF" w:fill="FFFFFF"/>
            <w:noWrap/>
            <w:tcMar>
              <w:left w:w="101" w:type="dxa"/>
              <w:right w:w="101" w:type="dxa"/>
            </w:tcMar>
          </w:tcPr>
          <w:p w14:paraId="2D8D7385"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-3 432</w:t>
            </w:r>
          </w:p>
        </w:tc>
      </w:tr>
      <w:tr w:rsidR="003036F4" w14:paraId="5F83897D"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4EB69056" w14:textId="77777777" w:rsidR="003036F4" w:rsidRDefault="003036F4">
            <w:pPr>
              <w:pStyle w:val="Normal10"/>
              <w:rPr>
                <w:rFonts w:ascii="Calibri" w:eastAsia="Calibri" w:hAnsi="Calibri" w:cs="Calibri"/>
                <w:color w:val="000000"/>
                <w:sz w:val="18"/>
              </w:rPr>
            </w:pPr>
          </w:p>
        </w:tc>
        <w:tc>
          <w:tcPr>
            <w:tcW w:w="2929" w:type="dxa"/>
            <w:tcBorders>
              <w:top w:val="nil"/>
              <w:left w:val="nil"/>
              <w:bottom w:val="nil"/>
              <w:right w:val="nil"/>
              <w:tl2br w:val="nil"/>
              <w:tr2bl w:val="nil"/>
            </w:tcBorders>
            <w:shd w:val="clear" w:color="FFFFFF" w:fill="FFFFFF"/>
            <w:tcMar>
              <w:left w:w="0" w:type="dxa"/>
              <w:right w:w="0" w:type="dxa"/>
            </w:tcMar>
          </w:tcPr>
          <w:p w14:paraId="4CCC1F70" w14:textId="77777777" w:rsidR="003036F4" w:rsidRDefault="003036F4">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DEF09E"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C1AA92" w14:textId="77777777" w:rsidR="003036F4" w:rsidRDefault="003036F4">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CB9A6B1"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93C8D52"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066565"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6CAF08" w14:textId="77777777" w:rsidR="003036F4" w:rsidRDefault="003036F4">
            <w:pPr>
              <w:pStyle w:val="Normal10"/>
              <w:rPr>
                <w:rFonts w:ascii="Calibri" w:eastAsia="Calibri" w:hAnsi="Calibri" w:cs="Calibri"/>
                <w:color w:val="000000"/>
                <w:sz w:val="18"/>
              </w:rPr>
            </w:pPr>
          </w:p>
        </w:tc>
      </w:tr>
      <w:tr w:rsidR="003036F4" w14:paraId="038B2817"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101" w:type="dxa"/>
              <w:right w:w="101" w:type="dxa"/>
            </w:tcMar>
          </w:tcPr>
          <w:p w14:paraId="5D2C9AA8"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2929" w:type="dxa"/>
            <w:tcBorders>
              <w:top w:val="nil"/>
              <w:left w:val="nil"/>
              <w:bottom w:val="nil"/>
              <w:right w:val="nil"/>
              <w:tl2br w:val="nil"/>
              <w:tr2bl w:val="nil"/>
            </w:tcBorders>
            <w:shd w:val="clear" w:color="auto" w:fill="auto"/>
            <w:tcMar>
              <w:left w:w="101" w:type="dxa"/>
              <w:right w:w="101" w:type="dxa"/>
            </w:tcMar>
          </w:tcPr>
          <w:p w14:paraId="1335FC65" w14:textId="77777777" w:rsidR="003036F4" w:rsidRDefault="00900E2D">
            <w:pPr>
              <w:pStyle w:val="Normal10"/>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9206E9C"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C4007D4"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0F79097D"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16DC01A"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A6F680E"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EF7CD47"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r>
      <w:tr w:rsidR="003036F4" w14:paraId="1AE70159"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0C8DA13F" w14:textId="77777777" w:rsidR="003036F4" w:rsidRDefault="003036F4">
            <w:pPr>
              <w:pStyle w:val="Normal10"/>
              <w:rPr>
                <w:rFonts w:ascii="Calibri" w:eastAsia="Calibri" w:hAnsi="Calibri" w:cs="Calibri"/>
                <w:color w:val="000000"/>
                <w:sz w:val="18"/>
              </w:rPr>
            </w:pPr>
          </w:p>
        </w:tc>
        <w:tc>
          <w:tcPr>
            <w:tcW w:w="2929" w:type="dxa"/>
            <w:tcBorders>
              <w:top w:val="nil"/>
              <w:left w:val="nil"/>
              <w:bottom w:val="nil"/>
              <w:right w:val="nil"/>
              <w:tl2br w:val="nil"/>
              <w:tr2bl w:val="nil"/>
            </w:tcBorders>
            <w:shd w:val="clear" w:color="FFFFFF" w:fill="FFFFFF"/>
            <w:tcMar>
              <w:left w:w="0" w:type="dxa"/>
              <w:right w:w="0" w:type="dxa"/>
            </w:tcMar>
          </w:tcPr>
          <w:p w14:paraId="306FABC7"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71DCC7B"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3A66B2" w14:textId="77777777" w:rsidR="003036F4" w:rsidRDefault="003036F4">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482969A" w14:textId="77777777" w:rsidR="003036F4" w:rsidRDefault="003036F4">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D866EA"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F0F819"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F6AAFCC" w14:textId="77777777" w:rsidR="003036F4" w:rsidRDefault="003036F4">
            <w:pPr>
              <w:pStyle w:val="Normal10"/>
              <w:rPr>
                <w:rFonts w:ascii="Calibri" w:eastAsia="Calibri" w:hAnsi="Calibri" w:cs="Calibri"/>
                <w:color w:val="000000"/>
                <w:sz w:val="18"/>
              </w:rPr>
            </w:pPr>
          </w:p>
        </w:tc>
      </w:tr>
      <w:tr w:rsidR="003036F4" w14:paraId="43B114D6"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2B2B7DD0" w14:textId="77777777" w:rsidR="003036F4" w:rsidRDefault="003036F4">
            <w:pPr>
              <w:pStyle w:val="Normal10"/>
              <w:rPr>
                <w:rFonts w:ascii="Calibri" w:eastAsia="Calibri" w:hAnsi="Calibri" w:cs="Calibri"/>
                <w:color w:val="000000"/>
                <w:sz w:val="18"/>
              </w:rPr>
            </w:pPr>
          </w:p>
        </w:tc>
        <w:tc>
          <w:tcPr>
            <w:tcW w:w="8704" w:type="dxa"/>
            <w:gridSpan w:val="7"/>
            <w:tcBorders>
              <w:top w:val="nil"/>
              <w:left w:val="nil"/>
              <w:bottom w:val="nil"/>
              <w:right w:val="nil"/>
              <w:tl2br w:val="nil"/>
              <w:tr2bl w:val="nil"/>
            </w:tcBorders>
            <w:shd w:val="clear" w:color="auto" w:fill="auto"/>
            <w:tcMar>
              <w:left w:w="101" w:type="dxa"/>
              <w:right w:w="101" w:type="dxa"/>
            </w:tcMar>
          </w:tcPr>
          <w:p w14:paraId="3E865D2B" w14:textId="77777777" w:rsidR="003036F4" w:rsidRDefault="00900E2D">
            <w:pPr>
              <w:pStyle w:val="Normal10"/>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r>
      <w:tr w:rsidR="003036F4" w14:paraId="57C8FB41"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101" w:type="dxa"/>
              <w:right w:w="101" w:type="dxa"/>
            </w:tcMar>
          </w:tcPr>
          <w:p w14:paraId="7B7923E4"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2929" w:type="dxa"/>
            <w:tcBorders>
              <w:top w:val="nil"/>
              <w:left w:val="nil"/>
              <w:bottom w:val="nil"/>
              <w:right w:val="nil"/>
              <w:tl2br w:val="nil"/>
              <w:tr2bl w:val="nil"/>
            </w:tcBorders>
            <w:shd w:val="clear" w:color="FFFFFF" w:fill="FFFFFF"/>
            <w:tcMar>
              <w:left w:w="101" w:type="dxa"/>
              <w:right w:w="101" w:type="dxa"/>
            </w:tcMar>
          </w:tcPr>
          <w:p w14:paraId="7162CCF9" w14:textId="77777777" w:rsidR="003036F4" w:rsidRDefault="00900E2D">
            <w:pPr>
              <w:pStyle w:val="Normal10"/>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765E6311"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70 805</w:t>
            </w:r>
          </w:p>
        </w:tc>
        <w:tc>
          <w:tcPr>
            <w:tcW w:w="1035" w:type="dxa"/>
            <w:tcBorders>
              <w:top w:val="nil"/>
              <w:left w:val="nil"/>
              <w:bottom w:val="nil"/>
              <w:right w:val="nil"/>
              <w:tl2br w:val="nil"/>
              <w:tr2bl w:val="nil"/>
            </w:tcBorders>
            <w:shd w:val="clear" w:color="FFFFFF" w:fill="FFFFFF"/>
            <w:noWrap/>
            <w:tcMar>
              <w:left w:w="101" w:type="dxa"/>
              <w:right w:w="101" w:type="dxa"/>
            </w:tcMar>
          </w:tcPr>
          <w:p w14:paraId="1E0B71B3"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92 796</w:t>
            </w:r>
          </w:p>
        </w:tc>
        <w:tc>
          <w:tcPr>
            <w:tcW w:w="600" w:type="dxa"/>
            <w:tcBorders>
              <w:top w:val="nil"/>
              <w:left w:val="nil"/>
              <w:bottom w:val="nil"/>
              <w:right w:val="nil"/>
              <w:tl2br w:val="nil"/>
              <w:tr2bl w:val="nil"/>
            </w:tcBorders>
            <w:shd w:val="clear" w:color="FFFFFF" w:fill="FFFFFF"/>
            <w:noWrap/>
            <w:tcMar>
              <w:left w:w="101" w:type="dxa"/>
              <w:right w:w="101" w:type="dxa"/>
            </w:tcMar>
          </w:tcPr>
          <w:p w14:paraId="38159082"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 xml:space="preserve">31 </w:t>
            </w:r>
          </w:p>
        </w:tc>
        <w:tc>
          <w:tcPr>
            <w:tcW w:w="1035" w:type="dxa"/>
            <w:tcBorders>
              <w:top w:val="nil"/>
              <w:left w:val="nil"/>
              <w:bottom w:val="nil"/>
              <w:right w:val="nil"/>
              <w:tl2br w:val="nil"/>
              <w:tr2bl w:val="nil"/>
            </w:tcBorders>
            <w:shd w:val="clear" w:color="FFFFFF" w:fill="FFFFFF"/>
            <w:noWrap/>
            <w:tcMar>
              <w:left w:w="101" w:type="dxa"/>
              <w:right w:w="101" w:type="dxa"/>
            </w:tcMar>
          </w:tcPr>
          <w:p w14:paraId="2E5592B6"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56 352</w:t>
            </w:r>
          </w:p>
        </w:tc>
        <w:tc>
          <w:tcPr>
            <w:tcW w:w="1035" w:type="dxa"/>
            <w:tcBorders>
              <w:top w:val="nil"/>
              <w:left w:val="nil"/>
              <w:bottom w:val="nil"/>
              <w:right w:val="nil"/>
              <w:tl2br w:val="nil"/>
              <w:tr2bl w:val="nil"/>
            </w:tcBorders>
            <w:shd w:val="clear" w:color="FFFFFF" w:fill="FFFFFF"/>
            <w:noWrap/>
            <w:tcMar>
              <w:left w:w="101" w:type="dxa"/>
              <w:right w:w="101" w:type="dxa"/>
            </w:tcMar>
          </w:tcPr>
          <w:p w14:paraId="23EA0E89"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84 000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653C5D02"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92 000</w:t>
            </w:r>
          </w:p>
        </w:tc>
      </w:tr>
      <w:tr w:rsidR="003036F4" w14:paraId="177AD58B"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51" w:type="dxa"/>
            <w:tcBorders>
              <w:top w:val="nil"/>
              <w:left w:val="nil"/>
              <w:bottom w:val="nil"/>
              <w:right w:val="nil"/>
              <w:tl2br w:val="nil"/>
              <w:tr2bl w:val="nil"/>
            </w:tcBorders>
            <w:shd w:val="clear" w:color="FFFFFF" w:fill="FFFFFF"/>
            <w:noWrap/>
            <w:tcMar>
              <w:left w:w="101" w:type="dxa"/>
              <w:right w:w="101" w:type="dxa"/>
            </w:tcMar>
          </w:tcPr>
          <w:p w14:paraId="545BCB2C"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2929" w:type="dxa"/>
            <w:tcBorders>
              <w:top w:val="nil"/>
              <w:left w:val="nil"/>
              <w:bottom w:val="nil"/>
              <w:right w:val="nil"/>
              <w:tl2br w:val="nil"/>
              <w:tr2bl w:val="nil"/>
            </w:tcBorders>
            <w:shd w:val="clear" w:color="auto" w:fill="auto"/>
            <w:tcMar>
              <w:left w:w="101" w:type="dxa"/>
              <w:right w:w="101" w:type="dxa"/>
            </w:tcMar>
          </w:tcPr>
          <w:p w14:paraId="608E39AA" w14:textId="77777777" w:rsidR="003036F4" w:rsidRDefault="00900E2D" w:rsidP="00852076">
            <w:pPr>
              <w:pStyle w:val="Normal10"/>
              <w:ind w:left="136" w:hanging="136"/>
              <w:rPr>
                <w:rFonts w:ascii="Calibri" w:eastAsia="Calibri" w:hAnsi="Calibri" w:cs="Calibri"/>
                <w:color w:val="000000"/>
                <w:sz w:val="18"/>
              </w:rPr>
            </w:pPr>
            <w:r>
              <w:rPr>
                <w:rFonts w:ascii="Calibri" w:eastAsia="Calibri" w:hAnsi="Calibri" w:cs="Calibri"/>
                <w:color w:val="000000"/>
                <w:sz w:val="18"/>
              </w:rPr>
              <w:t>Inc/Dec in Net Assets due to Admin Restructure</w:t>
            </w:r>
          </w:p>
        </w:tc>
        <w:tc>
          <w:tcPr>
            <w:tcW w:w="1035" w:type="dxa"/>
            <w:tcBorders>
              <w:top w:val="nil"/>
              <w:left w:val="nil"/>
              <w:bottom w:val="nil"/>
              <w:right w:val="nil"/>
              <w:tl2br w:val="nil"/>
              <w:tr2bl w:val="nil"/>
            </w:tcBorders>
            <w:shd w:val="clear" w:color="FFFFFF" w:fill="FFFFFF"/>
            <w:noWrap/>
            <w:tcMar>
              <w:left w:w="101" w:type="dxa"/>
              <w:right w:w="101" w:type="dxa"/>
            </w:tcMar>
          </w:tcPr>
          <w:p w14:paraId="4B471110"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-31 240</w:t>
            </w:r>
          </w:p>
        </w:tc>
        <w:tc>
          <w:tcPr>
            <w:tcW w:w="1035" w:type="dxa"/>
            <w:tcBorders>
              <w:top w:val="nil"/>
              <w:left w:val="nil"/>
              <w:bottom w:val="nil"/>
              <w:right w:val="nil"/>
              <w:tl2br w:val="nil"/>
              <w:tr2bl w:val="nil"/>
            </w:tcBorders>
            <w:shd w:val="clear" w:color="FFFFFF" w:fill="FFFFFF"/>
            <w:noWrap/>
            <w:tcMar>
              <w:left w:w="101" w:type="dxa"/>
              <w:right w:w="101" w:type="dxa"/>
            </w:tcMar>
          </w:tcPr>
          <w:p w14:paraId="006678A5"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762EFFA5"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04125582"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E6701C4"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0BB961E"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0</w:t>
            </w:r>
          </w:p>
        </w:tc>
      </w:tr>
      <w:tr w:rsidR="003036F4" w14:paraId="33BB9F5B"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5E5EE466" w14:textId="77777777" w:rsidR="003036F4" w:rsidRDefault="003036F4">
            <w:pPr>
              <w:pStyle w:val="Normal10"/>
              <w:rPr>
                <w:rFonts w:ascii="Calibri" w:eastAsia="Calibri" w:hAnsi="Calibri" w:cs="Calibri"/>
                <w:color w:val="000000"/>
                <w:sz w:val="18"/>
              </w:rPr>
            </w:pPr>
          </w:p>
        </w:tc>
        <w:tc>
          <w:tcPr>
            <w:tcW w:w="2929" w:type="dxa"/>
            <w:tcBorders>
              <w:top w:val="nil"/>
              <w:left w:val="nil"/>
              <w:bottom w:val="nil"/>
              <w:right w:val="nil"/>
              <w:tl2br w:val="nil"/>
              <w:tr2bl w:val="nil"/>
            </w:tcBorders>
            <w:shd w:val="clear" w:color="FFFFFF" w:fill="FFFFFF"/>
            <w:tcMar>
              <w:left w:w="0" w:type="dxa"/>
              <w:right w:w="0" w:type="dxa"/>
            </w:tcMar>
          </w:tcPr>
          <w:p w14:paraId="796D1204"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859120C"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C163418" w14:textId="77777777" w:rsidR="003036F4" w:rsidRDefault="003036F4">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AD95F7A" w14:textId="77777777" w:rsidR="003036F4" w:rsidRDefault="003036F4">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308E3B"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CD4F24"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61EC85" w14:textId="77777777" w:rsidR="003036F4" w:rsidRDefault="003036F4">
            <w:pPr>
              <w:pStyle w:val="Normal10"/>
              <w:rPr>
                <w:rFonts w:ascii="Calibri" w:eastAsia="Calibri" w:hAnsi="Calibri" w:cs="Calibri"/>
                <w:color w:val="000000"/>
                <w:sz w:val="18"/>
              </w:rPr>
            </w:pPr>
          </w:p>
        </w:tc>
      </w:tr>
      <w:tr w:rsidR="003036F4" w14:paraId="53888CC8"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51" w:type="dxa"/>
            <w:tcBorders>
              <w:top w:val="nil"/>
              <w:left w:val="nil"/>
              <w:bottom w:val="nil"/>
              <w:right w:val="nil"/>
              <w:tl2br w:val="nil"/>
              <w:tr2bl w:val="nil"/>
            </w:tcBorders>
            <w:shd w:val="clear" w:color="FFFFFF" w:fill="FFFFFF"/>
            <w:noWrap/>
            <w:tcMar>
              <w:left w:w="101" w:type="dxa"/>
              <w:right w:w="101" w:type="dxa"/>
            </w:tcMar>
          </w:tcPr>
          <w:p w14:paraId="3FDD3542"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2929" w:type="dxa"/>
            <w:tcBorders>
              <w:top w:val="nil"/>
              <w:left w:val="nil"/>
              <w:bottom w:val="nil"/>
              <w:right w:val="nil"/>
              <w:tl2br w:val="nil"/>
              <w:tr2bl w:val="nil"/>
            </w:tcBorders>
            <w:shd w:val="clear" w:color="auto" w:fill="auto"/>
            <w:tcMar>
              <w:left w:w="101" w:type="dxa"/>
              <w:right w:w="101" w:type="dxa"/>
            </w:tcMar>
          </w:tcPr>
          <w:p w14:paraId="2450FE98" w14:textId="77777777" w:rsidR="003036F4" w:rsidRDefault="00900E2D" w:rsidP="00BC637C">
            <w:pPr>
              <w:pStyle w:val="Normal10"/>
              <w:ind w:left="189" w:hanging="189"/>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5243C9FC"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39 565</w:t>
            </w:r>
          </w:p>
        </w:tc>
        <w:tc>
          <w:tcPr>
            <w:tcW w:w="1035" w:type="dxa"/>
            <w:tcBorders>
              <w:top w:val="nil"/>
              <w:left w:val="nil"/>
              <w:bottom w:val="nil"/>
              <w:right w:val="nil"/>
              <w:tl2br w:val="nil"/>
              <w:tr2bl w:val="nil"/>
            </w:tcBorders>
            <w:shd w:val="clear" w:color="FFFFFF" w:fill="FFFFFF"/>
            <w:noWrap/>
            <w:tcMar>
              <w:left w:w="101" w:type="dxa"/>
              <w:right w:w="101" w:type="dxa"/>
            </w:tcMar>
          </w:tcPr>
          <w:p w14:paraId="0DA8AE4E"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92 796</w:t>
            </w:r>
          </w:p>
        </w:tc>
        <w:tc>
          <w:tcPr>
            <w:tcW w:w="600" w:type="dxa"/>
            <w:tcBorders>
              <w:top w:val="nil"/>
              <w:left w:val="nil"/>
              <w:bottom w:val="nil"/>
              <w:right w:val="nil"/>
              <w:tl2br w:val="nil"/>
              <w:tr2bl w:val="nil"/>
            </w:tcBorders>
            <w:shd w:val="clear" w:color="FFFFFF" w:fill="FFFFFF"/>
            <w:noWrap/>
            <w:tcMar>
              <w:left w:w="101" w:type="dxa"/>
              <w:right w:w="101" w:type="dxa"/>
            </w:tcMar>
          </w:tcPr>
          <w:p w14:paraId="1B338D14"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135 </w:t>
            </w:r>
          </w:p>
        </w:tc>
        <w:tc>
          <w:tcPr>
            <w:tcW w:w="1035" w:type="dxa"/>
            <w:tcBorders>
              <w:top w:val="nil"/>
              <w:left w:val="nil"/>
              <w:bottom w:val="nil"/>
              <w:right w:val="nil"/>
              <w:tl2br w:val="nil"/>
              <w:tr2bl w:val="nil"/>
            </w:tcBorders>
            <w:shd w:val="clear" w:color="FFFFFF" w:fill="FFFFFF"/>
            <w:noWrap/>
            <w:tcMar>
              <w:left w:w="101" w:type="dxa"/>
              <w:right w:w="101" w:type="dxa"/>
            </w:tcMar>
          </w:tcPr>
          <w:p w14:paraId="23B7E839"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56 352</w:t>
            </w:r>
          </w:p>
        </w:tc>
        <w:tc>
          <w:tcPr>
            <w:tcW w:w="1035" w:type="dxa"/>
            <w:tcBorders>
              <w:top w:val="nil"/>
              <w:left w:val="nil"/>
              <w:bottom w:val="nil"/>
              <w:right w:val="nil"/>
              <w:tl2br w:val="nil"/>
              <w:tr2bl w:val="nil"/>
            </w:tcBorders>
            <w:shd w:val="clear" w:color="FFFFFF" w:fill="FFFFFF"/>
            <w:noWrap/>
            <w:tcMar>
              <w:left w:w="101" w:type="dxa"/>
              <w:right w:w="101" w:type="dxa"/>
            </w:tcMar>
          </w:tcPr>
          <w:p w14:paraId="61548FC6"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84 000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041C7A32"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92 000</w:t>
            </w:r>
          </w:p>
        </w:tc>
      </w:tr>
      <w:tr w:rsidR="003036F4" w14:paraId="03C12D80"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388DAC79" w14:textId="77777777" w:rsidR="003036F4" w:rsidRDefault="003036F4">
            <w:pPr>
              <w:pStyle w:val="Normal10"/>
              <w:rPr>
                <w:rFonts w:ascii="Calibri" w:eastAsia="Calibri" w:hAnsi="Calibri" w:cs="Calibri"/>
                <w:color w:val="000000"/>
                <w:sz w:val="18"/>
              </w:rPr>
            </w:pPr>
          </w:p>
        </w:tc>
        <w:tc>
          <w:tcPr>
            <w:tcW w:w="2929" w:type="dxa"/>
            <w:tcBorders>
              <w:top w:val="nil"/>
              <w:left w:val="nil"/>
              <w:bottom w:val="nil"/>
              <w:right w:val="nil"/>
              <w:tl2br w:val="nil"/>
              <w:tr2bl w:val="nil"/>
            </w:tcBorders>
            <w:shd w:val="clear" w:color="FFFFFF" w:fill="FFFFFF"/>
            <w:tcMar>
              <w:left w:w="0" w:type="dxa"/>
              <w:right w:w="0" w:type="dxa"/>
            </w:tcMar>
          </w:tcPr>
          <w:p w14:paraId="2E1E734D"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3A268A"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E5669C" w14:textId="77777777" w:rsidR="003036F4" w:rsidRDefault="003036F4">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19E266C" w14:textId="77777777" w:rsidR="003036F4" w:rsidRDefault="003036F4">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34B61A"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03AFE7B"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41720C" w14:textId="77777777" w:rsidR="003036F4" w:rsidRDefault="003036F4">
            <w:pPr>
              <w:pStyle w:val="Normal10"/>
              <w:rPr>
                <w:rFonts w:ascii="Calibri" w:eastAsia="Calibri" w:hAnsi="Calibri" w:cs="Calibri"/>
                <w:color w:val="000000"/>
                <w:sz w:val="18"/>
              </w:rPr>
            </w:pPr>
          </w:p>
        </w:tc>
      </w:tr>
      <w:tr w:rsidR="003036F4" w14:paraId="1D2AB356"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24FB33A2" w14:textId="77777777" w:rsidR="003036F4" w:rsidRDefault="003036F4">
            <w:pPr>
              <w:pStyle w:val="Normal10"/>
              <w:rPr>
                <w:rFonts w:ascii="Calibri" w:eastAsia="Calibri" w:hAnsi="Calibri" w:cs="Calibri"/>
                <w:color w:val="000000"/>
                <w:sz w:val="18"/>
              </w:rPr>
            </w:pPr>
          </w:p>
        </w:tc>
        <w:tc>
          <w:tcPr>
            <w:tcW w:w="2929" w:type="dxa"/>
            <w:tcBorders>
              <w:top w:val="nil"/>
              <w:left w:val="nil"/>
              <w:bottom w:val="nil"/>
              <w:right w:val="nil"/>
              <w:tl2br w:val="nil"/>
              <w:tr2bl w:val="nil"/>
            </w:tcBorders>
            <w:shd w:val="clear" w:color="auto" w:fill="auto"/>
            <w:tcMar>
              <w:left w:w="101" w:type="dxa"/>
              <w:right w:w="101" w:type="dxa"/>
            </w:tcMar>
          </w:tcPr>
          <w:p w14:paraId="53F8A72A" w14:textId="77777777" w:rsidR="003036F4" w:rsidRDefault="00900E2D">
            <w:pPr>
              <w:pStyle w:val="Normal10"/>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0531E3E2"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FFFE9C" w14:textId="77777777" w:rsidR="003036F4" w:rsidRDefault="003036F4">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8D798A4" w14:textId="77777777" w:rsidR="003036F4" w:rsidRDefault="003036F4">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07899E"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375B86"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BEF787" w14:textId="77777777" w:rsidR="003036F4" w:rsidRDefault="003036F4">
            <w:pPr>
              <w:pStyle w:val="Normal10"/>
              <w:rPr>
                <w:rFonts w:ascii="Calibri" w:eastAsia="Calibri" w:hAnsi="Calibri" w:cs="Calibri"/>
                <w:color w:val="000000"/>
                <w:sz w:val="18"/>
              </w:rPr>
            </w:pPr>
          </w:p>
        </w:tc>
      </w:tr>
      <w:tr w:rsidR="003036F4" w14:paraId="238AB4E6"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101" w:type="dxa"/>
              <w:right w:w="101" w:type="dxa"/>
            </w:tcMar>
          </w:tcPr>
          <w:p w14:paraId="0A2EB40D"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2929" w:type="dxa"/>
            <w:tcBorders>
              <w:top w:val="nil"/>
              <w:left w:val="nil"/>
              <w:bottom w:val="nil"/>
              <w:right w:val="nil"/>
              <w:tl2br w:val="nil"/>
              <w:tr2bl w:val="nil"/>
            </w:tcBorders>
            <w:shd w:val="clear" w:color="auto" w:fill="auto"/>
            <w:tcMar>
              <w:left w:w="101" w:type="dxa"/>
              <w:right w:w="101" w:type="dxa"/>
            </w:tcMar>
          </w:tcPr>
          <w:p w14:paraId="3CBE06FA" w14:textId="77777777" w:rsidR="003036F4" w:rsidRDefault="00900E2D">
            <w:pPr>
              <w:pStyle w:val="Normal10"/>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611E7DC2"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32 847</w:t>
            </w:r>
          </w:p>
        </w:tc>
        <w:tc>
          <w:tcPr>
            <w:tcW w:w="1035" w:type="dxa"/>
            <w:tcBorders>
              <w:top w:val="nil"/>
              <w:left w:val="nil"/>
              <w:bottom w:val="nil"/>
              <w:right w:val="nil"/>
              <w:tl2br w:val="nil"/>
              <w:tr2bl w:val="nil"/>
            </w:tcBorders>
            <w:shd w:val="clear" w:color="FFFFFF" w:fill="FFFFFF"/>
            <w:noWrap/>
            <w:tcMar>
              <w:left w:w="101" w:type="dxa"/>
              <w:right w:w="101" w:type="dxa"/>
            </w:tcMar>
          </w:tcPr>
          <w:p w14:paraId="69CB6C9E"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124 377</w:t>
            </w:r>
          </w:p>
        </w:tc>
        <w:tc>
          <w:tcPr>
            <w:tcW w:w="600" w:type="dxa"/>
            <w:tcBorders>
              <w:top w:val="nil"/>
              <w:left w:val="nil"/>
              <w:bottom w:val="nil"/>
              <w:right w:val="nil"/>
              <w:tl2br w:val="nil"/>
              <w:tr2bl w:val="nil"/>
            </w:tcBorders>
            <w:shd w:val="clear" w:color="FFFFFF" w:fill="FFFFFF"/>
            <w:noWrap/>
            <w:tcMar>
              <w:left w:w="101" w:type="dxa"/>
              <w:right w:w="101" w:type="dxa"/>
            </w:tcMar>
          </w:tcPr>
          <w:p w14:paraId="3C12CDE1"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 xml:space="preserve">279 </w:t>
            </w:r>
          </w:p>
        </w:tc>
        <w:tc>
          <w:tcPr>
            <w:tcW w:w="1035" w:type="dxa"/>
            <w:tcBorders>
              <w:top w:val="nil"/>
              <w:left w:val="nil"/>
              <w:bottom w:val="nil"/>
              <w:right w:val="nil"/>
              <w:tl2br w:val="nil"/>
              <w:tr2bl w:val="nil"/>
            </w:tcBorders>
            <w:shd w:val="clear" w:color="FFFFFF" w:fill="FFFFFF"/>
            <w:noWrap/>
            <w:tcMar>
              <w:left w:w="101" w:type="dxa"/>
              <w:right w:w="101" w:type="dxa"/>
            </w:tcMar>
          </w:tcPr>
          <w:p w14:paraId="3870FA78"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178 095</w:t>
            </w:r>
          </w:p>
        </w:tc>
        <w:tc>
          <w:tcPr>
            <w:tcW w:w="1035" w:type="dxa"/>
            <w:tcBorders>
              <w:top w:val="nil"/>
              <w:left w:val="nil"/>
              <w:bottom w:val="nil"/>
              <w:right w:val="nil"/>
              <w:tl2br w:val="nil"/>
              <w:tr2bl w:val="nil"/>
            </w:tcBorders>
            <w:shd w:val="clear" w:color="FFFFFF" w:fill="FFFFFF"/>
            <w:noWrap/>
            <w:tcMar>
              <w:left w:w="101" w:type="dxa"/>
              <w:right w:w="101" w:type="dxa"/>
            </w:tcMar>
          </w:tcPr>
          <w:p w14:paraId="61459D3E"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258 663</w:t>
            </w:r>
          </w:p>
        </w:tc>
        <w:tc>
          <w:tcPr>
            <w:tcW w:w="1035" w:type="dxa"/>
            <w:tcBorders>
              <w:top w:val="nil"/>
              <w:left w:val="nil"/>
              <w:bottom w:val="nil"/>
              <w:right w:val="nil"/>
              <w:tl2br w:val="nil"/>
              <w:tr2bl w:val="nil"/>
            </w:tcBorders>
            <w:shd w:val="clear" w:color="FFFFFF" w:fill="FFFFFF"/>
            <w:noWrap/>
            <w:tcMar>
              <w:left w:w="101" w:type="dxa"/>
              <w:right w:w="101" w:type="dxa"/>
            </w:tcMar>
          </w:tcPr>
          <w:p w14:paraId="46AE3096" w14:textId="77777777" w:rsidR="003036F4" w:rsidRDefault="00900E2D">
            <w:pPr>
              <w:pStyle w:val="Normal10"/>
              <w:jc w:val="right"/>
              <w:rPr>
                <w:rFonts w:ascii="Calibri" w:eastAsia="Calibri" w:hAnsi="Calibri" w:cs="Calibri"/>
                <w:color w:val="000000"/>
                <w:sz w:val="18"/>
              </w:rPr>
            </w:pPr>
            <w:r>
              <w:rPr>
                <w:rFonts w:ascii="Calibri" w:eastAsia="Calibri" w:hAnsi="Calibri" w:cs="Calibri"/>
                <w:color w:val="000000"/>
                <w:sz w:val="18"/>
              </w:rPr>
              <w:t>347 231</w:t>
            </w:r>
          </w:p>
        </w:tc>
      </w:tr>
      <w:tr w:rsidR="003036F4" w14:paraId="1D418A4A"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noWrap/>
            <w:tcMar>
              <w:left w:w="0" w:type="dxa"/>
              <w:right w:w="0" w:type="dxa"/>
            </w:tcMar>
          </w:tcPr>
          <w:p w14:paraId="1B4A9D32" w14:textId="77777777" w:rsidR="003036F4" w:rsidRDefault="003036F4">
            <w:pPr>
              <w:pStyle w:val="Normal10"/>
              <w:rPr>
                <w:rFonts w:ascii="Calibri" w:eastAsia="Calibri" w:hAnsi="Calibri" w:cs="Calibri"/>
                <w:color w:val="000000"/>
                <w:sz w:val="18"/>
              </w:rPr>
            </w:pPr>
          </w:p>
        </w:tc>
        <w:tc>
          <w:tcPr>
            <w:tcW w:w="2929" w:type="dxa"/>
            <w:tcBorders>
              <w:top w:val="nil"/>
              <w:left w:val="nil"/>
              <w:bottom w:val="nil"/>
              <w:right w:val="nil"/>
              <w:tl2br w:val="nil"/>
              <w:tr2bl w:val="nil"/>
            </w:tcBorders>
            <w:shd w:val="clear" w:color="FFFFFF" w:fill="FFFFFF"/>
            <w:tcMar>
              <w:left w:w="0" w:type="dxa"/>
              <w:right w:w="0" w:type="dxa"/>
            </w:tcMar>
          </w:tcPr>
          <w:p w14:paraId="187D3F23"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EBEF7E"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4F7D14" w14:textId="77777777" w:rsidR="003036F4" w:rsidRDefault="003036F4">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17E4CF7" w14:textId="77777777" w:rsidR="003036F4" w:rsidRDefault="003036F4">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5BA4BB"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CB5D4B" w14:textId="77777777" w:rsidR="003036F4" w:rsidRDefault="003036F4">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FC6EB66" w14:textId="77777777" w:rsidR="003036F4" w:rsidRDefault="003036F4">
            <w:pPr>
              <w:pStyle w:val="Normal10"/>
              <w:rPr>
                <w:rFonts w:ascii="Calibri" w:eastAsia="Calibri" w:hAnsi="Calibri" w:cs="Calibri"/>
                <w:color w:val="000000"/>
                <w:sz w:val="18"/>
              </w:rPr>
            </w:pPr>
          </w:p>
        </w:tc>
      </w:tr>
      <w:tr w:rsidR="003036F4" w14:paraId="085C3F2D"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51" w:type="dxa"/>
            <w:tcBorders>
              <w:top w:val="nil"/>
              <w:left w:val="nil"/>
              <w:bottom w:val="nil"/>
              <w:right w:val="nil"/>
              <w:tl2br w:val="nil"/>
              <w:tr2bl w:val="nil"/>
            </w:tcBorders>
            <w:shd w:val="clear" w:color="FFFFFF" w:fill="FFFFFF"/>
            <w:noWrap/>
            <w:tcMar>
              <w:left w:w="101" w:type="dxa"/>
              <w:right w:w="101" w:type="dxa"/>
            </w:tcMar>
          </w:tcPr>
          <w:p w14:paraId="7662F160"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2929" w:type="dxa"/>
            <w:tcBorders>
              <w:top w:val="nil"/>
              <w:left w:val="nil"/>
              <w:bottom w:val="nil"/>
              <w:right w:val="nil"/>
              <w:tl2br w:val="nil"/>
              <w:tr2bl w:val="nil"/>
            </w:tcBorders>
            <w:shd w:val="clear" w:color="FFFFFF" w:fill="FFFFFF"/>
            <w:tcMar>
              <w:left w:w="101" w:type="dxa"/>
              <w:right w:w="101" w:type="dxa"/>
            </w:tcMar>
          </w:tcPr>
          <w:p w14:paraId="4CD2EE6E" w14:textId="77777777" w:rsidR="003036F4" w:rsidRDefault="00900E2D" w:rsidP="00BC637C">
            <w:pPr>
              <w:pStyle w:val="Normal10"/>
              <w:ind w:left="189" w:hanging="189"/>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5311C3DB"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32 847</w:t>
            </w:r>
          </w:p>
        </w:tc>
        <w:tc>
          <w:tcPr>
            <w:tcW w:w="1035" w:type="dxa"/>
            <w:tcBorders>
              <w:top w:val="nil"/>
              <w:left w:val="nil"/>
              <w:bottom w:val="nil"/>
              <w:right w:val="nil"/>
              <w:tl2br w:val="nil"/>
              <w:tr2bl w:val="nil"/>
            </w:tcBorders>
            <w:shd w:val="clear" w:color="FFFFFF" w:fill="FFFFFF"/>
            <w:noWrap/>
            <w:tcMar>
              <w:left w:w="101" w:type="dxa"/>
              <w:right w:w="101" w:type="dxa"/>
            </w:tcMar>
          </w:tcPr>
          <w:p w14:paraId="6B9396DA"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124 377</w:t>
            </w:r>
          </w:p>
        </w:tc>
        <w:tc>
          <w:tcPr>
            <w:tcW w:w="600" w:type="dxa"/>
            <w:tcBorders>
              <w:top w:val="nil"/>
              <w:left w:val="nil"/>
              <w:bottom w:val="nil"/>
              <w:right w:val="nil"/>
              <w:tl2br w:val="nil"/>
              <w:tr2bl w:val="nil"/>
            </w:tcBorders>
            <w:shd w:val="clear" w:color="FFFFFF" w:fill="FFFFFF"/>
            <w:noWrap/>
            <w:tcMar>
              <w:left w:w="101" w:type="dxa"/>
              <w:right w:w="101" w:type="dxa"/>
            </w:tcMar>
          </w:tcPr>
          <w:p w14:paraId="180F116C"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279</w:t>
            </w:r>
          </w:p>
        </w:tc>
        <w:tc>
          <w:tcPr>
            <w:tcW w:w="1035" w:type="dxa"/>
            <w:tcBorders>
              <w:top w:val="nil"/>
              <w:left w:val="nil"/>
              <w:bottom w:val="nil"/>
              <w:right w:val="nil"/>
              <w:tl2br w:val="nil"/>
              <w:tr2bl w:val="nil"/>
            </w:tcBorders>
            <w:shd w:val="clear" w:color="FFFFFF" w:fill="FFFFFF"/>
            <w:noWrap/>
            <w:tcMar>
              <w:left w:w="101" w:type="dxa"/>
              <w:right w:w="101" w:type="dxa"/>
            </w:tcMar>
          </w:tcPr>
          <w:p w14:paraId="151C2930"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178 095</w:t>
            </w:r>
          </w:p>
        </w:tc>
        <w:tc>
          <w:tcPr>
            <w:tcW w:w="1035" w:type="dxa"/>
            <w:tcBorders>
              <w:top w:val="nil"/>
              <w:left w:val="nil"/>
              <w:bottom w:val="nil"/>
              <w:right w:val="nil"/>
              <w:tl2br w:val="nil"/>
              <w:tr2bl w:val="nil"/>
            </w:tcBorders>
            <w:shd w:val="clear" w:color="FFFFFF" w:fill="FFFFFF"/>
            <w:noWrap/>
            <w:tcMar>
              <w:left w:w="101" w:type="dxa"/>
              <w:right w:w="101" w:type="dxa"/>
            </w:tcMar>
          </w:tcPr>
          <w:p w14:paraId="7464DED1"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258 663</w:t>
            </w:r>
          </w:p>
        </w:tc>
        <w:tc>
          <w:tcPr>
            <w:tcW w:w="1035" w:type="dxa"/>
            <w:tcBorders>
              <w:top w:val="nil"/>
              <w:left w:val="nil"/>
              <w:bottom w:val="nil"/>
              <w:right w:val="nil"/>
              <w:tl2br w:val="nil"/>
              <w:tr2bl w:val="nil"/>
            </w:tcBorders>
            <w:shd w:val="clear" w:color="FFFFFF" w:fill="FFFFFF"/>
            <w:noWrap/>
            <w:tcMar>
              <w:left w:w="101" w:type="dxa"/>
              <w:right w:w="101" w:type="dxa"/>
            </w:tcMar>
          </w:tcPr>
          <w:p w14:paraId="5CC4E399" w14:textId="77777777" w:rsidR="003036F4" w:rsidRDefault="00900E2D">
            <w:pPr>
              <w:pStyle w:val="Normal10"/>
              <w:jc w:val="right"/>
              <w:rPr>
                <w:rFonts w:ascii="Calibri" w:eastAsia="Calibri" w:hAnsi="Calibri" w:cs="Calibri"/>
                <w:b/>
                <w:color w:val="000000"/>
                <w:sz w:val="18"/>
              </w:rPr>
            </w:pPr>
            <w:r>
              <w:rPr>
                <w:rFonts w:ascii="Calibri" w:eastAsia="Calibri" w:hAnsi="Calibri" w:cs="Calibri"/>
                <w:b/>
                <w:color w:val="000000"/>
                <w:sz w:val="18"/>
              </w:rPr>
              <w:t>347 231</w:t>
            </w:r>
          </w:p>
        </w:tc>
      </w:tr>
      <w:tr w:rsidR="003036F4" w14:paraId="11D81276"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single" w:sz="8" w:space="0" w:color="000000"/>
              <w:right w:val="nil"/>
              <w:tl2br w:val="nil"/>
              <w:tr2bl w:val="nil"/>
            </w:tcBorders>
            <w:shd w:val="clear" w:color="FFFFFF" w:fill="FFFFFF"/>
            <w:tcMar>
              <w:left w:w="0" w:type="dxa"/>
              <w:right w:w="0" w:type="dxa"/>
            </w:tcMar>
          </w:tcPr>
          <w:p w14:paraId="55F0459D" w14:textId="77777777" w:rsidR="003036F4" w:rsidRDefault="003036F4">
            <w:pPr>
              <w:pStyle w:val="Normal10"/>
              <w:rPr>
                <w:rFonts w:ascii="Calibri" w:eastAsia="Calibri" w:hAnsi="Calibri" w:cs="Calibri"/>
                <w:color w:val="000000"/>
                <w:sz w:val="18"/>
              </w:rPr>
            </w:pPr>
          </w:p>
        </w:tc>
        <w:tc>
          <w:tcPr>
            <w:tcW w:w="2929" w:type="dxa"/>
            <w:tcBorders>
              <w:top w:val="nil"/>
              <w:left w:val="nil"/>
              <w:bottom w:val="single" w:sz="8" w:space="0" w:color="000000"/>
              <w:right w:val="nil"/>
              <w:tl2br w:val="nil"/>
              <w:tr2bl w:val="nil"/>
            </w:tcBorders>
            <w:shd w:val="clear" w:color="FFFFFF" w:fill="FFFFFF"/>
            <w:tcMar>
              <w:left w:w="0" w:type="dxa"/>
              <w:right w:w="0" w:type="dxa"/>
            </w:tcMar>
          </w:tcPr>
          <w:p w14:paraId="7DAB6E93" w14:textId="77777777" w:rsidR="003036F4" w:rsidRDefault="003036F4">
            <w:pPr>
              <w:pStyle w:val="Normal1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34BDF5BD" w14:textId="77777777" w:rsidR="003036F4" w:rsidRDefault="003036F4">
            <w:pPr>
              <w:pStyle w:val="Normal1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768922B5" w14:textId="77777777" w:rsidR="003036F4" w:rsidRDefault="003036F4">
            <w:pPr>
              <w:pStyle w:val="Normal10"/>
              <w:rPr>
                <w:rFonts w:ascii="Calibri" w:eastAsia="Calibri" w:hAnsi="Calibri" w:cs="Calibri"/>
                <w:color w:val="000000"/>
                <w:sz w:val="18"/>
              </w:rPr>
            </w:pPr>
          </w:p>
        </w:tc>
        <w:tc>
          <w:tcPr>
            <w:tcW w:w="600" w:type="dxa"/>
            <w:tcBorders>
              <w:top w:val="nil"/>
              <w:left w:val="nil"/>
              <w:bottom w:val="single" w:sz="8" w:space="0" w:color="000000"/>
              <w:right w:val="nil"/>
              <w:tl2br w:val="nil"/>
              <w:tr2bl w:val="nil"/>
            </w:tcBorders>
            <w:shd w:val="clear" w:color="FFFFFF" w:fill="FFFFFF"/>
            <w:tcMar>
              <w:left w:w="0" w:type="dxa"/>
              <w:right w:w="0" w:type="dxa"/>
            </w:tcMar>
          </w:tcPr>
          <w:p w14:paraId="06056BCC" w14:textId="77777777" w:rsidR="003036F4" w:rsidRDefault="003036F4">
            <w:pPr>
              <w:pStyle w:val="Normal1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19053645" w14:textId="77777777" w:rsidR="003036F4" w:rsidRDefault="003036F4">
            <w:pPr>
              <w:pStyle w:val="Normal1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77FFC1A4" w14:textId="77777777" w:rsidR="003036F4" w:rsidRDefault="003036F4">
            <w:pPr>
              <w:pStyle w:val="Normal10"/>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29B4A2D8" w14:textId="77777777" w:rsidR="003036F4" w:rsidRDefault="003036F4">
            <w:pPr>
              <w:pStyle w:val="Normal10"/>
              <w:rPr>
                <w:rFonts w:ascii="Calibri" w:eastAsia="Calibri" w:hAnsi="Calibri" w:cs="Calibri"/>
                <w:color w:val="000000"/>
                <w:sz w:val="18"/>
              </w:rPr>
            </w:pPr>
          </w:p>
        </w:tc>
      </w:tr>
    </w:tbl>
    <w:p w14:paraId="2948F21D" w14:textId="77777777" w:rsidR="006E72F1" w:rsidRDefault="00900E2D" w:rsidP="006E72F1">
      <w:pPr>
        <w:pStyle w:val="Caption"/>
        <w:pageBreakBefore/>
        <w:pBdr>
          <w:top w:val="nil"/>
          <w:left w:val="nil"/>
          <w:bottom w:val="nil"/>
          <w:right w:val="nil"/>
          <w:between w:val="nil"/>
          <w:bar w:val="nil"/>
        </w:pBdr>
        <w:outlineLvl w:val="0"/>
        <w:rPr>
          <w:bdr w:val="nil"/>
        </w:rPr>
      </w:pPr>
      <w:r>
        <w:rPr>
          <w:bdr w:val="nil"/>
        </w:rPr>
        <w:lastRenderedPageBreak/>
        <w:t xml:space="preserve">Table 10: Major Projects Canberra: Cash Flow Statement </w:t>
      </w:r>
    </w:p>
    <w:tbl>
      <w:tblPr>
        <w:tblStyle w:val="CDMRange23"/>
        <w:tblW w:w="9195" w:type="dxa"/>
        <w:tblLayout w:type="fixed"/>
        <w:tblLook w:val="0600" w:firstRow="0" w:lastRow="0" w:firstColumn="0" w:lastColumn="0" w:noHBand="1" w:noVBand="1"/>
      </w:tblPr>
      <w:tblGrid>
        <w:gridCol w:w="851"/>
        <w:gridCol w:w="2569"/>
        <w:gridCol w:w="1035"/>
        <w:gridCol w:w="1035"/>
        <w:gridCol w:w="600"/>
        <w:gridCol w:w="1035"/>
        <w:gridCol w:w="1035"/>
        <w:gridCol w:w="1035"/>
      </w:tblGrid>
      <w:tr w:rsidR="003036F4" w14:paraId="1F7D00E0" w14:textId="77777777" w:rsidTr="00BC637C">
        <w:trPr>
          <w:trHeight w:val="960"/>
        </w:trPr>
        <w:tc>
          <w:tcPr>
            <w:tcW w:w="851"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E7D13AE" w14:textId="29CAE7D8" w:rsidR="003036F4" w:rsidRDefault="00332931">
            <w:pPr>
              <w:pStyle w:val="Normal11"/>
              <w:jc w:val="right"/>
              <w:rPr>
                <w:rFonts w:ascii="Calibri" w:eastAsia="Calibri" w:hAnsi="Calibri" w:cs="Calibri"/>
                <w:b/>
                <w:color w:val="000000"/>
                <w:sz w:val="18"/>
              </w:rPr>
            </w:pPr>
            <w:r>
              <w:rPr>
                <w:rFonts w:ascii="Calibri" w:eastAsia="Calibri" w:hAnsi="Calibri" w:cs="Calibri"/>
                <w:b/>
                <w:color w:val="000000"/>
                <w:sz w:val="18"/>
              </w:rPr>
              <w:t>2019–20</w:t>
            </w:r>
            <w:r w:rsidR="00900E2D">
              <w:rPr>
                <w:rFonts w:ascii="Calibri" w:eastAsia="Calibri" w:hAnsi="Calibri" w:cs="Calibri"/>
                <w:b/>
                <w:color w:val="000000"/>
                <w:sz w:val="18"/>
              </w:rPr>
              <w:t xml:space="preserve"> Budget            </w:t>
            </w:r>
          </w:p>
          <w:p w14:paraId="4F68EF8C" w14:textId="77777777" w:rsidR="003036F4" w:rsidRDefault="003036F4">
            <w:pPr>
              <w:pStyle w:val="Normal11"/>
              <w:jc w:val="right"/>
              <w:rPr>
                <w:rFonts w:ascii="Calibri" w:eastAsia="Calibri" w:hAnsi="Calibri" w:cs="Calibri"/>
                <w:b/>
                <w:color w:val="000000"/>
                <w:sz w:val="18"/>
              </w:rPr>
            </w:pPr>
          </w:p>
          <w:p w14:paraId="07BAB916"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569" w:type="dxa"/>
            <w:tcBorders>
              <w:top w:val="single" w:sz="8" w:space="0" w:color="000000"/>
              <w:left w:val="nil"/>
              <w:bottom w:val="single" w:sz="8" w:space="0" w:color="000000"/>
              <w:right w:val="nil"/>
              <w:tl2br w:val="nil"/>
              <w:tr2bl w:val="nil"/>
            </w:tcBorders>
            <w:shd w:val="clear" w:color="FFFFFF" w:fill="FFFFFF"/>
            <w:tcMar>
              <w:left w:w="0" w:type="dxa"/>
              <w:right w:w="0" w:type="dxa"/>
            </w:tcMar>
          </w:tcPr>
          <w:p w14:paraId="215B31B3" w14:textId="77777777" w:rsidR="003036F4" w:rsidRDefault="003036F4">
            <w:pPr>
              <w:pStyle w:val="Normal11"/>
              <w:rPr>
                <w:rFonts w:ascii="Calibri" w:eastAsia="Calibri" w:hAnsi="Calibri" w:cs="Calibri"/>
                <w:b/>
                <w:color w:val="000000"/>
                <w:sz w:val="18"/>
              </w:rPr>
            </w:pP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428E560D" w14:textId="682D15E5" w:rsidR="003036F4" w:rsidRDefault="00332931">
            <w:pPr>
              <w:pStyle w:val="Normal11"/>
              <w:jc w:val="right"/>
              <w:rPr>
                <w:rFonts w:ascii="Calibri" w:eastAsia="Calibri" w:hAnsi="Calibri" w:cs="Calibri"/>
                <w:b/>
                <w:color w:val="000000"/>
                <w:sz w:val="18"/>
              </w:rPr>
            </w:pPr>
            <w:r>
              <w:rPr>
                <w:rFonts w:ascii="Calibri" w:eastAsia="Calibri" w:hAnsi="Calibri" w:cs="Calibri"/>
                <w:b/>
                <w:color w:val="000000"/>
                <w:sz w:val="18"/>
              </w:rPr>
              <w:t>2019–20</w:t>
            </w:r>
            <w:r w:rsidR="00900E2D">
              <w:rPr>
                <w:rFonts w:ascii="Calibri" w:eastAsia="Calibri" w:hAnsi="Calibri" w:cs="Calibri"/>
                <w:b/>
                <w:color w:val="000000"/>
                <w:sz w:val="18"/>
              </w:rPr>
              <w:t xml:space="preserve"> Audited Outcome $'000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9880923" w14:textId="24ADD686" w:rsidR="003036F4" w:rsidRDefault="00332931">
            <w:pPr>
              <w:pStyle w:val="Normal11"/>
              <w:jc w:val="right"/>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Budget            </w:t>
            </w:r>
          </w:p>
          <w:p w14:paraId="22D36A72" w14:textId="77777777" w:rsidR="003036F4" w:rsidRDefault="003036F4">
            <w:pPr>
              <w:pStyle w:val="Normal11"/>
              <w:jc w:val="right"/>
              <w:rPr>
                <w:rFonts w:ascii="Calibri" w:eastAsia="Calibri" w:hAnsi="Calibri" w:cs="Calibri"/>
                <w:b/>
                <w:color w:val="000000"/>
                <w:sz w:val="18"/>
              </w:rPr>
            </w:pPr>
          </w:p>
          <w:p w14:paraId="23A74C04"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41BFC8F"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Var </w:t>
            </w:r>
          </w:p>
          <w:p w14:paraId="20B4E240"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56588518"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1CF6CD60" w14:textId="77777777" w:rsidR="003036F4" w:rsidRDefault="003036F4">
            <w:pPr>
              <w:pStyle w:val="Normal11"/>
              <w:jc w:val="right"/>
              <w:rPr>
                <w:rFonts w:ascii="Calibri" w:eastAsia="Calibri" w:hAnsi="Calibri" w:cs="Calibri"/>
                <w:b/>
                <w:color w:val="000000"/>
                <w:sz w:val="18"/>
              </w:rPr>
            </w:pPr>
          </w:p>
          <w:p w14:paraId="4331A5AE"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2ADDAD4"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42B0CFF5" w14:textId="77777777" w:rsidR="003036F4" w:rsidRDefault="003036F4">
            <w:pPr>
              <w:pStyle w:val="Normal11"/>
              <w:jc w:val="right"/>
              <w:rPr>
                <w:rFonts w:ascii="Calibri" w:eastAsia="Calibri" w:hAnsi="Calibri" w:cs="Calibri"/>
                <w:b/>
                <w:color w:val="000000"/>
                <w:sz w:val="18"/>
              </w:rPr>
            </w:pPr>
          </w:p>
          <w:p w14:paraId="1426B4C9"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2BF24123"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07B9A573" w14:textId="77777777" w:rsidR="003036F4" w:rsidRDefault="003036F4">
            <w:pPr>
              <w:pStyle w:val="Normal11"/>
              <w:jc w:val="right"/>
              <w:rPr>
                <w:rFonts w:ascii="Calibri" w:eastAsia="Calibri" w:hAnsi="Calibri" w:cs="Calibri"/>
                <w:b/>
                <w:color w:val="000000"/>
                <w:sz w:val="18"/>
              </w:rPr>
            </w:pPr>
          </w:p>
          <w:p w14:paraId="780CD60F"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3036F4" w14:paraId="511FCB76"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851" w:type="dxa"/>
            <w:tcBorders>
              <w:top w:val="single" w:sz="8" w:space="0" w:color="000000"/>
              <w:left w:val="nil"/>
              <w:bottom w:val="nil"/>
              <w:right w:val="nil"/>
              <w:tl2br w:val="nil"/>
              <w:tr2bl w:val="nil"/>
            </w:tcBorders>
            <w:shd w:val="clear" w:color="FFFFFF" w:fill="FFFFFF"/>
            <w:tcMar>
              <w:left w:w="0" w:type="dxa"/>
              <w:right w:w="0" w:type="dxa"/>
            </w:tcMar>
          </w:tcPr>
          <w:p w14:paraId="19975BEE" w14:textId="77777777" w:rsidR="003036F4" w:rsidRDefault="003036F4">
            <w:pPr>
              <w:pStyle w:val="Normal11"/>
              <w:jc w:val="right"/>
              <w:rPr>
                <w:rFonts w:ascii="Calibri" w:eastAsia="Calibri" w:hAnsi="Calibri" w:cs="Calibri"/>
                <w:b/>
                <w:i/>
                <w:color w:val="000000"/>
                <w:sz w:val="18"/>
              </w:rPr>
            </w:pPr>
          </w:p>
        </w:tc>
        <w:tc>
          <w:tcPr>
            <w:tcW w:w="2569" w:type="dxa"/>
            <w:tcBorders>
              <w:top w:val="single" w:sz="8" w:space="0" w:color="000000"/>
              <w:left w:val="nil"/>
              <w:bottom w:val="nil"/>
              <w:right w:val="nil"/>
              <w:tl2br w:val="nil"/>
              <w:tr2bl w:val="nil"/>
            </w:tcBorders>
            <w:shd w:val="clear" w:color="FFFFFF" w:fill="FFFFFF"/>
            <w:tcMar>
              <w:left w:w="0" w:type="dxa"/>
              <w:right w:w="0" w:type="dxa"/>
            </w:tcMar>
          </w:tcPr>
          <w:p w14:paraId="5EAE8909" w14:textId="77777777" w:rsidR="003036F4" w:rsidRDefault="003036F4">
            <w:pPr>
              <w:pStyle w:val="Normal11"/>
              <w:rPr>
                <w:rFonts w:ascii="Calibri" w:eastAsia="Calibri" w:hAnsi="Calibri" w:cs="Calibri"/>
                <w:b/>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68CBF45C" w14:textId="77777777" w:rsidR="003036F4" w:rsidRDefault="003036F4">
            <w:pPr>
              <w:pStyle w:val="Normal11"/>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736A624F" w14:textId="77777777" w:rsidR="003036F4" w:rsidRDefault="003036F4">
            <w:pPr>
              <w:pStyle w:val="Normal11"/>
              <w:jc w:val="right"/>
              <w:rPr>
                <w:rFonts w:ascii="Calibri" w:eastAsia="Calibri" w:hAnsi="Calibri" w:cs="Calibri"/>
                <w:b/>
                <w:i/>
                <w:color w:val="000000"/>
                <w:sz w:val="18"/>
              </w:rPr>
            </w:pPr>
          </w:p>
        </w:tc>
        <w:tc>
          <w:tcPr>
            <w:tcW w:w="600" w:type="dxa"/>
            <w:tcBorders>
              <w:top w:val="single" w:sz="8" w:space="0" w:color="000000"/>
              <w:left w:val="nil"/>
              <w:bottom w:val="nil"/>
              <w:right w:val="nil"/>
              <w:tl2br w:val="nil"/>
              <w:tr2bl w:val="nil"/>
            </w:tcBorders>
            <w:shd w:val="clear" w:color="FFFFFF" w:fill="FFFFFF"/>
            <w:tcMar>
              <w:left w:w="0" w:type="dxa"/>
              <w:right w:w="0" w:type="dxa"/>
            </w:tcMar>
          </w:tcPr>
          <w:p w14:paraId="534A5853" w14:textId="77777777" w:rsidR="003036F4" w:rsidRDefault="003036F4">
            <w:pPr>
              <w:pStyle w:val="Normal11"/>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662B4A15" w14:textId="77777777" w:rsidR="003036F4" w:rsidRDefault="003036F4">
            <w:pPr>
              <w:pStyle w:val="Normal11"/>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25C5F0FB" w14:textId="77777777" w:rsidR="003036F4" w:rsidRDefault="003036F4">
            <w:pPr>
              <w:pStyle w:val="Normal11"/>
              <w:jc w:val="right"/>
              <w:rPr>
                <w:rFonts w:ascii="Calibri" w:eastAsia="Calibri" w:hAnsi="Calibri" w:cs="Calibri"/>
                <w:b/>
                <w: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35BA8F7F" w14:textId="77777777" w:rsidR="003036F4" w:rsidRDefault="003036F4">
            <w:pPr>
              <w:pStyle w:val="Normal11"/>
              <w:jc w:val="right"/>
              <w:rPr>
                <w:rFonts w:ascii="Calibri" w:eastAsia="Calibri" w:hAnsi="Calibri" w:cs="Calibri"/>
                <w:b/>
                <w:i/>
                <w:color w:val="000000"/>
                <w:sz w:val="18"/>
              </w:rPr>
            </w:pPr>
          </w:p>
        </w:tc>
      </w:tr>
      <w:tr w:rsidR="003036F4" w14:paraId="6961EABB"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auto" w:fill="auto"/>
            <w:noWrap/>
            <w:tcMar>
              <w:left w:w="0" w:type="dxa"/>
              <w:right w:w="0" w:type="dxa"/>
            </w:tcMar>
          </w:tcPr>
          <w:p w14:paraId="4BCD3CEB" w14:textId="77777777" w:rsidR="003036F4" w:rsidRDefault="003036F4">
            <w:pPr>
              <w:pStyle w:val="Normal11"/>
              <w:rPr>
                <w:rFonts w:ascii="Calibri" w:eastAsia="Calibri" w:hAnsi="Calibri" w:cs="Calibri"/>
                <w:color w:val="000000"/>
                <w:sz w:val="18"/>
              </w:rPr>
            </w:pPr>
          </w:p>
        </w:tc>
        <w:tc>
          <w:tcPr>
            <w:tcW w:w="8344" w:type="dxa"/>
            <w:gridSpan w:val="7"/>
            <w:tcBorders>
              <w:top w:val="nil"/>
              <w:left w:val="nil"/>
              <w:bottom w:val="nil"/>
              <w:right w:val="nil"/>
              <w:tl2br w:val="nil"/>
              <w:tr2bl w:val="nil"/>
            </w:tcBorders>
            <w:shd w:val="clear" w:color="auto" w:fill="auto"/>
            <w:tcMar>
              <w:left w:w="101" w:type="dxa"/>
              <w:right w:w="101" w:type="dxa"/>
            </w:tcMar>
            <w:vAlign w:val="bottom"/>
          </w:tcPr>
          <w:p w14:paraId="1BA6CF0D" w14:textId="77777777" w:rsidR="003036F4" w:rsidRDefault="00900E2D">
            <w:pPr>
              <w:pStyle w:val="Normal11"/>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3036F4" w14:paraId="144D31DA"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6C76ECEF" w14:textId="77777777" w:rsidR="003036F4" w:rsidRDefault="003036F4">
            <w:pPr>
              <w:pStyle w:val="Normal11"/>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101" w:type="dxa"/>
              <w:right w:w="101" w:type="dxa"/>
            </w:tcMar>
          </w:tcPr>
          <w:p w14:paraId="296C8755" w14:textId="77777777" w:rsidR="003036F4" w:rsidRDefault="00900E2D">
            <w:pPr>
              <w:pStyle w:val="Normal11"/>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4390A11E"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81E28D" w14:textId="77777777" w:rsidR="003036F4" w:rsidRDefault="003036F4">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7DD0F37"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9DA292"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72A2F8"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E2B52D" w14:textId="77777777" w:rsidR="003036F4" w:rsidRDefault="003036F4">
            <w:pPr>
              <w:pStyle w:val="Normal11"/>
              <w:rPr>
                <w:rFonts w:ascii="Calibri" w:eastAsia="Calibri" w:hAnsi="Calibri" w:cs="Calibri"/>
                <w:color w:val="000000"/>
                <w:sz w:val="18"/>
              </w:rPr>
            </w:pPr>
          </w:p>
        </w:tc>
      </w:tr>
      <w:tr w:rsidR="003036F4" w14:paraId="63959B4B"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07E3C01"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auto" w:fill="auto"/>
            <w:noWrap/>
            <w:tcMar>
              <w:left w:w="101" w:type="dxa"/>
              <w:right w:w="101" w:type="dxa"/>
            </w:tcMar>
          </w:tcPr>
          <w:p w14:paraId="35D0E677" w14:textId="77777777" w:rsidR="003036F4" w:rsidRDefault="00900E2D" w:rsidP="00852076">
            <w:pPr>
              <w:pStyle w:val="Normal11"/>
              <w:ind w:left="136" w:hanging="136"/>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2A263B46"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11 200</w:t>
            </w:r>
          </w:p>
        </w:tc>
        <w:tc>
          <w:tcPr>
            <w:tcW w:w="1035" w:type="dxa"/>
            <w:tcBorders>
              <w:top w:val="nil"/>
              <w:left w:val="nil"/>
              <w:bottom w:val="nil"/>
              <w:right w:val="nil"/>
              <w:tl2br w:val="nil"/>
              <w:tr2bl w:val="nil"/>
            </w:tcBorders>
            <w:shd w:val="clear" w:color="FFFFFF" w:fill="FFFFFF"/>
            <w:tcMar>
              <w:left w:w="101" w:type="dxa"/>
              <w:right w:w="101" w:type="dxa"/>
            </w:tcMar>
          </w:tcPr>
          <w:p w14:paraId="17BCB051"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7 650</w:t>
            </w:r>
          </w:p>
        </w:tc>
        <w:tc>
          <w:tcPr>
            <w:tcW w:w="600" w:type="dxa"/>
            <w:tcBorders>
              <w:top w:val="nil"/>
              <w:left w:val="nil"/>
              <w:bottom w:val="nil"/>
              <w:right w:val="nil"/>
              <w:tl2br w:val="nil"/>
              <w:tr2bl w:val="nil"/>
            </w:tcBorders>
            <w:shd w:val="clear" w:color="FFFFFF" w:fill="FFFFFF"/>
            <w:tcMar>
              <w:left w:w="101" w:type="dxa"/>
              <w:right w:w="101" w:type="dxa"/>
            </w:tcMar>
          </w:tcPr>
          <w:p w14:paraId="3CC4DCA2"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 xml:space="preserve">-32 </w:t>
            </w:r>
          </w:p>
        </w:tc>
        <w:tc>
          <w:tcPr>
            <w:tcW w:w="1035" w:type="dxa"/>
            <w:tcBorders>
              <w:top w:val="nil"/>
              <w:left w:val="nil"/>
              <w:bottom w:val="nil"/>
              <w:right w:val="nil"/>
              <w:tl2br w:val="nil"/>
              <w:tr2bl w:val="nil"/>
            </w:tcBorders>
            <w:shd w:val="clear" w:color="FFFFFF" w:fill="FFFFFF"/>
            <w:tcMar>
              <w:left w:w="101" w:type="dxa"/>
              <w:right w:w="101" w:type="dxa"/>
            </w:tcMar>
          </w:tcPr>
          <w:p w14:paraId="6750F815"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1 000</w:t>
            </w:r>
          </w:p>
        </w:tc>
        <w:tc>
          <w:tcPr>
            <w:tcW w:w="1035" w:type="dxa"/>
            <w:tcBorders>
              <w:top w:val="nil"/>
              <w:left w:val="nil"/>
              <w:bottom w:val="nil"/>
              <w:right w:val="nil"/>
              <w:tl2br w:val="nil"/>
              <w:tr2bl w:val="nil"/>
            </w:tcBorders>
            <w:shd w:val="clear" w:color="FFFFFF" w:fill="FFFFFF"/>
            <w:tcMar>
              <w:left w:w="101" w:type="dxa"/>
              <w:right w:w="101" w:type="dxa"/>
            </w:tcMar>
          </w:tcPr>
          <w:p w14:paraId="284A378A"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1 120</w:t>
            </w:r>
          </w:p>
        </w:tc>
        <w:tc>
          <w:tcPr>
            <w:tcW w:w="1035" w:type="dxa"/>
            <w:tcBorders>
              <w:top w:val="nil"/>
              <w:left w:val="nil"/>
              <w:bottom w:val="nil"/>
              <w:right w:val="nil"/>
              <w:tl2br w:val="nil"/>
              <w:tr2bl w:val="nil"/>
            </w:tcBorders>
            <w:shd w:val="clear" w:color="FFFFFF" w:fill="FFFFFF"/>
            <w:tcMar>
              <w:left w:w="101" w:type="dxa"/>
              <w:right w:w="101" w:type="dxa"/>
            </w:tcMar>
          </w:tcPr>
          <w:p w14:paraId="424170EA"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1 240</w:t>
            </w:r>
          </w:p>
        </w:tc>
      </w:tr>
      <w:tr w:rsidR="003036F4" w14:paraId="0F6A53A5"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D7387B9"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auto" w:fill="auto"/>
            <w:noWrap/>
            <w:tcMar>
              <w:left w:w="101" w:type="dxa"/>
              <w:right w:w="101" w:type="dxa"/>
            </w:tcMar>
          </w:tcPr>
          <w:p w14:paraId="542AD199" w14:textId="77777777" w:rsidR="003036F4" w:rsidRDefault="00900E2D" w:rsidP="00852076">
            <w:pPr>
              <w:pStyle w:val="Normal11"/>
              <w:ind w:left="136" w:hanging="136"/>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09B7AB22"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19 131</w:t>
            </w:r>
          </w:p>
        </w:tc>
        <w:tc>
          <w:tcPr>
            <w:tcW w:w="1035" w:type="dxa"/>
            <w:tcBorders>
              <w:top w:val="nil"/>
              <w:left w:val="nil"/>
              <w:bottom w:val="nil"/>
              <w:right w:val="nil"/>
              <w:tl2br w:val="nil"/>
              <w:tr2bl w:val="nil"/>
            </w:tcBorders>
            <w:shd w:val="clear" w:color="FFFFFF" w:fill="FFFFFF"/>
            <w:tcMar>
              <w:left w:w="101" w:type="dxa"/>
              <w:right w:w="101" w:type="dxa"/>
            </w:tcMar>
          </w:tcPr>
          <w:p w14:paraId="662CF4F1"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19 904</w:t>
            </w:r>
          </w:p>
        </w:tc>
        <w:tc>
          <w:tcPr>
            <w:tcW w:w="600" w:type="dxa"/>
            <w:tcBorders>
              <w:top w:val="nil"/>
              <w:left w:val="nil"/>
              <w:bottom w:val="nil"/>
              <w:right w:val="nil"/>
              <w:tl2br w:val="nil"/>
              <w:tr2bl w:val="nil"/>
            </w:tcBorders>
            <w:shd w:val="clear" w:color="FFFFFF" w:fill="FFFFFF"/>
            <w:tcMar>
              <w:left w:w="101" w:type="dxa"/>
              <w:right w:w="101" w:type="dxa"/>
            </w:tcMar>
          </w:tcPr>
          <w:p w14:paraId="65BDA73A"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37C54891"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22 321</w:t>
            </w:r>
          </w:p>
        </w:tc>
        <w:tc>
          <w:tcPr>
            <w:tcW w:w="1035" w:type="dxa"/>
            <w:tcBorders>
              <w:top w:val="nil"/>
              <w:left w:val="nil"/>
              <w:bottom w:val="nil"/>
              <w:right w:val="nil"/>
              <w:tl2br w:val="nil"/>
              <w:tr2bl w:val="nil"/>
            </w:tcBorders>
            <w:shd w:val="clear" w:color="FFFFFF" w:fill="FFFFFF"/>
            <w:tcMar>
              <w:left w:w="101" w:type="dxa"/>
              <w:right w:w="101" w:type="dxa"/>
            </w:tcMar>
          </w:tcPr>
          <w:p w14:paraId="267DBD1E"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22 581</w:t>
            </w:r>
          </w:p>
        </w:tc>
        <w:tc>
          <w:tcPr>
            <w:tcW w:w="1035" w:type="dxa"/>
            <w:tcBorders>
              <w:top w:val="nil"/>
              <w:left w:val="nil"/>
              <w:bottom w:val="nil"/>
              <w:right w:val="nil"/>
              <w:tl2br w:val="nil"/>
              <w:tr2bl w:val="nil"/>
            </w:tcBorders>
            <w:shd w:val="clear" w:color="FFFFFF" w:fill="FFFFFF"/>
            <w:tcMar>
              <w:left w:w="101" w:type="dxa"/>
              <w:right w:w="101" w:type="dxa"/>
            </w:tcMar>
          </w:tcPr>
          <w:p w14:paraId="40CCE497"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22 859</w:t>
            </w:r>
          </w:p>
        </w:tc>
      </w:tr>
      <w:tr w:rsidR="003036F4" w14:paraId="16A5E920"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D178BCC"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auto" w:fill="auto"/>
            <w:noWrap/>
            <w:tcMar>
              <w:left w:w="101" w:type="dxa"/>
              <w:right w:w="101" w:type="dxa"/>
            </w:tcMar>
          </w:tcPr>
          <w:p w14:paraId="0B5B0D6B" w14:textId="77777777" w:rsidR="003036F4" w:rsidRDefault="00900E2D">
            <w:pPr>
              <w:pStyle w:val="Normal11"/>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3F1E8289"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106 081</w:t>
            </w:r>
          </w:p>
        </w:tc>
        <w:tc>
          <w:tcPr>
            <w:tcW w:w="1035" w:type="dxa"/>
            <w:tcBorders>
              <w:top w:val="nil"/>
              <w:left w:val="nil"/>
              <w:bottom w:val="nil"/>
              <w:right w:val="nil"/>
              <w:tl2br w:val="nil"/>
              <w:tr2bl w:val="nil"/>
            </w:tcBorders>
            <w:shd w:val="clear" w:color="FFFFFF" w:fill="FFFFFF"/>
            <w:tcMar>
              <w:left w:w="101" w:type="dxa"/>
              <w:right w:w="101" w:type="dxa"/>
            </w:tcMar>
          </w:tcPr>
          <w:p w14:paraId="1082923F"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12 166</w:t>
            </w:r>
          </w:p>
        </w:tc>
        <w:tc>
          <w:tcPr>
            <w:tcW w:w="600" w:type="dxa"/>
            <w:tcBorders>
              <w:top w:val="nil"/>
              <w:left w:val="nil"/>
              <w:bottom w:val="nil"/>
              <w:right w:val="nil"/>
              <w:tl2br w:val="nil"/>
              <w:tr2bl w:val="nil"/>
            </w:tcBorders>
            <w:shd w:val="clear" w:color="FFFFFF" w:fill="FFFFFF"/>
            <w:tcMar>
              <w:left w:w="101" w:type="dxa"/>
              <w:right w:w="101" w:type="dxa"/>
            </w:tcMar>
          </w:tcPr>
          <w:p w14:paraId="7C313182"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 xml:space="preserve">-89 </w:t>
            </w:r>
          </w:p>
        </w:tc>
        <w:tc>
          <w:tcPr>
            <w:tcW w:w="1035" w:type="dxa"/>
            <w:tcBorders>
              <w:top w:val="nil"/>
              <w:left w:val="nil"/>
              <w:bottom w:val="nil"/>
              <w:right w:val="nil"/>
              <w:tl2br w:val="nil"/>
              <w:tr2bl w:val="nil"/>
            </w:tcBorders>
            <w:shd w:val="clear" w:color="FFFFFF" w:fill="FFFFFF"/>
            <w:tcMar>
              <w:left w:w="101" w:type="dxa"/>
              <w:right w:w="101" w:type="dxa"/>
            </w:tcMar>
          </w:tcPr>
          <w:p w14:paraId="06453207"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7 243</w:t>
            </w:r>
          </w:p>
        </w:tc>
        <w:tc>
          <w:tcPr>
            <w:tcW w:w="1035" w:type="dxa"/>
            <w:tcBorders>
              <w:top w:val="nil"/>
              <w:left w:val="nil"/>
              <w:bottom w:val="nil"/>
              <w:right w:val="nil"/>
              <w:tl2br w:val="nil"/>
              <w:tr2bl w:val="nil"/>
            </w:tcBorders>
            <w:shd w:val="clear" w:color="FFFFFF" w:fill="FFFFFF"/>
            <w:tcMar>
              <w:left w:w="101" w:type="dxa"/>
              <w:right w:w="101" w:type="dxa"/>
            </w:tcMar>
          </w:tcPr>
          <w:p w14:paraId="279CFC4E"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10 772</w:t>
            </w:r>
          </w:p>
        </w:tc>
        <w:tc>
          <w:tcPr>
            <w:tcW w:w="1035" w:type="dxa"/>
            <w:tcBorders>
              <w:top w:val="nil"/>
              <w:left w:val="nil"/>
              <w:bottom w:val="nil"/>
              <w:right w:val="nil"/>
              <w:tl2br w:val="nil"/>
              <w:tr2bl w:val="nil"/>
            </w:tcBorders>
            <w:shd w:val="clear" w:color="FFFFFF" w:fill="FFFFFF"/>
            <w:tcMar>
              <w:left w:w="101" w:type="dxa"/>
              <w:right w:w="101" w:type="dxa"/>
            </w:tcMar>
          </w:tcPr>
          <w:p w14:paraId="4C87F3EF"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11 598</w:t>
            </w:r>
          </w:p>
        </w:tc>
      </w:tr>
      <w:tr w:rsidR="003036F4" w14:paraId="43A6D683"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5ED272B"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101" w:type="dxa"/>
              <w:right w:w="101" w:type="dxa"/>
            </w:tcMar>
          </w:tcPr>
          <w:p w14:paraId="2604A5D1" w14:textId="77777777" w:rsidR="003036F4" w:rsidRDefault="00900E2D">
            <w:pPr>
              <w:pStyle w:val="Normal11"/>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1B5A0CE2"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136 412</w:t>
            </w:r>
          </w:p>
        </w:tc>
        <w:tc>
          <w:tcPr>
            <w:tcW w:w="1035" w:type="dxa"/>
            <w:tcBorders>
              <w:top w:val="nil"/>
              <w:left w:val="nil"/>
              <w:bottom w:val="nil"/>
              <w:right w:val="nil"/>
              <w:tl2br w:val="nil"/>
              <w:tr2bl w:val="nil"/>
            </w:tcBorders>
            <w:shd w:val="clear" w:color="FFFFFF" w:fill="FFFFFF"/>
            <w:tcMar>
              <w:left w:w="101" w:type="dxa"/>
              <w:right w:w="101" w:type="dxa"/>
            </w:tcMar>
          </w:tcPr>
          <w:p w14:paraId="68ACF84A"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39 720</w:t>
            </w:r>
          </w:p>
        </w:tc>
        <w:tc>
          <w:tcPr>
            <w:tcW w:w="600" w:type="dxa"/>
            <w:tcBorders>
              <w:top w:val="nil"/>
              <w:left w:val="nil"/>
              <w:bottom w:val="nil"/>
              <w:right w:val="nil"/>
              <w:tl2br w:val="nil"/>
              <w:tr2bl w:val="nil"/>
            </w:tcBorders>
            <w:shd w:val="clear" w:color="FFFFFF" w:fill="FFFFFF"/>
            <w:tcMar>
              <w:left w:w="101" w:type="dxa"/>
              <w:right w:w="101" w:type="dxa"/>
            </w:tcMar>
          </w:tcPr>
          <w:p w14:paraId="4EBE25F1"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-71 </w:t>
            </w:r>
          </w:p>
        </w:tc>
        <w:tc>
          <w:tcPr>
            <w:tcW w:w="1035" w:type="dxa"/>
            <w:tcBorders>
              <w:top w:val="nil"/>
              <w:left w:val="nil"/>
              <w:bottom w:val="nil"/>
              <w:right w:val="nil"/>
              <w:tl2br w:val="nil"/>
              <w:tr2bl w:val="nil"/>
            </w:tcBorders>
            <w:shd w:val="clear" w:color="FFFFFF" w:fill="FFFFFF"/>
            <w:tcMar>
              <w:left w:w="101" w:type="dxa"/>
              <w:right w:w="101" w:type="dxa"/>
            </w:tcMar>
          </w:tcPr>
          <w:p w14:paraId="6FC28070"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30 564</w:t>
            </w:r>
          </w:p>
        </w:tc>
        <w:tc>
          <w:tcPr>
            <w:tcW w:w="1035" w:type="dxa"/>
            <w:tcBorders>
              <w:top w:val="nil"/>
              <w:left w:val="nil"/>
              <w:bottom w:val="nil"/>
              <w:right w:val="nil"/>
              <w:tl2br w:val="nil"/>
              <w:tr2bl w:val="nil"/>
            </w:tcBorders>
            <w:shd w:val="clear" w:color="FFFFFF" w:fill="FFFFFF"/>
            <w:tcMar>
              <w:left w:w="101" w:type="dxa"/>
              <w:right w:w="101" w:type="dxa"/>
            </w:tcMar>
          </w:tcPr>
          <w:p w14:paraId="13C64C7D"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34 473</w:t>
            </w:r>
          </w:p>
        </w:tc>
        <w:tc>
          <w:tcPr>
            <w:tcW w:w="1035" w:type="dxa"/>
            <w:tcBorders>
              <w:top w:val="nil"/>
              <w:left w:val="nil"/>
              <w:bottom w:val="nil"/>
              <w:right w:val="nil"/>
              <w:tl2br w:val="nil"/>
              <w:tr2bl w:val="nil"/>
            </w:tcBorders>
            <w:shd w:val="clear" w:color="FFFFFF" w:fill="FFFFFF"/>
            <w:tcMar>
              <w:left w:w="101" w:type="dxa"/>
              <w:right w:w="101" w:type="dxa"/>
            </w:tcMar>
          </w:tcPr>
          <w:p w14:paraId="39711E5E"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35 697</w:t>
            </w:r>
          </w:p>
        </w:tc>
      </w:tr>
      <w:tr w:rsidR="003036F4" w14:paraId="4547807C"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51" w:type="dxa"/>
            <w:tcBorders>
              <w:top w:val="nil"/>
              <w:left w:val="nil"/>
              <w:bottom w:val="nil"/>
              <w:right w:val="nil"/>
              <w:tl2br w:val="nil"/>
              <w:tr2bl w:val="nil"/>
            </w:tcBorders>
            <w:shd w:val="clear" w:color="FFFFFF" w:fill="FFFFFF"/>
            <w:tcMar>
              <w:left w:w="0" w:type="dxa"/>
              <w:right w:w="0" w:type="dxa"/>
            </w:tcMar>
          </w:tcPr>
          <w:p w14:paraId="72803BAD" w14:textId="77777777" w:rsidR="003036F4" w:rsidRDefault="003036F4">
            <w:pPr>
              <w:pStyle w:val="Normal11"/>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3C7E3EC1" w14:textId="77777777" w:rsidR="003036F4" w:rsidRDefault="003036F4">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3A42F6"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27B0D5" w14:textId="77777777" w:rsidR="003036F4" w:rsidRDefault="003036F4">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DB7B093"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FDBF08"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96889E"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041932" w14:textId="77777777" w:rsidR="003036F4" w:rsidRDefault="003036F4">
            <w:pPr>
              <w:pStyle w:val="Normal11"/>
              <w:rPr>
                <w:rFonts w:ascii="Calibri" w:eastAsia="Calibri" w:hAnsi="Calibri" w:cs="Calibri"/>
                <w:color w:val="000000"/>
                <w:sz w:val="18"/>
              </w:rPr>
            </w:pPr>
          </w:p>
        </w:tc>
      </w:tr>
      <w:tr w:rsidR="003036F4" w14:paraId="171AB792"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6318EF7C" w14:textId="77777777" w:rsidR="003036F4" w:rsidRDefault="003036F4">
            <w:pPr>
              <w:pStyle w:val="Normal11"/>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101" w:type="dxa"/>
              <w:right w:w="101" w:type="dxa"/>
            </w:tcMar>
          </w:tcPr>
          <w:p w14:paraId="4EA84B1A" w14:textId="77777777" w:rsidR="003036F4" w:rsidRDefault="00900E2D">
            <w:pPr>
              <w:pStyle w:val="Normal11"/>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2956033B"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C6BFA7" w14:textId="77777777" w:rsidR="003036F4" w:rsidRDefault="003036F4">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B365F9"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5BE869"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EFCDA5"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B13A69" w14:textId="77777777" w:rsidR="003036F4" w:rsidRDefault="003036F4">
            <w:pPr>
              <w:pStyle w:val="Normal11"/>
              <w:rPr>
                <w:rFonts w:ascii="Calibri" w:eastAsia="Calibri" w:hAnsi="Calibri" w:cs="Calibri"/>
                <w:color w:val="000000"/>
                <w:sz w:val="18"/>
              </w:rPr>
            </w:pPr>
          </w:p>
        </w:tc>
      </w:tr>
      <w:tr w:rsidR="003036F4" w14:paraId="2B41240C"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7012551"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020186FF" w14:textId="77777777" w:rsidR="003036F4" w:rsidRDefault="00900E2D">
            <w:pPr>
              <w:pStyle w:val="Normal11"/>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0FA48DC7"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17 018</w:t>
            </w:r>
          </w:p>
        </w:tc>
        <w:tc>
          <w:tcPr>
            <w:tcW w:w="1035" w:type="dxa"/>
            <w:tcBorders>
              <w:top w:val="nil"/>
              <w:left w:val="nil"/>
              <w:bottom w:val="nil"/>
              <w:right w:val="nil"/>
              <w:tl2br w:val="nil"/>
              <w:tr2bl w:val="nil"/>
            </w:tcBorders>
            <w:shd w:val="clear" w:color="FFFFFF" w:fill="FFFFFF"/>
            <w:tcMar>
              <w:left w:w="101" w:type="dxa"/>
              <w:right w:w="101" w:type="dxa"/>
            </w:tcMar>
          </w:tcPr>
          <w:p w14:paraId="36DFB40F"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14 219</w:t>
            </w:r>
          </w:p>
        </w:tc>
        <w:tc>
          <w:tcPr>
            <w:tcW w:w="600" w:type="dxa"/>
            <w:tcBorders>
              <w:top w:val="nil"/>
              <w:left w:val="nil"/>
              <w:bottom w:val="nil"/>
              <w:right w:val="nil"/>
              <w:tl2br w:val="nil"/>
              <w:tr2bl w:val="nil"/>
            </w:tcBorders>
            <w:shd w:val="clear" w:color="FFFFFF" w:fill="FFFFFF"/>
            <w:tcMar>
              <w:left w:w="101" w:type="dxa"/>
              <w:right w:w="101" w:type="dxa"/>
            </w:tcMar>
          </w:tcPr>
          <w:p w14:paraId="3F0B66BC"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3371187C"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14 136</w:t>
            </w:r>
          </w:p>
        </w:tc>
        <w:tc>
          <w:tcPr>
            <w:tcW w:w="1035" w:type="dxa"/>
            <w:tcBorders>
              <w:top w:val="nil"/>
              <w:left w:val="nil"/>
              <w:bottom w:val="nil"/>
              <w:right w:val="nil"/>
              <w:tl2br w:val="nil"/>
              <w:tr2bl w:val="nil"/>
            </w:tcBorders>
            <w:shd w:val="clear" w:color="FFFFFF" w:fill="FFFFFF"/>
            <w:tcMar>
              <w:left w:w="101" w:type="dxa"/>
              <w:right w:w="101" w:type="dxa"/>
            </w:tcMar>
          </w:tcPr>
          <w:p w14:paraId="14C50CE4"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14 331</w:t>
            </w:r>
          </w:p>
        </w:tc>
        <w:tc>
          <w:tcPr>
            <w:tcW w:w="1035" w:type="dxa"/>
            <w:tcBorders>
              <w:top w:val="nil"/>
              <w:left w:val="nil"/>
              <w:bottom w:val="nil"/>
              <w:right w:val="nil"/>
              <w:tl2br w:val="nil"/>
              <w:tr2bl w:val="nil"/>
            </w:tcBorders>
            <w:shd w:val="clear" w:color="FFFFFF" w:fill="FFFFFF"/>
            <w:tcMar>
              <w:left w:w="101" w:type="dxa"/>
              <w:right w:w="101" w:type="dxa"/>
            </w:tcMar>
          </w:tcPr>
          <w:p w14:paraId="668C3103"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14 447</w:t>
            </w:r>
          </w:p>
        </w:tc>
      </w:tr>
      <w:tr w:rsidR="003036F4" w14:paraId="4C18D23D"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D109FAC"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01CA75FC" w14:textId="77777777" w:rsidR="003036F4" w:rsidRDefault="00900E2D">
            <w:pPr>
              <w:pStyle w:val="Normal11"/>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4F1CF89F"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2 942</w:t>
            </w:r>
          </w:p>
        </w:tc>
        <w:tc>
          <w:tcPr>
            <w:tcW w:w="1035" w:type="dxa"/>
            <w:tcBorders>
              <w:top w:val="nil"/>
              <w:left w:val="nil"/>
              <w:bottom w:val="nil"/>
              <w:right w:val="nil"/>
              <w:tl2br w:val="nil"/>
              <w:tr2bl w:val="nil"/>
            </w:tcBorders>
            <w:shd w:val="clear" w:color="FFFFFF" w:fill="FFFFFF"/>
            <w:tcMar>
              <w:left w:w="101" w:type="dxa"/>
              <w:right w:w="101" w:type="dxa"/>
            </w:tcMar>
          </w:tcPr>
          <w:p w14:paraId="257ACED2"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2 673</w:t>
            </w:r>
          </w:p>
        </w:tc>
        <w:tc>
          <w:tcPr>
            <w:tcW w:w="600" w:type="dxa"/>
            <w:tcBorders>
              <w:top w:val="nil"/>
              <w:left w:val="nil"/>
              <w:bottom w:val="nil"/>
              <w:right w:val="nil"/>
              <w:tl2br w:val="nil"/>
              <w:tr2bl w:val="nil"/>
            </w:tcBorders>
            <w:shd w:val="clear" w:color="FFFFFF" w:fill="FFFFFF"/>
            <w:tcMar>
              <w:left w:w="101" w:type="dxa"/>
              <w:right w:w="101" w:type="dxa"/>
            </w:tcMar>
          </w:tcPr>
          <w:p w14:paraId="735D1DB6"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5649BDA3"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2 709</w:t>
            </w:r>
          </w:p>
        </w:tc>
        <w:tc>
          <w:tcPr>
            <w:tcW w:w="1035" w:type="dxa"/>
            <w:tcBorders>
              <w:top w:val="nil"/>
              <w:left w:val="nil"/>
              <w:bottom w:val="nil"/>
              <w:right w:val="nil"/>
              <w:tl2br w:val="nil"/>
              <w:tr2bl w:val="nil"/>
            </w:tcBorders>
            <w:shd w:val="clear" w:color="FFFFFF" w:fill="FFFFFF"/>
            <w:tcMar>
              <w:left w:w="101" w:type="dxa"/>
              <w:right w:w="101" w:type="dxa"/>
            </w:tcMar>
          </w:tcPr>
          <w:p w14:paraId="65FCED0E"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2 714</w:t>
            </w:r>
          </w:p>
        </w:tc>
        <w:tc>
          <w:tcPr>
            <w:tcW w:w="1035" w:type="dxa"/>
            <w:tcBorders>
              <w:top w:val="nil"/>
              <w:left w:val="nil"/>
              <w:bottom w:val="nil"/>
              <w:right w:val="nil"/>
              <w:tl2br w:val="nil"/>
              <w:tr2bl w:val="nil"/>
            </w:tcBorders>
            <w:shd w:val="clear" w:color="FFFFFF" w:fill="FFFFFF"/>
            <w:tcMar>
              <w:left w:w="101" w:type="dxa"/>
              <w:right w:w="101" w:type="dxa"/>
            </w:tcMar>
          </w:tcPr>
          <w:p w14:paraId="331F1FEF"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2 734</w:t>
            </w:r>
          </w:p>
        </w:tc>
      </w:tr>
      <w:tr w:rsidR="003036F4" w14:paraId="7912D51D"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6F4653C3"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7808455D" w14:textId="77777777" w:rsidR="003036F4" w:rsidRDefault="00900E2D">
            <w:pPr>
              <w:pStyle w:val="Normal11"/>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05A05C8"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10 035</w:t>
            </w:r>
          </w:p>
        </w:tc>
        <w:tc>
          <w:tcPr>
            <w:tcW w:w="1035" w:type="dxa"/>
            <w:tcBorders>
              <w:top w:val="nil"/>
              <w:left w:val="nil"/>
              <w:bottom w:val="nil"/>
              <w:right w:val="nil"/>
              <w:tl2br w:val="nil"/>
              <w:tr2bl w:val="nil"/>
            </w:tcBorders>
            <w:shd w:val="clear" w:color="FFFFFF" w:fill="FFFFFF"/>
            <w:tcMar>
              <w:left w:w="101" w:type="dxa"/>
              <w:right w:w="101" w:type="dxa"/>
            </w:tcMar>
          </w:tcPr>
          <w:p w14:paraId="489CB361"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22 641</w:t>
            </w:r>
          </w:p>
        </w:tc>
        <w:tc>
          <w:tcPr>
            <w:tcW w:w="600" w:type="dxa"/>
            <w:tcBorders>
              <w:top w:val="nil"/>
              <w:left w:val="nil"/>
              <w:bottom w:val="nil"/>
              <w:right w:val="nil"/>
              <w:tl2br w:val="nil"/>
              <w:tr2bl w:val="nil"/>
            </w:tcBorders>
            <w:shd w:val="clear" w:color="FFFFFF" w:fill="FFFFFF"/>
            <w:tcMar>
              <w:left w:w="101" w:type="dxa"/>
              <w:right w:w="101" w:type="dxa"/>
            </w:tcMar>
          </w:tcPr>
          <w:p w14:paraId="3E9A7578"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 xml:space="preserve">126 </w:t>
            </w:r>
          </w:p>
        </w:tc>
        <w:tc>
          <w:tcPr>
            <w:tcW w:w="1035" w:type="dxa"/>
            <w:tcBorders>
              <w:top w:val="nil"/>
              <w:left w:val="nil"/>
              <w:bottom w:val="nil"/>
              <w:right w:val="nil"/>
              <w:tl2br w:val="nil"/>
              <w:tr2bl w:val="nil"/>
            </w:tcBorders>
            <w:shd w:val="clear" w:color="FFFFFF" w:fill="FFFFFF"/>
            <w:tcMar>
              <w:left w:w="101" w:type="dxa"/>
              <w:right w:w="101" w:type="dxa"/>
            </w:tcMar>
          </w:tcPr>
          <w:p w14:paraId="46993F48"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6 274</w:t>
            </w:r>
          </w:p>
        </w:tc>
        <w:tc>
          <w:tcPr>
            <w:tcW w:w="1035" w:type="dxa"/>
            <w:tcBorders>
              <w:top w:val="nil"/>
              <w:left w:val="nil"/>
              <w:bottom w:val="nil"/>
              <w:right w:val="nil"/>
              <w:tl2br w:val="nil"/>
              <w:tr2bl w:val="nil"/>
            </w:tcBorders>
            <w:shd w:val="clear" w:color="FFFFFF" w:fill="FFFFFF"/>
            <w:tcMar>
              <w:left w:w="101" w:type="dxa"/>
              <w:right w:w="101" w:type="dxa"/>
            </w:tcMar>
          </w:tcPr>
          <w:p w14:paraId="001D79F6"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6 451</w:t>
            </w:r>
          </w:p>
        </w:tc>
        <w:tc>
          <w:tcPr>
            <w:tcW w:w="1035" w:type="dxa"/>
            <w:tcBorders>
              <w:top w:val="nil"/>
              <w:left w:val="nil"/>
              <w:bottom w:val="nil"/>
              <w:right w:val="nil"/>
              <w:tl2br w:val="nil"/>
              <w:tr2bl w:val="nil"/>
            </w:tcBorders>
            <w:shd w:val="clear" w:color="FFFFFF" w:fill="FFFFFF"/>
            <w:tcMar>
              <w:left w:w="101" w:type="dxa"/>
              <w:right w:w="101" w:type="dxa"/>
            </w:tcMar>
          </w:tcPr>
          <w:p w14:paraId="05DC8CD1"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6 706</w:t>
            </w:r>
          </w:p>
        </w:tc>
      </w:tr>
      <w:tr w:rsidR="003036F4" w14:paraId="7A0B04AC"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6286A1AB"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61F518FA" w14:textId="77777777" w:rsidR="003036F4" w:rsidRDefault="00900E2D">
            <w:pPr>
              <w:pStyle w:val="Normal11"/>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12CC1254"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77 123</w:t>
            </w:r>
          </w:p>
        </w:tc>
        <w:tc>
          <w:tcPr>
            <w:tcW w:w="1035" w:type="dxa"/>
            <w:tcBorders>
              <w:top w:val="nil"/>
              <w:left w:val="nil"/>
              <w:bottom w:val="nil"/>
              <w:right w:val="nil"/>
              <w:tl2br w:val="nil"/>
              <w:tr2bl w:val="nil"/>
            </w:tcBorders>
            <w:shd w:val="clear" w:color="FFFFFF" w:fill="FFFFFF"/>
            <w:tcMar>
              <w:left w:w="101" w:type="dxa"/>
              <w:right w:w="101" w:type="dxa"/>
            </w:tcMar>
          </w:tcPr>
          <w:p w14:paraId="39E7DC62"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12 158</w:t>
            </w:r>
          </w:p>
        </w:tc>
        <w:tc>
          <w:tcPr>
            <w:tcW w:w="600" w:type="dxa"/>
            <w:tcBorders>
              <w:top w:val="nil"/>
              <w:left w:val="nil"/>
              <w:bottom w:val="nil"/>
              <w:right w:val="nil"/>
              <w:tl2br w:val="nil"/>
              <w:tr2bl w:val="nil"/>
            </w:tcBorders>
            <w:shd w:val="clear" w:color="FFFFFF" w:fill="FFFFFF"/>
            <w:tcMar>
              <w:left w:w="101" w:type="dxa"/>
              <w:right w:w="101" w:type="dxa"/>
            </w:tcMar>
          </w:tcPr>
          <w:p w14:paraId="0EFE7A77"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 xml:space="preserve">-84 </w:t>
            </w:r>
          </w:p>
        </w:tc>
        <w:tc>
          <w:tcPr>
            <w:tcW w:w="1035" w:type="dxa"/>
            <w:tcBorders>
              <w:top w:val="nil"/>
              <w:left w:val="nil"/>
              <w:bottom w:val="nil"/>
              <w:right w:val="nil"/>
              <w:tl2br w:val="nil"/>
              <w:tr2bl w:val="nil"/>
            </w:tcBorders>
            <w:shd w:val="clear" w:color="FFFFFF" w:fill="FFFFFF"/>
            <w:tcMar>
              <w:left w:w="101" w:type="dxa"/>
              <w:right w:w="101" w:type="dxa"/>
            </w:tcMar>
          </w:tcPr>
          <w:p w14:paraId="53ACD90F"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7 193</w:t>
            </w:r>
          </w:p>
        </w:tc>
        <w:tc>
          <w:tcPr>
            <w:tcW w:w="1035" w:type="dxa"/>
            <w:tcBorders>
              <w:top w:val="nil"/>
              <w:left w:val="nil"/>
              <w:bottom w:val="nil"/>
              <w:right w:val="nil"/>
              <w:tl2br w:val="nil"/>
              <w:tr2bl w:val="nil"/>
            </w:tcBorders>
            <w:shd w:val="clear" w:color="FFFFFF" w:fill="FFFFFF"/>
            <w:tcMar>
              <w:left w:w="101" w:type="dxa"/>
              <w:right w:w="101" w:type="dxa"/>
            </w:tcMar>
          </w:tcPr>
          <w:p w14:paraId="290FE646"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10 719</w:t>
            </w:r>
          </w:p>
        </w:tc>
        <w:tc>
          <w:tcPr>
            <w:tcW w:w="1035" w:type="dxa"/>
            <w:tcBorders>
              <w:top w:val="nil"/>
              <w:left w:val="nil"/>
              <w:bottom w:val="nil"/>
              <w:right w:val="nil"/>
              <w:tl2br w:val="nil"/>
              <w:tr2bl w:val="nil"/>
            </w:tcBorders>
            <w:shd w:val="clear" w:color="FFFFFF" w:fill="FFFFFF"/>
            <w:tcMar>
              <w:left w:w="101" w:type="dxa"/>
              <w:right w:w="101" w:type="dxa"/>
            </w:tcMar>
          </w:tcPr>
          <w:p w14:paraId="6201CC64"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11 545</w:t>
            </w:r>
          </w:p>
        </w:tc>
      </w:tr>
      <w:tr w:rsidR="003036F4" w14:paraId="447B1205"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13BF2D5A"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101" w:type="dxa"/>
              <w:right w:w="101" w:type="dxa"/>
            </w:tcMar>
          </w:tcPr>
          <w:p w14:paraId="283B9AB5" w14:textId="77777777" w:rsidR="003036F4" w:rsidRDefault="00900E2D">
            <w:pPr>
              <w:pStyle w:val="Normal11"/>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11AAD066"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107 118</w:t>
            </w:r>
          </w:p>
        </w:tc>
        <w:tc>
          <w:tcPr>
            <w:tcW w:w="1035" w:type="dxa"/>
            <w:tcBorders>
              <w:top w:val="nil"/>
              <w:left w:val="nil"/>
              <w:bottom w:val="nil"/>
              <w:right w:val="nil"/>
              <w:tl2br w:val="nil"/>
              <w:tr2bl w:val="nil"/>
            </w:tcBorders>
            <w:shd w:val="clear" w:color="FFFFFF" w:fill="FFFFFF"/>
            <w:tcMar>
              <w:left w:w="101" w:type="dxa"/>
              <w:right w:w="101" w:type="dxa"/>
            </w:tcMar>
          </w:tcPr>
          <w:p w14:paraId="610986D6"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51 691</w:t>
            </w:r>
          </w:p>
        </w:tc>
        <w:tc>
          <w:tcPr>
            <w:tcW w:w="600" w:type="dxa"/>
            <w:tcBorders>
              <w:top w:val="nil"/>
              <w:left w:val="nil"/>
              <w:bottom w:val="nil"/>
              <w:right w:val="nil"/>
              <w:tl2br w:val="nil"/>
              <w:tr2bl w:val="nil"/>
            </w:tcBorders>
            <w:shd w:val="clear" w:color="FFFFFF" w:fill="FFFFFF"/>
            <w:tcMar>
              <w:left w:w="101" w:type="dxa"/>
              <w:right w:w="101" w:type="dxa"/>
            </w:tcMar>
          </w:tcPr>
          <w:p w14:paraId="458698E8"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-52 </w:t>
            </w:r>
          </w:p>
        </w:tc>
        <w:tc>
          <w:tcPr>
            <w:tcW w:w="1035" w:type="dxa"/>
            <w:tcBorders>
              <w:top w:val="nil"/>
              <w:left w:val="nil"/>
              <w:bottom w:val="nil"/>
              <w:right w:val="nil"/>
              <w:tl2br w:val="nil"/>
              <w:tr2bl w:val="nil"/>
            </w:tcBorders>
            <w:shd w:val="clear" w:color="FFFFFF" w:fill="FFFFFF"/>
            <w:tcMar>
              <w:left w:w="101" w:type="dxa"/>
              <w:right w:w="101" w:type="dxa"/>
            </w:tcMar>
          </w:tcPr>
          <w:p w14:paraId="57A4DBF7"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30 312</w:t>
            </w:r>
          </w:p>
        </w:tc>
        <w:tc>
          <w:tcPr>
            <w:tcW w:w="1035" w:type="dxa"/>
            <w:tcBorders>
              <w:top w:val="nil"/>
              <w:left w:val="nil"/>
              <w:bottom w:val="nil"/>
              <w:right w:val="nil"/>
              <w:tl2br w:val="nil"/>
              <w:tr2bl w:val="nil"/>
            </w:tcBorders>
            <w:shd w:val="clear" w:color="FFFFFF" w:fill="FFFFFF"/>
            <w:tcMar>
              <w:left w:w="101" w:type="dxa"/>
              <w:right w:w="101" w:type="dxa"/>
            </w:tcMar>
          </w:tcPr>
          <w:p w14:paraId="6A976AD8"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34 215</w:t>
            </w:r>
          </w:p>
        </w:tc>
        <w:tc>
          <w:tcPr>
            <w:tcW w:w="1035" w:type="dxa"/>
            <w:tcBorders>
              <w:top w:val="nil"/>
              <w:left w:val="nil"/>
              <w:bottom w:val="nil"/>
              <w:right w:val="nil"/>
              <w:tl2br w:val="nil"/>
              <w:tr2bl w:val="nil"/>
            </w:tcBorders>
            <w:shd w:val="clear" w:color="FFFFFF" w:fill="FFFFFF"/>
            <w:tcMar>
              <w:left w:w="101" w:type="dxa"/>
              <w:right w:w="101" w:type="dxa"/>
            </w:tcMar>
          </w:tcPr>
          <w:p w14:paraId="4DEAD1AF"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35 432</w:t>
            </w:r>
          </w:p>
        </w:tc>
      </w:tr>
      <w:tr w:rsidR="003036F4" w14:paraId="7F420C06"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51" w:type="dxa"/>
            <w:tcBorders>
              <w:top w:val="nil"/>
              <w:left w:val="nil"/>
              <w:bottom w:val="nil"/>
              <w:right w:val="nil"/>
              <w:tl2br w:val="nil"/>
              <w:tr2bl w:val="nil"/>
            </w:tcBorders>
            <w:shd w:val="clear" w:color="FFFFFF" w:fill="FFFFFF"/>
            <w:tcMar>
              <w:left w:w="0" w:type="dxa"/>
              <w:right w:w="0" w:type="dxa"/>
            </w:tcMar>
          </w:tcPr>
          <w:p w14:paraId="406F35CA" w14:textId="77777777" w:rsidR="003036F4" w:rsidRDefault="003036F4">
            <w:pPr>
              <w:pStyle w:val="Normal11"/>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056F5669" w14:textId="77777777" w:rsidR="003036F4" w:rsidRDefault="003036F4">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52AD53"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CFFEF3" w14:textId="77777777" w:rsidR="003036F4" w:rsidRDefault="003036F4">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F749A27"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4A96E4"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8BA909"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E069A8" w14:textId="77777777" w:rsidR="003036F4" w:rsidRDefault="003036F4">
            <w:pPr>
              <w:pStyle w:val="Normal11"/>
              <w:rPr>
                <w:rFonts w:ascii="Calibri" w:eastAsia="Calibri" w:hAnsi="Calibri" w:cs="Calibri"/>
                <w:color w:val="000000"/>
                <w:sz w:val="18"/>
              </w:rPr>
            </w:pPr>
          </w:p>
        </w:tc>
      </w:tr>
      <w:tr w:rsidR="003036F4" w14:paraId="4F785F70"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23D432A6"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1EA7D682" w14:textId="77777777" w:rsidR="003036F4" w:rsidRDefault="00900E2D" w:rsidP="00852076">
            <w:pPr>
              <w:pStyle w:val="Normal11"/>
              <w:ind w:left="136" w:hanging="136"/>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27DD08A7"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29 294</w:t>
            </w:r>
          </w:p>
        </w:tc>
        <w:tc>
          <w:tcPr>
            <w:tcW w:w="1035" w:type="dxa"/>
            <w:tcBorders>
              <w:top w:val="nil"/>
              <w:left w:val="nil"/>
              <w:bottom w:val="nil"/>
              <w:right w:val="nil"/>
              <w:tl2br w:val="nil"/>
              <w:tr2bl w:val="nil"/>
            </w:tcBorders>
            <w:shd w:val="clear" w:color="FFFFFF" w:fill="FFFFFF"/>
            <w:tcMar>
              <w:left w:w="101" w:type="dxa"/>
              <w:right w:w="101" w:type="dxa"/>
            </w:tcMar>
          </w:tcPr>
          <w:p w14:paraId="65A1B6D2"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-11 971</w:t>
            </w:r>
          </w:p>
        </w:tc>
        <w:tc>
          <w:tcPr>
            <w:tcW w:w="600" w:type="dxa"/>
            <w:tcBorders>
              <w:top w:val="nil"/>
              <w:left w:val="nil"/>
              <w:bottom w:val="nil"/>
              <w:right w:val="nil"/>
              <w:tl2br w:val="nil"/>
              <w:tr2bl w:val="nil"/>
            </w:tcBorders>
            <w:shd w:val="clear" w:color="FFFFFF" w:fill="FFFFFF"/>
            <w:tcMar>
              <w:left w:w="101" w:type="dxa"/>
              <w:right w:w="101" w:type="dxa"/>
            </w:tcMar>
          </w:tcPr>
          <w:p w14:paraId="07EF936C"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-141 </w:t>
            </w:r>
          </w:p>
        </w:tc>
        <w:tc>
          <w:tcPr>
            <w:tcW w:w="1035" w:type="dxa"/>
            <w:tcBorders>
              <w:top w:val="nil"/>
              <w:left w:val="nil"/>
              <w:bottom w:val="nil"/>
              <w:right w:val="nil"/>
              <w:tl2br w:val="nil"/>
              <w:tr2bl w:val="nil"/>
            </w:tcBorders>
            <w:shd w:val="clear" w:color="FFFFFF" w:fill="FFFFFF"/>
            <w:tcMar>
              <w:left w:w="101" w:type="dxa"/>
              <w:right w:w="101" w:type="dxa"/>
            </w:tcMar>
          </w:tcPr>
          <w:p w14:paraId="0CF756C0"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252</w:t>
            </w:r>
          </w:p>
        </w:tc>
        <w:tc>
          <w:tcPr>
            <w:tcW w:w="1035" w:type="dxa"/>
            <w:tcBorders>
              <w:top w:val="nil"/>
              <w:left w:val="nil"/>
              <w:bottom w:val="nil"/>
              <w:right w:val="nil"/>
              <w:tl2br w:val="nil"/>
              <w:tr2bl w:val="nil"/>
            </w:tcBorders>
            <w:shd w:val="clear" w:color="FFFFFF" w:fill="FFFFFF"/>
            <w:tcMar>
              <w:left w:w="101" w:type="dxa"/>
              <w:right w:w="101" w:type="dxa"/>
            </w:tcMar>
          </w:tcPr>
          <w:p w14:paraId="07C7C64A"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258</w:t>
            </w:r>
          </w:p>
        </w:tc>
        <w:tc>
          <w:tcPr>
            <w:tcW w:w="1035" w:type="dxa"/>
            <w:tcBorders>
              <w:top w:val="nil"/>
              <w:left w:val="nil"/>
              <w:bottom w:val="nil"/>
              <w:right w:val="nil"/>
              <w:tl2br w:val="nil"/>
              <w:tr2bl w:val="nil"/>
            </w:tcBorders>
            <w:shd w:val="clear" w:color="FFFFFF" w:fill="FFFFFF"/>
            <w:tcMar>
              <w:left w:w="101" w:type="dxa"/>
              <w:right w:w="101" w:type="dxa"/>
            </w:tcMar>
          </w:tcPr>
          <w:p w14:paraId="160EC3C0"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265</w:t>
            </w:r>
          </w:p>
        </w:tc>
      </w:tr>
      <w:tr w:rsidR="003036F4" w14:paraId="5785B5E5"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51" w:type="dxa"/>
            <w:tcBorders>
              <w:top w:val="nil"/>
              <w:left w:val="nil"/>
              <w:bottom w:val="nil"/>
              <w:right w:val="nil"/>
              <w:tl2br w:val="nil"/>
              <w:tr2bl w:val="nil"/>
            </w:tcBorders>
            <w:shd w:val="clear" w:color="FFFFFF" w:fill="FFFFFF"/>
            <w:tcMar>
              <w:left w:w="0" w:type="dxa"/>
              <w:right w:w="0" w:type="dxa"/>
            </w:tcMar>
          </w:tcPr>
          <w:p w14:paraId="57F2187D" w14:textId="77777777" w:rsidR="003036F4" w:rsidRDefault="003036F4">
            <w:pPr>
              <w:pStyle w:val="Normal11"/>
              <w:rPr>
                <w:rFonts w:ascii="Calibri" w:eastAsia="Calibri" w:hAnsi="Calibri" w:cs="Calibri"/>
                <w:color w:val="000000"/>
                <w:sz w:val="18"/>
              </w:rPr>
            </w:pPr>
          </w:p>
        </w:tc>
        <w:tc>
          <w:tcPr>
            <w:tcW w:w="8344" w:type="dxa"/>
            <w:gridSpan w:val="7"/>
            <w:tcBorders>
              <w:top w:val="nil"/>
              <w:left w:val="nil"/>
              <w:bottom w:val="nil"/>
              <w:right w:val="nil"/>
              <w:tl2br w:val="nil"/>
              <w:tr2bl w:val="nil"/>
            </w:tcBorders>
            <w:shd w:val="clear" w:color="auto" w:fill="auto"/>
            <w:tcMar>
              <w:left w:w="101" w:type="dxa"/>
              <w:right w:w="101" w:type="dxa"/>
            </w:tcMar>
            <w:vAlign w:val="bottom"/>
          </w:tcPr>
          <w:p w14:paraId="7DA25437" w14:textId="77777777" w:rsidR="003036F4" w:rsidRDefault="00900E2D">
            <w:pPr>
              <w:pStyle w:val="Normal11"/>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3036F4" w14:paraId="2FF3385D"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3F9FEC08" w14:textId="77777777" w:rsidR="003036F4" w:rsidRDefault="003036F4">
            <w:pPr>
              <w:pStyle w:val="Normal11"/>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101" w:type="dxa"/>
              <w:right w:w="101" w:type="dxa"/>
            </w:tcMar>
          </w:tcPr>
          <w:p w14:paraId="752EC093" w14:textId="77777777" w:rsidR="003036F4" w:rsidRDefault="00900E2D">
            <w:pPr>
              <w:pStyle w:val="Normal11"/>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D9EC728"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4B17D4" w14:textId="77777777" w:rsidR="003036F4" w:rsidRDefault="003036F4">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EDE191A"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75C24E"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ABE53B"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85D96E" w14:textId="77777777" w:rsidR="003036F4" w:rsidRDefault="003036F4">
            <w:pPr>
              <w:pStyle w:val="Normal11"/>
              <w:rPr>
                <w:rFonts w:ascii="Calibri" w:eastAsia="Calibri" w:hAnsi="Calibri" w:cs="Calibri"/>
                <w:color w:val="000000"/>
                <w:sz w:val="18"/>
              </w:rPr>
            </w:pPr>
          </w:p>
        </w:tc>
      </w:tr>
      <w:tr w:rsidR="003036F4" w14:paraId="693A84D2"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51" w:type="dxa"/>
            <w:tcBorders>
              <w:top w:val="nil"/>
              <w:left w:val="nil"/>
              <w:bottom w:val="nil"/>
              <w:right w:val="nil"/>
              <w:tl2br w:val="nil"/>
              <w:tr2bl w:val="nil"/>
            </w:tcBorders>
            <w:shd w:val="clear" w:color="FFFFFF" w:fill="FFFFFF"/>
            <w:tcMar>
              <w:left w:w="0" w:type="dxa"/>
              <w:right w:w="0" w:type="dxa"/>
            </w:tcMar>
          </w:tcPr>
          <w:p w14:paraId="20C614BD" w14:textId="77777777" w:rsidR="003036F4" w:rsidRDefault="003036F4">
            <w:pPr>
              <w:pStyle w:val="Normal11"/>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6A165F0A"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48EE4D"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EB00D9" w14:textId="77777777" w:rsidR="003036F4" w:rsidRDefault="003036F4">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8C6EDB" w14:textId="77777777" w:rsidR="003036F4" w:rsidRDefault="003036F4">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85A23A"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AD364E"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0920C2" w14:textId="77777777" w:rsidR="003036F4" w:rsidRDefault="003036F4">
            <w:pPr>
              <w:pStyle w:val="Normal11"/>
              <w:rPr>
                <w:rFonts w:ascii="Calibri" w:eastAsia="Calibri" w:hAnsi="Calibri" w:cs="Calibri"/>
                <w:color w:val="000000"/>
                <w:sz w:val="18"/>
              </w:rPr>
            </w:pPr>
          </w:p>
        </w:tc>
      </w:tr>
      <w:tr w:rsidR="003036F4" w14:paraId="0CAA7A94"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05065E09" w14:textId="77777777" w:rsidR="003036F4" w:rsidRDefault="003036F4">
            <w:pPr>
              <w:pStyle w:val="Normal11"/>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101" w:type="dxa"/>
              <w:right w:w="101" w:type="dxa"/>
            </w:tcMar>
          </w:tcPr>
          <w:p w14:paraId="60522867" w14:textId="77777777" w:rsidR="003036F4" w:rsidRDefault="00900E2D">
            <w:pPr>
              <w:pStyle w:val="Normal11"/>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4AE4ECE8"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6152ED" w14:textId="77777777" w:rsidR="003036F4" w:rsidRDefault="003036F4">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FB73559" w14:textId="77777777" w:rsidR="003036F4" w:rsidRDefault="003036F4">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867CB5"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6B22D0"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237775" w14:textId="77777777" w:rsidR="003036F4" w:rsidRDefault="003036F4">
            <w:pPr>
              <w:pStyle w:val="Normal11"/>
              <w:rPr>
                <w:rFonts w:ascii="Calibri" w:eastAsia="Calibri" w:hAnsi="Calibri" w:cs="Calibri"/>
                <w:color w:val="000000"/>
                <w:sz w:val="18"/>
              </w:rPr>
            </w:pPr>
          </w:p>
        </w:tc>
      </w:tr>
      <w:tr w:rsidR="003036F4" w14:paraId="12909501"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032D46A7"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7AFC21B2" w14:textId="77777777" w:rsidR="003036F4" w:rsidRDefault="00900E2D" w:rsidP="00852076">
            <w:pPr>
              <w:pStyle w:val="Normal11"/>
              <w:ind w:left="136" w:hanging="136"/>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35A5B03D"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56 774</w:t>
            </w:r>
          </w:p>
        </w:tc>
        <w:tc>
          <w:tcPr>
            <w:tcW w:w="1035" w:type="dxa"/>
            <w:tcBorders>
              <w:top w:val="nil"/>
              <w:left w:val="nil"/>
              <w:bottom w:val="nil"/>
              <w:right w:val="nil"/>
              <w:tl2br w:val="nil"/>
              <w:tr2bl w:val="nil"/>
            </w:tcBorders>
            <w:shd w:val="clear" w:color="FFFFFF" w:fill="FFFFFF"/>
            <w:tcMar>
              <w:left w:w="101" w:type="dxa"/>
              <w:right w:w="101" w:type="dxa"/>
            </w:tcMar>
          </w:tcPr>
          <w:p w14:paraId="3066E768"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92 796</w:t>
            </w:r>
          </w:p>
        </w:tc>
        <w:tc>
          <w:tcPr>
            <w:tcW w:w="600" w:type="dxa"/>
            <w:tcBorders>
              <w:top w:val="nil"/>
              <w:left w:val="nil"/>
              <w:bottom w:val="nil"/>
              <w:right w:val="nil"/>
              <w:tl2br w:val="nil"/>
              <w:tr2bl w:val="nil"/>
            </w:tcBorders>
            <w:shd w:val="clear" w:color="FFFFFF" w:fill="FFFFFF"/>
            <w:tcMar>
              <w:left w:w="101" w:type="dxa"/>
              <w:right w:w="101" w:type="dxa"/>
            </w:tcMar>
          </w:tcPr>
          <w:p w14:paraId="76C8530D"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 xml:space="preserve">63 </w:t>
            </w:r>
          </w:p>
        </w:tc>
        <w:tc>
          <w:tcPr>
            <w:tcW w:w="1035" w:type="dxa"/>
            <w:tcBorders>
              <w:top w:val="nil"/>
              <w:left w:val="nil"/>
              <w:bottom w:val="nil"/>
              <w:right w:val="nil"/>
              <w:tl2br w:val="nil"/>
              <w:tr2bl w:val="nil"/>
            </w:tcBorders>
            <w:shd w:val="clear" w:color="FFFFFF" w:fill="FFFFFF"/>
            <w:tcMar>
              <w:left w:w="101" w:type="dxa"/>
              <w:right w:w="101" w:type="dxa"/>
            </w:tcMar>
          </w:tcPr>
          <w:p w14:paraId="7E27047E"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56 352</w:t>
            </w:r>
          </w:p>
        </w:tc>
        <w:tc>
          <w:tcPr>
            <w:tcW w:w="1035" w:type="dxa"/>
            <w:tcBorders>
              <w:top w:val="nil"/>
              <w:left w:val="nil"/>
              <w:bottom w:val="nil"/>
              <w:right w:val="nil"/>
              <w:tl2br w:val="nil"/>
              <w:tr2bl w:val="nil"/>
            </w:tcBorders>
            <w:shd w:val="clear" w:color="FFFFFF" w:fill="FFFFFF"/>
            <w:tcMar>
              <w:left w:w="101" w:type="dxa"/>
              <w:right w:w="101" w:type="dxa"/>
            </w:tcMar>
          </w:tcPr>
          <w:p w14:paraId="39E44FD5"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84 000</w:t>
            </w:r>
          </w:p>
        </w:tc>
        <w:tc>
          <w:tcPr>
            <w:tcW w:w="1035" w:type="dxa"/>
            <w:tcBorders>
              <w:top w:val="nil"/>
              <w:left w:val="nil"/>
              <w:bottom w:val="nil"/>
              <w:right w:val="nil"/>
              <w:tl2br w:val="nil"/>
              <w:tr2bl w:val="nil"/>
            </w:tcBorders>
            <w:shd w:val="clear" w:color="FFFFFF" w:fill="FFFFFF"/>
            <w:tcMar>
              <w:left w:w="101" w:type="dxa"/>
              <w:right w:w="101" w:type="dxa"/>
            </w:tcMar>
          </w:tcPr>
          <w:p w14:paraId="06D7742D"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92 000</w:t>
            </w:r>
          </w:p>
        </w:tc>
      </w:tr>
      <w:tr w:rsidR="003036F4" w14:paraId="568BFB79"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FB0F2BF"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525D69BE" w14:textId="77777777" w:rsidR="003036F4" w:rsidRDefault="00900E2D" w:rsidP="00852076">
            <w:pPr>
              <w:pStyle w:val="Normal11"/>
              <w:ind w:left="136" w:hanging="136"/>
              <w:rPr>
                <w:rFonts w:ascii="Calibri" w:eastAsia="Calibri" w:hAnsi="Calibri" w:cs="Calibri"/>
                <w:color w:val="000000"/>
                <w:sz w:val="18"/>
              </w:rPr>
            </w:pPr>
            <w:r>
              <w:rPr>
                <w:rFonts w:ascii="Calibri" w:eastAsia="Calibri" w:hAnsi="Calibri" w:cs="Calibri"/>
                <w:color w:val="000000"/>
                <w:sz w:val="18"/>
              </w:rPr>
              <w:t>Purchase of Land and Intangibles</w:t>
            </w:r>
          </w:p>
        </w:tc>
        <w:tc>
          <w:tcPr>
            <w:tcW w:w="1035" w:type="dxa"/>
            <w:tcBorders>
              <w:top w:val="nil"/>
              <w:left w:val="nil"/>
              <w:bottom w:val="nil"/>
              <w:right w:val="nil"/>
              <w:tl2br w:val="nil"/>
              <w:tr2bl w:val="nil"/>
            </w:tcBorders>
            <w:shd w:val="clear" w:color="FFFFFF" w:fill="FFFFFF"/>
            <w:tcMar>
              <w:left w:w="101" w:type="dxa"/>
              <w:right w:w="101" w:type="dxa"/>
            </w:tcMar>
          </w:tcPr>
          <w:p w14:paraId="64AE8E7D"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79D43E7"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368</w:t>
            </w:r>
          </w:p>
        </w:tc>
        <w:tc>
          <w:tcPr>
            <w:tcW w:w="600" w:type="dxa"/>
            <w:tcBorders>
              <w:top w:val="nil"/>
              <w:left w:val="nil"/>
              <w:bottom w:val="nil"/>
              <w:right w:val="nil"/>
              <w:tl2br w:val="nil"/>
              <w:tr2bl w:val="nil"/>
            </w:tcBorders>
            <w:shd w:val="clear" w:color="FFFFFF" w:fill="FFFFFF"/>
            <w:tcMar>
              <w:left w:w="101" w:type="dxa"/>
              <w:right w:w="101" w:type="dxa"/>
            </w:tcMar>
          </w:tcPr>
          <w:p w14:paraId="0742BD61"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667D827"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8DC268F"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0C02659" w14:textId="77777777" w:rsidR="003036F4" w:rsidRDefault="00900E2D">
            <w:pPr>
              <w:pStyle w:val="Normal11"/>
              <w:jc w:val="right"/>
              <w:rPr>
                <w:rFonts w:ascii="Calibri" w:eastAsia="Calibri" w:hAnsi="Calibri" w:cs="Calibri"/>
                <w:color w:val="000000"/>
                <w:sz w:val="18"/>
              </w:rPr>
            </w:pPr>
            <w:r>
              <w:rPr>
                <w:rFonts w:ascii="Calibri" w:eastAsia="Calibri" w:hAnsi="Calibri" w:cs="Calibri"/>
                <w:color w:val="000000"/>
                <w:sz w:val="18"/>
              </w:rPr>
              <w:t>0</w:t>
            </w:r>
          </w:p>
        </w:tc>
      </w:tr>
      <w:tr w:rsidR="003036F4" w14:paraId="63FFA66A"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533B3450"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101" w:type="dxa"/>
              <w:right w:w="101" w:type="dxa"/>
            </w:tcMar>
          </w:tcPr>
          <w:p w14:paraId="2152B55C" w14:textId="77777777" w:rsidR="003036F4" w:rsidRDefault="00900E2D">
            <w:pPr>
              <w:pStyle w:val="Normal11"/>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D044B28"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56 774</w:t>
            </w:r>
          </w:p>
        </w:tc>
        <w:tc>
          <w:tcPr>
            <w:tcW w:w="1035" w:type="dxa"/>
            <w:tcBorders>
              <w:top w:val="nil"/>
              <w:left w:val="nil"/>
              <w:bottom w:val="nil"/>
              <w:right w:val="nil"/>
              <w:tl2br w:val="nil"/>
              <w:tr2bl w:val="nil"/>
            </w:tcBorders>
            <w:shd w:val="clear" w:color="FFFFFF" w:fill="FFFFFF"/>
            <w:tcMar>
              <w:left w:w="101" w:type="dxa"/>
              <w:right w:w="101" w:type="dxa"/>
            </w:tcMar>
          </w:tcPr>
          <w:p w14:paraId="28C43B56"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93 164</w:t>
            </w:r>
          </w:p>
        </w:tc>
        <w:tc>
          <w:tcPr>
            <w:tcW w:w="600" w:type="dxa"/>
            <w:tcBorders>
              <w:top w:val="nil"/>
              <w:left w:val="nil"/>
              <w:bottom w:val="nil"/>
              <w:right w:val="nil"/>
              <w:tl2br w:val="nil"/>
              <w:tr2bl w:val="nil"/>
            </w:tcBorders>
            <w:shd w:val="clear" w:color="FFFFFF" w:fill="FFFFFF"/>
            <w:tcMar>
              <w:left w:w="101" w:type="dxa"/>
              <w:right w:w="101" w:type="dxa"/>
            </w:tcMar>
          </w:tcPr>
          <w:p w14:paraId="0B252B30"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64 </w:t>
            </w:r>
          </w:p>
        </w:tc>
        <w:tc>
          <w:tcPr>
            <w:tcW w:w="1035" w:type="dxa"/>
            <w:tcBorders>
              <w:top w:val="nil"/>
              <w:left w:val="nil"/>
              <w:bottom w:val="nil"/>
              <w:right w:val="nil"/>
              <w:tl2br w:val="nil"/>
              <w:tr2bl w:val="nil"/>
            </w:tcBorders>
            <w:shd w:val="clear" w:color="FFFFFF" w:fill="FFFFFF"/>
            <w:tcMar>
              <w:left w:w="101" w:type="dxa"/>
              <w:right w:w="101" w:type="dxa"/>
            </w:tcMar>
          </w:tcPr>
          <w:p w14:paraId="2BF674DB"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56 352</w:t>
            </w:r>
          </w:p>
        </w:tc>
        <w:tc>
          <w:tcPr>
            <w:tcW w:w="1035" w:type="dxa"/>
            <w:tcBorders>
              <w:top w:val="nil"/>
              <w:left w:val="nil"/>
              <w:bottom w:val="nil"/>
              <w:right w:val="nil"/>
              <w:tl2br w:val="nil"/>
              <w:tr2bl w:val="nil"/>
            </w:tcBorders>
            <w:shd w:val="clear" w:color="FFFFFF" w:fill="FFFFFF"/>
            <w:tcMar>
              <w:left w:w="101" w:type="dxa"/>
              <w:right w:w="101" w:type="dxa"/>
            </w:tcMar>
          </w:tcPr>
          <w:p w14:paraId="28EDB3AD"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84 000</w:t>
            </w:r>
          </w:p>
        </w:tc>
        <w:tc>
          <w:tcPr>
            <w:tcW w:w="1035" w:type="dxa"/>
            <w:tcBorders>
              <w:top w:val="nil"/>
              <w:left w:val="nil"/>
              <w:bottom w:val="nil"/>
              <w:right w:val="nil"/>
              <w:tl2br w:val="nil"/>
              <w:tr2bl w:val="nil"/>
            </w:tcBorders>
            <w:shd w:val="clear" w:color="FFFFFF" w:fill="FFFFFF"/>
            <w:tcMar>
              <w:left w:w="101" w:type="dxa"/>
              <w:right w:w="101" w:type="dxa"/>
            </w:tcMar>
          </w:tcPr>
          <w:p w14:paraId="4212BD94"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92 000</w:t>
            </w:r>
          </w:p>
        </w:tc>
      </w:tr>
      <w:tr w:rsidR="003036F4" w14:paraId="53F7F7B4"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51" w:type="dxa"/>
            <w:tcBorders>
              <w:top w:val="nil"/>
              <w:left w:val="nil"/>
              <w:bottom w:val="nil"/>
              <w:right w:val="nil"/>
              <w:tl2br w:val="nil"/>
              <w:tr2bl w:val="nil"/>
            </w:tcBorders>
            <w:shd w:val="clear" w:color="FFFFFF" w:fill="FFFFFF"/>
            <w:tcMar>
              <w:left w:w="0" w:type="dxa"/>
              <w:right w:w="0" w:type="dxa"/>
            </w:tcMar>
          </w:tcPr>
          <w:p w14:paraId="61A00D91" w14:textId="77777777" w:rsidR="003036F4" w:rsidRDefault="003036F4">
            <w:pPr>
              <w:pStyle w:val="Normal11"/>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54356471"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5B2B0E"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8F7010" w14:textId="77777777" w:rsidR="003036F4" w:rsidRDefault="003036F4">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4CABD3A"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CA2261"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95A194" w14:textId="77777777" w:rsidR="003036F4" w:rsidRDefault="003036F4">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648966" w14:textId="77777777" w:rsidR="003036F4" w:rsidRDefault="003036F4">
            <w:pPr>
              <w:pStyle w:val="Normal11"/>
              <w:rPr>
                <w:rFonts w:ascii="Calibri" w:eastAsia="Calibri" w:hAnsi="Calibri" w:cs="Calibri"/>
                <w:color w:val="000000"/>
                <w:sz w:val="18"/>
              </w:rPr>
            </w:pPr>
          </w:p>
        </w:tc>
      </w:tr>
      <w:tr w:rsidR="003036F4" w14:paraId="4D9B0FCE"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6AE69293"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2A91F79B" w14:textId="77777777" w:rsidR="003036F4" w:rsidRDefault="00900E2D" w:rsidP="00852076">
            <w:pPr>
              <w:pStyle w:val="Normal11"/>
              <w:ind w:left="136" w:hanging="136"/>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CD4C5DB"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-56 774</w:t>
            </w:r>
          </w:p>
        </w:tc>
        <w:tc>
          <w:tcPr>
            <w:tcW w:w="1035" w:type="dxa"/>
            <w:tcBorders>
              <w:top w:val="nil"/>
              <w:left w:val="nil"/>
              <w:bottom w:val="nil"/>
              <w:right w:val="nil"/>
              <w:tl2br w:val="nil"/>
              <w:tr2bl w:val="nil"/>
            </w:tcBorders>
            <w:shd w:val="clear" w:color="FFFFFF" w:fill="FFFFFF"/>
            <w:tcMar>
              <w:left w:w="101" w:type="dxa"/>
              <w:right w:w="101" w:type="dxa"/>
            </w:tcMar>
          </w:tcPr>
          <w:p w14:paraId="49B74683"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-93 164</w:t>
            </w:r>
          </w:p>
        </w:tc>
        <w:tc>
          <w:tcPr>
            <w:tcW w:w="600" w:type="dxa"/>
            <w:tcBorders>
              <w:top w:val="nil"/>
              <w:left w:val="nil"/>
              <w:bottom w:val="nil"/>
              <w:right w:val="nil"/>
              <w:tl2br w:val="nil"/>
              <w:tr2bl w:val="nil"/>
            </w:tcBorders>
            <w:shd w:val="clear" w:color="FFFFFF" w:fill="FFFFFF"/>
            <w:tcMar>
              <w:left w:w="101" w:type="dxa"/>
              <w:right w:w="101" w:type="dxa"/>
            </w:tcMar>
          </w:tcPr>
          <w:p w14:paraId="1718F545"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-64 </w:t>
            </w:r>
          </w:p>
        </w:tc>
        <w:tc>
          <w:tcPr>
            <w:tcW w:w="1035" w:type="dxa"/>
            <w:tcBorders>
              <w:top w:val="nil"/>
              <w:left w:val="nil"/>
              <w:bottom w:val="nil"/>
              <w:right w:val="nil"/>
              <w:tl2br w:val="nil"/>
              <w:tr2bl w:val="nil"/>
            </w:tcBorders>
            <w:shd w:val="clear" w:color="FFFFFF" w:fill="FFFFFF"/>
            <w:tcMar>
              <w:left w:w="101" w:type="dxa"/>
              <w:right w:w="101" w:type="dxa"/>
            </w:tcMar>
          </w:tcPr>
          <w:p w14:paraId="33861E33"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-56 352</w:t>
            </w:r>
          </w:p>
        </w:tc>
        <w:tc>
          <w:tcPr>
            <w:tcW w:w="1035" w:type="dxa"/>
            <w:tcBorders>
              <w:top w:val="nil"/>
              <w:left w:val="nil"/>
              <w:bottom w:val="nil"/>
              <w:right w:val="nil"/>
              <w:tl2br w:val="nil"/>
              <w:tr2bl w:val="nil"/>
            </w:tcBorders>
            <w:shd w:val="clear" w:color="FFFFFF" w:fill="FFFFFF"/>
            <w:tcMar>
              <w:left w:w="101" w:type="dxa"/>
              <w:right w:w="101" w:type="dxa"/>
            </w:tcMar>
          </w:tcPr>
          <w:p w14:paraId="3B4164F7"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-84 000</w:t>
            </w:r>
          </w:p>
        </w:tc>
        <w:tc>
          <w:tcPr>
            <w:tcW w:w="1035" w:type="dxa"/>
            <w:tcBorders>
              <w:top w:val="nil"/>
              <w:left w:val="nil"/>
              <w:bottom w:val="nil"/>
              <w:right w:val="nil"/>
              <w:tl2br w:val="nil"/>
              <w:tr2bl w:val="nil"/>
            </w:tcBorders>
            <w:shd w:val="clear" w:color="FFFFFF" w:fill="FFFFFF"/>
            <w:tcMar>
              <w:left w:w="101" w:type="dxa"/>
              <w:right w:w="101" w:type="dxa"/>
            </w:tcMar>
          </w:tcPr>
          <w:p w14:paraId="56CB3AC9" w14:textId="77777777" w:rsidR="003036F4" w:rsidRDefault="00900E2D">
            <w:pPr>
              <w:pStyle w:val="Normal11"/>
              <w:jc w:val="right"/>
              <w:rPr>
                <w:rFonts w:ascii="Calibri" w:eastAsia="Calibri" w:hAnsi="Calibri" w:cs="Calibri"/>
                <w:b/>
                <w:color w:val="000000"/>
                <w:sz w:val="18"/>
              </w:rPr>
            </w:pPr>
            <w:r>
              <w:rPr>
                <w:rFonts w:ascii="Calibri" w:eastAsia="Calibri" w:hAnsi="Calibri" w:cs="Calibri"/>
                <w:b/>
                <w:color w:val="000000"/>
                <w:sz w:val="18"/>
              </w:rPr>
              <w:t>-92 000</w:t>
            </w:r>
          </w:p>
        </w:tc>
      </w:tr>
      <w:tr w:rsidR="003036F4" w14:paraId="66AA635D"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single" w:sz="8" w:space="0" w:color="000000"/>
              <w:right w:val="nil"/>
              <w:tl2br w:val="nil"/>
              <w:tr2bl w:val="nil"/>
            </w:tcBorders>
            <w:shd w:val="clear" w:color="FFFFFF" w:fill="FFFFFF"/>
            <w:tcMar>
              <w:left w:w="0" w:type="dxa"/>
              <w:right w:w="0" w:type="dxa"/>
            </w:tcMar>
          </w:tcPr>
          <w:p w14:paraId="50BA230F" w14:textId="77777777" w:rsidR="003036F4" w:rsidRDefault="003036F4">
            <w:pPr>
              <w:pStyle w:val="Normal11"/>
              <w:rPr>
                <w:rFonts w:ascii="Calibri" w:eastAsia="Calibri" w:hAnsi="Calibri" w:cs="Calibri"/>
                <w:color w:val="000000"/>
                <w:sz w:val="18"/>
              </w:rPr>
            </w:pPr>
          </w:p>
        </w:tc>
        <w:tc>
          <w:tcPr>
            <w:tcW w:w="2569" w:type="dxa"/>
            <w:tcBorders>
              <w:top w:val="nil"/>
              <w:left w:val="nil"/>
              <w:bottom w:val="single" w:sz="8" w:space="0" w:color="000000"/>
              <w:right w:val="nil"/>
              <w:tl2br w:val="nil"/>
              <w:tr2bl w:val="nil"/>
            </w:tcBorders>
            <w:shd w:val="clear" w:color="FFFFFF" w:fill="FFFFFF"/>
            <w:tcMar>
              <w:left w:w="0" w:type="dxa"/>
              <w:right w:w="0" w:type="dxa"/>
            </w:tcMar>
          </w:tcPr>
          <w:p w14:paraId="0FDFCC65" w14:textId="77777777" w:rsidR="003036F4" w:rsidRDefault="003036F4">
            <w:pPr>
              <w:pStyle w:val="Normal1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17B0FF48" w14:textId="77777777" w:rsidR="003036F4" w:rsidRDefault="003036F4">
            <w:pPr>
              <w:pStyle w:val="Normal1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7C3E36A8" w14:textId="77777777" w:rsidR="003036F4" w:rsidRDefault="003036F4">
            <w:pPr>
              <w:pStyle w:val="Normal11"/>
              <w:rPr>
                <w:rFonts w:ascii="Calibri" w:eastAsia="Calibri" w:hAnsi="Calibri" w:cs="Calibri"/>
                <w:color w:val="000000"/>
                <w:sz w:val="18"/>
              </w:rPr>
            </w:pPr>
          </w:p>
        </w:tc>
        <w:tc>
          <w:tcPr>
            <w:tcW w:w="600" w:type="dxa"/>
            <w:tcBorders>
              <w:top w:val="nil"/>
              <w:left w:val="nil"/>
              <w:bottom w:val="single" w:sz="8" w:space="0" w:color="000000"/>
              <w:right w:val="nil"/>
              <w:tl2br w:val="nil"/>
              <w:tr2bl w:val="nil"/>
            </w:tcBorders>
            <w:shd w:val="clear" w:color="FFFFFF" w:fill="FFFFFF"/>
            <w:tcMar>
              <w:left w:w="0" w:type="dxa"/>
              <w:right w:w="0" w:type="dxa"/>
            </w:tcMar>
          </w:tcPr>
          <w:p w14:paraId="79C3D280" w14:textId="77777777" w:rsidR="003036F4" w:rsidRDefault="003036F4">
            <w:pPr>
              <w:pStyle w:val="Normal1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686F61EC" w14:textId="77777777" w:rsidR="003036F4" w:rsidRDefault="003036F4">
            <w:pPr>
              <w:pStyle w:val="Normal1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140C8A75" w14:textId="77777777" w:rsidR="003036F4" w:rsidRDefault="003036F4">
            <w:pPr>
              <w:pStyle w:val="Normal11"/>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40285750" w14:textId="77777777" w:rsidR="003036F4" w:rsidRDefault="003036F4">
            <w:pPr>
              <w:pStyle w:val="Normal11"/>
              <w:rPr>
                <w:rFonts w:ascii="Calibri" w:eastAsia="Calibri" w:hAnsi="Calibri" w:cs="Calibri"/>
                <w:color w:val="000000"/>
                <w:sz w:val="18"/>
              </w:rPr>
            </w:pPr>
          </w:p>
        </w:tc>
      </w:tr>
    </w:tbl>
    <w:p w14:paraId="31B2D5AE" w14:textId="77777777" w:rsidR="006E72F1" w:rsidRDefault="00900E2D" w:rsidP="006E72F1">
      <w:pPr>
        <w:pStyle w:val="Caption"/>
        <w:pageBreakBefore/>
        <w:pBdr>
          <w:top w:val="nil"/>
          <w:left w:val="nil"/>
          <w:bottom w:val="nil"/>
          <w:right w:val="nil"/>
          <w:between w:val="nil"/>
          <w:bar w:val="nil"/>
        </w:pBdr>
        <w:outlineLvl w:val="0"/>
        <w:rPr>
          <w:bdr w:val="nil"/>
        </w:rPr>
      </w:pPr>
      <w:r>
        <w:rPr>
          <w:bdr w:val="nil"/>
        </w:rPr>
        <w:lastRenderedPageBreak/>
        <w:t>Table 10: Major Projects Canberra: Cash Flow Statement (continued)</w:t>
      </w:r>
    </w:p>
    <w:tbl>
      <w:tblPr>
        <w:tblStyle w:val="CDMRange14"/>
        <w:tblW w:w="9195" w:type="dxa"/>
        <w:tblLayout w:type="fixed"/>
        <w:tblLook w:val="0600" w:firstRow="0" w:lastRow="0" w:firstColumn="0" w:lastColumn="0" w:noHBand="1" w:noVBand="1"/>
      </w:tblPr>
      <w:tblGrid>
        <w:gridCol w:w="851"/>
        <w:gridCol w:w="2569"/>
        <w:gridCol w:w="1035"/>
        <w:gridCol w:w="1035"/>
        <w:gridCol w:w="600"/>
        <w:gridCol w:w="1035"/>
        <w:gridCol w:w="1035"/>
        <w:gridCol w:w="1035"/>
      </w:tblGrid>
      <w:tr w:rsidR="003036F4" w14:paraId="2AAA96DC" w14:textId="77777777" w:rsidTr="00BC637C">
        <w:trPr>
          <w:trHeight w:val="960"/>
        </w:trPr>
        <w:tc>
          <w:tcPr>
            <w:tcW w:w="851"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34BC4775" w14:textId="3C0B8E79" w:rsidR="003036F4" w:rsidRDefault="00332931">
            <w:pPr>
              <w:pStyle w:val="Normal12"/>
              <w:jc w:val="right"/>
              <w:rPr>
                <w:rFonts w:ascii="Calibri" w:eastAsia="Calibri" w:hAnsi="Calibri" w:cs="Calibri"/>
                <w:b/>
                <w:color w:val="000000"/>
                <w:sz w:val="18"/>
              </w:rPr>
            </w:pPr>
            <w:r>
              <w:rPr>
                <w:rFonts w:ascii="Calibri" w:eastAsia="Calibri" w:hAnsi="Calibri" w:cs="Calibri"/>
                <w:b/>
                <w:color w:val="000000"/>
                <w:sz w:val="18"/>
              </w:rPr>
              <w:t>2019–20</w:t>
            </w:r>
            <w:r w:rsidR="00900E2D">
              <w:rPr>
                <w:rFonts w:ascii="Calibri" w:eastAsia="Calibri" w:hAnsi="Calibri" w:cs="Calibri"/>
                <w:b/>
                <w:color w:val="000000"/>
                <w:sz w:val="18"/>
              </w:rPr>
              <w:t xml:space="preserve"> Budget            </w:t>
            </w:r>
          </w:p>
          <w:p w14:paraId="360E25C7" w14:textId="77777777" w:rsidR="003036F4" w:rsidRDefault="003036F4">
            <w:pPr>
              <w:pStyle w:val="Normal12"/>
              <w:jc w:val="right"/>
              <w:rPr>
                <w:rFonts w:ascii="Calibri" w:eastAsia="Calibri" w:hAnsi="Calibri" w:cs="Calibri"/>
                <w:b/>
                <w:color w:val="000000"/>
                <w:sz w:val="18"/>
              </w:rPr>
            </w:pPr>
          </w:p>
          <w:p w14:paraId="57CC07B4"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569" w:type="dxa"/>
            <w:tcBorders>
              <w:top w:val="single" w:sz="8" w:space="0" w:color="000000"/>
              <w:left w:val="nil"/>
              <w:bottom w:val="single" w:sz="8" w:space="0" w:color="000000"/>
              <w:right w:val="nil"/>
              <w:tl2br w:val="nil"/>
              <w:tr2bl w:val="nil"/>
            </w:tcBorders>
            <w:shd w:val="clear" w:color="FFFFFF" w:fill="FFFFFF"/>
            <w:tcMar>
              <w:left w:w="0" w:type="dxa"/>
              <w:right w:w="0" w:type="dxa"/>
            </w:tcMar>
          </w:tcPr>
          <w:p w14:paraId="49505803" w14:textId="77777777" w:rsidR="003036F4" w:rsidRDefault="003036F4">
            <w:pPr>
              <w:pStyle w:val="Normal12"/>
              <w:rPr>
                <w:rFonts w:ascii="Calibri" w:eastAsia="Calibri" w:hAnsi="Calibri" w:cs="Calibri"/>
                <w:b/>
                <w:color w:val="000000"/>
                <w:sz w:val="18"/>
              </w:rPr>
            </w:pP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2A4D39D7" w14:textId="22658FDA" w:rsidR="003036F4" w:rsidRDefault="00332931">
            <w:pPr>
              <w:pStyle w:val="Normal12"/>
              <w:jc w:val="right"/>
              <w:rPr>
                <w:rFonts w:ascii="Calibri" w:eastAsia="Calibri" w:hAnsi="Calibri" w:cs="Calibri"/>
                <w:b/>
                <w:color w:val="000000"/>
                <w:sz w:val="18"/>
              </w:rPr>
            </w:pPr>
            <w:r>
              <w:rPr>
                <w:rFonts w:ascii="Calibri" w:eastAsia="Calibri" w:hAnsi="Calibri" w:cs="Calibri"/>
                <w:b/>
                <w:color w:val="000000"/>
                <w:sz w:val="18"/>
              </w:rPr>
              <w:t>2019–20</w:t>
            </w:r>
            <w:r w:rsidR="00900E2D">
              <w:rPr>
                <w:rFonts w:ascii="Calibri" w:eastAsia="Calibri" w:hAnsi="Calibri" w:cs="Calibri"/>
                <w:b/>
                <w:color w:val="000000"/>
                <w:sz w:val="18"/>
              </w:rPr>
              <w:t xml:space="preserve"> Audited Outcome $'000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FB0C345" w14:textId="2D4C5425" w:rsidR="003036F4" w:rsidRDefault="00332931">
            <w:pPr>
              <w:pStyle w:val="Normal12"/>
              <w:jc w:val="right"/>
              <w:rPr>
                <w:rFonts w:ascii="Calibri" w:eastAsia="Calibri" w:hAnsi="Calibri" w:cs="Calibri"/>
                <w:b/>
                <w:color w:val="000000"/>
                <w:sz w:val="18"/>
              </w:rPr>
            </w:pPr>
            <w:r>
              <w:rPr>
                <w:rFonts w:ascii="Calibri" w:eastAsia="Calibri" w:hAnsi="Calibri" w:cs="Calibri"/>
                <w:b/>
                <w:color w:val="000000"/>
                <w:sz w:val="18"/>
              </w:rPr>
              <w:t>2020–21</w:t>
            </w:r>
            <w:r w:rsidR="00900E2D">
              <w:rPr>
                <w:rFonts w:ascii="Calibri" w:eastAsia="Calibri" w:hAnsi="Calibri" w:cs="Calibri"/>
                <w:b/>
                <w:color w:val="000000"/>
                <w:sz w:val="18"/>
              </w:rPr>
              <w:t xml:space="preserve"> Budget            </w:t>
            </w:r>
          </w:p>
          <w:p w14:paraId="6B4029EC" w14:textId="77777777" w:rsidR="003036F4" w:rsidRDefault="003036F4">
            <w:pPr>
              <w:pStyle w:val="Normal12"/>
              <w:jc w:val="right"/>
              <w:rPr>
                <w:rFonts w:ascii="Calibri" w:eastAsia="Calibri" w:hAnsi="Calibri" w:cs="Calibri"/>
                <w:b/>
                <w:color w:val="000000"/>
                <w:sz w:val="18"/>
              </w:rPr>
            </w:pPr>
          </w:p>
          <w:p w14:paraId="17952651"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4FEBB456"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Var </w:t>
            </w:r>
          </w:p>
          <w:p w14:paraId="207228F3"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5699C6B8"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646975E1" w14:textId="77777777" w:rsidR="003036F4" w:rsidRDefault="003036F4">
            <w:pPr>
              <w:pStyle w:val="Normal12"/>
              <w:jc w:val="right"/>
              <w:rPr>
                <w:rFonts w:ascii="Calibri" w:eastAsia="Calibri" w:hAnsi="Calibri" w:cs="Calibri"/>
                <w:b/>
                <w:color w:val="000000"/>
                <w:sz w:val="18"/>
              </w:rPr>
            </w:pPr>
          </w:p>
          <w:p w14:paraId="3CDC2E4D"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5E91996"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3A87729F" w14:textId="77777777" w:rsidR="003036F4" w:rsidRDefault="003036F4">
            <w:pPr>
              <w:pStyle w:val="Normal12"/>
              <w:jc w:val="right"/>
              <w:rPr>
                <w:rFonts w:ascii="Calibri" w:eastAsia="Calibri" w:hAnsi="Calibri" w:cs="Calibri"/>
                <w:b/>
                <w:color w:val="000000"/>
                <w:sz w:val="18"/>
              </w:rPr>
            </w:pPr>
          </w:p>
          <w:p w14:paraId="79452383"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8" w:space="0" w:color="000000"/>
              <w:left w:val="nil"/>
              <w:bottom w:val="single" w:sz="8" w:space="0" w:color="000000"/>
              <w:right w:val="nil"/>
              <w:tl2br w:val="nil"/>
              <w:tr2bl w:val="nil"/>
            </w:tcBorders>
            <w:shd w:val="clear" w:color="FFFFFF" w:fill="FFFFFF"/>
            <w:tcMar>
              <w:left w:w="101" w:type="dxa"/>
              <w:right w:w="101" w:type="dxa"/>
            </w:tcMar>
          </w:tcPr>
          <w:p w14:paraId="6C704C0D"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2B228B7B" w14:textId="77777777" w:rsidR="003036F4" w:rsidRDefault="003036F4">
            <w:pPr>
              <w:pStyle w:val="Normal12"/>
              <w:jc w:val="right"/>
              <w:rPr>
                <w:rFonts w:ascii="Calibri" w:eastAsia="Calibri" w:hAnsi="Calibri" w:cs="Calibri"/>
                <w:b/>
                <w:color w:val="000000"/>
                <w:sz w:val="18"/>
              </w:rPr>
            </w:pPr>
          </w:p>
          <w:p w14:paraId="674DB1CB"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3036F4" w14:paraId="03A7243E"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51" w:type="dxa"/>
            <w:tcBorders>
              <w:top w:val="single" w:sz="8" w:space="0" w:color="000000"/>
              <w:left w:val="nil"/>
              <w:bottom w:val="nil"/>
              <w:right w:val="nil"/>
              <w:tl2br w:val="nil"/>
              <w:tr2bl w:val="nil"/>
            </w:tcBorders>
            <w:shd w:val="clear" w:color="FFFFFF" w:fill="FFFFFF"/>
            <w:tcMar>
              <w:left w:w="0" w:type="dxa"/>
              <w:right w:w="0" w:type="dxa"/>
            </w:tcMar>
          </w:tcPr>
          <w:p w14:paraId="6D6A2ECA" w14:textId="77777777" w:rsidR="003036F4" w:rsidRDefault="003036F4">
            <w:pPr>
              <w:pStyle w:val="Normal12"/>
              <w:rPr>
                <w:rFonts w:ascii="Calibri" w:eastAsia="Calibri" w:hAnsi="Calibri" w:cs="Calibri"/>
                <w:color w:val="000000"/>
                <w:sz w:val="18"/>
              </w:rPr>
            </w:pPr>
          </w:p>
        </w:tc>
        <w:tc>
          <w:tcPr>
            <w:tcW w:w="8344" w:type="dxa"/>
            <w:gridSpan w:val="7"/>
            <w:tcBorders>
              <w:top w:val="single" w:sz="8" w:space="0" w:color="000000"/>
              <w:left w:val="nil"/>
              <w:bottom w:val="nil"/>
              <w:right w:val="nil"/>
              <w:tl2br w:val="nil"/>
              <w:tr2bl w:val="nil"/>
            </w:tcBorders>
            <w:shd w:val="clear" w:color="auto" w:fill="auto"/>
            <w:tcMar>
              <w:left w:w="101" w:type="dxa"/>
              <w:right w:w="101" w:type="dxa"/>
            </w:tcMar>
            <w:vAlign w:val="bottom"/>
          </w:tcPr>
          <w:p w14:paraId="1D91F66B" w14:textId="77777777" w:rsidR="003036F4" w:rsidRDefault="00900E2D">
            <w:pPr>
              <w:pStyle w:val="Normal12"/>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3036F4" w14:paraId="614378E3"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3E2608EF" w14:textId="77777777" w:rsidR="003036F4" w:rsidRDefault="003036F4">
            <w:pPr>
              <w:pStyle w:val="Normal12"/>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101" w:type="dxa"/>
              <w:right w:w="101" w:type="dxa"/>
            </w:tcMar>
          </w:tcPr>
          <w:p w14:paraId="54318B52" w14:textId="77777777" w:rsidR="003036F4" w:rsidRDefault="00900E2D">
            <w:pPr>
              <w:pStyle w:val="Normal12"/>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BBAA21B"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E9AD12" w14:textId="77777777" w:rsidR="003036F4" w:rsidRDefault="003036F4">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A1350D"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7CFF53"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5BF78E"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34EBB6" w14:textId="77777777" w:rsidR="003036F4" w:rsidRDefault="003036F4">
            <w:pPr>
              <w:pStyle w:val="Normal12"/>
              <w:rPr>
                <w:rFonts w:ascii="Calibri" w:eastAsia="Calibri" w:hAnsi="Calibri" w:cs="Calibri"/>
                <w:color w:val="000000"/>
                <w:sz w:val="18"/>
              </w:rPr>
            </w:pPr>
          </w:p>
        </w:tc>
      </w:tr>
      <w:tr w:rsidR="003036F4" w14:paraId="203017CC"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4817926"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26119B18" w14:textId="77777777" w:rsidR="003036F4" w:rsidRDefault="00900E2D">
            <w:pPr>
              <w:pStyle w:val="Normal12"/>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0C77BDF7"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70 805</w:t>
            </w:r>
          </w:p>
        </w:tc>
        <w:tc>
          <w:tcPr>
            <w:tcW w:w="1035" w:type="dxa"/>
            <w:tcBorders>
              <w:top w:val="nil"/>
              <w:left w:val="nil"/>
              <w:bottom w:val="nil"/>
              <w:right w:val="nil"/>
              <w:tl2br w:val="nil"/>
              <w:tr2bl w:val="nil"/>
            </w:tcBorders>
            <w:shd w:val="clear" w:color="FFFFFF" w:fill="FFFFFF"/>
            <w:tcMar>
              <w:left w:w="101" w:type="dxa"/>
              <w:right w:w="101" w:type="dxa"/>
            </w:tcMar>
          </w:tcPr>
          <w:p w14:paraId="68BF62D4"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92 796</w:t>
            </w:r>
          </w:p>
        </w:tc>
        <w:tc>
          <w:tcPr>
            <w:tcW w:w="600" w:type="dxa"/>
            <w:tcBorders>
              <w:top w:val="nil"/>
              <w:left w:val="nil"/>
              <w:bottom w:val="nil"/>
              <w:right w:val="nil"/>
              <w:tl2br w:val="nil"/>
              <w:tr2bl w:val="nil"/>
            </w:tcBorders>
            <w:shd w:val="clear" w:color="FFFFFF" w:fill="FFFFFF"/>
            <w:tcMar>
              <w:left w:w="101" w:type="dxa"/>
              <w:right w:w="101" w:type="dxa"/>
            </w:tcMar>
          </w:tcPr>
          <w:p w14:paraId="113F3E67"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 xml:space="preserve">31 </w:t>
            </w:r>
          </w:p>
        </w:tc>
        <w:tc>
          <w:tcPr>
            <w:tcW w:w="1035" w:type="dxa"/>
            <w:tcBorders>
              <w:top w:val="nil"/>
              <w:left w:val="nil"/>
              <w:bottom w:val="nil"/>
              <w:right w:val="nil"/>
              <w:tl2br w:val="nil"/>
              <w:tr2bl w:val="nil"/>
            </w:tcBorders>
            <w:shd w:val="clear" w:color="FFFFFF" w:fill="FFFFFF"/>
            <w:tcMar>
              <w:left w:w="101" w:type="dxa"/>
              <w:right w:w="101" w:type="dxa"/>
            </w:tcMar>
          </w:tcPr>
          <w:p w14:paraId="4249B1A9"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56 352</w:t>
            </w:r>
          </w:p>
        </w:tc>
        <w:tc>
          <w:tcPr>
            <w:tcW w:w="1035" w:type="dxa"/>
            <w:tcBorders>
              <w:top w:val="nil"/>
              <w:left w:val="nil"/>
              <w:bottom w:val="nil"/>
              <w:right w:val="nil"/>
              <w:tl2br w:val="nil"/>
              <w:tr2bl w:val="nil"/>
            </w:tcBorders>
            <w:shd w:val="clear" w:color="FFFFFF" w:fill="FFFFFF"/>
            <w:tcMar>
              <w:left w:w="101" w:type="dxa"/>
              <w:right w:w="101" w:type="dxa"/>
            </w:tcMar>
          </w:tcPr>
          <w:p w14:paraId="20317BBC"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84 000</w:t>
            </w:r>
          </w:p>
        </w:tc>
        <w:tc>
          <w:tcPr>
            <w:tcW w:w="1035" w:type="dxa"/>
            <w:tcBorders>
              <w:top w:val="nil"/>
              <w:left w:val="nil"/>
              <w:bottom w:val="nil"/>
              <w:right w:val="nil"/>
              <w:tl2br w:val="nil"/>
              <w:tr2bl w:val="nil"/>
            </w:tcBorders>
            <w:shd w:val="clear" w:color="FFFFFF" w:fill="FFFFFF"/>
            <w:tcMar>
              <w:left w:w="101" w:type="dxa"/>
              <w:right w:w="101" w:type="dxa"/>
            </w:tcMar>
          </w:tcPr>
          <w:p w14:paraId="25649EE2"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92 000</w:t>
            </w:r>
          </w:p>
        </w:tc>
      </w:tr>
      <w:tr w:rsidR="003036F4" w14:paraId="6DBA4B76"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00DC2D3"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5AF81110" w14:textId="77777777" w:rsidR="003036F4" w:rsidRDefault="00900E2D" w:rsidP="00852076">
            <w:pPr>
              <w:pStyle w:val="Normal12"/>
              <w:ind w:left="136" w:hanging="136"/>
              <w:rPr>
                <w:rFonts w:ascii="Calibri" w:eastAsia="Calibri" w:hAnsi="Calibri" w:cs="Calibri"/>
                <w:color w:val="000000"/>
                <w:sz w:val="18"/>
              </w:rPr>
            </w:pPr>
            <w:r>
              <w:rPr>
                <w:rFonts w:ascii="Calibri" w:eastAsia="Calibri" w:hAnsi="Calibri" w:cs="Calibri"/>
                <w:color w:val="000000"/>
                <w:sz w:val="18"/>
              </w:rPr>
              <w:t>Receipts of Transferred Cash Balances</w:t>
            </w:r>
          </w:p>
        </w:tc>
        <w:tc>
          <w:tcPr>
            <w:tcW w:w="1035" w:type="dxa"/>
            <w:tcBorders>
              <w:top w:val="nil"/>
              <w:left w:val="nil"/>
              <w:bottom w:val="nil"/>
              <w:right w:val="nil"/>
              <w:tl2br w:val="nil"/>
              <w:tr2bl w:val="nil"/>
            </w:tcBorders>
            <w:shd w:val="clear" w:color="FFFFFF" w:fill="FFFFFF"/>
            <w:tcMar>
              <w:left w:w="101" w:type="dxa"/>
              <w:right w:w="101" w:type="dxa"/>
            </w:tcMar>
          </w:tcPr>
          <w:p w14:paraId="79B368C1"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1 320</w:t>
            </w:r>
          </w:p>
        </w:tc>
        <w:tc>
          <w:tcPr>
            <w:tcW w:w="1035" w:type="dxa"/>
            <w:tcBorders>
              <w:top w:val="nil"/>
              <w:left w:val="nil"/>
              <w:bottom w:val="nil"/>
              <w:right w:val="nil"/>
              <w:tl2br w:val="nil"/>
              <w:tr2bl w:val="nil"/>
            </w:tcBorders>
            <w:shd w:val="clear" w:color="FFFFFF" w:fill="FFFFFF"/>
            <w:tcMar>
              <w:left w:w="101" w:type="dxa"/>
              <w:right w:w="101" w:type="dxa"/>
            </w:tcMar>
          </w:tcPr>
          <w:p w14:paraId="72C69B10"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837A4D5"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19BB4823"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0CB2881"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CDDA2C5"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0</w:t>
            </w:r>
          </w:p>
        </w:tc>
      </w:tr>
      <w:tr w:rsidR="003036F4" w14:paraId="0E9547F5"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1EEDDD4A"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101" w:type="dxa"/>
              <w:right w:w="101" w:type="dxa"/>
            </w:tcMar>
          </w:tcPr>
          <w:p w14:paraId="264F1742" w14:textId="77777777" w:rsidR="003036F4" w:rsidRDefault="00900E2D">
            <w:pPr>
              <w:pStyle w:val="Normal12"/>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433BFB5E"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72 125</w:t>
            </w:r>
          </w:p>
        </w:tc>
        <w:tc>
          <w:tcPr>
            <w:tcW w:w="1035" w:type="dxa"/>
            <w:tcBorders>
              <w:top w:val="nil"/>
              <w:left w:val="nil"/>
              <w:bottom w:val="nil"/>
              <w:right w:val="nil"/>
              <w:tl2br w:val="nil"/>
              <w:tr2bl w:val="nil"/>
            </w:tcBorders>
            <w:shd w:val="clear" w:color="FFFFFF" w:fill="FFFFFF"/>
            <w:tcMar>
              <w:left w:w="101" w:type="dxa"/>
              <w:right w:w="101" w:type="dxa"/>
            </w:tcMar>
          </w:tcPr>
          <w:p w14:paraId="6F272E6C"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92 796</w:t>
            </w:r>
          </w:p>
        </w:tc>
        <w:tc>
          <w:tcPr>
            <w:tcW w:w="600" w:type="dxa"/>
            <w:tcBorders>
              <w:top w:val="nil"/>
              <w:left w:val="nil"/>
              <w:bottom w:val="nil"/>
              <w:right w:val="nil"/>
              <w:tl2br w:val="nil"/>
              <w:tr2bl w:val="nil"/>
            </w:tcBorders>
            <w:shd w:val="clear" w:color="FFFFFF" w:fill="FFFFFF"/>
            <w:tcMar>
              <w:left w:w="101" w:type="dxa"/>
              <w:right w:w="101" w:type="dxa"/>
            </w:tcMar>
          </w:tcPr>
          <w:p w14:paraId="4D2CC6F1"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29 </w:t>
            </w:r>
          </w:p>
        </w:tc>
        <w:tc>
          <w:tcPr>
            <w:tcW w:w="1035" w:type="dxa"/>
            <w:tcBorders>
              <w:top w:val="nil"/>
              <w:left w:val="nil"/>
              <w:bottom w:val="nil"/>
              <w:right w:val="nil"/>
              <w:tl2br w:val="nil"/>
              <w:tr2bl w:val="nil"/>
            </w:tcBorders>
            <w:shd w:val="clear" w:color="FFFFFF" w:fill="FFFFFF"/>
            <w:tcMar>
              <w:left w:w="101" w:type="dxa"/>
              <w:right w:w="101" w:type="dxa"/>
            </w:tcMar>
          </w:tcPr>
          <w:p w14:paraId="49D8DFFF"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56 352</w:t>
            </w:r>
          </w:p>
        </w:tc>
        <w:tc>
          <w:tcPr>
            <w:tcW w:w="1035" w:type="dxa"/>
            <w:tcBorders>
              <w:top w:val="nil"/>
              <w:left w:val="nil"/>
              <w:bottom w:val="nil"/>
              <w:right w:val="nil"/>
              <w:tl2br w:val="nil"/>
              <w:tr2bl w:val="nil"/>
            </w:tcBorders>
            <w:shd w:val="clear" w:color="FFFFFF" w:fill="FFFFFF"/>
            <w:tcMar>
              <w:left w:w="101" w:type="dxa"/>
              <w:right w:w="101" w:type="dxa"/>
            </w:tcMar>
          </w:tcPr>
          <w:p w14:paraId="20160850"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84 000</w:t>
            </w:r>
          </w:p>
        </w:tc>
        <w:tc>
          <w:tcPr>
            <w:tcW w:w="1035" w:type="dxa"/>
            <w:tcBorders>
              <w:top w:val="nil"/>
              <w:left w:val="nil"/>
              <w:bottom w:val="nil"/>
              <w:right w:val="nil"/>
              <w:tl2br w:val="nil"/>
              <w:tr2bl w:val="nil"/>
            </w:tcBorders>
            <w:shd w:val="clear" w:color="FFFFFF" w:fill="FFFFFF"/>
            <w:tcMar>
              <w:left w:w="101" w:type="dxa"/>
              <w:right w:w="101" w:type="dxa"/>
            </w:tcMar>
          </w:tcPr>
          <w:p w14:paraId="0849B444"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92 000</w:t>
            </w:r>
          </w:p>
        </w:tc>
      </w:tr>
      <w:tr w:rsidR="003036F4" w14:paraId="472AC09E"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51" w:type="dxa"/>
            <w:tcBorders>
              <w:top w:val="nil"/>
              <w:left w:val="nil"/>
              <w:bottom w:val="nil"/>
              <w:right w:val="nil"/>
              <w:tl2br w:val="nil"/>
              <w:tr2bl w:val="nil"/>
            </w:tcBorders>
            <w:shd w:val="clear" w:color="FFFFFF" w:fill="FFFFFF"/>
            <w:tcMar>
              <w:left w:w="0" w:type="dxa"/>
              <w:right w:w="0" w:type="dxa"/>
            </w:tcMar>
          </w:tcPr>
          <w:p w14:paraId="0FF63EC6" w14:textId="77777777" w:rsidR="003036F4" w:rsidRDefault="003036F4">
            <w:pPr>
              <w:pStyle w:val="Normal12"/>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74D2F151"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80A3E4"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1C3838" w14:textId="77777777" w:rsidR="003036F4" w:rsidRDefault="003036F4">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2A5A6BD"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FA9E2B"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92949D"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5C1F54" w14:textId="77777777" w:rsidR="003036F4" w:rsidRDefault="003036F4">
            <w:pPr>
              <w:pStyle w:val="Normal12"/>
              <w:rPr>
                <w:rFonts w:ascii="Calibri" w:eastAsia="Calibri" w:hAnsi="Calibri" w:cs="Calibri"/>
                <w:color w:val="000000"/>
                <w:sz w:val="18"/>
              </w:rPr>
            </w:pPr>
          </w:p>
        </w:tc>
      </w:tr>
      <w:tr w:rsidR="003036F4" w14:paraId="0F975043"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4E2C44D7" w14:textId="77777777" w:rsidR="003036F4" w:rsidRDefault="003036F4">
            <w:pPr>
              <w:pStyle w:val="Normal12"/>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101" w:type="dxa"/>
              <w:right w:w="101" w:type="dxa"/>
            </w:tcMar>
          </w:tcPr>
          <w:p w14:paraId="1359C4F9" w14:textId="77777777" w:rsidR="003036F4" w:rsidRDefault="00900E2D">
            <w:pPr>
              <w:pStyle w:val="Normal12"/>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75E64844"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6F414E" w14:textId="77777777" w:rsidR="003036F4" w:rsidRDefault="003036F4">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D2916B1"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585779"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208844"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183ADE" w14:textId="77777777" w:rsidR="003036F4" w:rsidRDefault="003036F4">
            <w:pPr>
              <w:pStyle w:val="Normal12"/>
              <w:rPr>
                <w:rFonts w:ascii="Calibri" w:eastAsia="Calibri" w:hAnsi="Calibri" w:cs="Calibri"/>
                <w:color w:val="000000"/>
                <w:sz w:val="18"/>
              </w:rPr>
            </w:pPr>
          </w:p>
        </w:tc>
      </w:tr>
      <w:tr w:rsidR="003036F4" w14:paraId="2348E35C"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3AEEC653"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753B2987" w14:textId="77777777" w:rsidR="003036F4" w:rsidRDefault="00900E2D" w:rsidP="00852076">
            <w:pPr>
              <w:pStyle w:val="Normal12"/>
              <w:ind w:left="136" w:hanging="136"/>
              <w:rPr>
                <w:rFonts w:ascii="Calibri" w:eastAsia="Calibri" w:hAnsi="Calibri" w:cs="Calibri"/>
                <w:color w:val="000000"/>
                <w:sz w:val="18"/>
              </w:rPr>
            </w:pPr>
            <w:r>
              <w:rPr>
                <w:rFonts w:ascii="Calibri" w:eastAsia="Calibri" w:hAnsi="Calibri" w:cs="Calibri"/>
                <w:color w:val="000000"/>
                <w:sz w:val="18"/>
              </w:rPr>
              <w:t>Payment of Transferred Cash Balances</w:t>
            </w:r>
          </w:p>
        </w:tc>
        <w:tc>
          <w:tcPr>
            <w:tcW w:w="1035" w:type="dxa"/>
            <w:tcBorders>
              <w:top w:val="nil"/>
              <w:left w:val="nil"/>
              <w:bottom w:val="nil"/>
              <w:right w:val="nil"/>
              <w:tl2br w:val="nil"/>
              <w:tr2bl w:val="nil"/>
            </w:tcBorders>
            <w:shd w:val="clear" w:color="FFFFFF" w:fill="FFFFFF"/>
            <w:tcMar>
              <w:left w:w="101" w:type="dxa"/>
              <w:right w:w="101" w:type="dxa"/>
            </w:tcMar>
          </w:tcPr>
          <w:p w14:paraId="79B515E7"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37 211</w:t>
            </w:r>
          </w:p>
        </w:tc>
        <w:tc>
          <w:tcPr>
            <w:tcW w:w="1035" w:type="dxa"/>
            <w:tcBorders>
              <w:top w:val="nil"/>
              <w:left w:val="nil"/>
              <w:bottom w:val="nil"/>
              <w:right w:val="nil"/>
              <w:tl2br w:val="nil"/>
              <w:tr2bl w:val="nil"/>
            </w:tcBorders>
            <w:shd w:val="clear" w:color="FFFFFF" w:fill="FFFFFF"/>
            <w:tcMar>
              <w:left w:w="101" w:type="dxa"/>
              <w:right w:w="101" w:type="dxa"/>
            </w:tcMar>
          </w:tcPr>
          <w:p w14:paraId="3316347B"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5E82C5F"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6FB229C"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B6B9C4E"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A5829CF" w14:textId="77777777" w:rsidR="003036F4" w:rsidRDefault="00900E2D">
            <w:pPr>
              <w:pStyle w:val="Normal12"/>
              <w:jc w:val="right"/>
              <w:rPr>
                <w:rFonts w:ascii="Calibri" w:eastAsia="Calibri" w:hAnsi="Calibri" w:cs="Calibri"/>
                <w:color w:val="000000"/>
                <w:sz w:val="18"/>
              </w:rPr>
            </w:pPr>
            <w:r>
              <w:rPr>
                <w:rFonts w:ascii="Calibri" w:eastAsia="Calibri" w:hAnsi="Calibri" w:cs="Calibri"/>
                <w:color w:val="000000"/>
                <w:sz w:val="18"/>
              </w:rPr>
              <w:t>0</w:t>
            </w:r>
          </w:p>
        </w:tc>
      </w:tr>
      <w:tr w:rsidR="003036F4" w14:paraId="1CF22868"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3E470F52"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tcMar>
              <w:left w:w="101" w:type="dxa"/>
              <w:right w:w="101" w:type="dxa"/>
            </w:tcMar>
          </w:tcPr>
          <w:p w14:paraId="4723A0E5" w14:textId="77777777" w:rsidR="003036F4" w:rsidRDefault="00900E2D">
            <w:pPr>
              <w:pStyle w:val="Normal12"/>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3CE03E71"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37 211</w:t>
            </w:r>
          </w:p>
        </w:tc>
        <w:tc>
          <w:tcPr>
            <w:tcW w:w="1035" w:type="dxa"/>
            <w:tcBorders>
              <w:top w:val="nil"/>
              <w:left w:val="nil"/>
              <w:bottom w:val="nil"/>
              <w:right w:val="nil"/>
              <w:tl2br w:val="nil"/>
              <w:tr2bl w:val="nil"/>
            </w:tcBorders>
            <w:shd w:val="clear" w:color="FFFFFF" w:fill="FFFFFF"/>
            <w:tcMar>
              <w:left w:w="101" w:type="dxa"/>
              <w:right w:w="101" w:type="dxa"/>
            </w:tcMar>
          </w:tcPr>
          <w:p w14:paraId="01C8594F"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E16E085"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EB050B2"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D148950"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7E4BB4B"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r>
      <w:tr w:rsidR="003036F4" w14:paraId="7313CC68"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51" w:type="dxa"/>
            <w:tcBorders>
              <w:top w:val="nil"/>
              <w:left w:val="nil"/>
              <w:bottom w:val="nil"/>
              <w:right w:val="nil"/>
              <w:tl2br w:val="nil"/>
              <w:tr2bl w:val="nil"/>
            </w:tcBorders>
            <w:shd w:val="clear" w:color="FFFFFF" w:fill="FFFFFF"/>
            <w:tcMar>
              <w:left w:w="0" w:type="dxa"/>
              <w:right w:w="0" w:type="dxa"/>
            </w:tcMar>
          </w:tcPr>
          <w:p w14:paraId="1104D083" w14:textId="77777777" w:rsidR="003036F4" w:rsidRDefault="003036F4">
            <w:pPr>
              <w:pStyle w:val="Normal12"/>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00BFE3F2"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9870C9"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2BBFDC" w14:textId="77777777" w:rsidR="003036F4" w:rsidRDefault="003036F4">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6C555B"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135641"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E0DF6B"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E7E39C" w14:textId="77777777" w:rsidR="003036F4" w:rsidRDefault="003036F4">
            <w:pPr>
              <w:pStyle w:val="Normal12"/>
              <w:rPr>
                <w:rFonts w:ascii="Calibri" w:eastAsia="Calibri" w:hAnsi="Calibri" w:cs="Calibri"/>
                <w:color w:val="000000"/>
                <w:sz w:val="18"/>
              </w:rPr>
            </w:pPr>
          </w:p>
        </w:tc>
      </w:tr>
      <w:tr w:rsidR="003036F4" w14:paraId="430800D5"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5995B1FB"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5ED9E24B" w14:textId="77777777" w:rsidR="003036F4" w:rsidRDefault="00900E2D" w:rsidP="00852076">
            <w:pPr>
              <w:pStyle w:val="Normal12"/>
              <w:ind w:left="136" w:hanging="136"/>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67CB379A"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34 914</w:t>
            </w:r>
          </w:p>
        </w:tc>
        <w:tc>
          <w:tcPr>
            <w:tcW w:w="1035" w:type="dxa"/>
            <w:tcBorders>
              <w:top w:val="nil"/>
              <w:left w:val="nil"/>
              <w:bottom w:val="nil"/>
              <w:right w:val="nil"/>
              <w:tl2br w:val="nil"/>
              <w:tr2bl w:val="nil"/>
            </w:tcBorders>
            <w:shd w:val="clear" w:color="FFFFFF" w:fill="FFFFFF"/>
            <w:tcMar>
              <w:left w:w="101" w:type="dxa"/>
              <w:right w:w="101" w:type="dxa"/>
            </w:tcMar>
          </w:tcPr>
          <w:p w14:paraId="7A20FF69"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92 796</w:t>
            </w:r>
          </w:p>
        </w:tc>
        <w:tc>
          <w:tcPr>
            <w:tcW w:w="600" w:type="dxa"/>
            <w:tcBorders>
              <w:top w:val="nil"/>
              <w:left w:val="nil"/>
              <w:bottom w:val="nil"/>
              <w:right w:val="nil"/>
              <w:tl2br w:val="nil"/>
              <w:tr2bl w:val="nil"/>
            </w:tcBorders>
            <w:shd w:val="clear" w:color="FFFFFF" w:fill="FFFFFF"/>
            <w:tcMar>
              <w:left w:w="101" w:type="dxa"/>
              <w:right w:w="101" w:type="dxa"/>
            </w:tcMar>
          </w:tcPr>
          <w:p w14:paraId="5EF351A2"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166 </w:t>
            </w:r>
          </w:p>
        </w:tc>
        <w:tc>
          <w:tcPr>
            <w:tcW w:w="1035" w:type="dxa"/>
            <w:tcBorders>
              <w:top w:val="nil"/>
              <w:left w:val="nil"/>
              <w:bottom w:val="nil"/>
              <w:right w:val="nil"/>
              <w:tl2br w:val="nil"/>
              <w:tr2bl w:val="nil"/>
            </w:tcBorders>
            <w:shd w:val="clear" w:color="FFFFFF" w:fill="FFFFFF"/>
            <w:tcMar>
              <w:left w:w="101" w:type="dxa"/>
              <w:right w:w="101" w:type="dxa"/>
            </w:tcMar>
          </w:tcPr>
          <w:p w14:paraId="378FA2AC"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56 352</w:t>
            </w:r>
          </w:p>
        </w:tc>
        <w:tc>
          <w:tcPr>
            <w:tcW w:w="1035" w:type="dxa"/>
            <w:tcBorders>
              <w:top w:val="nil"/>
              <w:left w:val="nil"/>
              <w:bottom w:val="nil"/>
              <w:right w:val="nil"/>
              <w:tl2br w:val="nil"/>
              <w:tr2bl w:val="nil"/>
            </w:tcBorders>
            <w:shd w:val="clear" w:color="FFFFFF" w:fill="FFFFFF"/>
            <w:tcMar>
              <w:left w:w="101" w:type="dxa"/>
              <w:right w:w="101" w:type="dxa"/>
            </w:tcMar>
          </w:tcPr>
          <w:p w14:paraId="1C606CC4"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84 000</w:t>
            </w:r>
          </w:p>
        </w:tc>
        <w:tc>
          <w:tcPr>
            <w:tcW w:w="1035" w:type="dxa"/>
            <w:tcBorders>
              <w:top w:val="nil"/>
              <w:left w:val="nil"/>
              <w:bottom w:val="nil"/>
              <w:right w:val="nil"/>
              <w:tl2br w:val="nil"/>
              <w:tr2bl w:val="nil"/>
            </w:tcBorders>
            <w:shd w:val="clear" w:color="FFFFFF" w:fill="FFFFFF"/>
            <w:tcMar>
              <w:left w:w="101" w:type="dxa"/>
              <w:right w:w="101" w:type="dxa"/>
            </w:tcMar>
          </w:tcPr>
          <w:p w14:paraId="3A394B3C"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92 000</w:t>
            </w:r>
          </w:p>
        </w:tc>
      </w:tr>
      <w:tr w:rsidR="003036F4" w14:paraId="17F9042D"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2514C286" w14:textId="77777777" w:rsidR="003036F4" w:rsidRDefault="003036F4">
            <w:pPr>
              <w:pStyle w:val="Normal12"/>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28774BAC"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9ED9C8"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158E66" w14:textId="77777777" w:rsidR="003036F4" w:rsidRDefault="003036F4">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049022"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1A4139"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44D2CA"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577A3B" w14:textId="77777777" w:rsidR="003036F4" w:rsidRDefault="003036F4">
            <w:pPr>
              <w:pStyle w:val="Normal12"/>
              <w:rPr>
                <w:rFonts w:ascii="Calibri" w:eastAsia="Calibri" w:hAnsi="Calibri" w:cs="Calibri"/>
                <w:color w:val="000000"/>
                <w:sz w:val="18"/>
              </w:rPr>
            </w:pPr>
          </w:p>
        </w:tc>
      </w:tr>
      <w:tr w:rsidR="003036F4" w14:paraId="2016EAEF"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4721E48D"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FFFFFF" w:fill="FFFFFF"/>
            <w:noWrap/>
            <w:tcMar>
              <w:left w:w="101" w:type="dxa"/>
              <w:right w:w="101" w:type="dxa"/>
            </w:tcMar>
          </w:tcPr>
          <w:p w14:paraId="7A49C385" w14:textId="77777777" w:rsidR="003036F4" w:rsidRDefault="00900E2D" w:rsidP="00852076">
            <w:pPr>
              <w:pStyle w:val="Normal12"/>
              <w:ind w:left="136" w:hanging="136"/>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7ADEBE66"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7 434</w:t>
            </w:r>
          </w:p>
        </w:tc>
        <w:tc>
          <w:tcPr>
            <w:tcW w:w="1035" w:type="dxa"/>
            <w:tcBorders>
              <w:top w:val="nil"/>
              <w:left w:val="nil"/>
              <w:bottom w:val="nil"/>
              <w:right w:val="nil"/>
              <w:tl2br w:val="nil"/>
              <w:tr2bl w:val="nil"/>
            </w:tcBorders>
            <w:shd w:val="clear" w:color="FFFFFF" w:fill="FFFFFF"/>
            <w:tcMar>
              <w:left w:w="101" w:type="dxa"/>
              <w:right w:w="101" w:type="dxa"/>
            </w:tcMar>
          </w:tcPr>
          <w:p w14:paraId="4E3B3D46"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-12 339</w:t>
            </w:r>
          </w:p>
        </w:tc>
        <w:tc>
          <w:tcPr>
            <w:tcW w:w="600" w:type="dxa"/>
            <w:tcBorders>
              <w:top w:val="nil"/>
              <w:left w:val="nil"/>
              <w:bottom w:val="nil"/>
              <w:right w:val="nil"/>
              <w:tl2br w:val="nil"/>
              <w:tr2bl w:val="nil"/>
            </w:tcBorders>
            <w:shd w:val="clear" w:color="FFFFFF" w:fill="FFFFFF"/>
            <w:tcMar>
              <w:left w:w="101" w:type="dxa"/>
              <w:right w:w="101" w:type="dxa"/>
            </w:tcMar>
          </w:tcPr>
          <w:p w14:paraId="51AA87C3"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-266 </w:t>
            </w:r>
          </w:p>
        </w:tc>
        <w:tc>
          <w:tcPr>
            <w:tcW w:w="1035" w:type="dxa"/>
            <w:tcBorders>
              <w:top w:val="nil"/>
              <w:left w:val="nil"/>
              <w:bottom w:val="nil"/>
              <w:right w:val="nil"/>
              <w:tl2br w:val="nil"/>
              <w:tr2bl w:val="nil"/>
            </w:tcBorders>
            <w:shd w:val="clear" w:color="FFFFFF" w:fill="FFFFFF"/>
            <w:tcMar>
              <w:left w:w="101" w:type="dxa"/>
              <w:right w:w="101" w:type="dxa"/>
            </w:tcMar>
          </w:tcPr>
          <w:p w14:paraId="16271BCF"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252</w:t>
            </w:r>
          </w:p>
        </w:tc>
        <w:tc>
          <w:tcPr>
            <w:tcW w:w="1035" w:type="dxa"/>
            <w:tcBorders>
              <w:top w:val="nil"/>
              <w:left w:val="nil"/>
              <w:bottom w:val="nil"/>
              <w:right w:val="nil"/>
              <w:tl2br w:val="nil"/>
              <w:tr2bl w:val="nil"/>
            </w:tcBorders>
            <w:shd w:val="clear" w:color="FFFFFF" w:fill="FFFFFF"/>
            <w:tcMar>
              <w:left w:w="101" w:type="dxa"/>
              <w:right w:w="101" w:type="dxa"/>
            </w:tcMar>
          </w:tcPr>
          <w:p w14:paraId="7562911D"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258</w:t>
            </w:r>
          </w:p>
        </w:tc>
        <w:tc>
          <w:tcPr>
            <w:tcW w:w="1035" w:type="dxa"/>
            <w:tcBorders>
              <w:top w:val="nil"/>
              <w:left w:val="nil"/>
              <w:bottom w:val="nil"/>
              <w:right w:val="nil"/>
              <w:tl2br w:val="nil"/>
              <w:tr2bl w:val="nil"/>
            </w:tcBorders>
            <w:shd w:val="clear" w:color="FFFFFF" w:fill="FFFFFF"/>
            <w:tcMar>
              <w:left w:w="101" w:type="dxa"/>
              <w:right w:w="101" w:type="dxa"/>
            </w:tcMar>
          </w:tcPr>
          <w:p w14:paraId="6165F939"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265</w:t>
            </w:r>
          </w:p>
        </w:tc>
      </w:tr>
      <w:tr w:rsidR="003036F4" w14:paraId="17A6FC55"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2A3F8387" w14:textId="77777777" w:rsidR="003036F4" w:rsidRDefault="003036F4">
            <w:pPr>
              <w:pStyle w:val="Normal12"/>
              <w:rPr>
                <w:rFonts w:ascii="Calibri" w:eastAsia="Calibri" w:hAnsi="Calibri" w:cs="Calibri"/>
                <w:color w:val="000000"/>
                <w:sz w:val="18"/>
              </w:rPr>
            </w:pPr>
          </w:p>
        </w:tc>
        <w:tc>
          <w:tcPr>
            <w:tcW w:w="2569" w:type="dxa"/>
            <w:tcBorders>
              <w:top w:val="nil"/>
              <w:left w:val="nil"/>
              <w:bottom w:val="nil"/>
              <w:right w:val="nil"/>
              <w:tl2br w:val="nil"/>
              <w:tr2bl w:val="nil"/>
            </w:tcBorders>
            <w:shd w:val="clear" w:color="FFFFFF" w:fill="FFFFFF"/>
            <w:tcMar>
              <w:left w:w="0" w:type="dxa"/>
              <w:right w:w="0" w:type="dxa"/>
            </w:tcMar>
          </w:tcPr>
          <w:p w14:paraId="61A5AE6E"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218A61"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C66B9B" w14:textId="77777777" w:rsidR="003036F4" w:rsidRDefault="003036F4">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01ACDE8"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5A2ABF"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26F00D"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D3F692" w14:textId="77777777" w:rsidR="003036F4" w:rsidRDefault="003036F4">
            <w:pPr>
              <w:pStyle w:val="Normal12"/>
              <w:rPr>
                <w:rFonts w:ascii="Calibri" w:eastAsia="Calibri" w:hAnsi="Calibri" w:cs="Calibri"/>
                <w:color w:val="000000"/>
                <w:sz w:val="18"/>
              </w:rPr>
            </w:pPr>
          </w:p>
        </w:tc>
      </w:tr>
      <w:tr w:rsidR="003036F4" w14:paraId="7754C06C"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7C2B12AE"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auto" w:fill="auto"/>
            <w:noWrap/>
            <w:tcMar>
              <w:left w:w="101" w:type="dxa"/>
              <w:right w:w="101" w:type="dxa"/>
            </w:tcMar>
          </w:tcPr>
          <w:p w14:paraId="1B789A32" w14:textId="77777777" w:rsidR="003036F4" w:rsidRDefault="00900E2D" w:rsidP="00852076">
            <w:pPr>
              <w:pStyle w:val="Normal12"/>
              <w:ind w:left="136" w:hanging="136"/>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CC022BD"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2019DCD"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7 434</w:t>
            </w:r>
          </w:p>
        </w:tc>
        <w:tc>
          <w:tcPr>
            <w:tcW w:w="600" w:type="dxa"/>
            <w:tcBorders>
              <w:top w:val="nil"/>
              <w:left w:val="nil"/>
              <w:bottom w:val="nil"/>
              <w:right w:val="nil"/>
              <w:tl2br w:val="nil"/>
              <w:tr2bl w:val="nil"/>
            </w:tcBorders>
            <w:shd w:val="clear" w:color="FFFFFF" w:fill="FFFFFF"/>
            <w:tcMar>
              <w:left w:w="101" w:type="dxa"/>
              <w:right w:w="101" w:type="dxa"/>
            </w:tcMar>
          </w:tcPr>
          <w:p w14:paraId="430FA61A"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A640B30"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-4 905</w:t>
            </w:r>
          </w:p>
        </w:tc>
        <w:tc>
          <w:tcPr>
            <w:tcW w:w="1035" w:type="dxa"/>
            <w:tcBorders>
              <w:top w:val="nil"/>
              <w:left w:val="nil"/>
              <w:bottom w:val="nil"/>
              <w:right w:val="nil"/>
              <w:tl2br w:val="nil"/>
              <w:tr2bl w:val="nil"/>
            </w:tcBorders>
            <w:shd w:val="clear" w:color="FFFFFF" w:fill="FFFFFF"/>
            <w:tcMar>
              <w:left w:w="101" w:type="dxa"/>
              <w:right w:w="101" w:type="dxa"/>
            </w:tcMar>
          </w:tcPr>
          <w:p w14:paraId="7B0DFECF"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-4 653</w:t>
            </w:r>
          </w:p>
        </w:tc>
        <w:tc>
          <w:tcPr>
            <w:tcW w:w="1035" w:type="dxa"/>
            <w:tcBorders>
              <w:top w:val="nil"/>
              <w:left w:val="nil"/>
              <w:bottom w:val="nil"/>
              <w:right w:val="nil"/>
              <w:tl2br w:val="nil"/>
              <w:tr2bl w:val="nil"/>
            </w:tcBorders>
            <w:shd w:val="clear" w:color="FFFFFF" w:fill="FFFFFF"/>
            <w:tcMar>
              <w:left w:w="101" w:type="dxa"/>
              <w:right w:w="101" w:type="dxa"/>
            </w:tcMar>
          </w:tcPr>
          <w:p w14:paraId="62F54B40"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-4 395</w:t>
            </w:r>
          </w:p>
        </w:tc>
      </w:tr>
      <w:tr w:rsidR="003036F4" w14:paraId="056F17A0"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0" w:type="dxa"/>
              <w:right w:w="0" w:type="dxa"/>
            </w:tcMar>
          </w:tcPr>
          <w:p w14:paraId="0966D7D7" w14:textId="77777777" w:rsidR="003036F4" w:rsidRDefault="003036F4">
            <w:pPr>
              <w:pStyle w:val="Normal12"/>
              <w:rPr>
                <w:rFonts w:ascii="Calibri" w:eastAsia="Calibri" w:hAnsi="Calibri" w:cs="Calibri"/>
                <w:color w:val="000000"/>
                <w:sz w:val="18"/>
              </w:rPr>
            </w:pPr>
          </w:p>
        </w:tc>
        <w:tc>
          <w:tcPr>
            <w:tcW w:w="2569" w:type="dxa"/>
            <w:tcBorders>
              <w:top w:val="nil"/>
              <w:left w:val="nil"/>
              <w:bottom w:val="nil"/>
              <w:right w:val="nil"/>
              <w:tl2br w:val="nil"/>
              <w:tr2bl w:val="nil"/>
            </w:tcBorders>
            <w:shd w:val="clear" w:color="auto" w:fill="auto"/>
            <w:noWrap/>
            <w:tcMar>
              <w:left w:w="0" w:type="dxa"/>
              <w:right w:w="0" w:type="dxa"/>
            </w:tcMar>
            <w:vAlign w:val="bottom"/>
          </w:tcPr>
          <w:p w14:paraId="4972F619"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57F040"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A8B8EA" w14:textId="77777777" w:rsidR="003036F4" w:rsidRDefault="003036F4">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5CAD7E7"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C98C2A"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12F987" w14:textId="77777777" w:rsidR="003036F4" w:rsidRDefault="003036F4">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FB9AD1" w14:textId="77777777" w:rsidR="003036F4" w:rsidRDefault="003036F4">
            <w:pPr>
              <w:pStyle w:val="Normal12"/>
              <w:rPr>
                <w:rFonts w:ascii="Calibri" w:eastAsia="Calibri" w:hAnsi="Calibri" w:cs="Calibri"/>
                <w:color w:val="000000"/>
                <w:sz w:val="18"/>
              </w:rPr>
            </w:pPr>
          </w:p>
        </w:tc>
      </w:tr>
      <w:tr w:rsidR="003036F4" w14:paraId="1110BE66"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51" w:type="dxa"/>
            <w:tcBorders>
              <w:top w:val="nil"/>
              <w:left w:val="nil"/>
              <w:bottom w:val="nil"/>
              <w:right w:val="nil"/>
              <w:tl2br w:val="nil"/>
              <w:tr2bl w:val="nil"/>
            </w:tcBorders>
            <w:shd w:val="clear" w:color="FFFFFF" w:fill="FFFFFF"/>
            <w:tcMar>
              <w:left w:w="101" w:type="dxa"/>
              <w:right w:w="101" w:type="dxa"/>
            </w:tcMar>
          </w:tcPr>
          <w:p w14:paraId="11EA047C"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569" w:type="dxa"/>
            <w:tcBorders>
              <w:top w:val="nil"/>
              <w:left w:val="nil"/>
              <w:bottom w:val="nil"/>
              <w:right w:val="nil"/>
              <w:tl2br w:val="nil"/>
              <w:tr2bl w:val="nil"/>
            </w:tcBorders>
            <w:shd w:val="clear" w:color="auto" w:fill="auto"/>
            <w:noWrap/>
            <w:tcMar>
              <w:left w:w="101" w:type="dxa"/>
              <w:right w:w="101" w:type="dxa"/>
            </w:tcMar>
          </w:tcPr>
          <w:p w14:paraId="59BAB4BB" w14:textId="77777777" w:rsidR="003036F4" w:rsidRDefault="00900E2D" w:rsidP="00852076">
            <w:pPr>
              <w:pStyle w:val="Normal12"/>
              <w:ind w:left="136" w:hanging="136"/>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6AB43FCD"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7 434</w:t>
            </w:r>
          </w:p>
        </w:tc>
        <w:tc>
          <w:tcPr>
            <w:tcW w:w="1035" w:type="dxa"/>
            <w:tcBorders>
              <w:top w:val="nil"/>
              <w:left w:val="nil"/>
              <w:bottom w:val="nil"/>
              <w:right w:val="nil"/>
              <w:tl2br w:val="nil"/>
              <w:tr2bl w:val="nil"/>
            </w:tcBorders>
            <w:shd w:val="clear" w:color="FFFFFF" w:fill="FFFFFF"/>
            <w:tcMar>
              <w:left w:w="101" w:type="dxa"/>
              <w:right w:w="101" w:type="dxa"/>
            </w:tcMar>
          </w:tcPr>
          <w:p w14:paraId="20007B75"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-4 905</w:t>
            </w:r>
          </w:p>
        </w:tc>
        <w:tc>
          <w:tcPr>
            <w:tcW w:w="600" w:type="dxa"/>
            <w:tcBorders>
              <w:top w:val="nil"/>
              <w:left w:val="nil"/>
              <w:bottom w:val="nil"/>
              <w:right w:val="nil"/>
              <w:tl2br w:val="nil"/>
              <w:tr2bl w:val="nil"/>
            </w:tcBorders>
            <w:shd w:val="clear" w:color="FFFFFF" w:fill="FFFFFF"/>
            <w:tcMar>
              <w:left w:w="101" w:type="dxa"/>
              <w:right w:w="101" w:type="dxa"/>
            </w:tcMar>
          </w:tcPr>
          <w:p w14:paraId="4D8D0521"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-166 </w:t>
            </w:r>
          </w:p>
        </w:tc>
        <w:tc>
          <w:tcPr>
            <w:tcW w:w="1035" w:type="dxa"/>
            <w:tcBorders>
              <w:top w:val="nil"/>
              <w:left w:val="nil"/>
              <w:bottom w:val="nil"/>
              <w:right w:val="nil"/>
              <w:tl2br w:val="nil"/>
              <w:tr2bl w:val="nil"/>
            </w:tcBorders>
            <w:shd w:val="clear" w:color="FFFFFF" w:fill="FFFFFF"/>
            <w:tcMar>
              <w:left w:w="101" w:type="dxa"/>
              <w:right w:w="101" w:type="dxa"/>
            </w:tcMar>
          </w:tcPr>
          <w:p w14:paraId="360AA3B9"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-4 653</w:t>
            </w:r>
          </w:p>
        </w:tc>
        <w:tc>
          <w:tcPr>
            <w:tcW w:w="1035" w:type="dxa"/>
            <w:tcBorders>
              <w:top w:val="nil"/>
              <w:left w:val="nil"/>
              <w:bottom w:val="nil"/>
              <w:right w:val="nil"/>
              <w:tl2br w:val="nil"/>
              <w:tr2bl w:val="nil"/>
            </w:tcBorders>
            <w:shd w:val="clear" w:color="FFFFFF" w:fill="FFFFFF"/>
            <w:tcMar>
              <w:left w:w="101" w:type="dxa"/>
              <w:right w:w="101" w:type="dxa"/>
            </w:tcMar>
          </w:tcPr>
          <w:p w14:paraId="5137B6CA"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-4 395</w:t>
            </w:r>
          </w:p>
        </w:tc>
        <w:tc>
          <w:tcPr>
            <w:tcW w:w="1035" w:type="dxa"/>
            <w:tcBorders>
              <w:top w:val="nil"/>
              <w:left w:val="nil"/>
              <w:bottom w:val="nil"/>
              <w:right w:val="nil"/>
              <w:tl2br w:val="nil"/>
              <w:tr2bl w:val="nil"/>
            </w:tcBorders>
            <w:shd w:val="clear" w:color="FFFFFF" w:fill="FFFFFF"/>
            <w:tcMar>
              <w:left w:w="101" w:type="dxa"/>
              <w:right w:w="101" w:type="dxa"/>
            </w:tcMar>
          </w:tcPr>
          <w:p w14:paraId="616C4144" w14:textId="77777777" w:rsidR="003036F4" w:rsidRDefault="00900E2D">
            <w:pPr>
              <w:pStyle w:val="Normal12"/>
              <w:jc w:val="right"/>
              <w:rPr>
                <w:rFonts w:ascii="Calibri" w:eastAsia="Calibri" w:hAnsi="Calibri" w:cs="Calibri"/>
                <w:b/>
                <w:color w:val="000000"/>
                <w:sz w:val="18"/>
              </w:rPr>
            </w:pPr>
            <w:r>
              <w:rPr>
                <w:rFonts w:ascii="Calibri" w:eastAsia="Calibri" w:hAnsi="Calibri" w:cs="Calibri"/>
                <w:b/>
                <w:color w:val="000000"/>
                <w:sz w:val="18"/>
              </w:rPr>
              <w:t>-4 130</w:t>
            </w:r>
          </w:p>
        </w:tc>
      </w:tr>
      <w:tr w:rsidR="003036F4" w14:paraId="6DD2488B"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851" w:type="dxa"/>
            <w:tcBorders>
              <w:top w:val="nil"/>
              <w:left w:val="nil"/>
              <w:bottom w:val="single" w:sz="8" w:space="0" w:color="000000"/>
              <w:right w:val="nil"/>
              <w:tl2br w:val="nil"/>
              <w:tr2bl w:val="nil"/>
            </w:tcBorders>
            <w:shd w:val="clear" w:color="FFFFFF" w:fill="FFFFFF"/>
            <w:tcMar>
              <w:left w:w="0" w:type="dxa"/>
              <w:right w:w="0" w:type="dxa"/>
            </w:tcMar>
          </w:tcPr>
          <w:p w14:paraId="4A6509B9" w14:textId="77777777" w:rsidR="003036F4" w:rsidRDefault="003036F4">
            <w:pPr>
              <w:pStyle w:val="Normal12"/>
              <w:rPr>
                <w:rFonts w:ascii="Calibri" w:eastAsia="Calibri" w:hAnsi="Calibri" w:cs="Calibri"/>
                <w:color w:val="000000"/>
                <w:sz w:val="18"/>
              </w:rPr>
            </w:pPr>
          </w:p>
        </w:tc>
        <w:tc>
          <w:tcPr>
            <w:tcW w:w="2569" w:type="dxa"/>
            <w:tcBorders>
              <w:top w:val="nil"/>
              <w:left w:val="nil"/>
              <w:bottom w:val="single" w:sz="8" w:space="0" w:color="000000"/>
              <w:right w:val="nil"/>
              <w:tl2br w:val="nil"/>
              <w:tr2bl w:val="nil"/>
            </w:tcBorders>
            <w:shd w:val="clear" w:color="FFFFFF" w:fill="FFFFFF"/>
            <w:tcMar>
              <w:left w:w="0" w:type="dxa"/>
              <w:right w:w="0" w:type="dxa"/>
            </w:tcMar>
          </w:tcPr>
          <w:p w14:paraId="2132E0AA" w14:textId="77777777" w:rsidR="003036F4" w:rsidRDefault="003036F4">
            <w:pPr>
              <w:pStyle w:val="Normal1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37E1A729" w14:textId="77777777" w:rsidR="003036F4" w:rsidRDefault="003036F4">
            <w:pPr>
              <w:pStyle w:val="Normal1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66D69BB8" w14:textId="77777777" w:rsidR="003036F4" w:rsidRDefault="003036F4">
            <w:pPr>
              <w:pStyle w:val="Normal12"/>
              <w:rPr>
                <w:rFonts w:ascii="Calibri" w:eastAsia="Calibri" w:hAnsi="Calibri" w:cs="Calibri"/>
                <w:color w:val="000000"/>
                <w:sz w:val="18"/>
              </w:rPr>
            </w:pPr>
          </w:p>
        </w:tc>
        <w:tc>
          <w:tcPr>
            <w:tcW w:w="600" w:type="dxa"/>
            <w:tcBorders>
              <w:top w:val="nil"/>
              <w:left w:val="nil"/>
              <w:bottom w:val="single" w:sz="8" w:space="0" w:color="000000"/>
              <w:right w:val="nil"/>
              <w:tl2br w:val="nil"/>
              <w:tr2bl w:val="nil"/>
            </w:tcBorders>
            <w:shd w:val="clear" w:color="FFFFFF" w:fill="FFFFFF"/>
            <w:tcMar>
              <w:left w:w="0" w:type="dxa"/>
              <w:right w:w="0" w:type="dxa"/>
            </w:tcMar>
          </w:tcPr>
          <w:p w14:paraId="5220DB27" w14:textId="77777777" w:rsidR="003036F4" w:rsidRDefault="003036F4">
            <w:pPr>
              <w:pStyle w:val="Normal1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518443EE" w14:textId="77777777" w:rsidR="003036F4" w:rsidRDefault="003036F4">
            <w:pPr>
              <w:pStyle w:val="Normal1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5A2ED65A" w14:textId="77777777" w:rsidR="003036F4" w:rsidRDefault="003036F4">
            <w:pPr>
              <w:pStyle w:val="Normal12"/>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FFFFFF" w:fill="FFFFFF"/>
            <w:tcMar>
              <w:left w:w="0" w:type="dxa"/>
              <w:right w:w="0" w:type="dxa"/>
            </w:tcMar>
          </w:tcPr>
          <w:p w14:paraId="51E2332E" w14:textId="77777777" w:rsidR="003036F4" w:rsidRDefault="003036F4">
            <w:pPr>
              <w:pStyle w:val="Normal12"/>
              <w:rPr>
                <w:rFonts w:ascii="Calibri" w:eastAsia="Calibri" w:hAnsi="Calibri" w:cs="Calibri"/>
                <w:color w:val="000000"/>
                <w:sz w:val="18"/>
              </w:rPr>
            </w:pPr>
          </w:p>
        </w:tc>
      </w:tr>
      <w:tr w:rsidR="003036F4" w14:paraId="635C4F62" w14:textId="77777777" w:rsidTr="00BC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851" w:type="dxa"/>
            <w:tcBorders>
              <w:top w:val="single" w:sz="8" w:space="0" w:color="000000"/>
              <w:left w:val="nil"/>
              <w:bottom w:val="nil"/>
              <w:right w:val="nil"/>
              <w:tl2br w:val="nil"/>
              <w:tr2bl w:val="nil"/>
            </w:tcBorders>
            <w:shd w:val="clear" w:color="FFFFFF" w:fill="FFFFFF"/>
            <w:tcMar>
              <w:left w:w="0" w:type="dxa"/>
              <w:right w:w="0" w:type="dxa"/>
            </w:tcMar>
          </w:tcPr>
          <w:p w14:paraId="3735FEB9" w14:textId="77777777" w:rsidR="003036F4" w:rsidRDefault="003036F4">
            <w:pPr>
              <w:pStyle w:val="Normal12"/>
              <w:rPr>
                <w:rFonts w:ascii="Calibri" w:eastAsia="Calibri" w:hAnsi="Calibri" w:cs="Calibri"/>
                <w:color w:val="000000"/>
                <w:sz w:val="18"/>
              </w:rPr>
            </w:pPr>
          </w:p>
        </w:tc>
        <w:tc>
          <w:tcPr>
            <w:tcW w:w="2569" w:type="dxa"/>
            <w:tcBorders>
              <w:top w:val="single" w:sz="8" w:space="0" w:color="000000"/>
              <w:left w:val="nil"/>
              <w:bottom w:val="nil"/>
              <w:right w:val="nil"/>
              <w:tl2br w:val="nil"/>
              <w:tr2bl w:val="nil"/>
            </w:tcBorders>
            <w:shd w:val="clear" w:color="FFFFFF" w:fill="FFFFFF"/>
            <w:tcMar>
              <w:left w:w="0" w:type="dxa"/>
              <w:right w:w="0" w:type="dxa"/>
            </w:tcMar>
          </w:tcPr>
          <w:p w14:paraId="2D79CD5C" w14:textId="77777777" w:rsidR="003036F4" w:rsidRDefault="003036F4">
            <w:pPr>
              <w:pStyle w:val="Normal12"/>
              <w:rPr>
                <w:rFonts w:ascii="Calibri" w:eastAsia="Calibri" w:hAnsi="Calibri" w:cs="Calibr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34C80735" w14:textId="77777777" w:rsidR="003036F4" w:rsidRDefault="003036F4">
            <w:pPr>
              <w:pStyle w:val="Normal12"/>
              <w:rPr>
                <w:rFonts w:ascii="Calibri" w:eastAsia="Calibri" w:hAnsi="Calibri" w:cs="Calibr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78C94C59" w14:textId="77777777" w:rsidR="003036F4" w:rsidRDefault="003036F4">
            <w:pPr>
              <w:pStyle w:val="Normal12"/>
              <w:rPr>
                <w:rFonts w:ascii="Calibri" w:eastAsia="Calibri" w:hAnsi="Calibri" w:cs="Calibri"/>
                <w:color w:val="000000"/>
                <w:sz w:val="18"/>
              </w:rPr>
            </w:pPr>
          </w:p>
        </w:tc>
        <w:tc>
          <w:tcPr>
            <w:tcW w:w="600" w:type="dxa"/>
            <w:tcBorders>
              <w:top w:val="single" w:sz="8" w:space="0" w:color="000000"/>
              <w:left w:val="nil"/>
              <w:bottom w:val="nil"/>
              <w:right w:val="nil"/>
              <w:tl2br w:val="nil"/>
              <w:tr2bl w:val="nil"/>
            </w:tcBorders>
            <w:shd w:val="clear" w:color="FFFFFF" w:fill="FFFFFF"/>
            <w:tcMar>
              <w:left w:w="0" w:type="dxa"/>
              <w:right w:w="0" w:type="dxa"/>
            </w:tcMar>
          </w:tcPr>
          <w:p w14:paraId="5D82F934" w14:textId="77777777" w:rsidR="003036F4" w:rsidRDefault="003036F4">
            <w:pPr>
              <w:pStyle w:val="Normal12"/>
              <w:rPr>
                <w:rFonts w:ascii="Calibri" w:eastAsia="Calibri" w:hAnsi="Calibri" w:cs="Calibr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049F17EF" w14:textId="77777777" w:rsidR="003036F4" w:rsidRDefault="003036F4">
            <w:pPr>
              <w:pStyle w:val="Normal12"/>
              <w:rPr>
                <w:rFonts w:ascii="Calibri" w:eastAsia="Calibri" w:hAnsi="Calibri" w:cs="Calibr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6665EFB5" w14:textId="77777777" w:rsidR="003036F4" w:rsidRDefault="003036F4">
            <w:pPr>
              <w:pStyle w:val="Normal12"/>
              <w:rPr>
                <w:rFonts w:ascii="Calibri" w:eastAsia="Calibri" w:hAnsi="Calibri" w:cs="Calibri"/>
                <w:color w:val="000000"/>
                <w:sz w:val="18"/>
              </w:rPr>
            </w:pPr>
          </w:p>
        </w:tc>
        <w:tc>
          <w:tcPr>
            <w:tcW w:w="1035" w:type="dxa"/>
            <w:tcBorders>
              <w:top w:val="single" w:sz="8" w:space="0" w:color="000000"/>
              <w:left w:val="nil"/>
              <w:bottom w:val="nil"/>
              <w:right w:val="nil"/>
              <w:tl2br w:val="nil"/>
              <w:tr2bl w:val="nil"/>
            </w:tcBorders>
            <w:shd w:val="clear" w:color="FFFFFF" w:fill="FFFFFF"/>
            <w:tcMar>
              <w:left w:w="0" w:type="dxa"/>
              <w:right w:w="0" w:type="dxa"/>
            </w:tcMar>
          </w:tcPr>
          <w:p w14:paraId="6FA9E252" w14:textId="77777777" w:rsidR="003036F4" w:rsidRDefault="003036F4">
            <w:pPr>
              <w:pStyle w:val="Normal12"/>
              <w:rPr>
                <w:rFonts w:ascii="Calibri" w:eastAsia="Calibri" w:hAnsi="Calibri" w:cs="Calibri"/>
                <w:color w:val="000000"/>
                <w:sz w:val="18"/>
              </w:rPr>
            </w:pPr>
          </w:p>
        </w:tc>
      </w:tr>
    </w:tbl>
    <w:p w14:paraId="675E5C82" w14:textId="77777777" w:rsidR="006E72F1" w:rsidRDefault="00900E2D" w:rsidP="006E72F1">
      <w:pPr>
        <w:pStyle w:val="Heading3"/>
        <w:pageBreakBefore/>
        <w:pBdr>
          <w:top w:val="nil"/>
          <w:left w:val="nil"/>
          <w:bottom w:val="nil"/>
          <w:right w:val="nil"/>
          <w:between w:val="nil"/>
          <w:bar w:val="nil"/>
        </w:pBdr>
        <w:rPr>
          <w:bdr w:val="nil"/>
        </w:rPr>
      </w:pPr>
      <w:r>
        <w:rPr>
          <w:bdr w:val="nil"/>
        </w:rPr>
        <w:lastRenderedPageBreak/>
        <w:t>Notes to the Controlled Budget Statements</w:t>
      </w:r>
    </w:p>
    <w:p w14:paraId="2A0FD55F" w14:textId="4D6C1FBD" w:rsidR="006E72F1" w:rsidRDefault="00900E2D" w:rsidP="006E72F1">
      <w:pPr>
        <w:pBdr>
          <w:top w:val="nil"/>
          <w:left w:val="nil"/>
          <w:bottom w:val="nil"/>
          <w:right w:val="nil"/>
          <w:between w:val="nil"/>
          <w:bar w:val="nil"/>
        </w:pBdr>
        <w:jc w:val="both"/>
        <w:rPr>
          <w:bdr w:val="nil"/>
        </w:rPr>
      </w:pPr>
      <w:r>
        <w:rPr>
          <w:bdr w:val="nil"/>
        </w:rPr>
        <w:t xml:space="preserve">Major Projects Canberra commenced operations from 1 July 2019 after the tabling of the </w:t>
      </w:r>
      <w:r w:rsidR="00332931">
        <w:rPr>
          <w:bdr w:val="nil"/>
        </w:rPr>
        <w:t>2019–20</w:t>
      </w:r>
      <w:r>
        <w:rPr>
          <w:bdr w:val="nil"/>
        </w:rPr>
        <w:t xml:space="preserve"> Budget. Details of the </w:t>
      </w:r>
      <w:r w:rsidR="00332931">
        <w:rPr>
          <w:bdr w:val="nil"/>
        </w:rPr>
        <w:t>2019–20</w:t>
      </w:r>
      <w:r>
        <w:rPr>
          <w:bdr w:val="nil"/>
        </w:rPr>
        <w:t xml:space="preserve"> audited outcome can be found in the Major Projects Canberra Financial Statements in the </w:t>
      </w:r>
      <w:r w:rsidR="00332931">
        <w:rPr>
          <w:bdr w:val="nil"/>
        </w:rPr>
        <w:t>2019–20</w:t>
      </w:r>
      <w:r>
        <w:rPr>
          <w:bdr w:val="nil"/>
        </w:rPr>
        <w:t xml:space="preserve"> Major Projects Canberra Annual Report.</w:t>
      </w:r>
    </w:p>
    <w:p w14:paraId="3C7977CD" w14:textId="76AB8723" w:rsidR="006E72F1" w:rsidRDefault="00900E2D" w:rsidP="006E72F1">
      <w:pPr>
        <w:pBdr>
          <w:top w:val="nil"/>
          <w:left w:val="nil"/>
          <w:bottom w:val="nil"/>
          <w:right w:val="nil"/>
          <w:between w:val="nil"/>
          <w:bar w:val="nil"/>
        </w:pBdr>
        <w:jc w:val="both"/>
        <w:rPr>
          <w:bdr w:val="nil"/>
        </w:rPr>
      </w:pPr>
      <w:r>
        <w:rPr>
          <w:bdr w:val="nil"/>
        </w:rPr>
        <w:t xml:space="preserve">Significant variations between the </w:t>
      </w:r>
      <w:r w:rsidR="00332931">
        <w:rPr>
          <w:bdr w:val="nil"/>
        </w:rPr>
        <w:t>2019–20</w:t>
      </w:r>
      <w:r>
        <w:rPr>
          <w:bdr w:val="nil"/>
        </w:rPr>
        <w:t xml:space="preserve"> audited outcome and the </w:t>
      </w:r>
      <w:r w:rsidR="00332931">
        <w:rPr>
          <w:bdr w:val="nil"/>
        </w:rPr>
        <w:t>2020–21</w:t>
      </w:r>
      <w:r>
        <w:rPr>
          <w:bdr w:val="nil"/>
        </w:rPr>
        <w:t xml:space="preserve"> Budget are as follows:</w:t>
      </w:r>
    </w:p>
    <w:p w14:paraId="1AF5C898" w14:textId="77777777" w:rsidR="006E72F1" w:rsidRDefault="00900E2D" w:rsidP="006E72F1">
      <w:pPr>
        <w:pBdr>
          <w:top w:val="nil"/>
          <w:left w:val="nil"/>
          <w:bottom w:val="nil"/>
          <w:right w:val="nil"/>
          <w:between w:val="nil"/>
          <w:bar w:val="nil"/>
        </w:pBdr>
        <w:jc w:val="both"/>
        <w:rPr>
          <w:b/>
          <w:i/>
          <w:bdr w:val="nil"/>
        </w:rPr>
      </w:pPr>
      <w:r>
        <w:rPr>
          <w:b/>
          <w:i/>
          <w:bdr w:val="nil"/>
        </w:rPr>
        <w:t>Operating Statement</w:t>
      </w:r>
    </w:p>
    <w:p w14:paraId="621D2FE1" w14:textId="6D068AAC" w:rsidR="006E72F1" w:rsidRPr="005054A2" w:rsidRDefault="00900E2D" w:rsidP="00904C03">
      <w:pPr>
        <w:pStyle w:val="BSbullet1"/>
        <w:numPr>
          <w:ilvl w:val="0"/>
          <w:numId w:val="17"/>
        </w:numPr>
        <w:pBdr>
          <w:top w:val="nil"/>
          <w:left w:val="nil"/>
          <w:bottom w:val="nil"/>
          <w:right w:val="nil"/>
          <w:between w:val="nil"/>
          <w:bar w:val="nil"/>
        </w:pBdr>
        <w:jc w:val="both"/>
        <w:rPr>
          <w:bdr w:val="nil"/>
        </w:rPr>
      </w:pPr>
      <w:r w:rsidRPr="005054A2">
        <w:rPr>
          <w:bdr w:val="nil"/>
        </w:rPr>
        <w:t xml:space="preserve">controlled recurrent payments: the decrease of $3.550 million in the </w:t>
      </w:r>
      <w:r w:rsidR="00332931" w:rsidRPr="005054A2">
        <w:rPr>
          <w:bdr w:val="nil"/>
        </w:rPr>
        <w:t>2020–21</w:t>
      </w:r>
      <w:r w:rsidRPr="005054A2">
        <w:rPr>
          <w:bdr w:val="nil"/>
        </w:rPr>
        <w:t xml:space="preserve"> Budget from the </w:t>
      </w:r>
      <w:r w:rsidR="00332931" w:rsidRPr="005054A2">
        <w:rPr>
          <w:bdr w:val="nil"/>
        </w:rPr>
        <w:t>2019–20</w:t>
      </w:r>
      <w:r w:rsidRPr="005054A2">
        <w:rPr>
          <w:bdr w:val="nil"/>
        </w:rPr>
        <w:t xml:space="preserve"> audited outcome is primarily due to additional funding received in </w:t>
      </w:r>
      <w:r w:rsidR="00332931" w:rsidRPr="005054A2">
        <w:rPr>
          <w:bdr w:val="nil"/>
        </w:rPr>
        <w:t>2019–20</w:t>
      </w:r>
      <w:r w:rsidRPr="005054A2">
        <w:rPr>
          <w:bdr w:val="nil"/>
        </w:rPr>
        <w:t xml:space="preserve"> to meet immediate cash needs of operations and facilitate a payment to the Chief Minister, Treasury and Economic Development Directorate ($4.700 million) and variations in the controlled recurrent payments requirements for designated project program in </w:t>
      </w:r>
      <w:r w:rsidR="00332931" w:rsidRPr="005054A2">
        <w:rPr>
          <w:bdr w:val="nil"/>
        </w:rPr>
        <w:t>2020–21</w:t>
      </w:r>
      <w:r w:rsidRPr="005054A2">
        <w:rPr>
          <w:bdr w:val="nil"/>
        </w:rPr>
        <w:t xml:space="preserve"> as summarised in </w:t>
      </w:r>
      <w:r w:rsidR="005054A2" w:rsidRPr="005054A2">
        <w:rPr>
          <w:bdr w:val="nil"/>
        </w:rPr>
        <w:t>Table 4: Changes to appropriation – Controlled Recurrent Payments</w:t>
      </w:r>
      <w:r w:rsidRPr="005054A2">
        <w:rPr>
          <w:bdr w:val="nil"/>
        </w:rPr>
        <w:t xml:space="preserve">; </w:t>
      </w:r>
    </w:p>
    <w:p w14:paraId="14C2C194" w14:textId="591CDC8D" w:rsidR="006E72F1" w:rsidRPr="00287CA8" w:rsidRDefault="00900E2D" w:rsidP="006E72F1">
      <w:pPr>
        <w:pStyle w:val="BSbullet1"/>
        <w:numPr>
          <w:ilvl w:val="0"/>
          <w:numId w:val="17"/>
        </w:numPr>
        <w:pBdr>
          <w:top w:val="nil"/>
          <w:left w:val="nil"/>
          <w:bottom w:val="nil"/>
          <w:right w:val="nil"/>
          <w:between w:val="nil"/>
          <w:bar w:val="nil"/>
        </w:pBdr>
        <w:jc w:val="both"/>
        <w:rPr>
          <w:bdr w:val="nil"/>
        </w:rPr>
      </w:pPr>
      <w:r>
        <w:rPr>
          <w:bdr w:val="nil"/>
        </w:rPr>
        <w:t>sale of goods and services from contracts with customers</w:t>
      </w:r>
      <w:r w:rsidRPr="00287CA8">
        <w:rPr>
          <w:bdr w:val="nil"/>
        </w:rPr>
        <w:t>: the</w:t>
      </w:r>
      <w:r>
        <w:rPr>
          <w:bdr w:val="nil"/>
        </w:rPr>
        <w:t xml:space="preserve"> increase of $6.970 million</w:t>
      </w:r>
      <w:r w:rsidRPr="00287CA8">
        <w:rPr>
          <w:bdr w:val="nil"/>
        </w:rPr>
        <w:t xml:space="preserve"> in the </w:t>
      </w:r>
      <w:r w:rsidR="00332931">
        <w:rPr>
          <w:bdr w:val="nil"/>
        </w:rPr>
        <w:t>2020–21</w:t>
      </w:r>
      <w:r w:rsidRPr="00287CA8">
        <w:rPr>
          <w:bdr w:val="nil"/>
        </w:rPr>
        <w:t xml:space="preserve"> Budget from the </w:t>
      </w:r>
      <w:r w:rsidR="00332931">
        <w:rPr>
          <w:bdr w:val="nil"/>
        </w:rPr>
        <w:t>2019–20</w:t>
      </w:r>
      <w:r w:rsidRPr="00287CA8">
        <w:rPr>
          <w:bdr w:val="nil"/>
        </w:rPr>
        <w:t xml:space="preserve"> </w:t>
      </w:r>
      <w:r>
        <w:rPr>
          <w:bdr w:val="nil"/>
        </w:rPr>
        <w:t>audit</w:t>
      </w:r>
      <w:r w:rsidRPr="00287CA8">
        <w:rPr>
          <w:bdr w:val="nil"/>
        </w:rPr>
        <w:t xml:space="preserve">ed outcome is due </w:t>
      </w:r>
      <w:r w:rsidR="00FE438F">
        <w:rPr>
          <w:bdr w:val="nil"/>
        </w:rPr>
        <w:t xml:space="preserve">to a </w:t>
      </w:r>
      <w:r>
        <w:rPr>
          <w:bdr w:val="nil"/>
        </w:rPr>
        <w:t xml:space="preserve">reduced capital works management levy revenue recognised in </w:t>
      </w:r>
      <w:r w:rsidR="00332931">
        <w:rPr>
          <w:bdr w:val="nil"/>
        </w:rPr>
        <w:t>2019–20</w:t>
      </w:r>
      <w:r>
        <w:rPr>
          <w:bdr w:val="nil"/>
        </w:rPr>
        <w:t xml:space="preserve"> due to reprofiling of associated capital projects for delivery in future years;</w:t>
      </w:r>
      <w:r w:rsidRPr="00287CA8">
        <w:rPr>
          <w:bdr w:val="nil"/>
        </w:rPr>
        <w:t xml:space="preserve"> </w:t>
      </w:r>
    </w:p>
    <w:p w14:paraId="0E890164" w14:textId="1CAB64DD" w:rsidR="006E72F1" w:rsidRDefault="00900E2D" w:rsidP="006E72F1">
      <w:pPr>
        <w:pStyle w:val="BSbullet1"/>
        <w:numPr>
          <w:ilvl w:val="0"/>
          <w:numId w:val="17"/>
        </w:numPr>
        <w:pBdr>
          <w:top w:val="nil"/>
          <w:left w:val="nil"/>
          <w:bottom w:val="nil"/>
          <w:right w:val="nil"/>
          <w:between w:val="nil"/>
          <w:bar w:val="nil"/>
        </w:pBdr>
        <w:jc w:val="both"/>
        <w:rPr>
          <w:bdr w:val="nil"/>
        </w:rPr>
      </w:pPr>
      <w:r>
        <w:rPr>
          <w:bdr w:val="nil"/>
        </w:rPr>
        <w:t xml:space="preserve">employee expenses: the decrease of $4.380 million in the </w:t>
      </w:r>
      <w:r w:rsidR="00332931">
        <w:rPr>
          <w:bdr w:val="nil"/>
        </w:rPr>
        <w:t>2020–21</w:t>
      </w:r>
      <w:r w:rsidRPr="00287CA8">
        <w:rPr>
          <w:bdr w:val="nil"/>
        </w:rPr>
        <w:t xml:space="preserve"> Budget from the </w:t>
      </w:r>
      <w:r w:rsidR="00332931">
        <w:rPr>
          <w:bdr w:val="nil"/>
        </w:rPr>
        <w:t>2019</w:t>
      </w:r>
      <w:r w:rsidR="005054A2">
        <w:rPr>
          <w:bdr w:val="nil"/>
        </w:rPr>
        <w:noBreakHyphen/>
      </w:r>
      <w:r w:rsidR="00332931">
        <w:rPr>
          <w:bdr w:val="nil"/>
        </w:rPr>
        <w:t>20</w:t>
      </w:r>
      <w:r w:rsidRPr="00287CA8">
        <w:rPr>
          <w:bdr w:val="nil"/>
        </w:rPr>
        <w:t xml:space="preserve"> </w:t>
      </w:r>
      <w:r>
        <w:rPr>
          <w:bdr w:val="nil"/>
        </w:rPr>
        <w:t>audit</w:t>
      </w:r>
      <w:r w:rsidRPr="00287CA8">
        <w:rPr>
          <w:bdr w:val="nil"/>
        </w:rPr>
        <w:t>ed outcome is mainly due</w:t>
      </w:r>
      <w:r>
        <w:rPr>
          <w:bdr w:val="nil"/>
        </w:rPr>
        <w:t xml:space="preserve"> to capital funded employee expenses which did not satisfy accounting criteria for capitalisation in </w:t>
      </w:r>
      <w:r w:rsidR="00332931">
        <w:rPr>
          <w:bdr w:val="nil"/>
        </w:rPr>
        <w:t>2019–20</w:t>
      </w:r>
      <w:r>
        <w:rPr>
          <w:bdr w:val="nil"/>
        </w:rPr>
        <w:t xml:space="preserve">; and </w:t>
      </w:r>
    </w:p>
    <w:p w14:paraId="39071CC4" w14:textId="42D0C307" w:rsidR="006E72F1" w:rsidRPr="00684036" w:rsidRDefault="00900E2D" w:rsidP="006E72F1">
      <w:pPr>
        <w:pStyle w:val="BSbullet1"/>
        <w:keepNext/>
        <w:numPr>
          <w:ilvl w:val="0"/>
          <w:numId w:val="17"/>
        </w:numPr>
        <w:pBdr>
          <w:top w:val="nil"/>
          <w:left w:val="nil"/>
          <w:bottom w:val="nil"/>
          <w:right w:val="nil"/>
          <w:between w:val="nil"/>
          <w:bar w:val="nil"/>
        </w:pBdr>
        <w:jc w:val="both"/>
        <w:rPr>
          <w:bdr w:val="nil"/>
        </w:rPr>
      </w:pPr>
      <w:r>
        <w:rPr>
          <w:bdr w:val="nil"/>
        </w:rPr>
        <w:t>supplies and services</w:t>
      </w:r>
      <w:r w:rsidRPr="00287CA8">
        <w:rPr>
          <w:bdr w:val="nil"/>
        </w:rPr>
        <w:t>: the</w:t>
      </w:r>
      <w:r>
        <w:rPr>
          <w:bdr w:val="nil"/>
        </w:rPr>
        <w:t xml:space="preserve"> </w:t>
      </w:r>
      <w:r w:rsidRPr="00684036">
        <w:rPr>
          <w:bdr w:val="nil"/>
        </w:rPr>
        <w:t xml:space="preserve">increase of $3.781 million in the 2021 Budget from the </w:t>
      </w:r>
      <w:r w:rsidR="00332931">
        <w:rPr>
          <w:bdr w:val="nil"/>
        </w:rPr>
        <w:t>2019</w:t>
      </w:r>
      <w:r w:rsidR="005054A2">
        <w:rPr>
          <w:bdr w:val="nil"/>
        </w:rPr>
        <w:noBreakHyphen/>
      </w:r>
      <w:r w:rsidR="00332931">
        <w:rPr>
          <w:bdr w:val="nil"/>
        </w:rPr>
        <w:t>20</w:t>
      </w:r>
      <w:r w:rsidRPr="00684036">
        <w:rPr>
          <w:bdr w:val="nil"/>
        </w:rPr>
        <w:t xml:space="preserve"> audited outcome is mainly due to expenses related to new initiatives including the potentially combustible cladding rectification scheme ($2.288 million) and viability of extending Light Rail Stage 2 to Mawson ($1.269 million).</w:t>
      </w:r>
    </w:p>
    <w:p w14:paraId="60E750F6" w14:textId="77777777" w:rsidR="006E72F1" w:rsidRPr="00287CA8" w:rsidRDefault="00900E2D" w:rsidP="006E72F1">
      <w:pPr>
        <w:pStyle w:val="Heading4"/>
        <w:pBdr>
          <w:top w:val="nil"/>
          <w:left w:val="nil"/>
          <w:bottom w:val="nil"/>
          <w:right w:val="nil"/>
          <w:between w:val="nil"/>
          <w:bar w:val="nil"/>
        </w:pBdr>
        <w:jc w:val="both"/>
        <w:rPr>
          <w:bdr w:val="nil"/>
        </w:rPr>
      </w:pPr>
      <w:r w:rsidRPr="00287CA8">
        <w:rPr>
          <w:bdr w:val="nil"/>
        </w:rPr>
        <w:t>Balance Sheet</w:t>
      </w:r>
    </w:p>
    <w:p w14:paraId="2519CB54" w14:textId="5527E42A" w:rsidR="006E72F1" w:rsidRPr="009101B7" w:rsidRDefault="00900E2D" w:rsidP="006E72F1">
      <w:pPr>
        <w:pStyle w:val="BSbullet1"/>
        <w:numPr>
          <w:ilvl w:val="0"/>
          <w:numId w:val="17"/>
        </w:numPr>
        <w:pBdr>
          <w:top w:val="nil"/>
          <w:left w:val="nil"/>
          <w:bottom w:val="nil"/>
          <w:right w:val="nil"/>
          <w:between w:val="nil"/>
          <w:bar w:val="nil"/>
        </w:pBdr>
        <w:jc w:val="both"/>
        <w:rPr>
          <w:bdr w:val="nil"/>
        </w:rPr>
      </w:pPr>
      <w:r>
        <w:rPr>
          <w:bdr w:val="nil"/>
        </w:rPr>
        <w:t xml:space="preserve">cash and cash equivalents: the decrease of $12.339 million in the </w:t>
      </w:r>
      <w:r w:rsidR="00332931">
        <w:rPr>
          <w:bdr w:val="nil"/>
        </w:rPr>
        <w:t>2020–21</w:t>
      </w:r>
      <w:r>
        <w:rPr>
          <w:bdr w:val="nil"/>
        </w:rPr>
        <w:t xml:space="preserve"> Budget from the </w:t>
      </w:r>
      <w:r w:rsidR="00332931">
        <w:rPr>
          <w:bdr w:val="nil"/>
        </w:rPr>
        <w:t>2019–20</w:t>
      </w:r>
      <w:r w:rsidRPr="009101B7">
        <w:rPr>
          <w:bdr w:val="nil"/>
        </w:rPr>
        <w:t xml:space="preserve"> audited outcome is due to the cash balance held at the end of </w:t>
      </w:r>
      <w:r w:rsidR="00332931">
        <w:rPr>
          <w:bdr w:val="nil"/>
        </w:rPr>
        <w:t>2019–20</w:t>
      </w:r>
      <w:r w:rsidRPr="009101B7">
        <w:rPr>
          <w:bdr w:val="nil"/>
        </w:rPr>
        <w:t xml:space="preserve"> to facilitate large payments due in early </w:t>
      </w:r>
      <w:proofErr w:type="gramStart"/>
      <w:r w:rsidRPr="009101B7">
        <w:rPr>
          <w:bdr w:val="nil"/>
        </w:rPr>
        <w:t>July;</w:t>
      </w:r>
      <w:proofErr w:type="gramEnd"/>
    </w:p>
    <w:p w14:paraId="699A26D0" w14:textId="123A89A1" w:rsidR="006E72F1" w:rsidRDefault="00900E2D" w:rsidP="006E72F1">
      <w:pPr>
        <w:pStyle w:val="BSbullet1"/>
        <w:numPr>
          <w:ilvl w:val="0"/>
          <w:numId w:val="17"/>
        </w:numPr>
        <w:pBdr>
          <w:top w:val="nil"/>
          <w:left w:val="nil"/>
          <w:bottom w:val="nil"/>
          <w:right w:val="nil"/>
          <w:between w:val="nil"/>
          <w:bar w:val="nil"/>
        </w:pBdr>
        <w:jc w:val="both"/>
        <w:rPr>
          <w:bdr w:val="nil"/>
        </w:rPr>
      </w:pPr>
      <w:r>
        <w:rPr>
          <w:bdr w:val="nil"/>
        </w:rPr>
        <w:t xml:space="preserve">intangible assets: the decrease of $1.302 million in the </w:t>
      </w:r>
      <w:r w:rsidR="00332931">
        <w:rPr>
          <w:bdr w:val="nil"/>
        </w:rPr>
        <w:t>2020–21</w:t>
      </w:r>
      <w:r>
        <w:rPr>
          <w:bdr w:val="nil"/>
        </w:rPr>
        <w:t xml:space="preserve"> Budget from the </w:t>
      </w:r>
      <w:r w:rsidR="00332931">
        <w:rPr>
          <w:bdr w:val="nil"/>
        </w:rPr>
        <w:t>2019</w:t>
      </w:r>
      <w:r w:rsidR="005054A2">
        <w:rPr>
          <w:bdr w:val="nil"/>
        </w:rPr>
        <w:noBreakHyphen/>
      </w:r>
      <w:r w:rsidR="00332931">
        <w:rPr>
          <w:bdr w:val="nil"/>
        </w:rPr>
        <w:t>20</w:t>
      </w:r>
      <w:r>
        <w:rPr>
          <w:bdr w:val="nil"/>
        </w:rPr>
        <w:t xml:space="preserve"> audited outcome is due to additional depreciation to be recognised on the Project Management and Reporting System in </w:t>
      </w:r>
      <w:r w:rsidR="00332931">
        <w:rPr>
          <w:bdr w:val="nil"/>
        </w:rPr>
        <w:t>2020–</w:t>
      </w:r>
      <w:proofErr w:type="gramStart"/>
      <w:r w:rsidR="00332931">
        <w:rPr>
          <w:bdr w:val="nil"/>
        </w:rPr>
        <w:t>21</w:t>
      </w:r>
      <w:r>
        <w:rPr>
          <w:bdr w:val="nil"/>
        </w:rPr>
        <w:t>;</w:t>
      </w:r>
      <w:proofErr w:type="gramEnd"/>
    </w:p>
    <w:p w14:paraId="59CFD679" w14:textId="03E66591" w:rsidR="006E72F1" w:rsidRPr="00287CA8" w:rsidRDefault="00900E2D" w:rsidP="006E72F1">
      <w:pPr>
        <w:pStyle w:val="BSbullet1"/>
        <w:numPr>
          <w:ilvl w:val="0"/>
          <w:numId w:val="17"/>
        </w:numPr>
        <w:pBdr>
          <w:top w:val="nil"/>
          <w:left w:val="nil"/>
          <w:bottom w:val="nil"/>
          <w:right w:val="nil"/>
          <w:between w:val="nil"/>
          <w:bar w:val="nil"/>
        </w:pBdr>
        <w:jc w:val="both"/>
        <w:rPr>
          <w:bdr w:val="nil"/>
        </w:rPr>
      </w:pPr>
      <w:r w:rsidRPr="00287CA8">
        <w:rPr>
          <w:bdr w:val="nil"/>
        </w:rPr>
        <w:t xml:space="preserve">capital works in progress:  the </w:t>
      </w:r>
      <w:r>
        <w:rPr>
          <w:bdr w:val="nil"/>
        </w:rPr>
        <w:t xml:space="preserve">increase </w:t>
      </w:r>
      <w:r w:rsidRPr="00287CA8">
        <w:rPr>
          <w:bdr w:val="nil"/>
        </w:rPr>
        <w:t>of $</w:t>
      </w:r>
      <w:r>
        <w:rPr>
          <w:bdr w:val="nil"/>
        </w:rPr>
        <w:t>92.796</w:t>
      </w:r>
      <w:r w:rsidRPr="00287CA8">
        <w:rPr>
          <w:bdr w:val="nil"/>
        </w:rPr>
        <w:t xml:space="preserve"> million in the </w:t>
      </w:r>
      <w:r w:rsidR="00332931">
        <w:rPr>
          <w:bdr w:val="nil"/>
        </w:rPr>
        <w:t>2020–21</w:t>
      </w:r>
      <w:r>
        <w:rPr>
          <w:bdr w:val="nil"/>
        </w:rPr>
        <w:t xml:space="preserve"> Budget from the </w:t>
      </w:r>
      <w:r w:rsidR="00332931">
        <w:rPr>
          <w:bdr w:val="nil"/>
        </w:rPr>
        <w:t>2019–20</w:t>
      </w:r>
      <w:r w:rsidRPr="00287CA8">
        <w:rPr>
          <w:bdr w:val="nil"/>
        </w:rPr>
        <w:t xml:space="preserve"> </w:t>
      </w:r>
      <w:r>
        <w:rPr>
          <w:bdr w:val="nil"/>
        </w:rPr>
        <w:t>audi</w:t>
      </w:r>
      <w:r w:rsidRPr="00287CA8">
        <w:rPr>
          <w:bdr w:val="nil"/>
        </w:rPr>
        <w:t xml:space="preserve">ted outcome is due to </w:t>
      </w:r>
      <w:r>
        <w:rPr>
          <w:bdr w:val="nil"/>
        </w:rPr>
        <w:t>ongoing works related to designated major projects; and</w:t>
      </w:r>
    </w:p>
    <w:p w14:paraId="1563C2CA" w14:textId="22470A8E" w:rsidR="006E72F1" w:rsidRPr="00287CA8" w:rsidRDefault="00900E2D" w:rsidP="006E72F1">
      <w:pPr>
        <w:pStyle w:val="BSbullet1"/>
        <w:numPr>
          <w:ilvl w:val="0"/>
          <w:numId w:val="17"/>
        </w:numPr>
        <w:pBdr>
          <w:top w:val="nil"/>
          <w:left w:val="nil"/>
          <w:bottom w:val="nil"/>
          <w:right w:val="nil"/>
          <w:between w:val="nil"/>
          <w:bar w:val="nil"/>
        </w:pBdr>
        <w:jc w:val="both"/>
        <w:rPr>
          <w:bdr w:val="nil"/>
        </w:rPr>
      </w:pPr>
      <w:r>
        <w:rPr>
          <w:bdr w:val="nil"/>
        </w:rPr>
        <w:t>payables</w:t>
      </w:r>
      <w:r w:rsidRPr="00287CA8">
        <w:rPr>
          <w:bdr w:val="nil"/>
        </w:rPr>
        <w:t xml:space="preserve">: the </w:t>
      </w:r>
      <w:r>
        <w:rPr>
          <w:bdr w:val="nil"/>
        </w:rPr>
        <w:t xml:space="preserve">decrease </w:t>
      </w:r>
      <w:r w:rsidRPr="00287CA8">
        <w:rPr>
          <w:bdr w:val="nil"/>
        </w:rPr>
        <w:t xml:space="preserve">of </w:t>
      </w:r>
      <w:r>
        <w:rPr>
          <w:bdr w:val="nil"/>
        </w:rPr>
        <w:t>$10.200 million</w:t>
      </w:r>
      <w:r w:rsidRPr="00287CA8">
        <w:rPr>
          <w:bdr w:val="nil"/>
        </w:rPr>
        <w:t xml:space="preserve"> in the </w:t>
      </w:r>
      <w:r w:rsidR="00332931">
        <w:rPr>
          <w:bdr w:val="nil"/>
        </w:rPr>
        <w:t>2020–21</w:t>
      </w:r>
      <w:r w:rsidRPr="00287CA8">
        <w:rPr>
          <w:bdr w:val="nil"/>
        </w:rPr>
        <w:t xml:space="preserve"> Budget from the </w:t>
      </w:r>
      <w:r w:rsidR="00332931">
        <w:rPr>
          <w:bdr w:val="nil"/>
        </w:rPr>
        <w:t>2019–20</w:t>
      </w:r>
      <w:r w:rsidRPr="00287CA8">
        <w:rPr>
          <w:bdr w:val="nil"/>
        </w:rPr>
        <w:t xml:space="preserve"> </w:t>
      </w:r>
      <w:r>
        <w:rPr>
          <w:bdr w:val="nil"/>
        </w:rPr>
        <w:t>audit</w:t>
      </w:r>
      <w:r w:rsidRPr="00287CA8">
        <w:rPr>
          <w:bdr w:val="nil"/>
        </w:rPr>
        <w:t xml:space="preserve">ed outcome is due to </w:t>
      </w:r>
      <w:r>
        <w:rPr>
          <w:bdr w:val="nil"/>
        </w:rPr>
        <w:t xml:space="preserve">the accrual of expenses for significant milestones reached late in </w:t>
      </w:r>
      <w:r w:rsidR="00332931">
        <w:rPr>
          <w:bdr w:val="nil"/>
        </w:rPr>
        <w:t>2019–20</w:t>
      </w:r>
      <w:r>
        <w:rPr>
          <w:bdr w:val="nil"/>
        </w:rPr>
        <w:t xml:space="preserve"> financial year which were settled in early </w:t>
      </w:r>
      <w:r w:rsidR="00332931">
        <w:rPr>
          <w:bdr w:val="nil"/>
        </w:rPr>
        <w:t>2020–21</w:t>
      </w:r>
      <w:r w:rsidRPr="00287CA8">
        <w:rPr>
          <w:bdr w:val="nil"/>
        </w:rPr>
        <w:t>.</w:t>
      </w:r>
    </w:p>
    <w:p w14:paraId="2F348943" w14:textId="77777777" w:rsidR="006E72F1" w:rsidRDefault="00900E2D" w:rsidP="006E72F1">
      <w:pPr>
        <w:pStyle w:val="Heading4"/>
        <w:pBdr>
          <w:top w:val="nil"/>
          <w:left w:val="nil"/>
          <w:bottom w:val="nil"/>
          <w:right w:val="nil"/>
          <w:between w:val="nil"/>
          <w:bar w:val="nil"/>
        </w:pBdr>
        <w:jc w:val="both"/>
        <w:rPr>
          <w:bdr w:val="nil"/>
        </w:rPr>
      </w:pPr>
      <w:r>
        <w:rPr>
          <w:bdr w:val="nil"/>
        </w:rPr>
        <w:lastRenderedPageBreak/>
        <w:t xml:space="preserve">Statement of Changes in Equity </w:t>
      </w:r>
    </w:p>
    <w:p w14:paraId="0D82ACEE" w14:textId="29473955" w:rsidR="006E72F1" w:rsidRPr="005054A2" w:rsidRDefault="00900E2D" w:rsidP="00EE415B">
      <w:pPr>
        <w:pStyle w:val="BSbullet1"/>
        <w:numPr>
          <w:ilvl w:val="0"/>
          <w:numId w:val="17"/>
        </w:numPr>
        <w:pBdr>
          <w:top w:val="nil"/>
          <w:left w:val="nil"/>
          <w:bottom w:val="nil"/>
          <w:right w:val="nil"/>
          <w:between w:val="nil"/>
          <w:bar w:val="nil"/>
        </w:pBdr>
        <w:jc w:val="both"/>
        <w:rPr>
          <w:bdr w:val="nil"/>
        </w:rPr>
      </w:pPr>
      <w:r w:rsidRPr="005054A2">
        <w:rPr>
          <w:bdr w:val="nil"/>
        </w:rPr>
        <w:t xml:space="preserve">capital injections:  the increase of $21.991 million in the </w:t>
      </w:r>
      <w:r w:rsidR="00332931" w:rsidRPr="005054A2">
        <w:rPr>
          <w:bdr w:val="nil"/>
        </w:rPr>
        <w:t>2020–21</w:t>
      </w:r>
      <w:r w:rsidRPr="005054A2">
        <w:rPr>
          <w:bdr w:val="nil"/>
        </w:rPr>
        <w:t xml:space="preserve"> Budget from the </w:t>
      </w:r>
      <w:r w:rsidR="00332931" w:rsidRPr="005054A2">
        <w:rPr>
          <w:bdr w:val="nil"/>
        </w:rPr>
        <w:t>2019</w:t>
      </w:r>
      <w:r w:rsidR="005054A2" w:rsidRPr="005054A2">
        <w:rPr>
          <w:bdr w:val="nil"/>
        </w:rPr>
        <w:noBreakHyphen/>
      </w:r>
      <w:r w:rsidR="00332931" w:rsidRPr="005054A2">
        <w:rPr>
          <w:bdr w:val="nil"/>
        </w:rPr>
        <w:t>20</w:t>
      </w:r>
      <w:r w:rsidRPr="005054A2">
        <w:rPr>
          <w:bdr w:val="nil"/>
        </w:rPr>
        <w:t xml:space="preserve"> audited outcome is due to a larger capital works program which is summarised </w:t>
      </w:r>
      <w:r w:rsidR="005054A2" w:rsidRPr="005054A2">
        <w:rPr>
          <w:bdr w:val="nil"/>
        </w:rPr>
        <w:t>in Table 5: Changes to appropriation – Capital Injections, Controlled.</w:t>
      </w:r>
    </w:p>
    <w:p w14:paraId="6930D4EA" w14:textId="77777777" w:rsidR="006E72F1" w:rsidRDefault="00900E2D" w:rsidP="006E72F1">
      <w:pPr>
        <w:pStyle w:val="Heading4"/>
        <w:pBdr>
          <w:top w:val="nil"/>
          <w:left w:val="nil"/>
          <w:bottom w:val="nil"/>
          <w:right w:val="nil"/>
          <w:between w:val="nil"/>
          <w:bar w:val="nil"/>
        </w:pBdr>
        <w:jc w:val="both"/>
        <w:rPr>
          <w:bdr w:val="nil"/>
        </w:rPr>
      </w:pPr>
      <w:r>
        <w:rPr>
          <w:bdr w:val="nil"/>
        </w:rPr>
        <w:t>Cash Flow Statement</w:t>
      </w:r>
    </w:p>
    <w:p w14:paraId="11650687" w14:textId="77777777" w:rsidR="006E72F1" w:rsidRPr="0004555B" w:rsidRDefault="00900E2D" w:rsidP="006E72F1">
      <w:pPr>
        <w:pBdr>
          <w:top w:val="nil"/>
          <w:left w:val="nil"/>
          <w:bottom w:val="nil"/>
          <w:right w:val="nil"/>
          <w:between w:val="nil"/>
          <w:bar w:val="nil"/>
        </w:pBdr>
        <w:jc w:val="both"/>
        <w:rPr>
          <w:rFonts w:eastAsia="TimesNewRomanPS-ItalicMT"/>
          <w:bdr w:val="nil"/>
        </w:rPr>
      </w:pPr>
      <w:r>
        <w:rPr>
          <w:bdr w:val="nil"/>
        </w:rPr>
        <w:t>Variations in the Statement are explained in the notes above.</w:t>
      </w:r>
    </w:p>
    <w:sectPr w:rsidR="006E72F1" w:rsidRPr="0004555B" w:rsidSect="006E72F1">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51" w:right="1440" w:bottom="1729" w:left="1440" w:header="720" w:footer="720" w:gutter="0"/>
      <w:pgBorders>
        <w:top w:val="nil"/>
        <w:left w:val="nil"/>
        <w:bottom w:val="nil"/>
        <w:right w:val="nil"/>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3B55A" w14:textId="77777777" w:rsidR="00A52402" w:rsidRDefault="00A52402">
      <w:pPr>
        <w:spacing w:before="0" w:after="0"/>
      </w:pPr>
      <w:r>
        <w:separator/>
      </w:r>
    </w:p>
  </w:endnote>
  <w:endnote w:type="continuationSeparator" w:id="0">
    <w:p w14:paraId="019A2775" w14:textId="77777777" w:rsidR="00A52402" w:rsidRDefault="00A524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6B4F" w14:textId="77777777" w:rsidR="00A52402" w:rsidRPr="0004555B" w:rsidRDefault="00A52402" w:rsidP="006E72F1">
    <w:pPr>
      <w:pBdr>
        <w:top w:val="nil"/>
        <w:left w:val="nil"/>
        <w:bottom w:val="nil"/>
        <w:right w:val="nil"/>
        <w:between w:val="nil"/>
        <w:bar w:val="nil"/>
      </w:pBdr>
      <w:rPr>
        <w:rFonts w:eastAsia="TimesNewRomanPS-ItalicMT"/>
        <w:bdr w:val="ni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02C8" w14:textId="77777777" w:rsidR="00A52402" w:rsidRPr="0004555B" w:rsidRDefault="00A52402" w:rsidP="006E72F1">
    <w:pPr>
      <w:pBdr>
        <w:top w:val="nil"/>
        <w:left w:val="nil"/>
        <w:bottom w:val="nil"/>
        <w:right w:val="nil"/>
        <w:between w:val="nil"/>
        <w:bar w:val="nil"/>
      </w:pBdr>
      <w:rPr>
        <w:rFonts w:eastAsia="TimesNewRomanPS-ItalicMT"/>
        <w:bdr w:val="n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0D67" w14:textId="77777777" w:rsidR="00A52402" w:rsidRDefault="00A52402">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721B" w14:textId="6D47A3F3" w:rsidR="00A52402" w:rsidRPr="004B1382" w:rsidRDefault="00A52402" w:rsidP="006E72F1">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Major Projects Canberra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9492" w14:textId="7069A539" w:rsidR="00A52402" w:rsidRPr="004B1382" w:rsidRDefault="00A52402" w:rsidP="006E72F1">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16</w:t>
    </w:r>
    <w:r>
      <w:rPr>
        <w:noProof/>
        <w:bdr w:val="nil"/>
      </w:rPr>
      <w:fldChar w:fldCharType="end"/>
    </w:r>
    <w:r>
      <w:rPr>
        <w:sz w:val="18"/>
        <w:szCs w:val="18"/>
        <w:bdr w:val="nil"/>
      </w:rPr>
      <w:tab/>
    </w:r>
    <w:r>
      <w:rPr>
        <w:bdr w:val="nil"/>
      </w:rPr>
      <w:t>Major Projects Canberra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5839" w14:textId="77777777" w:rsidR="00A52402" w:rsidRDefault="00A52402">
    <w:pPr>
      <w:pBdr>
        <w:top w:val="nil"/>
        <w:left w:val="nil"/>
        <w:bottom w:val="nil"/>
        <w:right w:val="nil"/>
        <w:between w:val="nil"/>
        <w:bar w:val="nil"/>
      </w:pBdr>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5BBFE" w14:textId="77777777" w:rsidR="00A52402" w:rsidRDefault="00A52402">
      <w:pPr>
        <w:spacing w:before="0" w:after="0"/>
      </w:pPr>
      <w:r>
        <w:separator/>
      </w:r>
    </w:p>
  </w:footnote>
  <w:footnote w:type="continuationSeparator" w:id="0">
    <w:p w14:paraId="075B055D" w14:textId="77777777" w:rsidR="00A52402" w:rsidRDefault="00A5240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F305" w14:textId="77777777" w:rsidR="00A52402" w:rsidRDefault="00A52402">
    <w:pPr>
      <w:suppressLineNumbers/>
      <w:pBdr>
        <w:top w:val="nil"/>
        <w:left w:val="nil"/>
        <w:bottom w:val="nil"/>
        <w:right w:val="nil"/>
        <w:between w:val="nil"/>
        <w:bar w:val="nil"/>
      </w:pBdr>
      <w:spacing w:before="0" w:after="0" w:line="14" w:lineRule="exact"/>
      <w:contextualSpacing/>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29C4" w14:textId="77777777" w:rsidR="00A52402" w:rsidRDefault="00A52402">
    <w:pPr>
      <w:suppressLineNumbers/>
      <w:pBdr>
        <w:top w:val="nil"/>
        <w:left w:val="nil"/>
        <w:bottom w:val="nil"/>
        <w:right w:val="nil"/>
        <w:between w:val="nil"/>
        <w:bar w:val="nil"/>
      </w:pBdr>
      <w:spacing w:before="0" w:after="0" w:line="14" w:lineRule="exact"/>
      <w:contextualSpacing/>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B9E37" w14:textId="77777777" w:rsidR="00A52402" w:rsidRDefault="00A52402">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71ED" w14:textId="77777777" w:rsidR="00A52402" w:rsidRDefault="00A52402">
    <w:pPr>
      <w:suppressLineNumbers/>
      <w:pBdr>
        <w:top w:val="nil"/>
        <w:left w:val="nil"/>
        <w:bottom w:val="nil"/>
        <w:right w:val="nil"/>
        <w:between w:val="nil"/>
        <w:bar w:val="nil"/>
      </w:pBdr>
      <w:spacing w:before="0" w:after="0" w:line="14" w:lineRule="exact"/>
      <w:contextualSpacing/>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0983" w14:textId="77777777" w:rsidR="00A52402" w:rsidRDefault="00A52402">
    <w:pPr>
      <w:suppressLineNumbers/>
      <w:pBdr>
        <w:top w:val="nil"/>
        <w:left w:val="nil"/>
        <w:bottom w:val="nil"/>
        <w:right w:val="nil"/>
        <w:between w:val="nil"/>
        <w:bar w:val="nil"/>
      </w:pBdr>
      <w:spacing w:before="0" w:after="0" w:line="14" w:lineRule="exact"/>
      <w:contextualSpacing/>
      <w:rPr>
        <w:bdr w:val="ni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6E0D" w14:textId="77777777" w:rsidR="00A52402" w:rsidRDefault="00A52402">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CA61E9E"/>
    <w:lvl w:ilvl="0" w:tplc="F3383E54">
      <w:start w:val="1"/>
      <w:numFmt w:val="bullet"/>
      <w:pStyle w:val="BSbullet1"/>
      <w:lvlText w:val=""/>
      <w:lvlJc w:val="left"/>
      <w:pPr>
        <w:tabs>
          <w:tab w:val="num" w:pos="360"/>
        </w:tabs>
        <w:ind w:left="357" w:hanging="357"/>
      </w:pPr>
      <w:rPr>
        <w:rFonts w:ascii="Symbol" w:hAnsi="Symbol" w:hint="default"/>
        <w:sz w:val="24"/>
      </w:rPr>
    </w:lvl>
    <w:lvl w:ilvl="1" w:tplc="8848D55C">
      <w:start w:val="1"/>
      <w:numFmt w:val="bullet"/>
      <w:lvlText w:val="o"/>
      <w:lvlJc w:val="left"/>
      <w:pPr>
        <w:tabs>
          <w:tab w:val="num" w:pos="1800"/>
        </w:tabs>
        <w:ind w:left="1800" w:hanging="360"/>
      </w:pPr>
      <w:rPr>
        <w:rFonts w:ascii="Courier New" w:hAnsi="Courier New" w:hint="default"/>
      </w:rPr>
    </w:lvl>
    <w:lvl w:ilvl="2" w:tplc="EA5A0A28">
      <w:start w:val="1"/>
      <w:numFmt w:val="bullet"/>
      <w:lvlText w:val=""/>
      <w:lvlJc w:val="left"/>
      <w:pPr>
        <w:tabs>
          <w:tab w:val="num" w:pos="2520"/>
        </w:tabs>
        <w:ind w:left="2520" w:hanging="360"/>
      </w:pPr>
      <w:rPr>
        <w:rFonts w:ascii="Wingdings" w:hAnsi="Wingdings" w:hint="default"/>
      </w:rPr>
    </w:lvl>
    <w:lvl w:ilvl="3" w:tplc="1E3AFF38">
      <w:start w:val="1"/>
      <w:numFmt w:val="bullet"/>
      <w:lvlText w:val=""/>
      <w:lvlJc w:val="left"/>
      <w:pPr>
        <w:tabs>
          <w:tab w:val="num" w:pos="3240"/>
        </w:tabs>
        <w:ind w:left="3240" w:hanging="360"/>
      </w:pPr>
      <w:rPr>
        <w:rFonts w:ascii="Symbol" w:hAnsi="Symbol" w:hint="default"/>
      </w:rPr>
    </w:lvl>
    <w:lvl w:ilvl="4" w:tplc="ADE6D1FE">
      <w:start w:val="1"/>
      <w:numFmt w:val="bullet"/>
      <w:lvlText w:val="o"/>
      <w:lvlJc w:val="left"/>
      <w:pPr>
        <w:tabs>
          <w:tab w:val="num" w:pos="3960"/>
        </w:tabs>
        <w:ind w:left="3960" w:hanging="360"/>
      </w:pPr>
      <w:rPr>
        <w:rFonts w:ascii="Courier New" w:hAnsi="Courier New" w:hint="default"/>
      </w:rPr>
    </w:lvl>
    <w:lvl w:ilvl="5" w:tplc="B5284F6C">
      <w:start w:val="1"/>
      <w:numFmt w:val="bullet"/>
      <w:lvlText w:val=""/>
      <w:lvlJc w:val="left"/>
      <w:pPr>
        <w:tabs>
          <w:tab w:val="num" w:pos="4680"/>
        </w:tabs>
        <w:ind w:left="4680" w:hanging="360"/>
      </w:pPr>
      <w:rPr>
        <w:rFonts w:ascii="Wingdings" w:hAnsi="Wingdings" w:hint="default"/>
      </w:rPr>
    </w:lvl>
    <w:lvl w:ilvl="6" w:tplc="76FC072C">
      <w:start w:val="1"/>
      <w:numFmt w:val="bullet"/>
      <w:lvlText w:val=""/>
      <w:lvlJc w:val="left"/>
      <w:pPr>
        <w:tabs>
          <w:tab w:val="num" w:pos="5400"/>
        </w:tabs>
        <w:ind w:left="5400" w:hanging="360"/>
      </w:pPr>
      <w:rPr>
        <w:rFonts w:ascii="Symbol" w:hAnsi="Symbol" w:hint="default"/>
      </w:rPr>
    </w:lvl>
    <w:lvl w:ilvl="7" w:tplc="9182A09C">
      <w:start w:val="1"/>
      <w:numFmt w:val="bullet"/>
      <w:lvlText w:val="o"/>
      <w:lvlJc w:val="left"/>
      <w:pPr>
        <w:tabs>
          <w:tab w:val="num" w:pos="6120"/>
        </w:tabs>
        <w:ind w:left="6120" w:hanging="360"/>
      </w:pPr>
      <w:rPr>
        <w:rFonts w:ascii="Courier New" w:hAnsi="Courier New" w:hint="default"/>
      </w:rPr>
    </w:lvl>
    <w:lvl w:ilvl="8" w:tplc="1F00999E">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000002"/>
    <w:multiLevelType w:val="hybridMultilevel"/>
    <w:tmpl w:val="747AF816"/>
    <w:lvl w:ilvl="0" w:tplc="1FCAD218">
      <w:start w:val="1"/>
      <w:numFmt w:val="bullet"/>
      <w:pStyle w:val="BodyTextIndent"/>
      <w:lvlText w:val=""/>
      <w:lvlJc w:val="left"/>
      <w:pPr>
        <w:tabs>
          <w:tab w:val="num" w:pos="360"/>
        </w:tabs>
        <w:ind w:left="360" w:hanging="360"/>
      </w:pPr>
      <w:rPr>
        <w:rFonts w:ascii="Symbol" w:hAnsi="Symbol" w:cs="Times New Roman" w:hint="default"/>
      </w:rPr>
    </w:lvl>
    <w:lvl w:ilvl="1" w:tplc="5CB2989E">
      <w:start w:val="1"/>
      <w:numFmt w:val="bullet"/>
      <w:lvlText w:val="o"/>
      <w:lvlJc w:val="left"/>
      <w:pPr>
        <w:tabs>
          <w:tab w:val="num" w:pos="360"/>
        </w:tabs>
        <w:ind w:left="360" w:hanging="360"/>
      </w:pPr>
      <w:rPr>
        <w:rFonts w:ascii="Courier New" w:hAnsi="Courier New" w:hint="default"/>
      </w:rPr>
    </w:lvl>
    <w:lvl w:ilvl="2" w:tplc="555CFB90" w:tentative="1">
      <w:start w:val="1"/>
      <w:numFmt w:val="bullet"/>
      <w:lvlText w:val=""/>
      <w:lvlJc w:val="left"/>
      <w:pPr>
        <w:tabs>
          <w:tab w:val="num" w:pos="1080"/>
        </w:tabs>
        <w:ind w:left="1080" w:hanging="360"/>
      </w:pPr>
      <w:rPr>
        <w:rFonts w:ascii="Wingdings" w:hAnsi="Wingdings" w:hint="default"/>
      </w:rPr>
    </w:lvl>
    <w:lvl w:ilvl="3" w:tplc="5BDA5824" w:tentative="1">
      <w:start w:val="1"/>
      <w:numFmt w:val="bullet"/>
      <w:lvlText w:val=""/>
      <w:lvlJc w:val="left"/>
      <w:pPr>
        <w:tabs>
          <w:tab w:val="num" w:pos="1800"/>
        </w:tabs>
        <w:ind w:left="1800" w:hanging="360"/>
      </w:pPr>
      <w:rPr>
        <w:rFonts w:ascii="Symbol" w:hAnsi="Symbol" w:hint="default"/>
      </w:rPr>
    </w:lvl>
    <w:lvl w:ilvl="4" w:tplc="B8785DA4" w:tentative="1">
      <w:start w:val="1"/>
      <w:numFmt w:val="bullet"/>
      <w:lvlText w:val="o"/>
      <w:lvlJc w:val="left"/>
      <w:pPr>
        <w:tabs>
          <w:tab w:val="num" w:pos="2520"/>
        </w:tabs>
        <w:ind w:left="2520" w:hanging="360"/>
      </w:pPr>
      <w:rPr>
        <w:rFonts w:ascii="Courier New" w:hAnsi="Courier New" w:hint="default"/>
      </w:rPr>
    </w:lvl>
    <w:lvl w:ilvl="5" w:tplc="B330BFFE" w:tentative="1">
      <w:start w:val="1"/>
      <w:numFmt w:val="bullet"/>
      <w:lvlText w:val=""/>
      <w:lvlJc w:val="left"/>
      <w:pPr>
        <w:tabs>
          <w:tab w:val="num" w:pos="3240"/>
        </w:tabs>
        <w:ind w:left="3240" w:hanging="360"/>
      </w:pPr>
      <w:rPr>
        <w:rFonts w:ascii="Wingdings" w:hAnsi="Wingdings" w:hint="default"/>
      </w:rPr>
    </w:lvl>
    <w:lvl w:ilvl="6" w:tplc="1F706698" w:tentative="1">
      <w:start w:val="1"/>
      <w:numFmt w:val="bullet"/>
      <w:lvlText w:val=""/>
      <w:lvlJc w:val="left"/>
      <w:pPr>
        <w:tabs>
          <w:tab w:val="num" w:pos="3960"/>
        </w:tabs>
        <w:ind w:left="3960" w:hanging="360"/>
      </w:pPr>
      <w:rPr>
        <w:rFonts w:ascii="Symbol" w:hAnsi="Symbol" w:hint="default"/>
      </w:rPr>
    </w:lvl>
    <w:lvl w:ilvl="7" w:tplc="51CC5118" w:tentative="1">
      <w:start w:val="1"/>
      <w:numFmt w:val="bullet"/>
      <w:lvlText w:val="o"/>
      <w:lvlJc w:val="left"/>
      <w:pPr>
        <w:tabs>
          <w:tab w:val="num" w:pos="4680"/>
        </w:tabs>
        <w:ind w:left="4680" w:hanging="360"/>
      </w:pPr>
      <w:rPr>
        <w:rFonts w:ascii="Courier New" w:hAnsi="Courier New" w:hint="default"/>
      </w:rPr>
    </w:lvl>
    <w:lvl w:ilvl="8" w:tplc="81622058"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0000003"/>
    <w:multiLevelType w:val="hybridMultilevel"/>
    <w:tmpl w:val="ECA61E9E"/>
    <w:lvl w:ilvl="0" w:tplc="0AD8446A">
      <w:start w:val="1"/>
      <w:numFmt w:val="bullet"/>
      <w:lvlText w:val=""/>
      <w:lvlJc w:val="left"/>
      <w:pPr>
        <w:tabs>
          <w:tab w:val="num" w:pos="360"/>
        </w:tabs>
        <w:ind w:left="357" w:hanging="357"/>
      </w:pPr>
      <w:rPr>
        <w:rFonts w:ascii="Symbol" w:hAnsi="Symbol" w:hint="default"/>
        <w:sz w:val="24"/>
      </w:rPr>
    </w:lvl>
    <w:lvl w:ilvl="1" w:tplc="0A34B734">
      <w:start w:val="1"/>
      <w:numFmt w:val="bullet"/>
      <w:lvlText w:val="o"/>
      <w:lvlJc w:val="left"/>
      <w:pPr>
        <w:tabs>
          <w:tab w:val="num" w:pos="1800"/>
        </w:tabs>
        <w:ind w:left="1800" w:hanging="360"/>
      </w:pPr>
      <w:rPr>
        <w:rFonts w:ascii="Courier New" w:hAnsi="Courier New" w:cs="Times New Roman" w:hint="default"/>
      </w:rPr>
    </w:lvl>
    <w:lvl w:ilvl="2" w:tplc="F1D4D998">
      <w:start w:val="1"/>
      <w:numFmt w:val="bullet"/>
      <w:lvlText w:val=""/>
      <w:lvlJc w:val="left"/>
      <w:pPr>
        <w:tabs>
          <w:tab w:val="num" w:pos="2520"/>
        </w:tabs>
        <w:ind w:left="2520" w:hanging="360"/>
      </w:pPr>
      <w:rPr>
        <w:rFonts w:ascii="Wingdings" w:hAnsi="Wingdings" w:hint="default"/>
      </w:rPr>
    </w:lvl>
    <w:lvl w:ilvl="3" w:tplc="42E82830">
      <w:start w:val="1"/>
      <w:numFmt w:val="bullet"/>
      <w:lvlText w:val=""/>
      <w:lvlJc w:val="left"/>
      <w:pPr>
        <w:tabs>
          <w:tab w:val="num" w:pos="3240"/>
        </w:tabs>
        <w:ind w:left="3240" w:hanging="360"/>
      </w:pPr>
      <w:rPr>
        <w:rFonts w:ascii="Symbol" w:hAnsi="Symbol" w:hint="default"/>
      </w:rPr>
    </w:lvl>
    <w:lvl w:ilvl="4" w:tplc="1FD0C754">
      <w:start w:val="1"/>
      <w:numFmt w:val="bullet"/>
      <w:lvlText w:val="o"/>
      <w:lvlJc w:val="left"/>
      <w:pPr>
        <w:tabs>
          <w:tab w:val="num" w:pos="3960"/>
        </w:tabs>
        <w:ind w:left="3960" w:hanging="360"/>
      </w:pPr>
      <w:rPr>
        <w:rFonts w:ascii="Courier New" w:hAnsi="Courier New" w:cs="Times New Roman" w:hint="default"/>
      </w:rPr>
    </w:lvl>
    <w:lvl w:ilvl="5" w:tplc="8D36F7F6">
      <w:start w:val="1"/>
      <w:numFmt w:val="bullet"/>
      <w:lvlText w:val=""/>
      <w:lvlJc w:val="left"/>
      <w:pPr>
        <w:tabs>
          <w:tab w:val="num" w:pos="4680"/>
        </w:tabs>
        <w:ind w:left="4680" w:hanging="360"/>
      </w:pPr>
      <w:rPr>
        <w:rFonts w:ascii="Wingdings" w:hAnsi="Wingdings" w:hint="default"/>
      </w:rPr>
    </w:lvl>
    <w:lvl w:ilvl="6" w:tplc="55669BA4">
      <w:start w:val="1"/>
      <w:numFmt w:val="bullet"/>
      <w:lvlText w:val=""/>
      <w:lvlJc w:val="left"/>
      <w:pPr>
        <w:tabs>
          <w:tab w:val="num" w:pos="5400"/>
        </w:tabs>
        <w:ind w:left="5400" w:hanging="360"/>
      </w:pPr>
      <w:rPr>
        <w:rFonts w:ascii="Symbol" w:hAnsi="Symbol" w:hint="default"/>
      </w:rPr>
    </w:lvl>
    <w:lvl w:ilvl="7" w:tplc="5114D19A">
      <w:start w:val="1"/>
      <w:numFmt w:val="bullet"/>
      <w:lvlText w:val="o"/>
      <w:lvlJc w:val="left"/>
      <w:pPr>
        <w:tabs>
          <w:tab w:val="num" w:pos="6120"/>
        </w:tabs>
        <w:ind w:left="6120" w:hanging="360"/>
      </w:pPr>
      <w:rPr>
        <w:rFonts w:ascii="Courier New" w:hAnsi="Courier New" w:cs="Times New Roman" w:hint="default"/>
      </w:rPr>
    </w:lvl>
    <w:lvl w:ilvl="8" w:tplc="944222FE">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0000004"/>
    <w:multiLevelType w:val="hybridMultilevel"/>
    <w:tmpl w:val="6B80737C"/>
    <w:lvl w:ilvl="0" w:tplc="D27C666E">
      <w:start w:val="1"/>
      <w:numFmt w:val="decimal"/>
      <w:lvlText w:val="%1."/>
      <w:lvlJc w:val="left"/>
      <w:pPr>
        <w:ind w:left="360" w:hanging="360"/>
      </w:pPr>
    </w:lvl>
    <w:lvl w:ilvl="1" w:tplc="E8385200">
      <w:start w:val="1"/>
      <w:numFmt w:val="lowerLetter"/>
      <w:lvlText w:val="%2."/>
      <w:lvlJc w:val="left"/>
      <w:pPr>
        <w:ind w:left="1080" w:hanging="360"/>
      </w:pPr>
    </w:lvl>
    <w:lvl w:ilvl="2" w:tplc="55702928">
      <w:start w:val="1"/>
      <w:numFmt w:val="lowerRoman"/>
      <w:lvlText w:val="%3."/>
      <w:lvlJc w:val="right"/>
      <w:pPr>
        <w:ind w:left="1800" w:hanging="180"/>
      </w:pPr>
    </w:lvl>
    <w:lvl w:ilvl="3" w:tplc="26560480">
      <w:start w:val="1"/>
      <w:numFmt w:val="decimal"/>
      <w:lvlText w:val="%4."/>
      <w:lvlJc w:val="left"/>
      <w:pPr>
        <w:ind w:left="2520" w:hanging="360"/>
      </w:pPr>
    </w:lvl>
    <w:lvl w:ilvl="4" w:tplc="FE12C690">
      <w:start w:val="1"/>
      <w:numFmt w:val="lowerLetter"/>
      <w:lvlText w:val="%5."/>
      <w:lvlJc w:val="left"/>
      <w:pPr>
        <w:ind w:left="3240" w:hanging="360"/>
      </w:pPr>
    </w:lvl>
    <w:lvl w:ilvl="5" w:tplc="0AA2471E">
      <w:start w:val="1"/>
      <w:numFmt w:val="lowerRoman"/>
      <w:lvlText w:val="%6."/>
      <w:lvlJc w:val="right"/>
      <w:pPr>
        <w:ind w:left="3960" w:hanging="180"/>
      </w:pPr>
    </w:lvl>
    <w:lvl w:ilvl="6" w:tplc="99AAAA02">
      <w:start w:val="1"/>
      <w:numFmt w:val="decimal"/>
      <w:lvlText w:val="%7."/>
      <w:lvlJc w:val="left"/>
      <w:pPr>
        <w:ind w:left="4680" w:hanging="360"/>
      </w:pPr>
    </w:lvl>
    <w:lvl w:ilvl="7" w:tplc="A0545D3E">
      <w:start w:val="1"/>
      <w:numFmt w:val="lowerLetter"/>
      <w:lvlText w:val="%8."/>
      <w:lvlJc w:val="left"/>
      <w:pPr>
        <w:ind w:left="5400" w:hanging="360"/>
      </w:pPr>
    </w:lvl>
    <w:lvl w:ilvl="8" w:tplc="810622F2">
      <w:start w:val="1"/>
      <w:numFmt w:val="lowerRoman"/>
      <w:lvlText w:val="%9."/>
      <w:lvlJc w:val="right"/>
      <w:pPr>
        <w:ind w:left="6120" w:hanging="180"/>
      </w:pPr>
    </w:lvl>
  </w:abstractNum>
  <w:abstractNum w:abstractNumId="4" w15:restartNumberingAfterBreak="0">
    <w:nsid w:val="00000005"/>
    <w:multiLevelType w:val="hybridMultilevel"/>
    <w:tmpl w:val="FC587270"/>
    <w:lvl w:ilvl="0" w:tplc="12CC735A">
      <w:start w:val="1"/>
      <w:numFmt w:val="bullet"/>
      <w:lvlText w:val=""/>
      <w:lvlJc w:val="left"/>
      <w:pPr>
        <w:ind w:left="720" w:hanging="360"/>
      </w:pPr>
      <w:rPr>
        <w:rFonts w:ascii="Symbol" w:hAnsi="Symbol" w:hint="default"/>
      </w:rPr>
    </w:lvl>
    <w:lvl w:ilvl="1" w:tplc="D35E5708">
      <w:start w:val="1"/>
      <w:numFmt w:val="bullet"/>
      <w:lvlText w:val="o"/>
      <w:lvlJc w:val="left"/>
      <w:pPr>
        <w:ind w:left="1440" w:hanging="360"/>
      </w:pPr>
      <w:rPr>
        <w:rFonts w:ascii="Courier New" w:hAnsi="Courier New" w:cs="Courier New" w:hint="default"/>
      </w:rPr>
    </w:lvl>
    <w:lvl w:ilvl="2" w:tplc="6A2EEB9C">
      <w:start w:val="1"/>
      <w:numFmt w:val="bullet"/>
      <w:lvlText w:val=""/>
      <w:lvlJc w:val="left"/>
      <w:pPr>
        <w:ind w:left="2160" w:hanging="360"/>
      </w:pPr>
      <w:rPr>
        <w:rFonts w:ascii="Wingdings" w:hAnsi="Wingdings" w:hint="default"/>
      </w:rPr>
    </w:lvl>
    <w:lvl w:ilvl="3" w:tplc="6AA6BC74">
      <w:start w:val="1"/>
      <w:numFmt w:val="bullet"/>
      <w:lvlText w:val=""/>
      <w:lvlJc w:val="left"/>
      <w:pPr>
        <w:ind w:left="2880" w:hanging="360"/>
      </w:pPr>
      <w:rPr>
        <w:rFonts w:ascii="Symbol" w:hAnsi="Symbol" w:hint="default"/>
      </w:rPr>
    </w:lvl>
    <w:lvl w:ilvl="4" w:tplc="2A3A663E">
      <w:start w:val="1"/>
      <w:numFmt w:val="bullet"/>
      <w:lvlText w:val="o"/>
      <w:lvlJc w:val="left"/>
      <w:pPr>
        <w:ind w:left="3600" w:hanging="360"/>
      </w:pPr>
      <w:rPr>
        <w:rFonts w:ascii="Courier New" w:hAnsi="Courier New" w:cs="Courier New" w:hint="default"/>
      </w:rPr>
    </w:lvl>
    <w:lvl w:ilvl="5" w:tplc="D382B4FC">
      <w:start w:val="1"/>
      <w:numFmt w:val="bullet"/>
      <w:lvlText w:val=""/>
      <w:lvlJc w:val="left"/>
      <w:pPr>
        <w:ind w:left="4320" w:hanging="360"/>
      </w:pPr>
      <w:rPr>
        <w:rFonts w:ascii="Wingdings" w:hAnsi="Wingdings" w:hint="default"/>
      </w:rPr>
    </w:lvl>
    <w:lvl w:ilvl="6" w:tplc="C1961EEE">
      <w:start w:val="1"/>
      <w:numFmt w:val="bullet"/>
      <w:lvlText w:val=""/>
      <w:lvlJc w:val="left"/>
      <w:pPr>
        <w:ind w:left="5040" w:hanging="360"/>
      </w:pPr>
      <w:rPr>
        <w:rFonts w:ascii="Symbol" w:hAnsi="Symbol" w:hint="default"/>
      </w:rPr>
    </w:lvl>
    <w:lvl w:ilvl="7" w:tplc="EB14F0BC">
      <w:start w:val="1"/>
      <w:numFmt w:val="bullet"/>
      <w:lvlText w:val="o"/>
      <w:lvlJc w:val="left"/>
      <w:pPr>
        <w:ind w:left="5760" w:hanging="360"/>
      </w:pPr>
      <w:rPr>
        <w:rFonts w:ascii="Courier New" w:hAnsi="Courier New" w:cs="Courier New" w:hint="default"/>
      </w:rPr>
    </w:lvl>
    <w:lvl w:ilvl="8" w:tplc="0DBEACD8">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12A46B16"/>
    <w:lvl w:ilvl="0" w:tplc="0D0E3B4A">
      <w:start w:val="1"/>
      <w:numFmt w:val="decimal"/>
      <w:lvlText w:val="%1."/>
      <w:lvlJc w:val="left"/>
      <w:pPr>
        <w:ind w:left="1145" w:hanging="360"/>
      </w:pPr>
      <w:rPr>
        <w:b w:val="0"/>
        <w:bCs/>
      </w:rPr>
    </w:lvl>
    <w:lvl w:ilvl="1" w:tplc="ECECD81E">
      <w:start w:val="1"/>
      <w:numFmt w:val="lowerLetter"/>
      <w:lvlText w:val="%2."/>
      <w:lvlJc w:val="left"/>
      <w:pPr>
        <w:ind w:left="1865" w:hanging="360"/>
      </w:pPr>
    </w:lvl>
    <w:lvl w:ilvl="2" w:tplc="A2F0765A">
      <w:start w:val="1"/>
      <w:numFmt w:val="lowerRoman"/>
      <w:lvlText w:val="%3."/>
      <w:lvlJc w:val="right"/>
      <w:pPr>
        <w:ind w:left="2585" w:hanging="180"/>
      </w:pPr>
    </w:lvl>
    <w:lvl w:ilvl="3" w:tplc="C98469A8">
      <w:start w:val="1"/>
      <w:numFmt w:val="decimal"/>
      <w:lvlText w:val="%4."/>
      <w:lvlJc w:val="left"/>
      <w:pPr>
        <w:ind w:left="3305" w:hanging="360"/>
      </w:pPr>
    </w:lvl>
    <w:lvl w:ilvl="4" w:tplc="D14CD128">
      <w:start w:val="1"/>
      <w:numFmt w:val="lowerLetter"/>
      <w:lvlText w:val="%5."/>
      <w:lvlJc w:val="left"/>
      <w:pPr>
        <w:ind w:left="4025" w:hanging="360"/>
      </w:pPr>
    </w:lvl>
    <w:lvl w:ilvl="5" w:tplc="775201EC">
      <w:start w:val="1"/>
      <w:numFmt w:val="lowerRoman"/>
      <w:lvlText w:val="%6."/>
      <w:lvlJc w:val="right"/>
      <w:pPr>
        <w:ind w:left="4745" w:hanging="180"/>
      </w:pPr>
    </w:lvl>
    <w:lvl w:ilvl="6" w:tplc="FE20BFBC">
      <w:start w:val="1"/>
      <w:numFmt w:val="decimal"/>
      <w:lvlText w:val="%7."/>
      <w:lvlJc w:val="left"/>
      <w:pPr>
        <w:ind w:left="5465" w:hanging="360"/>
      </w:pPr>
    </w:lvl>
    <w:lvl w:ilvl="7" w:tplc="41B060EE">
      <w:start w:val="1"/>
      <w:numFmt w:val="lowerLetter"/>
      <w:lvlText w:val="%8."/>
      <w:lvlJc w:val="left"/>
      <w:pPr>
        <w:ind w:left="6185" w:hanging="360"/>
      </w:pPr>
    </w:lvl>
    <w:lvl w:ilvl="8" w:tplc="F7DEA89A">
      <w:start w:val="1"/>
      <w:numFmt w:val="lowerRoman"/>
      <w:lvlText w:val="%9."/>
      <w:lvlJc w:val="right"/>
      <w:pPr>
        <w:ind w:left="6905" w:hanging="180"/>
      </w:pPr>
    </w:lvl>
  </w:abstractNum>
  <w:abstractNum w:abstractNumId="6" w15:restartNumberingAfterBreak="0">
    <w:nsid w:val="00000007"/>
    <w:multiLevelType w:val="hybridMultilevel"/>
    <w:tmpl w:val="6694B364"/>
    <w:lvl w:ilvl="0" w:tplc="6DAE486C">
      <w:start w:val="1"/>
      <w:numFmt w:val="decimal"/>
      <w:pStyle w:val="BSnoteslist1"/>
      <w:lvlText w:val="%1."/>
      <w:lvlJc w:val="left"/>
      <w:pPr>
        <w:ind w:left="360" w:hanging="360"/>
      </w:pPr>
    </w:lvl>
    <w:lvl w:ilvl="1" w:tplc="C2A4AF74">
      <w:start w:val="1"/>
      <w:numFmt w:val="lowerLetter"/>
      <w:lvlText w:val="%2."/>
      <w:lvlJc w:val="left"/>
      <w:pPr>
        <w:ind w:left="1080" w:hanging="360"/>
      </w:pPr>
    </w:lvl>
    <w:lvl w:ilvl="2" w:tplc="7F6CDDC6">
      <w:start w:val="1"/>
      <w:numFmt w:val="lowerRoman"/>
      <w:lvlText w:val="%3."/>
      <w:lvlJc w:val="right"/>
      <w:pPr>
        <w:ind w:left="1800" w:hanging="180"/>
      </w:pPr>
    </w:lvl>
    <w:lvl w:ilvl="3" w:tplc="8856E376">
      <w:start w:val="1"/>
      <w:numFmt w:val="decimal"/>
      <w:lvlText w:val="%4."/>
      <w:lvlJc w:val="left"/>
      <w:pPr>
        <w:ind w:left="2520" w:hanging="360"/>
      </w:pPr>
    </w:lvl>
    <w:lvl w:ilvl="4" w:tplc="DFCC5AD4">
      <w:start w:val="1"/>
      <w:numFmt w:val="lowerLetter"/>
      <w:lvlText w:val="%5."/>
      <w:lvlJc w:val="left"/>
      <w:pPr>
        <w:ind w:left="3240" w:hanging="360"/>
      </w:pPr>
    </w:lvl>
    <w:lvl w:ilvl="5" w:tplc="D848D206">
      <w:start w:val="1"/>
      <w:numFmt w:val="lowerRoman"/>
      <w:lvlText w:val="%6."/>
      <w:lvlJc w:val="right"/>
      <w:pPr>
        <w:ind w:left="3960" w:hanging="180"/>
      </w:pPr>
    </w:lvl>
    <w:lvl w:ilvl="6" w:tplc="D7009F16">
      <w:start w:val="1"/>
      <w:numFmt w:val="decimal"/>
      <w:lvlText w:val="%7."/>
      <w:lvlJc w:val="left"/>
      <w:pPr>
        <w:ind w:left="4680" w:hanging="360"/>
      </w:pPr>
    </w:lvl>
    <w:lvl w:ilvl="7" w:tplc="7AA69A26">
      <w:start w:val="1"/>
      <w:numFmt w:val="lowerLetter"/>
      <w:lvlText w:val="%8."/>
      <w:lvlJc w:val="left"/>
      <w:pPr>
        <w:ind w:left="5400" w:hanging="360"/>
      </w:pPr>
    </w:lvl>
    <w:lvl w:ilvl="8" w:tplc="16F880DE">
      <w:start w:val="1"/>
      <w:numFmt w:val="lowerRoman"/>
      <w:lvlText w:val="%9."/>
      <w:lvlJc w:val="right"/>
      <w:pPr>
        <w:ind w:left="6120" w:hanging="180"/>
      </w:pPr>
    </w:lvl>
  </w:abstractNum>
  <w:abstractNum w:abstractNumId="7" w15:restartNumberingAfterBreak="0">
    <w:nsid w:val="00000008"/>
    <w:multiLevelType w:val="hybridMultilevel"/>
    <w:tmpl w:val="23F252A4"/>
    <w:lvl w:ilvl="0" w:tplc="3CF26E7A">
      <w:start w:val="1"/>
      <w:numFmt w:val="lowerLetter"/>
      <w:lvlText w:val="%1."/>
      <w:lvlJc w:val="left"/>
      <w:pPr>
        <w:ind w:left="1080" w:hanging="360"/>
      </w:pPr>
    </w:lvl>
    <w:lvl w:ilvl="1" w:tplc="CA40AC30">
      <w:start w:val="1"/>
      <w:numFmt w:val="lowerLetter"/>
      <w:lvlText w:val="%2."/>
      <w:lvlJc w:val="left"/>
      <w:pPr>
        <w:ind w:left="1800" w:hanging="360"/>
      </w:pPr>
    </w:lvl>
    <w:lvl w:ilvl="2" w:tplc="31CA85BA">
      <w:start w:val="1"/>
      <w:numFmt w:val="lowerRoman"/>
      <w:lvlText w:val="%3."/>
      <w:lvlJc w:val="right"/>
      <w:pPr>
        <w:ind w:left="2520" w:hanging="180"/>
      </w:pPr>
    </w:lvl>
    <w:lvl w:ilvl="3" w:tplc="D34CB13E">
      <w:start w:val="1"/>
      <w:numFmt w:val="decimal"/>
      <w:lvlText w:val="%4."/>
      <w:lvlJc w:val="left"/>
      <w:pPr>
        <w:ind w:left="3240" w:hanging="360"/>
      </w:pPr>
    </w:lvl>
    <w:lvl w:ilvl="4" w:tplc="349CD5A4">
      <w:start w:val="1"/>
      <w:numFmt w:val="lowerLetter"/>
      <w:lvlText w:val="%5."/>
      <w:lvlJc w:val="left"/>
      <w:pPr>
        <w:ind w:left="3960" w:hanging="360"/>
      </w:pPr>
    </w:lvl>
    <w:lvl w:ilvl="5" w:tplc="B0CE71CC">
      <w:start w:val="1"/>
      <w:numFmt w:val="lowerRoman"/>
      <w:lvlText w:val="%6."/>
      <w:lvlJc w:val="right"/>
      <w:pPr>
        <w:ind w:left="4680" w:hanging="180"/>
      </w:pPr>
    </w:lvl>
    <w:lvl w:ilvl="6" w:tplc="37262740">
      <w:start w:val="1"/>
      <w:numFmt w:val="decimal"/>
      <w:lvlText w:val="%7."/>
      <w:lvlJc w:val="left"/>
      <w:pPr>
        <w:ind w:left="5400" w:hanging="360"/>
      </w:pPr>
    </w:lvl>
    <w:lvl w:ilvl="7" w:tplc="4E824DBA">
      <w:start w:val="1"/>
      <w:numFmt w:val="lowerLetter"/>
      <w:lvlText w:val="%8."/>
      <w:lvlJc w:val="left"/>
      <w:pPr>
        <w:ind w:left="6120" w:hanging="360"/>
      </w:pPr>
    </w:lvl>
    <w:lvl w:ilvl="8" w:tplc="3ED6FAC2">
      <w:start w:val="1"/>
      <w:numFmt w:val="lowerRoman"/>
      <w:lvlText w:val="%9."/>
      <w:lvlJc w:val="right"/>
      <w:pPr>
        <w:ind w:left="6840" w:hanging="180"/>
      </w:pPr>
    </w:lvl>
  </w:abstractNum>
  <w:abstractNum w:abstractNumId="8" w15:restartNumberingAfterBreak="0">
    <w:nsid w:val="00000009"/>
    <w:multiLevelType w:val="hybridMultilevel"/>
    <w:tmpl w:val="F9B2D990"/>
    <w:lvl w:ilvl="0" w:tplc="22C68CA2">
      <w:start w:val="1"/>
      <w:numFmt w:val="lowerRoman"/>
      <w:lvlText w:val="%1."/>
      <w:lvlJc w:val="left"/>
      <w:pPr>
        <w:ind w:left="1440" w:hanging="360"/>
      </w:pPr>
    </w:lvl>
    <w:lvl w:ilvl="1" w:tplc="9B081A68">
      <w:start w:val="1"/>
      <w:numFmt w:val="lowerLetter"/>
      <w:lvlText w:val="%2."/>
      <w:lvlJc w:val="left"/>
      <w:pPr>
        <w:ind w:left="1440" w:hanging="360"/>
      </w:pPr>
    </w:lvl>
    <w:lvl w:ilvl="2" w:tplc="7BB44312">
      <w:start w:val="1"/>
      <w:numFmt w:val="lowerRoman"/>
      <w:lvlText w:val="%3."/>
      <w:lvlJc w:val="right"/>
      <w:pPr>
        <w:ind w:left="2160" w:hanging="180"/>
      </w:pPr>
    </w:lvl>
    <w:lvl w:ilvl="3" w:tplc="99BAED9C">
      <w:start w:val="1"/>
      <w:numFmt w:val="decimal"/>
      <w:lvlText w:val="%4."/>
      <w:lvlJc w:val="left"/>
      <w:pPr>
        <w:ind w:left="2880" w:hanging="360"/>
      </w:pPr>
    </w:lvl>
    <w:lvl w:ilvl="4" w:tplc="FECA0EC6">
      <w:start w:val="1"/>
      <w:numFmt w:val="lowerLetter"/>
      <w:lvlText w:val="%5."/>
      <w:lvlJc w:val="left"/>
      <w:pPr>
        <w:ind w:left="3600" w:hanging="360"/>
      </w:pPr>
    </w:lvl>
    <w:lvl w:ilvl="5" w:tplc="0DC0F646">
      <w:start w:val="1"/>
      <w:numFmt w:val="lowerRoman"/>
      <w:lvlText w:val="%6."/>
      <w:lvlJc w:val="right"/>
      <w:pPr>
        <w:ind w:left="4320" w:hanging="180"/>
      </w:pPr>
    </w:lvl>
    <w:lvl w:ilvl="6" w:tplc="7AF20FA8">
      <w:start w:val="1"/>
      <w:numFmt w:val="decimal"/>
      <w:lvlText w:val="%7."/>
      <w:lvlJc w:val="left"/>
      <w:pPr>
        <w:ind w:left="5040" w:hanging="360"/>
      </w:pPr>
    </w:lvl>
    <w:lvl w:ilvl="7" w:tplc="FB76A252">
      <w:start w:val="1"/>
      <w:numFmt w:val="lowerLetter"/>
      <w:lvlText w:val="%8."/>
      <w:lvlJc w:val="left"/>
      <w:pPr>
        <w:ind w:left="5760" w:hanging="360"/>
      </w:pPr>
    </w:lvl>
    <w:lvl w:ilvl="8" w:tplc="A510DE56">
      <w:start w:val="1"/>
      <w:numFmt w:val="lowerRoman"/>
      <w:lvlText w:val="%9."/>
      <w:lvlJc w:val="right"/>
      <w:pPr>
        <w:ind w:left="6480" w:hanging="180"/>
      </w:pPr>
    </w:lvl>
  </w:abstractNum>
  <w:abstractNum w:abstractNumId="9" w15:restartNumberingAfterBreak="0">
    <w:nsid w:val="0000000A"/>
    <w:multiLevelType w:val="hybridMultilevel"/>
    <w:tmpl w:val="C574AE2E"/>
    <w:lvl w:ilvl="0" w:tplc="B7F48B0E">
      <w:start w:val="100"/>
      <w:numFmt w:val="lowerRoman"/>
      <w:lvlText w:val="%1."/>
      <w:lvlJc w:val="left"/>
      <w:pPr>
        <w:ind w:left="1440" w:hanging="360"/>
      </w:pPr>
    </w:lvl>
    <w:lvl w:ilvl="1" w:tplc="0784B5CA">
      <w:start w:val="1"/>
      <w:numFmt w:val="lowerLetter"/>
      <w:lvlText w:val="%2."/>
      <w:lvlJc w:val="left"/>
      <w:pPr>
        <w:ind w:left="1440" w:hanging="360"/>
      </w:pPr>
    </w:lvl>
    <w:lvl w:ilvl="2" w:tplc="7FD45B64">
      <w:start w:val="1"/>
      <w:numFmt w:val="lowerRoman"/>
      <w:lvlText w:val="%3."/>
      <w:lvlJc w:val="right"/>
      <w:pPr>
        <w:ind w:left="2160" w:hanging="180"/>
      </w:pPr>
    </w:lvl>
    <w:lvl w:ilvl="3" w:tplc="6A12C806">
      <w:start w:val="1"/>
      <w:numFmt w:val="decimal"/>
      <w:lvlText w:val="%4."/>
      <w:lvlJc w:val="left"/>
      <w:pPr>
        <w:ind w:left="2880" w:hanging="360"/>
      </w:pPr>
    </w:lvl>
    <w:lvl w:ilvl="4" w:tplc="11BA5994">
      <w:start w:val="1"/>
      <w:numFmt w:val="lowerLetter"/>
      <w:lvlText w:val="%5."/>
      <w:lvlJc w:val="left"/>
      <w:pPr>
        <w:ind w:left="3600" w:hanging="360"/>
      </w:pPr>
    </w:lvl>
    <w:lvl w:ilvl="5" w:tplc="1376155A">
      <w:start w:val="1"/>
      <w:numFmt w:val="lowerRoman"/>
      <w:lvlText w:val="%6."/>
      <w:lvlJc w:val="right"/>
      <w:pPr>
        <w:ind w:left="4320" w:hanging="180"/>
      </w:pPr>
    </w:lvl>
    <w:lvl w:ilvl="6" w:tplc="9C504EFA">
      <w:start w:val="1"/>
      <w:numFmt w:val="decimal"/>
      <w:lvlText w:val="%7."/>
      <w:lvlJc w:val="left"/>
      <w:pPr>
        <w:ind w:left="5040" w:hanging="360"/>
      </w:pPr>
    </w:lvl>
    <w:lvl w:ilvl="7" w:tplc="3F12E3C8">
      <w:start w:val="1"/>
      <w:numFmt w:val="lowerLetter"/>
      <w:lvlText w:val="%8."/>
      <w:lvlJc w:val="left"/>
      <w:pPr>
        <w:ind w:left="5760" w:hanging="360"/>
      </w:pPr>
    </w:lvl>
    <w:lvl w:ilvl="8" w:tplc="2C88BA48">
      <w:start w:val="1"/>
      <w:numFmt w:val="lowerRoman"/>
      <w:lvlText w:val="%9."/>
      <w:lvlJc w:val="right"/>
      <w:pPr>
        <w:ind w:left="6480" w:hanging="180"/>
      </w:pPr>
    </w:lvl>
  </w:abstractNum>
  <w:abstractNum w:abstractNumId="10" w15:restartNumberingAfterBreak="0">
    <w:nsid w:val="0000000B"/>
    <w:multiLevelType w:val="hybridMultilevel"/>
    <w:tmpl w:val="BD002312"/>
    <w:lvl w:ilvl="0" w:tplc="D9CE2FCE">
      <w:start w:val="1"/>
      <w:numFmt w:val="lowerLetter"/>
      <w:lvlText w:val="%1."/>
      <w:lvlJc w:val="left"/>
      <w:pPr>
        <w:ind w:left="720" w:hanging="360"/>
      </w:pPr>
      <w:rPr>
        <w:rFonts w:hint="default"/>
      </w:rPr>
    </w:lvl>
    <w:lvl w:ilvl="1" w:tplc="3674897C">
      <w:start w:val="1"/>
      <w:numFmt w:val="lowerLetter"/>
      <w:lvlText w:val="%2."/>
      <w:lvlJc w:val="left"/>
      <w:pPr>
        <w:ind w:left="1440" w:hanging="360"/>
      </w:pPr>
    </w:lvl>
    <w:lvl w:ilvl="2" w:tplc="F702D2F2">
      <w:start w:val="1"/>
      <w:numFmt w:val="lowerRoman"/>
      <w:lvlText w:val="%3."/>
      <w:lvlJc w:val="right"/>
      <w:pPr>
        <w:ind w:left="2160" w:hanging="180"/>
      </w:pPr>
    </w:lvl>
    <w:lvl w:ilvl="3" w:tplc="14E03938">
      <w:start w:val="1"/>
      <w:numFmt w:val="decimal"/>
      <w:lvlText w:val="%4."/>
      <w:lvlJc w:val="left"/>
      <w:pPr>
        <w:ind w:left="2880" w:hanging="360"/>
      </w:pPr>
    </w:lvl>
    <w:lvl w:ilvl="4" w:tplc="7848C78E">
      <w:start w:val="1"/>
      <w:numFmt w:val="lowerLetter"/>
      <w:lvlText w:val="%5."/>
      <w:lvlJc w:val="left"/>
      <w:pPr>
        <w:ind w:left="3600" w:hanging="360"/>
      </w:pPr>
    </w:lvl>
    <w:lvl w:ilvl="5" w:tplc="3D64B67A">
      <w:start w:val="1"/>
      <w:numFmt w:val="lowerRoman"/>
      <w:lvlText w:val="%6."/>
      <w:lvlJc w:val="right"/>
      <w:pPr>
        <w:ind w:left="4320" w:hanging="180"/>
      </w:pPr>
    </w:lvl>
    <w:lvl w:ilvl="6" w:tplc="F462D728">
      <w:start w:val="1"/>
      <w:numFmt w:val="decimal"/>
      <w:lvlText w:val="%7."/>
      <w:lvlJc w:val="left"/>
      <w:pPr>
        <w:ind w:left="5040" w:hanging="360"/>
      </w:pPr>
    </w:lvl>
    <w:lvl w:ilvl="7" w:tplc="A7061454">
      <w:start w:val="1"/>
      <w:numFmt w:val="lowerLetter"/>
      <w:lvlText w:val="%8."/>
      <w:lvlJc w:val="left"/>
      <w:pPr>
        <w:ind w:left="5760" w:hanging="360"/>
      </w:pPr>
    </w:lvl>
    <w:lvl w:ilvl="8" w:tplc="5560B75E">
      <w:start w:val="1"/>
      <w:numFmt w:val="lowerRoman"/>
      <w:lvlText w:val="%9."/>
      <w:lvlJc w:val="right"/>
      <w:pPr>
        <w:ind w:left="6480" w:hanging="180"/>
      </w:pPr>
    </w:lvl>
  </w:abstractNum>
  <w:abstractNum w:abstractNumId="11" w15:restartNumberingAfterBreak="0">
    <w:nsid w:val="0000000C"/>
    <w:multiLevelType w:val="hybridMultilevel"/>
    <w:tmpl w:val="B8C873B6"/>
    <w:lvl w:ilvl="0" w:tplc="5C823F36">
      <w:start w:val="1"/>
      <w:numFmt w:val="decimal"/>
      <w:lvlText w:val="%1."/>
      <w:lvlJc w:val="left"/>
      <w:pPr>
        <w:ind w:left="720" w:hanging="360"/>
      </w:pPr>
    </w:lvl>
    <w:lvl w:ilvl="1" w:tplc="63C26B88">
      <w:start w:val="1"/>
      <w:numFmt w:val="lowerLetter"/>
      <w:lvlText w:val="%2."/>
      <w:lvlJc w:val="left"/>
      <w:pPr>
        <w:ind w:left="1440" w:hanging="360"/>
      </w:pPr>
    </w:lvl>
    <w:lvl w:ilvl="2" w:tplc="C8B8AF5E">
      <w:start w:val="1"/>
      <w:numFmt w:val="lowerRoman"/>
      <w:lvlText w:val="%3."/>
      <w:lvlJc w:val="right"/>
      <w:pPr>
        <w:ind w:left="2160" w:hanging="180"/>
      </w:pPr>
    </w:lvl>
    <w:lvl w:ilvl="3" w:tplc="6080A4B2">
      <w:start w:val="1"/>
      <w:numFmt w:val="decimal"/>
      <w:lvlText w:val="%4."/>
      <w:lvlJc w:val="left"/>
      <w:pPr>
        <w:ind w:left="2880" w:hanging="360"/>
      </w:pPr>
    </w:lvl>
    <w:lvl w:ilvl="4" w:tplc="E6BC5816">
      <w:start w:val="1"/>
      <w:numFmt w:val="lowerLetter"/>
      <w:lvlText w:val="%5."/>
      <w:lvlJc w:val="left"/>
      <w:pPr>
        <w:ind w:left="3600" w:hanging="360"/>
      </w:pPr>
    </w:lvl>
    <w:lvl w:ilvl="5" w:tplc="C23C13F6">
      <w:start w:val="1"/>
      <w:numFmt w:val="lowerRoman"/>
      <w:lvlText w:val="%6."/>
      <w:lvlJc w:val="right"/>
      <w:pPr>
        <w:ind w:left="4320" w:hanging="180"/>
      </w:pPr>
    </w:lvl>
    <w:lvl w:ilvl="6" w:tplc="322C37E8">
      <w:start w:val="1"/>
      <w:numFmt w:val="decimal"/>
      <w:lvlText w:val="%7."/>
      <w:lvlJc w:val="left"/>
      <w:pPr>
        <w:ind w:left="5040" w:hanging="360"/>
      </w:pPr>
    </w:lvl>
    <w:lvl w:ilvl="7" w:tplc="351867F4">
      <w:start w:val="1"/>
      <w:numFmt w:val="lowerLetter"/>
      <w:lvlText w:val="%8."/>
      <w:lvlJc w:val="left"/>
      <w:pPr>
        <w:ind w:left="5760" w:hanging="360"/>
      </w:pPr>
    </w:lvl>
    <w:lvl w:ilvl="8" w:tplc="75E65520">
      <w:start w:val="1"/>
      <w:numFmt w:val="lowerRoman"/>
      <w:lvlText w:val="%9."/>
      <w:lvlJc w:val="right"/>
      <w:pPr>
        <w:ind w:left="6480" w:hanging="180"/>
      </w:pPr>
    </w:lvl>
  </w:abstractNum>
  <w:abstractNum w:abstractNumId="12" w15:restartNumberingAfterBreak="0">
    <w:nsid w:val="0000000D"/>
    <w:multiLevelType w:val="hybridMultilevel"/>
    <w:tmpl w:val="76CC03DA"/>
    <w:lvl w:ilvl="0" w:tplc="501488B2">
      <w:start w:val="1"/>
      <w:numFmt w:val="decimal"/>
      <w:pStyle w:val="BSnoteslist2"/>
      <w:lvlText w:val="%1."/>
      <w:lvlJc w:val="left"/>
      <w:pPr>
        <w:ind w:left="360" w:hanging="360"/>
      </w:pPr>
    </w:lvl>
    <w:lvl w:ilvl="1" w:tplc="BFB62A5C">
      <w:start w:val="1"/>
      <w:numFmt w:val="lowerLetter"/>
      <w:lvlText w:val="%2."/>
      <w:lvlJc w:val="left"/>
      <w:pPr>
        <w:ind w:left="1080" w:hanging="360"/>
      </w:pPr>
    </w:lvl>
    <w:lvl w:ilvl="2" w:tplc="5498C91C">
      <w:start w:val="1"/>
      <w:numFmt w:val="lowerRoman"/>
      <w:lvlText w:val="%3."/>
      <w:lvlJc w:val="right"/>
      <w:pPr>
        <w:ind w:left="1800" w:hanging="180"/>
      </w:pPr>
    </w:lvl>
    <w:lvl w:ilvl="3" w:tplc="D452E3AE">
      <w:start w:val="1"/>
      <w:numFmt w:val="decimal"/>
      <w:lvlText w:val="%4."/>
      <w:lvlJc w:val="left"/>
      <w:pPr>
        <w:ind w:left="2520" w:hanging="360"/>
      </w:pPr>
    </w:lvl>
    <w:lvl w:ilvl="4" w:tplc="4CAE2A7A">
      <w:start w:val="1"/>
      <w:numFmt w:val="lowerLetter"/>
      <w:lvlText w:val="%5."/>
      <w:lvlJc w:val="left"/>
      <w:pPr>
        <w:ind w:left="3240" w:hanging="360"/>
      </w:pPr>
    </w:lvl>
    <w:lvl w:ilvl="5" w:tplc="14C2D7B0">
      <w:start w:val="1"/>
      <w:numFmt w:val="lowerRoman"/>
      <w:lvlText w:val="%6."/>
      <w:lvlJc w:val="right"/>
      <w:pPr>
        <w:ind w:left="3960" w:hanging="180"/>
      </w:pPr>
    </w:lvl>
    <w:lvl w:ilvl="6" w:tplc="F8488E7C">
      <w:start w:val="1"/>
      <w:numFmt w:val="decimal"/>
      <w:lvlText w:val="%7."/>
      <w:lvlJc w:val="left"/>
      <w:pPr>
        <w:ind w:left="4680" w:hanging="360"/>
      </w:pPr>
    </w:lvl>
    <w:lvl w:ilvl="7" w:tplc="D2720E84">
      <w:start w:val="1"/>
      <w:numFmt w:val="lowerLetter"/>
      <w:lvlText w:val="%8."/>
      <w:lvlJc w:val="left"/>
      <w:pPr>
        <w:ind w:left="5400" w:hanging="360"/>
      </w:pPr>
    </w:lvl>
    <w:lvl w:ilvl="8" w:tplc="614AC632">
      <w:start w:val="1"/>
      <w:numFmt w:val="lowerRoman"/>
      <w:lvlText w:val="%9."/>
      <w:lvlJc w:val="right"/>
      <w:pPr>
        <w:ind w:left="6120" w:hanging="180"/>
      </w:pPr>
    </w:lvl>
  </w:abstractNum>
  <w:abstractNum w:abstractNumId="13" w15:restartNumberingAfterBreak="0">
    <w:nsid w:val="0000000E"/>
    <w:multiLevelType w:val="hybridMultilevel"/>
    <w:tmpl w:val="88F46EBA"/>
    <w:lvl w:ilvl="0" w:tplc="7DD4ADCC">
      <w:start w:val="1"/>
      <w:numFmt w:val="decimal"/>
      <w:lvlText w:val="%1."/>
      <w:lvlJc w:val="left"/>
      <w:pPr>
        <w:ind w:left="1145" w:hanging="360"/>
      </w:pPr>
      <w:rPr>
        <w:b w:val="0"/>
        <w:bCs/>
      </w:rPr>
    </w:lvl>
    <w:lvl w:ilvl="1" w:tplc="19FAE152">
      <w:start w:val="1"/>
      <w:numFmt w:val="lowerLetter"/>
      <w:lvlText w:val="%2."/>
      <w:lvlJc w:val="left"/>
      <w:pPr>
        <w:ind w:left="1865" w:hanging="360"/>
      </w:pPr>
    </w:lvl>
    <w:lvl w:ilvl="2" w:tplc="875EBA00">
      <w:start w:val="1"/>
      <w:numFmt w:val="lowerRoman"/>
      <w:lvlText w:val="%3."/>
      <w:lvlJc w:val="right"/>
      <w:pPr>
        <w:ind w:left="2585" w:hanging="180"/>
      </w:pPr>
    </w:lvl>
    <w:lvl w:ilvl="3" w:tplc="FFF87834">
      <w:start w:val="1"/>
      <w:numFmt w:val="decimal"/>
      <w:lvlText w:val="%4."/>
      <w:lvlJc w:val="left"/>
      <w:pPr>
        <w:ind w:left="360" w:hanging="360"/>
      </w:pPr>
    </w:lvl>
    <w:lvl w:ilvl="4" w:tplc="D388B684">
      <w:start w:val="1"/>
      <w:numFmt w:val="lowerLetter"/>
      <w:lvlText w:val="%5."/>
      <w:lvlJc w:val="left"/>
      <w:pPr>
        <w:ind w:left="4025" w:hanging="360"/>
      </w:pPr>
    </w:lvl>
    <w:lvl w:ilvl="5" w:tplc="6B18D002">
      <w:start w:val="1"/>
      <w:numFmt w:val="lowerRoman"/>
      <w:lvlText w:val="%6."/>
      <w:lvlJc w:val="right"/>
      <w:pPr>
        <w:ind w:left="4745" w:hanging="180"/>
      </w:pPr>
    </w:lvl>
    <w:lvl w:ilvl="6" w:tplc="952C437C">
      <w:start w:val="1"/>
      <w:numFmt w:val="decimal"/>
      <w:lvlText w:val="%7."/>
      <w:lvlJc w:val="left"/>
      <w:pPr>
        <w:ind w:left="5465" w:hanging="360"/>
      </w:pPr>
    </w:lvl>
    <w:lvl w:ilvl="7" w:tplc="587E3CFA">
      <w:start w:val="1"/>
      <w:numFmt w:val="lowerLetter"/>
      <w:lvlText w:val="%8."/>
      <w:lvlJc w:val="left"/>
      <w:pPr>
        <w:ind w:left="6185" w:hanging="360"/>
      </w:pPr>
    </w:lvl>
    <w:lvl w:ilvl="8" w:tplc="B832D0CE">
      <w:start w:val="1"/>
      <w:numFmt w:val="lowerRoman"/>
      <w:lvlText w:val="%9."/>
      <w:lvlJc w:val="right"/>
      <w:pPr>
        <w:ind w:left="6905" w:hanging="180"/>
      </w:pPr>
    </w:lvl>
  </w:abstractNum>
  <w:abstractNum w:abstractNumId="14" w15:restartNumberingAfterBreak="0">
    <w:nsid w:val="0000000F"/>
    <w:multiLevelType w:val="hybridMultilevel"/>
    <w:tmpl w:val="828A8B84"/>
    <w:lvl w:ilvl="0" w:tplc="1B982108">
      <w:start w:val="6"/>
      <w:numFmt w:val="decimal"/>
      <w:lvlText w:val="%1."/>
      <w:lvlJc w:val="left"/>
      <w:pPr>
        <w:ind w:left="1145" w:hanging="360"/>
      </w:pPr>
      <w:rPr>
        <w:rFonts w:hint="default"/>
        <w:b w:val="0"/>
        <w:bCs/>
      </w:rPr>
    </w:lvl>
    <w:lvl w:ilvl="1" w:tplc="7CCC17F2" w:tentative="1">
      <w:start w:val="1"/>
      <w:numFmt w:val="lowerLetter"/>
      <w:lvlText w:val="%2."/>
      <w:lvlJc w:val="left"/>
      <w:pPr>
        <w:ind w:left="1440" w:hanging="360"/>
      </w:pPr>
    </w:lvl>
    <w:lvl w:ilvl="2" w:tplc="0D76C188" w:tentative="1">
      <w:start w:val="1"/>
      <w:numFmt w:val="lowerRoman"/>
      <w:lvlText w:val="%3."/>
      <w:lvlJc w:val="right"/>
      <w:pPr>
        <w:ind w:left="2160" w:hanging="180"/>
      </w:pPr>
    </w:lvl>
    <w:lvl w:ilvl="3" w:tplc="30EAD0B2" w:tentative="1">
      <w:start w:val="1"/>
      <w:numFmt w:val="decimal"/>
      <w:lvlText w:val="%4."/>
      <w:lvlJc w:val="left"/>
      <w:pPr>
        <w:ind w:left="2880" w:hanging="360"/>
      </w:pPr>
    </w:lvl>
    <w:lvl w:ilvl="4" w:tplc="CBF869B8" w:tentative="1">
      <w:start w:val="1"/>
      <w:numFmt w:val="lowerLetter"/>
      <w:lvlText w:val="%5."/>
      <w:lvlJc w:val="left"/>
      <w:pPr>
        <w:ind w:left="3600" w:hanging="360"/>
      </w:pPr>
    </w:lvl>
    <w:lvl w:ilvl="5" w:tplc="45ECFA52" w:tentative="1">
      <w:start w:val="1"/>
      <w:numFmt w:val="lowerRoman"/>
      <w:lvlText w:val="%6."/>
      <w:lvlJc w:val="right"/>
      <w:pPr>
        <w:ind w:left="4320" w:hanging="180"/>
      </w:pPr>
    </w:lvl>
    <w:lvl w:ilvl="6" w:tplc="CF0CA534" w:tentative="1">
      <w:start w:val="1"/>
      <w:numFmt w:val="decimal"/>
      <w:lvlText w:val="%7."/>
      <w:lvlJc w:val="left"/>
      <w:pPr>
        <w:ind w:left="5040" w:hanging="360"/>
      </w:pPr>
    </w:lvl>
    <w:lvl w:ilvl="7" w:tplc="2DD0D5FA" w:tentative="1">
      <w:start w:val="1"/>
      <w:numFmt w:val="lowerLetter"/>
      <w:lvlText w:val="%8."/>
      <w:lvlJc w:val="left"/>
      <w:pPr>
        <w:ind w:left="5760" w:hanging="360"/>
      </w:pPr>
    </w:lvl>
    <w:lvl w:ilvl="8" w:tplc="8E96B122" w:tentative="1">
      <w:start w:val="1"/>
      <w:numFmt w:val="lowerRoman"/>
      <w:lvlText w:val="%9."/>
      <w:lvlJc w:val="right"/>
      <w:pPr>
        <w:ind w:left="6480" w:hanging="180"/>
      </w:pPr>
    </w:lvl>
  </w:abstractNum>
  <w:abstractNum w:abstractNumId="15" w15:restartNumberingAfterBreak="0">
    <w:nsid w:val="00000010"/>
    <w:multiLevelType w:val="hybridMultilevel"/>
    <w:tmpl w:val="4E7EACC2"/>
    <w:lvl w:ilvl="0" w:tplc="E2881E40">
      <w:start w:val="1"/>
      <w:numFmt w:val="bullet"/>
      <w:lvlText w:val=""/>
      <w:lvlJc w:val="left"/>
      <w:pPr>
        <w:tabs>
          <w:tab w:val="num" w:pos="360"/>
        </w:tabs>
        <w:ind w:left="357" w:hanging="357"/>
      </w:pPr>
      <w:rPr>
        <w:rFonts w:ascii="Symbol" w:hAnsi="Symbol" w:hint="default"/>
        <w:sz w:val="24"/>
      </w:rPr>
    </w:lvl>
    <w:lvl w:ilvl="1" w:tplc="EF6CABFE">
      <w:start w:val="1"/>
      <w:numFmt w:val="bullet"/>
      <w:lvlText w:val="o"/>
      <w:lvlJc w:val="left"/>
      <w:pPr>
        <w:tabs>
          <w:tab w:val="num" w:pos="1800"/>
        </w:tabs>
        <w:ind w:left="1800" w:hanging="360"/>
      </w:pPr>
      <w:rPr>
        <w:rFonts w:ascii="Courier New" w:hAnsi="Courier New" w:hint="default"/>
      </w:rPr>
    </w:lvl>
    <w:lvl w:ilvl="2" w:tplc="CBA4C64C">
      <w:start w:val="1"/>
      <w:numFmt w:val="bullet"/>
      <w:lvlText w:val=""/>
      <w:lvlJc w:val="left"/>
      <w:pPr>
        <w:tabs>
          <w:tab w:val="num" w:pos="2520"/>
        </w:tabs>
        <w:ind w:left="2520" w:hanging="360"/>
      </w:pPr>
      <w:rPr>
        <w:rFonts w:ascii="Wingdings" w:hAnsi="Wingdings" w:hint="default"/>
      </w:rPr>
    </w:lvl>
    <w:lvl w:ilvl="3" w:tplc="D06EC2B4">
      <w:start w:val="1"/>
      <w:numFmt w:val="bullet"/>
      <w:lvlText w:val=""/>
      <w:lvlJc w:val="left"/>
      <w:pPr>
        <w:tabs>
          <w:tab w:val="num" w:pos="3240"/>
        </w:tabs>
        <w:ind w:left="3240" w:hanging="360"/>
      </w:pPr>
      <w:rPr>
        <w:rFonts w:ascii="Symbol" w:hAnsi="Symbol" w:hint="default"/>
      </w:rPr>
    </w:lvl>
    <w:lvl w:ilvl="4" w:tplc="EEE2E554">
      <w:start w:val="1"/>
      <w:numFmt w:val="bullet"/>
      <w:lvlText w:val="o"/>
      <w:lvlJc w:val="left"/>
      <w:pPr>
        <w:tabs>
          <w:tab w:val="num" w:pos="3960"/>
        </w:tabs>
        <w:ind w:left="3960" w:hanging="360"/>
      </w:pPr>
      <w:rPr>
        <w:rFonts w:ascii="Courier New" w:hAnsi="Courier New" w:hint="default"/>
      </w:rPr>
    </w:lvl>
    <w:lvl w:ilvl="5" w:tplc="859881BC">
      <w:start w:val="1"/>
      <w:numFmt w:val="bullet"/>
      <w:lvlText w:val=""/>
      <w:lvlJc w:val="left"/>
      <w:pPr>
        <w:tabs>
          <w:tab w:val="num" w:pos="4680"/>
        </w:tabs>
        <w:ind w:left="4680" w:hanging="360"/>
      </w:pPr>
      <w:rPr>
        <w:rFonts w:ascii="Wingdings" w:hAnsi="Wingdings" w:hint="default"/>
      </w:rPr>
    </w:lvl>
    <w:lvl w:ilvl="6" w:tplc="6660CA54">
      <w:start w:val="1"/>
      <w:numFmt w:val="bullet"/>
      <w:lvlText w:val=""/>
      <w:lvlJc w:val="left"/>
      <w:pPr>
        <w:tabs>
          <w:tab w:val="num" w:pos="5400"/>
        </w:tabs>
        <w:ind w:left="5400" w:hanging="360"/>
      </w:pPr>
      <w:rPr>
        <w:rFonts w:ascii="Symbol" w:hAnsi="Symbol" w:hint="default"/>
      </w:rPr>
    </w:lvl>
    <w:lvl w:ilvl="7" w:tplc="77A45866">
      <w:start w:val="1"/>
      <w:numFmt w:val="bullet"/>
      <w:lvlText w:val="o"/>
      <w:lvlJc w:val="left"/>
      <w:pPr>
        <w:tabs>
          <w:tab w:val="num" w:pos="6120"/>
        </w:tabs>
        <w:ind w:left="6120" w:hanging="360"/>
      </w:pPr>
      <w:rPr>
        <w:rFonts w:ascii="Courier New" w:hAnsi="Courier New" w:hint="default"/>
      </w:rPr>
    </w:lvl>
    <w:lvl w:ilvl="8" w:tplc="AEDE2B04">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5"/>
  </w:num>
  <w:num w:numId="18">
    <w:abstractNumId w:val="13"/>
  </w:num>
  <w:num w:numId="19">
    <w:abstractNumId w:val="0"/>
  </w:num>
  <w:num w:numId="20">
    <w:abstractNumId w:val="0"/>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F4"/>
    <w:rsid w:val="00063793"/>
    <w:rsid w:val="0009344A"/>
    <w:rsid w:val="001932C9"/>
    <w:rsid w:val="002109FF"/>
    <w:rsid w:val="00286174"/>
    <w:rsid w:val="003036F4"/>
    <w:rsid w:val="00332931"/>
    <w:rsid w:val="0043013B"/>
    <w:rsid w:val="00450635"/>
    <w:rsid w:val="004E3699"/>
    <w:rsid w:val="005054A2"/>
    <w:rsid w:val="00551B07"/>
    <w:rsid w:val="005B2195"/>
    <w:rsid w:val="00621420"/>
    <w:rsid w:val="006475AA"/>
    <w:rsid w:val="006A176A"/>
    <w:rsid w:val="006D6566"/>
    <w:rsid w:val="006E72F1"/>
    <w:rsid w:val="00756936"/>
    <w:rsid w:val="00782018"/>
    <w:rsid w:val="007A65FD"/>
    <w:rsid w:val="00852076"/>
    <w:rsid w:val="008A66C2"/>
    <w:rsid w:val="00900E2D"/>
    <w:rsid w:val="00904319"/>
    <w:rsid w:val="00964579"/>
    <w:rsid w:val="009741F1"/>
    <w:rsid w:val="009B7444"/>
    <w:rsid w:val="00A52402"/>
    <w:rsid w:val="00AD2501"/>
    <w:rsid w:val="00BC637C"/>
    <w:rsid w:val="00C77136"/>
    <w:rsid w:val="00CD6586"/>
    <w:rsid w:val="00E04C89"/>
    <w:rsid w:val="00E2361F"/>
    <w:rsid w:val="00EE07A4"/>
    <w:rsid w:val="00FE4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2EC98"/>
  <w15:docId w15:val="{47D42557-A73E-4AD2-98FB-C7D22242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iPriority="9" w:unhideWhenUsed="1"/>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A4C"/>
    <w:pPr>
      <w:spacing w:before="200" w:after="200"/>
    </w:pPr>
    <w:rPr>
      <w:rFonts w:ascii="Calibri" w:hAnsi="Calibri"/>
      <w:sz w:val="24"/>
      <w:lang w:eastAsia="en-US"/>
    </w:rPr>
  </w:style>
  <w:style w:type="paragraph" w:styleId="Heading1">
    <w:name w:val="heading 1"/>
    <w:basedOn w:val="Normal"/>
    <w:next w:val="Normal"/>
    <w:link w:val="Heading1Char"/>
    <w:qFormat/>
    <w:rsid w:val="00EE4D16"/>
    <w:pPr>
      <w:keepNext/>
      <w:pBdr>
        <w:bottom w:val="single" w:sz="18" w:space="2" w:color="auto"/>
      </w:pBdr>
      <w:spacing w:after="480"/>
      <w:outlineLvl w:val="0"/>
    </w:pPr>
    <w:rPr>
      <w:b/>
      <w:kern w:val="28"/>
      <w:sz w:val="48"/>
    </w:rPr>
  </w:style>
  <w:style w:type="paragraph" w:styleId="Heading2">
    <w:name w:val="heading 2"/>
    <w:basedOn w:val="Normal"/>
    <w:next w:val="Normal"/>
    <w:link w:val="Heading2Char"/>
    <w:qFormat/>
    <w:rsid w:val="00EE4D16"/>
    <w:pPr>
      <w:keepNext/>
      <w:spacing w:before="360"/>
      <w:outlineLvl w:val="1"/>
    </w:pPr>
    <w:rPr>
      <w:b/>
      <w:snapToGrid w:val="0"/>
      <w:sz w:val="32"/>
    </w:rPr>
  </w:style>
  <w:style w:type="paragraph" w:styleId="Heading3">
    <w:name w:val="heading 3"/>
    <w:basedOn w:val="Normal"/>
    <w:next w:val="Normal"/>
    <w:link w:val="Heading3Char"/>
    <w:autoRedefine/>
    <w:qFormat/>
    <w:rsid w:val="00EE4D16"/>
    <w:pPr>
      <w:keepNext/>
      <w:keepLines/>
      <w:spacing w:before="360"/>
      <w:contextualSpacing/>
      <w:outlineLvl w:val="2"/>
    </w:pPr>
    <w:rPr>
      <w:b/>
      <w:bCs/>
      <w:sz w:val="28"/>
      <w:szCs w:val="26"/>
    </w:rPr>
  </w:style>
  <w:style w:type="paragraph" w:styleId="Heading4">
    <w:name w:val="heading 4"/>
    <w:basedOn w:val="Normal"/>
    <w:next w:val="Normal"/>
    <w:link w:val="Heading4Char"/>
    <w:autoRedefine/>
    <w:qFormat/>
    <w:rsid w:val="00EE4D16"/>
    <w:pPr>
      <w:keepNext/>
      <w:keepLines/>
      <w:spacing w:before="240" w:after="1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bCs/>
      <w:kern w:val="0"/>
      <w:sz w:val="40"/>
      <w:szCs w:val="28"/>
      <w:lang w:val="en-US"/>
    </w:rPr>
  </w:style>
  <w:style w:type="character" w:customStyle="1" w:styleId="Heading1Char">
    <w:name w:val="Heading 1 Char"/>
    <w:link w:val="Heading1"/>
    <w:locked/>
    <w:rsid w:val="00EE4D16"/>
    <w:rPr>
      <w:rFonts w:ascii="Calibri" w:hAnsi="Calibri"/>
      <w:b/>
      <w:kern w:val="28"/>
      <w:sz w:val="48"/>
      <w:lang w:eastAsia="en-US"/>
    </w:rPr>
  </w:style>
  <w:style w:type="character" w:customStyle="1" w:styleId="Heading2Char">
    <w:name w:val="Heading 2 Char"/>
    <w:link w:val="Heading2"/>
    <w:locked/>
    <w:rsid w:val="00EE4D16"/>
    <w:rPr>
      <w:rFonts w:ascii="Calibri" w:hAnsi="Calibri"/>
      <w:b/>
      <w:snapToGrid w:val="0"/>
      <w:sz w:val="32"/>
      <w:lang w:eastAsia="en-US"/>
    </w:rPr>
  </w:style>
  <w:style w:type="paragraph" w:styleId="BodyText">
    <w:name w:val="Body Text"/>
    <w:basedOn w:val="Normal"/>
    <w:link w:val="BodyTextChar"/>
    <w:uiPriority w:val="99"/>
    <w:rsid w:val="00FB4CEC"/>
    <w:pPr>
      <w:keepNext/>
      <w:keepLines/>
      <w:spacing w:before="120" w:after="120"/>
      <w:jc w:val="both"/>
    </w:pPr>
  </w:style>
  <w:style w:type="character" w:customStyle="1" w:styleId="BodyTextChar">
    <w:name w:val="Body Text Char"/>
    <w:link w:val="BodyText"/>
    <w:uiPriority w:val="99"/>
    <w:locked/>
    <w:rsid w:val="007316E2"/>
    <w:rPr>
      <w:rFonts w:ascii="Calibri" w:hAnsi="Calibri"/>
      <w:sz w:val="24"/>
      <w:lang w:eastAsia="en-US"/>
    </w:rPr>
  </w:style>
  <w:style w:type="paragraph" w:customStyle="1" w:styleId="FooterBP">
    <w:name w:val="Footer BP"/>
    <w:basedOn w:val="Normal"/>
    <w:next w:val="Normal"/>
    <w:rsid w:val="00FB4CEC"/>
    <w:pPr>
      <w:pBdr>
        <w:top w:val="single" w:sz="4" w:space="1" w:color="auto"/>
      </w:pBdr>
      <w:tabs>
        <w:tab w:val="center" w:pos="4536"/>
        <w:tab w:val="right" w:pos="9356"/>
      </w:tabs>
      <w:ind w:left="-284" w:right="-329"/>
    </w:pPr>
    <w:rPr>
      <w:i/>
      <w:sz w:val="20"/>
    </w:rPr>
  </w:style>
  <w:style w:type="paragraph" w:customStyle="1" w:styleId="BSbullet1">
    <w:name w:val="BS_bullet 1"/>
    <w:basedOn w:val="BodyTextIndent"/>
    <w:link w:val="BSbullet1Char"/>
    <w:qFormat/>
    <w:rsid w:val="009E4D5F"/>
    <w:pPr>
      <w:keepNext w:val="0"/>
      <w:keepLines w:val="0"/>
      <w:numPr>
        <w:numId w:val="1"/>
      </w:numPr>
      <w:jc w:val="left"/>
    </w:pPr>
  </w:style>
  <w:style w:type="paragraph" w:styleId="BodyTextIndent">
    <w:name w:val="Body Text Indent"/>
    <w:basedOn w:val="Normal"/>
    <w:next w:val="BodyText"/>
    <w:link w:val="BodyTextIndentChar"/>
    <w:rsid w:val="00FB4CEC"/>
    <w:pPr>
      <w:keepNext/>
      <w:keepLines/>
      <w:numPr>
        <w:numId w:val="2"/>
      </w:numPr>
      <w:spacing w:after="120"/>
      <w:jc w:val="both"/>
    </w:pPr>
    <w:rPr>
      <w:szCs w:val="24"/>
    </w:rPr>
  </w:style>
  <w:style w:type="character" w:customStyle="1" w:styleId="BodyTextIndentChar">
    <w:name w:val="Body Text Indent Char"/>
    <w:link w:val="BodyTextIndent"/>
    <w:locked/>
    <w:rsid w:val="00BF50D3"/>
    <w:rPr>
      <w:rFonts w:ascii="Calibri" w:hAnsi="Calibri"/>
      <w:sz w:val="24"/>
      <w:szCs w:val="24"/>
      <w:lang w:eastAsia="en-US"/>
    </w:rPr>
  </w:style>
  <w:style w:type="character" w:customStyle="1" w:styleId="BSbullet1Char">
    <w:name w:val="BS_bullet 1 Char"/>
    <w:basedOn w:val="BodyTextIndentChar"/>
    <w:link w:val="BSbullet1"/>
    <w:rsid w:val="009E4D5F"/>
    <w:rPr>
      <w:rFonts w:ascii="Calibri" w:hAnsi="Calibri"/>
      <w:sz w:val="24"/>
      <w:szCs w:val="24"/>
      <w:lang w:eastAsia="en-US"/>
    </w:rPr>
  </w:style>
  <w:style w:type="paragraph" w:styleId="Caption">
    <w:name w:val="caption"/>
    <w:basedOn w:val="Normal"/>
    <w:next w:val="Normal"/>
    <w:unhideWhenUsed/>
    <w:qFormat/>
    <w:locked/>
    <w:rsid w:val="00F31EEF"/>
    <w:pPr>
      <w:keepNext/>
      <w:spacing w:before="240"/>
    </w:pPr>
    <w:rPr>
      <w:b/>
      <w:bCs/>
      <w:color w:val="000000"/>
      <w:sz w:val="22"/>
      <w:szCs w:val="18"/>
    </w:rPr>
  </w:style>
  <w:style w:type="paragraph" w:customStyle="1" w:styleId="BStabletext">
    <w:name w:val="BS_table text"/>
    <w:basedOn w:val="BStableheading1"/>
    <w:link w:val="BStabletextChar"/>
    <w:autoRedefine/>
    <w:qFormat/>
    <w:rsid w:val="00F80175"/>
    <w:pPr>
      <w:framePr w:wrap="auto" w:vAnchor="margin" w:yAlign="inline"/>
      <w:ind w:left="227" w:hanging="227"/>
      <w:jc w:val="left"/>
    </w:pPr>
    <w:rPr>
      <w:b w:val="0"/>
      <w:lang w:eastAsia="en-AU"/>
    </w:rPr>
  </w:style>
  <w:style w:type="paragraph" w:customStyle="1" w:styleId="BStableheading1">
    <w:name w:val="BS_table heading 1"/>
    <w:basedOn w:val="NoSpacing"/>
    <w:link w:val="BStableheading1Char"/>
    <w:rsid w:val="007D71D2"/>
    <w:pPr>
      <w:framePr w:wrap="around" w:vAnchor="text" w:hAnchor="text" w:y="1"/>
      <w:jc w:val="right"/>
    </w:pPr>
    <w:rPr>
      <w:b/>
      <w:bCs/>
    </w:rPr>
  </w:style>
  <w:style w:type="paragraph" w:styleId="NoSpacing">
    <w:name w:val="No Spacing"/>
    <w:link w:val="NoSpacingChar"/>
    <w:uiPriority w:val="1"/>
    <w:qFormat/>
    <w:rsid w:val="007A4C99"/>
    <w:rPr>
      <w:rFonts w:ascii="Calibri" w:hAnsi="Calibri"/>
      <w:lang w:eastAsia="en-US"/>
    </w:rPr>
  </w:style>
  <w:style w:type="character" w:customStyle="1" w:styleId="NoSpacingChar">
    <w:name w:val="No Spacing Char"/>
    <w:link w:val="NoSpacing"/>
    <w:uiPriority w:val="1"/>
    <w:rsid w:val="007A4C99"/>
    <w:rPr>
      <w:rFonts w:ascii="Calibri" w:hAnsi="Calibri"/>
      <w:lang w:eastAsia="en-US"/>
    </w:rPr>
  </w:style>
  <w:style w:type="character" w:customStyle="1" w:styleId="BStableheading1Char">
    <w:name w:val="BS_table heading 1 Char"/>
    <w:basedOn w:val="NoSpacingChar"/>
    <w:link w:val="BStableheading1"/>
    <w:rsid w:val="007D71D2"/>
    <w:rPr>
      <w:rFonts w:ascii="Calibri" w:hAnsi="Calibri"/>
      <w:b/>
      <w:bCs/>
      <w:lang w:eastAsia="en-US"/>
    </w:rPr>
  </w:style>
  <w:style w:type="character" w:customStyle="1" w:styleId="BStabletextChar">
    <w:name w:val="BS_table text Char"/>
    <w:basedOn w:val="BStableheading1Char"/>
    <w:link w:val="BStabletext"/>
    <w:rsid w:val="00F80175"/>
    <w:rPr>
      <w:rFonts w:ascii="Calibri" w:hAnsi="Calibri"/>
      <w:b/>
      <w:bCs/>
      <w:lang w:eastAsia="en-US"/>
    </w:rPr>
  </w:style>
  <w:style w:type="character" w:styleId="Strong">
    <w:name w:val="Strong"/>
    <w:qFormat/>
    <w:rsid w:val="00D746DB"/>
    <w:rPr>
      <w:rFonts w:ascii="Calibri" w:hAnsi="Calibri"/>
      <w:b/>
      <w:bCs/>
    </w:rPr>
  </w:style>
  <w:style w:type="paragraph" w:customStyle="1" w:styleId="BStablefigures">
    <w:name w:val="BS_table figures"/>
    <w:basedOn w:val="BStabletext"/>
    <w:link w:val="BStablefiguresChar"/>
    <w:autoRedefine/>
    <w:qFormat/>
    <w:rsid w:val="006E57FD"/>
    <w:pPr>
      <w:jc w:val="right"/>
    </w:pPr>
    <w:rPr>
      <w:bCs w:val="0"/>
    </w:rPr>
  </w:style>
  <w:style w:type="character" w:customStyle="1" w:styleId="BStablefiguresChar">
    <w:name w:val="BS_table figures Char"/>
    <w:basedOn w:val="AITableTextChar"/>
    <w:link w:val="BStablefigures"/>
    <w:rsid w:val="006E57FD"/>
    <w:rPr>
      <w:rFonts w:ascii="Calibri" w:hAnsi="Calibri"/>
      <w:szCs w:val="24"/>
      <w:lang w:eastAsia="en-US"/>
    </w:rPr>
  </w:style>
  <w:style w:type="character" w:customStyle="1" w:styleId="AITableTextChar">
    <w:name w:val="AI Table Text Char"/>
    <w:link w:val="AITableText"/>
    <w:locked/>
    <w:rsid w:val="007316E2"/>
    <w:rPr>
      <w:rFonts w:ascii="Calibri" w:hAnsi="Calibri"/>
      <w:szCs w:val="24"/>
      <w:lang w:eastAsia="en-US"/>
    </w:rPr>
  </w:style>
  <w:style w:type="paragraph" w:customStyle="1" w:styleId="AITableText">
    <w:name w:val="AI Table Text"/>
    <w:basedOn w:val="Normal"/>
    <w:link w:val="AITableTextChar"/>
    <w:rsid w:val="00FB4CEC"/>
    <w:pPr>
      <w:jc w:val="right"/>
    </w:pPr>
    <w:rPr>
      <w:sz w:val="20"/>
      <w:szCs w:val="24"/>
    </w:rPr>
  </w:style>
  <w:style w:type="paragraph" w:customStyle="1" w:styleId="Normal2">
    <w:name w:val="Normal_2"/>
    <w:qFormat/>
    <w:rsid w:val="005757A6"/>
    <w:pPr>
      <w:spacing w:before="200" w:after="200"/>
    </w:pPr>
    <w:rPr>
      <w:rFonts w:ascii="Calibri" w:hAnsi="Calibri"/>
      <w:sz w:val="24"/>
      <w:lang w:eastAsia="en-US"/>
    </w:rPr>
  </w:style>
  <w:style w:type="paragraph" w:customStyle="1" w:styleId="Heading21">
    <w:name w:val="Heading 2_1"/>
    <w:basedOn w:val="Normal3"/>
    <w:next w:val="Normal3"/>
    <w:link w:val="Heading2Char1"/>
    <w:qFormat/>
    <w:rsid w:val="002308C7"/>
    <w:pPr>
      <w:keepNext/>
      <w:snapToGrid w:val="0"/>
      <w:spacing w:before="360"/>
      <w:outlineLvl w:val="1"/>
    </w:pPr>
    <w:rPr>
      <w:b/>
      <w:sz w:val="32"/>
    </w:rPr>
  </w:style>
  <w:style w:type="paragraph" w:customStyle="1" w:styleId="Normal3">
    <w:name w:val="Normal_3"/>
    <w:qFormat/>
    <w:rsid w:val="00B258A1"/>
    <w:pPr>
      <w:spacing w:before="200" w:after="200"/>
    </w:pPr>
    <w:rPr>
      <w:rFonts w:ascii="Calibri" w:hAnsi="Calibri"/>
      <w:sz w:val="24"/>
      <w:lang w:eastAsia="en-US"/>
    </w:rPr>
  </w:style>
  <w:style w:type="character" w:customStyle="1" w:styleId="Heading2Char1">
    <w:name w:val="Heading 2 Char_1"/>
    <w:link w:val="Heading21"/>
    <w:locked/>
    <w:rsid w:val="002308C7"/>
    <w:rPr>
      <w:rFonts w:ascii="Calibri" w:hAnsi="Calibri"/>
      <w:b/>
      <w:sz w:val="32"/>
      <w:lang w:eastAsia="en-US"/>
    </w:rPr>
  </w:style>
  <w:style w:type="paragraph" w:customStyle="1" w:styleId="BSbullet140">
    <w:name w:val="BS_bullet 1_4_0"/>
    <w:basedOn w:val="Normal"/>
    <w:qFormat/>
    <w:rsid w:val="00B96E02"/>
    <w:pPr>
      <w:spacing w:after="120"/>
      <w:ind w:left="360" w:hanging="360"/>
    </w:pPr>
    <w:rPr>
      <w:szCs w:val="24"/>
    </w:rPr>
  </w:style>
  <w:style w:type="character" w:customStyle="1" w:styleId="Heading4Char">
    <w:name w:val="Heading 4 Char"/>
    <w:link w:val="Heading4"/>
    <w:locked/>
    <w:rsid w:val="00EE4D16"/>
    <w:rPr>
      <w:rFonts w:ascii="Calibri" w:hAnsi="Calibri"/>
      <w:b/>
      <w:i/>
      <w:sz w:val="24"/>
      <w:lang w:eastAsia="en-US"/>
    </w:rPr>
  </w:style>
  <w:style w:type="paragraph" w:customStyle="1" w:styleId="Normal30">
    <w:name w:val="Normal_3_0"/>
    <w:qFormat/>
    <w:rsid w:val="009960D3"/>
    <w:pPr>
      <w:spacing w:before="200" w:after="200"/>
    </w:pPr>
    <w:rPr>
      <w:rFonts w:ascii="Calibri" w:hAnsi="Calibri"/>
      <w:sz w:val="24"/>
      <w:lang w:eastAsia="en-US"/>
    </w:rPr>
  </w:style>
  <w:style w:type="character" w:customStyle="1" w:styleId="Heading3Char">
    <w:name w:val="Heading 3 Char"/>
    <w:link w:val="Heading3"/>
    <w:locked/>
    <w:rsid w:val="00EE4D16"/>
    <w:rPr>
      <w:rFonts w:ascii="Calibri" w:hAnsi="Calibri" w:cs="Arial"/>
      <w:b/>
      <w:bCs/>
      <w:sz w:val="28"/>
      <w:szCs w:val="26"/>
      <w:lang w:eastAsia="en-US"/>
    </w:rPr>
  </w:style>
  <w:style w:type="paragraph" w:customStyle="1" w:styleId="Normal02">
    <w:name w:val="Normal_0_2"/>
    <w:qFormat/>
    <w:rsid w:val="00B53086"/>
    <w:pPr>
      <w:spacing w:before="200" w:after="200"/>
    </w:pPr>
    <w:rPr>
      <w:rFonts w:ascii="Calibri" w:hAnsi="Calibri"/>
      <w:sz w:val="24"/>
      <w:lang w:eastAsia="en-US"/>
    </w:rPr>
  </w:style>
  <w:style w:type="paragraph" w:customStyle="1" w:styleId="BSnote0">
    <w:name w:val="BS_note_0"/>
    <w:basedOn w:val="Normal"/>
    <w:link w:val="BSnoteChar0"/>
    <w:qFormat/>
    <w:rsid w:val="00B53086"/>
    <w:pPr>
      <w:keepNext/>
      <w:spacing w:before="120" w:after="0"/>
    </w:pPr>
    <w:rPr>
      <w:b/>
      <w:sz w:val="18"/>
      <w:szCs w:val="16"/>
    </w:rPr>
  </w:style>
  <w:style w:type="character" w:customStyle="1" w:styleId="BSnoteChar0">
    <w:name w:val="BS_note Char_0"/>
    <w:link w:val="BSnote0"/>
    <w:locked/>
    <w:rsid w:val="00B53086"/>
    <w:rPr>
      <w:rFonts w:ascii="Calibri" w:hAnsi="Calibri"/>
      <w:b/>
      <w:sz w:val="18"/>
      <w:szCs w:val="16"/>
      <w:lang w:eastAsia="en-US"/>
    </w:rPr>
  </w:style>
  <w:style w:type="paragraph" w:customStyle="1" w:styleId="BSnoteslist1">
    <w:name w:val="BS_notes list_1"/>
    <w:basedOn w:val="Normal"/>
    <w:link w:val="BSnoteslistChar1"/>
    <w:qFormat/>
    <w:rsid w:val="00B53086"/>
    <w:pPr>
      <w:numPr>
        <w:numId w:val="7"/>
      </w:numPr>
      <w:spacing w:before="0" w:after="0"/>
    </w:pPr>
    <w:rPr>
      <w:sz w:val="18"/>
      <w:szCs w:val="24"/>
    </w:rPr>
  </w:style>
  <w:style w:type="character" w:customStyle="1" w:styleId="BSnoteslistChar1">
    <w:name w:val="BS_notes list Char_1"/>
    <w:basedOn w:val="DefaultParagraphFont"/>
    <w:link w:val="BSnoteslist1"/>
    <w:locked/>
    <w:rsid w:val="00B53086"/>
    <w:rPr>
      <w:rFonts w:ascii="Calibri" w:hAnsi="Calibri"/>
      <w:sz w:val="18"/>
      <w:szCs w:val="24"/>
      <w:lang w:eastAsia="en-US"/>
    </w:rPr>
  </w:style>
  <w:style w:type="character" w:styleId="Hyperlink">
    <w:name w:val="Hyperlink"/>
    <w:uiPriority w:val="99"/>
    <w:rsid w:val="00FB4CEC"/>
    <w:rPr>
      <w:color w:val="0000FF"/>
      <w:u w:val="single"/>
    </w:rPr>
  </w:style>
  <w:style w:type="paragraph" w:customStyle="1" w:styleId="BStablelist">
    <w:name w:val="BS_table list"/>
    <w:basedOn w:val="AIIndent"/>
    <w:link w:val="BStablelistChar"/>
    <w:qFormat/>
    <w:rsid w:val="009D6846"/>
    <w:pPr>
      <w:tabs>
        <w:tab w:val="clear" w:pos="360"/>
      </w:tabs>
      <w:spacing w:before="0" w:after="0"/>
      <w:ind w:left="0" w:firstLine="0"/>
    </w:pPr>
  </w:style>
  <w:style w:type="paragraph" w:customStyle="1" w:styleId="AIIndent">
    <w:name w:val="AI Indent"/>
    <w:basedOn w:val="Normal"/>
    <w:link w:val="AIIndentChar"/>
    <w:rsid w:val="00FB4CEC"/>
    <w:pPr>
      <w:tabs>
        <w:tab w:val="num" w:pos="360"/>
      </w:tabs>
      <w:ind w:left="357" w:hanging="357"/>
    </w:pPr>
    <w:rPr>
      <w:sz w:val="20"/>
    </w:rPr>
  </w:style>
  <w:style w:type="character" w:customStyle="1" w:styleId="AIIndentChar">
    <w:name w:val="AI Indent Char"/>
    <w:link w:val="AIIndent"/>
    <w:locked/>
    <w:rsid w:val="007316E2"/>
    <w:rPr>
      <w:rFonts w:ascii="Calibri" w:hAnsi="Calibri"/>
      <w:lang w:eastAsia="en-US"/>
    </w:rPr>
  </w:style>
  <w:style w:type="character" w:customStyle="1" w:styleId="BStablelistChar">
    <w:name w:val="BS_table list Char"/>
    <w:basedOn w:val="AIIndentChar"/>
    <w:link w:val="BStablelist"/>
    <w:rsid w:val="009D6846"/>
    <w:rPr>
      <w:rFonts w:ascii="Calibri" w:hAnsi="Calibri"/>
      <w:lang w:eastAsia="en-US"/>
    </w:rPr>
  </w:style>
  <w:style w:type="paragraph" w:customStyle="1" w:styleId="BSnote2">
    <w:name w:val="BS_note_2"/>
    <w:basedOn w:val="Normal"/>
    <w:link w:val="BSnoteChar2"/>
    <w:qFormat/>
    <w:rsid w:val="00324511"/>
    <w:pPr>
      <w:keepNext/>
      <w:keepLines/>
      <w:spacing w:before="120" w:after="0"/>
    </w:pPr>
    <w:rPr>
      <w:rFonts w:cs="Calibri"/>
      <w:b/>
      <w:sz w:val="18"/>
      <w:szCs w:val="16"/>
      <w:lang w:eastAsia="en-AU"/>
    </w:rPr>
  </w:style>
  <w:style w:type="character" w:customStyle="1" w:styleId="BSnoteChar2">
    <w:name w:val="BS_note Char_2"/>
    <w:link w:val="BSnote2"/>
    <w:locked/>
    <w:rsid w:val="00324511"/>
    <w:rPr>
      <w:rFonts w:ascii="Calibri" w:hAnsi="Calibri" w:cs="Calibri"/>
      <w:b/>
      <w:sz w:val="18"/>
      <w:szCs w:val="16"/>
    </w:rPr>
  </w:style>
  <w:style w:type="paragraph" w:customStyle="1" w:styleId="BSnoteslist2">
    <w:name w:val="BS_notes list_2"/>
    <w:basedOn w:val="Normal"/>
    <w:link w:val="BSnoteslistChar2"/>
    <w:qFormat/>
    <w:rsid w:val="00F8515C"/>
    <w:pPr>
      <w:numPr>
        <w:numId w:val="14"/>
      </w:numPr>
      <w:spacing w:before="0" w:after="0"/>
    </w:pPr>
    <w:rPr>
      <w:sz w:val="18"/>
      <w:szCs w:val="24"/>
    </w:rPr>
  </w:style>
  <w:style w:type="character" w:customStyle="1" w:styleId="BSnoteslistChar2">
    <w:name w:val="BS_notes list Char_2"/>
    <w:basedOn w:val="DefaultParagraphFont"/>
    <w:link w:val="BSnoteslist2"/>
    <w:locked/>
    <w:rsid w:val="00F8515C"/>
    <w:rPr>
      <w:rFonts w:ascii="Calibri" w:hAnsi="Calibri"/>
      <w:sz w:val="18"/>
      <w:szCs w:val="24"/>
      <w:lang w:eastAsia="en-US"/>
    </w:rPr>
  </w:style>
  <w:style w:type="paragraph" w:customStyle="1" w:styleId="Normal0">
    <w:name w:val="Normal_0"/>
    <w:qFormat/>
    <w:rPr>
      <w:sz w:val="24"/>
      <w:szCs w:val="24"/>
    </w:rPr>
  </w:style>
  <w:style w:type="table" w:customStyle="1" w:styleId="CDMRange1">
    <w:name w:val="CDM Range 1"/>
    <w:basedOn w:val="TableNormal"/>
    <w:next w:val="TableNormal"/>
    <w:semiHidden/>
    <w:tblPr/>
  </w:style>
  <w:style w:type="paragraph" w:customStyle="1" w:styleId="Normal1">
    <w:name w:val="Normal_1"/>
    <w:qFormat/>
    <w:rPr>
      <w:sz w:val="24"/>
      <w:szCs w:val="24"/>
    </w:rPr>
  </w:style>
  <w:style w:type="table" w:customStyle="1" w:styleId="CDMRange2">
    <w:name w:val="CDM Range 2"/>
    <w:basedOn w:val="TableNormal"/>
    <w:next w:val="TableNormal"/>
    <w:semiHidden/>
    <w:tblPr/>
  </w:style>
  <w:style w:type="paragraph" w:customStyle="1" w:styleId="Normal4">
    <w:name w:val="Normal_4"/>
    <w:qFormat/>
    <w:rPr>
      <w:sz w:val="24"/>
      <w:szCs w:val="24"/>
    </w:rPr>
  </w:style>
  <w:style w:type="table" w:customStyle="1" w:styleId="CDMRange10">
    <w:name w:val="CDM Range 1_0"/>
    <w:basedOn w:val="TableNormal"/>
    <w:next w:val="TableNormal"/>
    <w:semiHidden/>
    <w:tblPr/>
  </w:style>
  <w:style w:type="paragraph" w:customStyle="1" w:styleId="Normal5">
    <w:name w:val="Normal_5"/>
    <w:qFormat/>
    <w:rPr>
      <w:sz w:val="24"/>
      <w:szCs w:val="24"/>
    </w:rPr>
  </w:style>
  <w:style w:type="table" w:customStyle="1" w:styleId="CDMRange20">
    <w:name w:val="CDM Range 2_0"/>
    <w:basedOn w:val="TableNormal"/>
    <w:next w:val="TableNormal"/>
    <w:semiHidden/>
    <w:tblPr/>
  </w:style>
  <w:style w:type="paragraph" w:customStyle="1" w:styleId="Normal6">
    <w:name w:val="Normal_6"/>
    <w:qFormat/>
    <w:rPr>
      <w:sz w:val="24"/>
      <w:szCs w:val="24"/>
    </w:rPr>
  </w:style>
  <w:style w:type="table" w:customStyle="1" w:styleId="CDMRange11">
    <w:name w:val="CDM Range 1_1"/>
    <w:basedOn w:val="TableNormal"/>
    <w:next w:val="TableNormal"/>
    <w:semiHidden/>
    <w:tblPr/>
  </w:style>
  <w:style w:type="paragraph" w:customStyle="1" w:styleId="Normal7">
    <w:name w:val="Normal_7"/>
    <w:qFormat/>
    <w:rPr>
      <w:sz w:val="24"/>
      <w:szCs w:val="24"/>
    </w:rPr>
  </w:style>
  <w:style w:type="table" w:customStyle="1" w:styleId="CDMRange21">
    <w:name w:val="CDM Range 2_1"/>
    <w:basedOn w:val="TableNormal"/>
    <w:next w:val="TableNormal"/>
    <w:semiHidden/>
    <w:tblPr/>
  </w:style>
  <w:style w:type="paragraph" w:customStyle="1" w:styleId="Normal8">
    <w:name w:val="Normal_8"/>
    <w:qFormat/>
    <w:rPr>
      <w:sz w:val="24"/>
      <w:szCs w:val="24"/>
    </w:rPr>
  </w:style>
  <w:style w:type="table" w:customStyle="1" w:styleId="CDMRange12">
    <w:name w:val="CDM Range 1_2"/>
    <w:basedOn w:val="TableNormal"/>
    <w:next w:val="TableNormal"/>
    <w:semiHidden/>
    <w:tblPr/>
  </w:style>
  <w:style w:type="paragraph" w:customStyle="1" w:styleId="Normal9">
    <w:name w:val="Normal_9"/>
    <w:qFormat/>
    <w:rPr>
      <w:sz w:val="24"/>
      <w:szCs w:val="24"/>
    </w:rPr>
  </w:style>
  <w:style w:type="table" w:customStyle="1" w:styleId="CDMRange22">
    <w:name w:val="CDM Range 2_2"/>
    <w:basedOn w:val="TableNormal"/>
    <w:next w:val="TableNormal"/>
    <w:semiHidden/>
    <w:tblPr/>
  </w:style>
  <w:style w:type="paragraph" w:customStyle="1" w:styleId="Normal10">
    <w:name w:val="Normal_10"/>
    <w:qFormat/>
    <w:rPr>
      <w:sz w:val="24"/>
      <w:szCs w:val="24"/>
    </w:rPr>
  </w:style>
  <w:style w:type="table" w:customStyle="1" w:styleId="CDMRange13">
    <w:name w:val="CDM Range 1_3"/>
    <w:basedOn w:val="TableNormal"/>
    <w:next w:val="TableNormal"/>
    <w:semiHidden/>
    <w:tblPr/>
  </w:style>
  <w:style w:type="paragraph" w:customStyle="1" w:styleId="Normal11">
    <w:name w:val="Normal_11"/>
    <w:qFormat/>
    <w:rPr>
      <w:sz w:val="24"/>
      <w:szCs w:val="24"/>
    </w:rPr>
  </w:style>
  <w:style w:type="table" w:customStyle="1" w:styleId="CDMRange23">
    <w:name w:val="CDM Range 2_3"/>
    <w:basedOn w:val="TableNormal"/>
    <w:next w:val="TableNormal"/>
    <w:semiHidden/>
    <w:tblPr/>
  </w:style>
  <w:style w:type="paragraph" w:customStyle="1" w:styleId="Normal12">
    <w:name w:val="Normal_12"/>
    <w:qFormat/>
    <w:rPr>
      <w:sz w:val="24"/>
      <w:szCs w:val="24"/>
    </w:rPr>
  </w:style>
  <w:style w:type="table" w:customStyle="1" w:styleId="CDMRange14">
    <w:name w:val="CDM Range 1_4"/>
    <w:basedOn w:val="TableNormal"/>
    <w:next w:val="TableNormal"/>
    <w:semiHidden/>
    <w:tblPr/>
  </w:style>
  <w:style w:type="paragraph" w:styleId="BalloonText">
    <w:name w:val="Balloon Text"/>
    <w:basedOn w:val="Normal"/>
    <w:link w:val="BalloonTextChar"/>
    <w:semiHidden/>
    <w:unhideWhenUsed/>
    <w:rsid w:val="00286174"/>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286174"/>
    <w:rPr>
      <w:rFonts w:ascii="Segoe UI" w:hAnsi="Segoe UI" w:cs="Segoe UI"/>
      <w:sz w:val="18"/>
      <w:szCs w:val="18"/>
      <w:lang w:eastAsia="en-US"/>
    </w:rPr>
  </w:style>
  <w:style w:type="paragraph" w:styleId="ListParagraph">
    <w:name w:val="List Paragraph"/>
    <w:basedOn w:val="Normal"/>
    <w:uiPriority w:val="34"/>
    <w:qFormat/>
    <w:rsid w:val="00210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2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ct.gov.au/majorprojectscanberra/resources/public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DAD0D3-6B84-4232-A226-22C80D55CA7C}">
  <ds:schemaRefs>
    <ds:schemaRef ds:uri="http://schemas.openxmlformats.org/officeDocument/2006/bibliography"/>
  </ds:schemaRefs>
</ds:datastoreItem>
</file>

<file path=customXml/itemProps2.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773338-2623-4C9A-81A2-2E84E09D9D45}">
  <ds:schemaRefs>
    <ds:schemaRef ds:uri="http://schemas.microsoft.com/sharepoint/v3/contenttype/forms"/>
  </ds:schemaRefs>
</ds:datastoreItem>
</file>

<file path=customXml/itemProps4.xml><?xml version="1.0" encoding="utf-8"?>
<ds:datastoreItem xmlns:ds="http://schemas.openxmlformats.org/officeDocument/2006/customXml" ds:itemID="{EDC4EF5B-89DB-42DE-A108-5054DD84C58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4210</Words>
  <Characters>21602</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2013-14 Budget Paper 4: Territory and Municipal Services Directorate</vt:lpstr>
    </vt:vector>
  </TitlesOfParts>
  <Company>ACT Government</Company>
  <LinksUpToDate>false</LinksUpToDate>
  <CharactersWithSpaces>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Budget Paper 4: Territory and Municipal Services Directorate</dc:title>
  <dc:subject>Territory and Municipal Services Directorate</dc:subject>
  <dc:creator>charlotte miles</dc:creator>
  <cp:lastModifiedBy>Wark, Erica</cp:lastModifiedBy>
  <cp:revision>2</cp:revision>
  <cp:lastPrinted>2021-02-03T04:30:00Z</cp:lastPrinted>
  <dcterms:created xsi:type="dcterms:W3CDTF">2021-02-08T06:51:00Z</dcterms:created>
  <dcterms:modified xsi:type="dcterms:W3CDTF">2021-02-08T06:51:00Z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