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86A22" w14:textId="77777777" w:rsidR="000A2FFC" w:rsidRDefault="00E753AA">
      <w:bookmarkStart w:id="0" w:name="_GoBack"/>
      <w:bookmarkEnd w:id="0"/>
      <w:r>
        <w:rPr>
          <w:noProof/>
        </w:rPr>
        <w:drawing>
          <wp:anchor distT="0" distB="0" distL="114300" distR="114300" simplePos="0" relativeHeight="251683840" behindDoc="1" locked="0" layoutInCell="1" allowOverlap="1" wp14:anchorId="7FB2933D" wp14:editId="6CCB4C4F">
            <wp:simplePos x="0" y="0"/>
            <wp:positionH relativeFrom="page">
              <wp:posOffset>-11069</wp:posOffset>
            </wp:positionH>
            <wp:positionV relativeFrom="page">
              <wp:posOffset>-38100</wp:posOffset>
            </wp:positionV>
            <wp:extent cx="7619913" cy="10778490"/>
            <wp:effectExtent l="0" t="0" r="635" b="381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0015392A" wp14:editId="6A5FC429">
            <wp:simplePos x="0" y="0"/>
            <wp:positionH relativeFrom="margin">
              <wp:posOffset>0</wp:posOffset>
            </wp:positionH>
            <wp:positionV relativeFrom="page">
              <wp:posOffset>1440180</wp:posOffset>
            </wp:positionV>
            <wp:extent cx="1413510" cy="723265"/>
            <wp:effectExtent l="19050" t="0" r="0" b="0"/>
            <wp:wrapSquare wrapText="bothSides"/>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74C498E" w14:textId="77777777" w:rsidR="00F875BD" w:rsidRDefault="00F875BD"/>
        <w:p w14:paraId="44AEB70F" w14:textId="77777777" w:rsidR="00F875BD" w:rsidRDefault="00E666BB">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02AAD131" wp14:editId="5FD340C7">
                    <wp:simplePos x="0" y="0"/>
                    <wp:positionH relativeFrom="margin">
                      <wp:posOffset>-214630</wp:posOffset>
                    </wp:positionH>
                    <wp:positionV relativeFrom="page">
                      <wp:posOffset>7807325</wp:posOffset>
                    </wp:positionV>
                    <wp:extent cx="2298065" cy="916940"/>
                    <wp:effectExtent l="4445" t="0" r="2540" b="0"/>
                    <wp:wrapNone/>
                    <wp:docPr id="2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F69BC" w14:textId="6549E618" w:rsidR="00E90E15" w:rsidRPr="000016B9" w:rsidRDefault="00E90E15" w:rsidP="0089332C">
                                <w:pPr>
                                  <w:pStyle w:val="Intro"/>
                                  <w:rPr>
                                    <w:caps/>
                                    <w:color w:val="FFFFFF"/>
                                  </w:rPr>
                                </w:pPr>
                                <w:r>
                                  <w:rPr>
                                    <w:color w:val="FFFFFF"/>
                                  </w:rPr>
                                  <w:t>Chief Minister, Treasury and Economic Development Directorate</w:t>
                                </w:r>
                              </w:p>
                              <w:p w14:paraId="0E9856F9" w14:textId="29422ACE" w:rsidR="00E90E15" w:rsidRPr="000016B9" w:rsidRDefault="00E90E15" w:rsidP="0089332C">
                                <w:pPr>
                                  <w:pStyle w:val="Intro"/>
                                  <w:rPr>
                                    <w:caps/>
                                    <w:color w:val="FFFFFF"/>
                                  </w:rPr>
                                </w:pPr>
                                <w:r>
                                  <w:rPr>
                                    <w:color w:val="FFFFFF"/>
                                  </w:rPr>
                                  <w:t>August</w:t>
                                </w:r>
                                <w:r w:rsidRPr="000016B9">
                                  <w:rPr>
                                    <w:color w:val="FFFFFF"/>
                                  </w:rPr>
                                  <w:t xml:space="preserve"> 20</w:t>
                                </w:r>
                                <w:r>
                                  <w:rPr>
                                    <w:color w:val="FFFFFF"/>
                                  </w:rPr>
                                  <w:t>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2AAD131" id="_x0000_t202" coordsize="21600,21600" o:spt="202" path="m,l,21600r21600,l21600,xe">
                    <v:stroke joinstyle="miter"/>
                    <v:path gradientshapeok="t" o:connecttype="rect"/>
                  </v:shapetype>
                  <v:shape id="Text Box 10" o:spid="_x0000_s1026" type="#_x0000_t202" style="position:absolute;margin-left:-16.9pt;margin-top:614.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" filled="f" stroked="f">
                    <v:textbox style="mso-fit-shape-to-text:t">
                      <w:txbxContent>
                        <w:p w14:paraId="714F69BC" w14:textId="6549E618" w:rsidR="00E90E15" w:rsidRPr="000016B9" w:rsidRDefault="00E90E15" w:rsidP="0089332C">
                          <w:pPr>
                            <w:pStyle w:val="Intro"/>
                            <w:rPr>
                              <w:caps/>
                              <w:color w:val="FFFFFF"/>
                            </w:rPr>
                          </w:pPr>
                          <w:r>
                            <w:rPr>
                              <w:color w:val="FFFFFF"/>
                            </w:rPr>
                            <w:t>Chief Minister, Treasury and Economic Development Directorate</w:t>
                          </w:r>
                        </w:p>
                        <w:p w14:paraId="0E9856F9" w14:textId="29422ACE" w:rsidR="00E90E15" w:rsidRPr="000016B9" w:rsidRDefault="00E90E15" w:rsidP="0089332C">
                          <w:pPr>
                            <w:pStyle w:val="Intro"/>
                            <w:rPr>
                              <w:caps/>
                              <w:color w:val="FFFFFF"/>
                            </w:rPr>
                          </w:pPr>
                          <w:r>
                            <w:rPr>
                              <w:color w:val="FFFFFF"/>
                            </w:rPr>
                            <w:t>August</w:t>
                          </w:r>
                          <w:r w:rsidRPr="000016B9">
                            <w:rPr>
                              <w:color w:val="FFFFFF"/>
                            </w:rPr>
                            <w:t xml:space="preserve"> 20</w:t>
                          </w:r>
                          <w:r>
                            <w:rPr>
                              <w:color w:val="FFFFFF"/>
                            </w:rPr>
                            <w:t>20</w:t>
                          </w:r>
                        </w:p>
                      </w:txbxContent>
                    </v:textbox>
                    <w10:wrap anchorx="margin" anchory="page"/>
                  </v:shape>
                </w:pict>
              </mc:Fallback>
            </mc:AlternateContent>
          </w:r>
          <w:r w:rsidR="005115E8">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0E724D36" wp14:editId="4669048F">
                    <wp:simplePos x="0" y="0"/>
                    <wp:positionH relativeFrom="margin">
                      <wp:posOffset>-214630</wp:posOffset>
                    </wp:positionH>
                    <wp:positionV relativeFrom="page">
                      <wp:posOffset>4673600</wp:posOffset>
                    </wp:positionV>
                    <wp:extent cx="3314700" cy="2689225"/>
                    <wp:effectExtent l="0" t="0" r="0" b="0"/>
                    <wp:wrapNone/>
                    <wp:docPr id="22"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5B1E7" w14:textId="105E2B5D" w:rsidR="00E90E15" w:rsidRDefault="00E90E15" w:rsidP="00E90E15">
                                <w:pPr>
                                  <w:pStyle w:val="Title"/>
                                  <w:rPr>
                                    <w:color w:val="FFFFFF"/>
                                  </w:rPr>
                                </w:pPr>
                                <w:r>
                                  <w:rPr>
                                    <w:color w:val="FFFFFF"/>
                                  </w:rPr>
                                  <w:t>REVENUE FORGONE FROM PAYROLL 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24D36" id="Text Box 9" o:spid="_x0000_s1027" type="#_x0000_t202" style="position:absolute;margin-left:-16.9pt;margin-top:368pt;width:261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" filled="f" stroked="f">
                    <v:textbox>
                      <w:txbxContent>
                        <w:p w14:paraId="3C15B1E7" w14:textId="105E2B5D" w:rsidR="00E90E15" w:rsidRDefault="00E90E15" w:rsidP="00E90E15">
                          <w:pPr>
                            <w:pStyle w:val="Title"/>
                            <w:rPr>
                              <w:color w:val="FFFFFF"/>
                            </w:rPr>
                          </w:pPr>
                          <w:r>
                            <w:rPr>
                              <w:color w:val="FFFFFF"/>
                            </w:rPr>
                            <w:t>REVENUE FORGONE FROM PAYROLL TAX</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7DB198A1" w14:textId="77777777" w:rsidR="002D33BC" w:rsidRPr="005115E8" w:rsidRDefault="002D33BC" w:rsidP="005115E8">
      <w:pPr>
        <w:pStyle w:val="TOC1"/>
      </w:pPr>
      <w:r w:rsidRPr="005115E8">
        <w:lastRenderedPageBreak/>
        <w:t>Content</w:t>
      </w:r>
      <w:r w:rsidR="005115E8" w:rsidRPr="005115E8">
        <w:t>s</w:t>
      </w:r>
    </w:p>
    <w:p w14:paraId="36112973" w14:textId="155C27D9" w:rsidR="00941B1C" w:rsidRDefault="00DD7FA7">
      <w:pPr>
        <w:pStyle w:val="TOC1"/>
        <w:rPr>
          <w:rFonts w:eastAsiaTheme="minorEastAsia" w:cstheme="minorBidi"/>
          <w:b w:val="0"/>
          <w:caps w:val="0"/>
          <w:color w:val="auto"/>
          <w:sz w:val="22"/>
          <w:szCs w:val="22"/>
        </w:rPr>
      </w:pPr>
      <w:r>
        <w:fldChar w:fldCharType="begin"/>
      </w:r>
      <w:r w:rsidR="0096313F">
        <w:instrText xml:space="preserve"> TOC \o "1-4" \u </w:instrText>
      </w:r>
      <w:r>
        <w:fldChar w:fldCharType="separate"/>
      </w:r>
      <w:r w:rsidR="00941B1C">
        <w:t>Introduction</w:t>
      </w:r>
      <w:r w:rsidR="00941B1C">
        <w:tab/>
      </w:r>
      <w:r w:rsidR="00941B1C">
        <w:fldChar w:fldCharType="begin"/>
      </w:r>
      <w:r w:rsidR="00941B1C">
        <w:instrText xml:space="preserve"> PAGEREF _Toc48112943 \h </w:instrText>
      </w:r>
      <w:r w:rsidR="00941B1C">
        <w:fldChar w:fldCharType="separate"/>
      </w:r>
      <w:r w:rsidR="00883A87">
        <w:t>3</w:t>
      </w:r>
      <w:r w:rsidR="00941B1C">
        <w:fldChar w:fldCharType="end"/>
      </w:r>
    </w:p>
    <w:p w14:paraId="4B6FDF58" w14:textId="1743A7A7" w:rsidR="00941B1C" w:rsidRDefault="00941B1C">
      <w:pPr>
        <w:pStyle w:val="TOC1"/>
        <w:rPr>
          <w:rFonts w:eastAsiaTheme="minorEastAsia" w:cstheme="minorBidi"/>
          <w:b w:val="0"/>
          <w:caps w:val="0"/>
          <w:color w:val="auto"/>
          <w:sz w:val="22"/>
          <w:szCs w:val="22"/>
        </w:rPr>
      </w:pPr>
      <w:r>
        <w:t>Executive Summary</w:t>
      </w:r>
      <w:r>
        <w:tab/>
      </w:r>
      <w:r>
        <w:fldChar w:fldCharType="begin"/>
      </w:r>
      <w:r>
        <w:instrText xml:space="preserve"> PAGEREF _Toc48112944 \h </w:instrText>
      </w:r>
      <w:r>
        <w:fldChar w:fldCharType="separate"/>
      </w:r>
      <w:r w:rsidR="00883A87">
        <w:t>4</w:t>
      </w:r>
      <w:r>
        <w:fldChar w:fldCharType="end"/>
      </w:r>
    </w:p>
    <w:p w14:paraId="1DD80026" w14:textId="6002D72A" w:rsidR="00941B1C" w:rsidRDefault="00941B1C">
      <w:pPr>
        <w:pStyle w:val="TOC1"/>
        <w:rPr>
          <w:rFonts w:eastAsiaTheme="minorEastAsia" w:cstheme="minorBidi"/>
          <w:b w:val="0"/>
          <w:caps w:val="0"/>
          <w:color w:val="auto"/>
          <w:sz w:val="22"/>
          <w:szCs w:val="22"/>
        </w:rPr>
      </w:pPr>
      <w:r>
        <w:t>Methodology</w:t>
      </w:r>
      <w:r>
        <w:tab/>
      </w:r>
      <w:r>
        <w:fldChar w:fldCharType="begin"/>
      </w:r>
      <w:r>
        <w:instrText xml:space="preserve"> PAGEREF _Toc48112945 \h </w:instrText>
      </w:r>
      <w:r>
        <w:fldChar w:fldCharType="separate"/>
      </w:r>
      <w:r w:rsidR="00883A87">
        <w:t>5</w:t>
      </w:r>
      <w:r>
        <w:fldChar w:fldCharType="end"/>
      </w:r>
    </w:p>
    <w:p w14:paraId="028A68BB" w14:textId="2F642F21" w:rsidR="00941B1C" w:rsidRDefault="00941B1C">
      <w:pPr>
        <w:pStyle w:val="TOC2"/>
        <w:rPr>
          <w:rFonts w:eastAsiaTheme="minorEastAsia" w:cstheme="minorBidi"/>
          <w:color w:val="auto"/>
          <w:sz w:val="22"/>
          <w:szCs w:val="22"/>
        </w:rPr>
      </w:pPr>
      <w:r>
        <w:t>Employers no longer in the data</w:t>
      </w:r>
      <w:r>
        <w:tab/>
      </w:r>
      <w:r>
        <w:fldChar w:fldCharType="begin"/>
      </w:r>
      <w:r>
        <w:instrText xml:space="preserve"> PAGEREF _Toc48112946 \h </w:instrText>
      </w:r>
      <w:r>
        <w:fldChar w:fldCharType="separate"/>
      </w:r>
      <w:r w:rsidR="00883A87">
        <w:t>5</w:t>
      </w:r>
      <w:r>
        <w:fldChar w:fldCharType="end"/>
      </w:r>
    </w:p>
    <w:p w14:paraId="12E086E2" w14:textId="527778CF" w:rsidR="00941B1C" w:rsidRDefault="00941B1C">
      <w:pPr>
        <w:pStyle w:val="TOC1"/>
        <w:rPr>
          <w:rFonts w:eastAsiaTheme="minorEastAsia" w:cstheme="minorBidi"/>
          <w:b w:val="0"/>
          <w:caps w:val="0"/>
          <w:color w:val="auto"/>
          <w:sz w:val="22"/>
          <w:szCs w:val="22"/>
        </w:rPr>
      </w:pPr>
      <w:r>
        <w:t>Payroll tax</w:t>
      </w:r>
      <w:r>
        <w:tab/>
      </w:r>
      <w:r>
        <w:fldChar w:fldCharType="begin"/>
      </w:r>
      <w:r>
        <w:instrText xml:space="preserve"> PAGEREF _Toc48112947 \h </w:instrText>
      </w:r>
      <w:r>
        <w:fldChar w:fldCharType="separate"/>
      </w:r>
      <w:r w:rsidR="00883A87">
        <w:t>6</w:t>
      </w:r>
      <w:r>
        <w:fldChar w:fldCharType="end"/>
      </w:r>
    </w:p>
    <w:p w14:paraId="4AA34161" w14:textId="77249BD2" w:rsidR="00941B1C" w:rsidRDefault="00941B1C">
      <w:pPr>
        <w:pStyle w:val="TOC2"/>
        <w:rPr>
          <w:rFonts w:eastAsiaTheme="minorEastAsia" w:cstheme="minorBidi"/>
          <w:color w:val="auto"/>
          <w:sz w:val="22"/>
          <w:szCs w:val="22"/>
        </w:rPr>
      </w:pPr>
      <w:r>
        <w:t>Joint payroll tax return</w:t>
      </w:r>
      <w:r>
        <w:tab/>
      </w:r>
      <w:r>
        <w:fldChar w:fldCharType="begin"/>
      </w:r>
      <w:r>
        <w:instrText xml:space="preserve"> PAGEREF _Toc48112948 \h </w:instrText>
      </w:r>
      <w:r>
        <w:fldChar w:fldCharType="separate"/>
      </w:r>
      <w:r w:rsidR="00883A87">
        <w:t>6</w:t>
      </w:r>
      <w:r>
        <w:fldChar w:fldCharType="end"/>
      </w:r>
    </w:p>
    <w:p w14:paraId="740FF655" w14:textId="4A91C68A" w:rsidR="00941B1C" w:rsidRDefault="00941B1C">
      <w:pPr>
        <w:pStyle w:val="TOC1"/>
        <w:rPr>
          <w:rFonts w:eastAsiaTheme="minorEastAsia" w:cstheme="minorBidi"/>
          <w:b w:val="0"/>
          <w:caps w:val="0"/>
          <w:color w:val="auto"/>
          <w:sz w:val="22"/>
          <w:szCs w:val="22"/>
        </w:rPr>
      </w:pPr>
      <w:r>
        <w:t>Data</w:t>
      </w:r>
      <w:r>
        <w:tab/>
      </w:r>
      <w:r>
        <w:fldChar w:fldCharType="begin"/>
      </w:r>
      <w:r>
        <w:instrText xml:space="preserve"> PAGEREF _Toc48112949 \h </w:instrText>
      </w:r>
      <w:r>
        <w:fldChar w:fldCharType="separate"/>
      </w:r>
      <w:r w:rsidR="00883A87">
        <w:t>8</w:t>
      </w:r>
      <w:r>
        <w:fldChar w:fldCharType="end"/>
      </w:r>
    </w:p>
    <w:p w14:paraId="236A21C0" w14:textId="55128E61" w:rsidR="00941B1C" w:rsidRDefault="00941B1C">
      <w:pPr>
        <w:pStyle w:val="TOC2"/>
        <w:rPr>
          <w:rFonts w:eastAsiaTheme="minorEastAsia" w:cstheme="minorBidi"/>
          <w:color w:val="auto"/>
          <w:sz w:val="22"/>
          <w:szCs w:val="22"/>
        </w:rPr>
      </w:pPr>
      <w:r>
        <w:t>Number of employers</w:t>
      </w:r>
      <w:r>
        <w:tab/>
      </w:r>
      <w:r>
        <w:fldChar w:fldCharType="begin"/>
      </w:r>
      <w:r>
        <w:instrText xml:space="preserve"> PAGEREF _Toc48112950 \h </w:instrText>
      </w:r>
      <w:r>
        <w:fldChar w:fldCharType="separate"/>
      </w:r>
      <w:r w:rsidR="00883A87">
        <w:t>8</w:t>
      </w:r>
      <w:r>
        <w:fldChar w:fldCharType="end"/>
      </w:r>
    </w:p>
    <w:p w14:paraId="399D9ACB" w14:textId="7707CFD2" w:rsidR="00941B1C" w:rsidRDefault="00941B1C">
      <w:pPr>
        <w:pStyle w:val="TOC2"/>
        <w:rPr>
          <w:rFonts w:eastAsiaTheme="minorEastAsia" w:cstheme="minorBidi"/>
          <w:color w:val="auto"/>
          <w:sz w:val="22"/>
          <w:szCs w:val="22"/>
        </w:rPr>
      </w:pPr>
      <w:r>
        <w:t>Reconciled data</w:t>
      </w:r>
      <w:r>
        <w:tab/>
      </w:r>
      <w:r>
        <w:fldChar w:fldCharType="begin"/>
      </w:r>
      <w:r>
        <w:instrText xml:space="preserve"> PAGEREF _Toc48112951 \h </w:instrText>
      </w:r>
      <w:r>
        <w:fldChar w:fldCharType="separate"/>
      </w:r>
      <w:r w:rsidR="00883A87">
        <w:t>8</w:t>
      </w:r>
      <w:r>
        <w:fldChar w:fldCharType="end"/>
      </w:r>
    </w:p>
    <w:p w14:paraId="6E4821A1" w14:textId="3BDB4BAA" w:rsidR="00941B1C" w:rsidRDefault="00941B1C">
      <w:pPr>
        <w:pStyle w:val="TOC2"/>
        <w:rPr>
          <w:rFonts w:eastAsiaTheme="minorEastAsia" w:cstheme="minorBidi"/>
          <w:color w:val="auto"/>
          <w:sz w:val="22"/>
          <w:szCs w:val="22"/>
        </w:rPr>
      </w:pPr>
      <w:r>
        <w:t>Joint return lodger</w:t>
      </w:r>
      <w:r>
        <w:tab/>
      </w:r>
      <w:r>
        <w:fldChar w:fldCharType="begin"/>
      </w:r>
      <w:r>
        <w:instrText xml:space="preserve"> PAGEREF _Toc48112952 \h </w:instrText>
      </w:r>
      <w:r>
        <w:fldChar w:fldCharType="separate"/>
      </w:r>
      <w:r w:rsidR="00883A87">
        <w:t>9</w:t>
      </w:r>
      <w:r>
        <w:fldChar w:fldCharType="end"/>
      </w:r>
    </w:p>
    <w:p w14:paraId="603F0D0E" w14:textId="02900487" w:rsidR="00941B1C" w:rsidRDefault="00941B1C">
      <w:pPr>
        <w:pStyle w:val="TOC2"/>
        <w:rPr>
          <w:rFonts w:eastAsiaTheme="minorEastAsia" w:cstheme="minorBidi"/>
          <w:color w:val="auto"/>
          <w:sz w:val="22"/>
          <w:szCs w:val="22"/>
        </w:rPr>
      </w:pPr>
      <w:r>
        <w:t>Employer status code</w:t>
      </w:r>
      <w:r>
        <w:tab/>
      </w:r>
      <w:r>
        <w:fldChar w:fldCharType="begin"/>
      </w:r>
      <w:r>
        <w:instrText xml:space="preserve"> PAGEREF _Toc48112953 \h </w:instrText>
      </w:r>
      <w:r>
        <w:fldChar w:fldCharType="separate"/>
      </w:r>
      <w:r w:rsidR="00883A87">
        <w:t>9</w:t>
      </w:r>
      <w:r>
        <w:fldChar w:fldCharType="end"/>
      </w:r>
    </w:p>
    <w:p w14:paraId="6DE4BDC1" w14:textId="2D274656" w:rsidR="00941B1C" w:rsidRDefault="00941B1C">
      <w:pPr>
        <w:pStyle w:val="TOC2"/>
        <w:rPr>
          <w:rFonts w:eastAsiaTheme="minorEastAsia" w:cstheme="minorBidi"/>
          <w:color w:val="auto"/>
          <w:sz w:val="22"/>
          <w:szCs w:val="22"/>
        </w:rPr>
      </w:pPr>
      <w:r>
        <w:t>Number of days liable to pay wages</w:t>
      </w:r>
      <w:r>
        <w:tab/>
      </w:r>
      <w:r>
        <w:fldChar w:fldCharType="begin"/>
      </w:r>
      <w:r>
        <w:instrText xml:space="preserve"> PAGEREF _Toc48112954 \h </w:instrText>
      </w:r>
      <w:r>
        <w:fldChar w:fldCharType="separate"/>
      </w:r>
      <w:r w:rsidR="00883A87">
        <w:t>10</w:t>
      </w:r>
      <w:r>
        <w:fldChar w:fldCharType="end"/>
      </w:r>
    </w:p>
    <w:p w14:paraId="7B5095FD" w14:textId="6DBA2750" w:rsidR="00941B1C" w:rsidRDefault="00941B1C">
      <w:pPr>
        <w:pStyle w:val="TOC2"/>
        <w:rPr>
          <w:rFonts w:eastAsiaTheme="minorEastAsia" w:cstheme="minorBidi"/>
          <w:color w:val="auto"/>
          <w:sz w:val="22"/>
          <w:szCs w:val="22"/>
        </w:rPr>
      </w:pPr>
      <w:r>
        <w:t>Calculation of payroll tax liability</w:t>
      </w:r>
      <w:r>
        <w:tab/>
      </w:r>
      <w:r>
        <w:fldChar w:fldCharType="begin"/>
      </w:r>
      <w:r>
        <w:instrText xml:space="preserve"> PAGEREF _Toc48112955 \h </w:instrText>
      </w:r>
      <w:r>
        <w:fldChar w:fldCharType="separate"/>
      </w:r>
      <w:r w:rsidR="00883A87">
        <w:t>10</w:t>
      </w:r>
      <w:r>
        <w:fldChar w:fldCharType="end"/>
      </w:r>
    </w:p>
    <w:p w14:paraId="5D96F4EF" w14:textId="55F4BE50" w:rsidR="00941B1C" w:rsidRDefault="00941B1C">
      <w:pPr>
        <w:pStyle w:val="TOC1"/>
        <w:rPr>
          <w:rFonts w:eastAsiaTheme="minorEastAsia" w:cstheme="minorBidi"/>
          <w:b w:val="0"/>
          <w:caps w:val="0"/>
          <w:color w:val="auto"/>
          <w:sz w:val="22"/>
          <w:szCs w:val="22"/>
        </w:rPr>
      </w:pPr>
      <w:r>
        <w:t>Analysis</w:t>
      </w:r>
      <w:r>
        <w:tab/>
      </w:r>
      <w:r>
        <w:fldChar w:fldCharType="begin"/>
      </w:r>
      <w:r>
        <w:instrText xml:space="preserve"> PAGEREF _Toc48112956 \h </w:instrText>
      </w:r>
      <w:r>
        <w:fldChar w:fldCharType="separate"/>
      </w:r>
      <w:r w:rsidR="00883A87">
        <w:t>13</w:t>
      </w:r>
      <w:r>
        <w:fldChar w:fldCharType="end"/>
      </w:r>
    </w:p>
    <w:p w14:paraId="033F4F91" w14:textId="112F09B1" w:rsidR="00941B1C" w:rsidRDefault="00941B1C">
      <w:pPr>
        <w:pStyle w:val="TOC1"/>
        <w:rPr>
          <w:rFonts w:eastAsiaTheme="minorEastAsia" w:cstheme="minorBidi"/>
          <w:b w:val="0"/>
          <w:caps w:val="0"/>
          <w:color w:val="auto"/>
          <w:sz w:val="22"/>
          <w:szCs w:val="22"/>
        </w:rPr>
      </w:pPr>
      <w:r>
        <w:t>Results</w:t>
      </w:r>
      <w:r>
        <w:tab/>
      </w:r>
      <w:r>
        <w:fldChar w:fldCharType="begin"/>
      </w:r>
      <w:r>
        <w:instrText xml:space="preserve"> PAGEREF _Toc48112957 \h </w:instrText>
      </w:r>
      <w:r>
        <w:fldChar w:fldCharType="separate"/>
      </w:r>
      <w:r w:rsidR="00883A87">
        <w:t>15</w:t>
      </w:r>
      <w:r>
        <w:fldChar w:fldCharType="end"/>
      </w:r>
    </w:p>
    <w:p w14:paraId="2EDC1FE1" w14:textId="37B5DE03" w:rsidR="00941B1C" w:rsidRDefault="00941B1C">
      <w:pPr>
        <w:pStyle w:val="TOC1"/>
        <w:rPr>
          <w:rFonts w:eastAsiaTheme="minorEastAsia" w:cstheme="minorBidi"/>
          <w:b w:val="0"/>
          <w:caps w:val="0"/>
          <w:color w:val="auto"/>
          <w:sz w:val="22"/>
          <w:szCs w:val="22"/>
        </w:rPr>
      </w:pPr>
      <w:r>
        <w:t>Sensitivity Analysis</w:t>
      </w:r>
      <w:r>
        <w:tab/>
      </w:r>
      <w:r>
        <w:fldChar w:fldCharType="begin"/>
      </w:r>
      <w:r>
        <w:instrText xml:space="preserve"> PAGEREF _Toc48112958 \h </w:instrText>
      </w:r>
      <w:r>
        <w:fldChar w:fldCharType="separate"/>
      </w:r>
      <w:r w:rsidR="00883A87">
        <w:t>16</w:t>
      </w:r>
      <w:r>
        <w:fldChar w:fldCharType="end"/>
      </w:r>
    </w:p>
    <w:p w14:paraId="4DBFC90A" w14:textId="0AEA9E10" w:rsidR="00941B1C" w:rsidRDefault="00941B1C">
      <w:pPr>
        <w:pStyle w:val="TOC1"/>
        <w:rPr>
          <w:rFonts w:eastAsiaTheme="minorEastAsia" w:cstheme="minorBidi"/>
          <w:b w:val="0"/>
          <w:caps w:val="0"/>
          <w:color w:val="auto"/>
          <w:sz w:val="22"/>
          <w:szCs w:val="22"/>
        </w:rPr>
      </w:pPr>
      <w:r>
        <w:t>Conclusion</w:t>
      </w:r>
      <w:r>
        <w:tab/>
      </w:r>
      <w:r>
        <w:fldChar w:fldCharType="begin"/>
      </w:r>
      <w:r>
        <w:instrText xml:space="preserve"> PAGEREF _Toc48112959 \h </w:instrText>
      </w:r>
      <w:r>
        <w:fldChar w:fldCharType="separate"/>
      </w:r>
      <w:r w:rsidR="00883A87">
        <w:t>19</w:t>
      </w:r>
      <w:r>
        <w:fldChar w:fldCharType="end"/>
      </w:r>
    </w:p>
    <w:p w14:paraId="51906E5B" w14:textId="5759F4BC" w:rsidR="00941B1C" w:rsidRDefault="00941B1C">
      <w:pPr>
        <w:pStyle w:val="TOC1"/>
        <w:rPr>
          <w:rFonts w:eastAsiaTheme="minorEastAsia" w:cstheme="minorBidi"/>
          <w:b w:val="0"/>
          <w:caps w:val="0"/>
          <w:color w:val="auto"/>
          <w:sz w:val="22"/>
          <w:szCs w:val="22"/>
        </w:rPr>
      </w:pPr>
      <w:r>
        <w:t>References</w:t>
      </w:r>
      <w:r>
        <w:tab/>
      </w:r>
      <w:r>
        <w:fldChar w:fldCharType="begin"/>
      </w:r>
      <w:r>
        <w:instrText xml:space="preserve"> PAGEREF _Toc48112960 \h </w:instrText>
      </w:r>
      <w:r>
        <w:fldChar w:fldCharType="separate"/>
      </w:r>
      <w:r w:rsidR="00883A87">
        <w:t>20</w:t>
      </w:r>
      <w:r>
        <w:fldChar w:fldCharType="end"/>
      </w:r>
    </w:p>
    <w:p w14:paraId="77BB7F35" w14:textId="2184BFB3" w:rsidR="00941B1C" w:rsidRDefault="00DD7FA7" w:rsidP="00941B1C">
      <w:pPr>
        <w:spacing w:line="276" w:lineRule="auto"/>
        <w:rPr>
          <w:rFonts w:asciiTheme="majorHAnsi" w:hAnsiTheme="majorHAnsi"/>
          <w:caps/>
          <w:noProof/>
          <w:color w:val="482D8C" w:themeColor="background2"/>
          <w:sz w:val="36"/>
          <w:szCs w:val="40"/>
        </w:rPr>
      </w:pPr>
      <w:r>
        <w:rPr>
          <w:rFonts w:asciiTheme="majorHAnsi" w:hAnsiTheme="majorHAnsi"/>
          <w:caps/>
          <w:noProof/>
          <w:color w:val="482D8C" w:themeColor="background2"/>
          <w:sz w:val="36"/>
          <w:szCs w:val="40"/>
        </w:rPr>
        <w:fldChar w:fldCharType="end"/>
      </w:r>
    </w:p>
    <w:p w14:paraId="1BFA161B" w14:textId="7CF25533" w:rsidR="00E109CF" w:rsidRPr="00941B1C" w:rsidRDefault="00E109CF" w:rsidP="00941B1C">
      <w:pPr>
        <w:pStyle w:val="Heading1"/>
        <w:rPr>
          <w:rFonts w:asciiTheme="majorHAnsi" w:hAnsiTheme="majorHAnsi"/>
          <w:color w:val="E36C0A"/>
          <w:spacing w:val="5"/>
          <w:sz w:val="72"/>
          <w:szCs w:val="72"/>
        </w:rPr>
      </w:pPr>
      <w:bookmarkStart w:id="1" w:name="_Toc48112943"/>
      <w:r w:rsidRPr="00C82FAE">
        <w:lastRenderedPageBreak/>
        <w:t>Introduction</w:t>
      </w:r>
      <w:bookmarkEnd w:id="1"/>
    </w:p>
    <w:p w14:paraId="642EBB09" w14:textId="77777777" w:rsidR="00E109CF" w:rsidRDefault="00E109CF" w:rsidP="00E109CF">
      <w:r w:rsidRPr="006146E9">
        <w:t>In 2012</w:t>
      </w:r>
      <w:r>
        <w:t>-13</w:t>
      </w:r>
      <w:r w:rsidRPr="006146E9">
        <w:t>, the ACT Government began a 20-year tax reform program. Under the program,</w:t>
      </w:r>
      <w:r>
        <w:t xml:space="preserve"> commercial land tax and </w:t>
      </w:r>
      <w:r w:rsidRPr="006146E9">
        <w:t>insurance duty</w:t>
      </w:r>
      <w:r>
        <w:t xml:space="preserve"> have been abolished, stamp duty</w:t>
      </w:r>
      <w:r w:rsidRPr="006146E9">
        <w:t xml:space="preserve"> and </w:t>
      </w:r>
      <w:r>
        <w:t>has been</w:t>
      </w:r>
      <w:r w:rsidRPr="006146E9">
        <w:t xml:space="preserve"> progressively reduced, </w:t>
      </w:r>
      <w:r>
        <w:t>and revenue from these sources has been replaced by progressive increases to general rates.</w:t>
      </w:r>
    </w:p>
    <w:p w14:paraId="6FCA2F12" w14:textId="77777777" w:rsidR="00E109CF" w:rsidRDefault="00E109CF" w:rsidP="00E109CF">
      <w:r>
        <w:t xml:space="preserve">The ACT Government’s analysis on the impact of the tax reform includes analysis on whether the tax reform program has been revenue neutral to date. The analysis finds that over </w:t>
      </w:r>
      <w:r w:rsidRPr="00EB6351">
        <w:t xml:space="preserve">the first 7 years of tax reform, the Government </w:t>
      </w:r>
      <w:r>
        <w:t xml:space="preserve">has </w:t>
      </w:r>
      <w:r w:rsidRPr="00EB6351">
        <w:rPr>
          <w:b/>
          <w:bCs/>
        </w:rPr>
        <w:t>forgo</w:t>
      </w:r>
      <w:r>
        <w:rPr>
          <w:b/>
          <w:bCs/>
        </w:rPr>
        <w:t>ne</w:t>
      </w:r>
      <w:r w:rsidRPr="00EB6351">
        <w:t xml:space="preserve"> a small amount of revenue, but given the small amount of revenue forgone, the program has been </w:t>
      </w:r>
      <w:r w:rsidRPr="00EB6351">
        <w:rPr>
          <w:b/>
          <w:bCs/>
        </w:rPr>
        <w:t>broadly</w:t>
      </w:r>
      <w:r w:rsidRPr="00EB6351">
        <w:t xml:space="preserve"> revenue neutral to date.</w:t>
      </w:r>
      <w:r>
        <w:t xml:space="preserve"> The analysis also finds that during this time period, the Government </w:t>
      </w:r>
      <w:r w:rsidRPr="005C1B75">
        <w:t>has</w:t>
      </w:r>
      <w:r>
        <w:rPr>
          <w:b/>
          <w:bCs/>
        </w:rPr>
        <w:t xml:space="preserve"> forgone</w:t>
      </w:r>
      <w:r>
        <w:t xml:space="preserve"> revenue from the residential sector and has raised </w:t>
      </w:r>
      <w:r w:rsidRPr="006F785C">
        <w:rPr>
          <w:b/>
          <w:bCs/>
        </w:rPr>
        <w:t xml:space="preserve">additional </w:t>
      </w:r>
      <w:r>
        <w:t>revenue from the commercial sector.</w:t>
      </w:r>
    </w:p>
    <w:p w14:paraId="3A7CA779" w14:textId="77777777" w:rsidR="00E109CF" w:rsidRDefault="00E109CF" w:rsidP="00E109CF">
      <w:r>
        <w:t xml:space="preserve">The commitment to revenue neutrality primarily relates to replacing inefficient taxes, such as stamp duty and insurance duty, with broad based land taxes such as general rates. Therefore, the conclusions that the Government’s </w:t>
      </w:r>
      <w:r w:rsidRPr="00EB6351">
        <w:t xml:space="preserve">tax reform program has been </w:t>
      </w:r>
      <w:r w:rsidRPr="00EB6351">
        <w:rPr>
          <w:b/>
          <w:bCs/>
        </w:rPr>
        <w:t>broadly</w:t>
      </w:r>
      <w:r w:rsidRPr="00EB6351">
        <w:t xml:space="preserve"> revenue neutral to date</w:t>
      </w:r>
      <w:r>
        <w:t xml:space="preserve"> and the Government has raised </w:t>
      </w:r>
      <w:r w:rsidRPr="006F785C">
        <w:rPr>
          <w:b/>
          <w:bCs/>
        </w:rPr>
        <w:t xml:space="preserve">additional </w:t>
      </w:r>
      <w:r>
        <w:t xml:space="preserve">revenue from the commercial sector does not </w:t>
      </w:r>
      <w:proofErr w:type="gramStart"/>
      <w:r>
        <w:t>take into account</w:t>
      </w:r>
      <w:proofErr w:type="gramEnd"/>
      <w:r>
        <w:t xml:space="preserve"> the progressive increases in the payroll tax-free threshold (the threshold).</w:t>
      </w:r>
    </w:p>
    <w:p w14:paraId="5B319004" w14:textId="77777777" w:rsidR="00E109CF" w:rsidRPr="0003466A" w:rsidRDefault="00E109CF" w:rsidP="00E109CF">
      <w:r>
        <w:t>In 2012-13, the ACT Government has progressively increased the threshold from $1.5 million per annum to $2 million per annum in 2018-19. Table 1 presents the threshold by financial year.</w:t>
      </w:r>
    </w:p>
    <w:p w14:paraId="176ED919" w14:textId="77777777" w:rsidR="00E109CF" w:rsidRPr="0003466A" w:rsidRDefault="00E109CF" w:rsidP="00E90E15">
      <w:pPr>
        <w:pStyle w:val="TableCaption"/>
        <w:rPr>
          <w:iCs/>
        </w:rPr>
      </w:pPr>
      <w:r w:rsidRPr="0003466A">
        <w:t xml:space="preserve">Table </w:t>
      </w:r>
      <w:r w:rsidR="002F4199">
        <w:fldChar w:fldCharType="begin"/>
      </w:r>
      <w:r w:rsidR="002F4199">
        <w:instrText xml:space="preserve"> SEQ Table \* ARABIC </w:instrText>
      </w:r>
      <w:r w:rsidR="002F4199">
        <w:fldChar w:fldCharType="separate"/>
      </w:r>
      <w:r>
        <w:rPr>
          <w:noProof/>
        </w:rPr>
        <w:t>1</w:t>
      </w:r>
      <w:r w:rsidR="002F4199">
        <w:rPr>
          <w:noProof/>
        </w:rPr>
        <w:fldChar w:fldCharType="end"/>
      </w:r>
      <w:r w:rsidRPr="0003466A">
        <w:t>: Payroll tax-free threshold by financial year</w:t>
      </w:r>
    </w:p>
    <w:tbl>
      <w:tblPr>
        <w:tblStyle w:val="ColorfulList-Accent5"/>
        <w:tblW w:w="0" w:type="auto"/>
        <w:tblLook w:val="04A0" w:firstRow="1" w:lastRow="0" w:firstColumn="1" w:lastColumn="0" w:noHBand="0" w:noVBand="1"/>
      </w:tblPr>
      <w:tblGrid>
        <w:gridCol w:w="4508"/>
        <w:gridCol w:w="4508"/>
      </w:tblGrid>
      <w:tr w:rsidR="00AD71ED" w:rsidRPr="00AD71ED" w14:paraId="4BD52CC8" w14:textId="77777777" w:rsidTr="00AD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960F7AE" w14:textId="77777777" w:rsidR="00AD71ED" w:rsidRPr="00AD71ED" w:rsidRDefault="00AD71ED" w:rsidP="00433D7C">
            <w:pPr>
              <w:jc w:val="center"/>
              <w:rPr>
                <w:rFonts w:asciiTheme="minorHAnsi" w:hAnsiTheme="minorHAnsi" w:cstheme="minorHAnsi"/>
              </w:rPr>
            </w:pPr>
            <w:r w:rsidRPr="00AD71ED">
              <w:rPr>
                <w:rFonts w:asciiTheme="minorHAnsi" w:hAnsiTheme="minorHAnsi" w:cstheme="minorHAnsi"/>
              </w:rPr>
              <w:t>Financial year</w:t>
            </w:r>
          </w:p>
        </w:tc>
        <w:tc>
          <w:tcPr>
            <w:tcW w:w="4508" w:type="dxa"/>
          </w:tcPr>
          <w:p w14:paraId="780AA7D2"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Payroll tax-free threshold</w:t>
            </w:r>
          </w:p>
        </w:tc>
      </w:tr>
      <w:tr w:rsidR="00AD71ED" w:rsidRPr="00AD71ED" w14:paraId="0528A019"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C23DA7C" w14:textId="77777777" w:rsidR="00AD71ED" w:rsidRPr="00AD71ED" w:rsidRDefault="00AD71ED" w:rsidP="00433D7C">
            <w:pPr>
              <w:jc w:val="center"/>
              <w:rPr>
                <w:rFonts w:cstheme="minorHAnsi"/>
              </w:rPr>
            </w:pPr>
            <w:r w:rsidRPr="00AD71ED">
              <w:rPr>
                <w:rFonts w:cstheme="minorHAnsi"/>
              </w:rPr>
              <w:t>2011-12</w:t>
            </w:r>
          </w:p>
        </w:tc>
        <w:tc>
          <w:tcPr>
            <w:tcW w:w="4508" w:type="dxa"/>
          </w:tcPr>
          <w:p w14:paraId="16819B1F"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$1.5 million per annum</w:t>
            </w:r>
          </w:p>
        </w:tc>
      </w:tr>
      <w:tr w:rsidR="00AD71ED" w:rsidRPr="00AD71ED" w14:paraId="7F63359C" w14:textId="77777777" w:rsidTr="00AD71ED">
        <w:tc>
          <w:tcPr>
            <w:cnfStyle w:val="001000000000" w:firstRow="0" w:lastRow="0" w:firstColumn="1" w:lastColumn="0" w:oddVBand="0" w:evenVBand="0" w:oddHBand="0" w:evenHBand="0" w:firstRowFirstColumn="0" w:firstRowLastColumn="0" w:lastRowFirstColumn="0" w:lastRowLastColumn="0"/>
            <w:tcW w:w="4508" w:type="dxa"/>
          </w:tcPr>
          <w:p w14:paraId="02929C87" w14:textId="77777777" w:rsidR="00AD71ED" w:rsidRPr="00AD71ED" w:rsidRDefault="00AD71ED" w:rsidP="00433D7C">
            <w:pPr>
              <w:jc w:val="center"/>
              <w:rPr>
                <w:rFonts w:cstheme="minorHAnsi"/>
              </w:rPr>
            </w:pPr>
            <w:r w:rsidRPr="00AD71ED">
              <w:rPr>
                <w:rFonts w:cstheme="minorHAnsi"/>
              </w:rPr>
              <w:t>2012-13</w:t>
            </w:r>
          </w:p>
        </w:tc>
        <w:tc>
          <w:tcPr>
            <w:tcW w:w="4508" w:type="dxa"/>
          </w:tcPr>
          <w:p w14:paraId="4D8B986C"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$1.75 million per annum</w:t>
            </w:r>
          </w:p>
        </w:tc>
      </w:tr>
      <w:tr w:rsidR="00AD71ED" w:rsidRPr="00AD71ED" w14:paraId="2A726662"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C0C925E" w14:textId="77777777" w:rsidR="00AD71ED" w:rsidRPr="00AD71ED" w:rsidRDefault="00AD71ED" w:rsidP="00433D7C">
            <w:pPr>
              <w:jc w:val="center"/>
              <w:rPr>
                <w:rFonts w:cstheme="minorHAnsi"/>
              </w:rPr>
            </w:pPr>
            <w:r w:rsidRPr="00AD71ED">
              <w:rPr>
                <w:rFonts w:cstheme="minorHAnsi"/>
              </w:rPr>
              <w:t>2013-14</w:t>
            </w:r>
          </w:p>
        </w:tc>
        <w:tc>
          <w:tcPr>
            <w:tcW w:w="4508" w:type="dxa"/>
          </w:tcPr>
          <w:p w14:paraId="2957DAD2"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$1.75 million per annum</w:t>
            </w:r>
          </w:p>
        </w:tc>
      </w:tr>
      <w:tr w:rsidR="00AD71ED" w:rsidRPr="00AD71ED" w14:paraId="777E37BF" w14:textId="77777777" w:rsidTr="00AD71ED">
        <w:tc>
          <w:tcPr>
            <w:cnfStyle w:val="001000000000" w:firstRow="0" w:lastRow="0" w:firstColumn="1" w:lastColumn="0" w:oddVBand="0" w:evenVBand="0" w:oddHBand="0" w:evenHBand="0" w:firstRowFirstColumn="0" w:firstRowLastColumn="0" w:lastRowFirstColumn="0" w:lastRowLastColumn="0"/>
            <w:tcW w:w="4508" w:type="dxa"/>
          </w:tcPr>
          <w:p w14:paraId="01CE8B02" w14:textId="77777777" w:rsidR="00AD71ED" w:rsidRPr="00AD71ED" w:rsidRDefault="00AD71ED" w:rsidP="00433D7C">
            <w:pPr>
              <w:jc w:val="center"/>
              <w:rPr>
                <w:rFonts w:cstheme="minorHAnsi"/>
              </w:rPr>
            </w:pPr>
            <w:r w:rsidRPr="00AD71ED">
              <w:rPr>
                <w:rFonts w:cstheme="minorHAnsi"/>
              </w:rPr>
              <w:t>2014-15</w:t>
            </w:r>
          </w:p>
        </w:tc>
        <w:tc>
          <w:tcPr>
            <w:tcW w:w="4508" w:type="dxa"/>
          </w:tcPr>
          <w:p w14:paraId="6BB77130"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$1.85 million per annum</w:t>
            </w:r>
          </w:p>
        </w:tc>
      </w:tr>
      <w:tr w:rsidR="00AD71ED" w:rsidRPr="00AD71ED" w14:paraId="2CC79E74"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02D8E27" w14:textId="77777777" w:rsidR="00AD71ED" w:rsidRPr="00AD71ED" w:rsidRDefault="00AD71ED" w:rsidP="00433D7C">
            <w:pPr>
              <w:jc w:val="center"/>
              <w:rPr>
                <w:rFonts w:cstheme="minorHAnsi"/>
              </w:rPr>
            </w:pPr>
            <w:r w:rsidRPr="00AD71ED">
              <w:rPr>
                <w:rFonts w:cstheme="minorHAnsi"/>
              </w:rPr>
              <w:t>2015-16</w:t>
            </w:r>
          </w:p>
        </w:tc>
        <w:tc>
          <w:tcPr>
            <w:tcW w:w="4508" w:type="dxa"/>
          </w:tcPr>
          <w:p w14:paraId="2EB33A12"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$1.85 million per annum</w:t>
            </w:r>
          </w:p>
        </w:tc>
      </w:tr>
      <w:tr w:rsidR="00AD71ED" w:rsidRPr="00AD71ED" w14:paraId="430E6BB3" w14:textId="77777777" w:rsidTr="00AD71ED">
        <w:tc>
          <w:tcPr>
            <w:cnfStyle w:val="001000000000" w:firstRow="0" w:lastRow="0" w:firstColumn="1" w:lastColumn="0" w:oddVBand="0" w:evenVBand="0" w:oddHBand="0" w:evenHBand="0" w:firstRowFirstColumn="0" w:firstRowLastColumn="0" w:lastRowFirstColumn="0" w:lastRowLastColumn="0"/>
            <w:tcW w:w="4508" w:type="dxa"/>
          </w:tcPr>
          <w:p w14:paraId="0116A0C9" w14:textId="77777777" w:rsidR="00AD71ED" w:rsidRPr="00AD71ED" w:rsidRDefault="00AD71ED" w:rsidP="00433D7C">
            <w:pPr>
              <w:jc w:val="center"/>
              <w:rPr>
                <w:rFonts w:cstheme="minorHAnsi"/>
              </w:rPr>
            </w:pPr>
            <w:r w:rsidRPr="00AD71ED">
              <w:rPr>
                <w:rFonts w:cstheme="minorHAnsi"/>
              </w:rPr>
              <w:t>2016-17</w:t>
            </w:r>
          </w:p>
        </w:tc>
        <w:tc>
          <w:tcPr>
            <w:tcW w:w="4508" w:type="dxa"/>
          </w:tcPr>
          <w:p w14:paraId="5C22EDEC"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$2 million per annum</w:t>
            </w:r>
          </w:p>
        </w:tc>
      </w:tr>
      <w:tr w:rsidR="00AD71ED" w:rsidRPr="00AD71ED" w14:paraId="338F5925"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B4685BA" w14:textId="77777777" w:rsidR="00AD71ED" w:rsidRPr="00AD71ED" w:rsidRDefault="00AD71ED" w:rsidP="00433D7C">
            <w:pPr>
              <w:jc w:val="center"/>
              <w:rPr>
                <w:rFonts w:cstheme="minorHAnsi"/>
              </w:rPr>
            </w:pPr>
            <w:r w:rsidRPr="00AD71ED">
              <w:rPr>
                <w:rFonts w:cstheme="minorHAnsi"/>
              </w:rPr>
              <w:t>2017-18</w:t>
            </w:r>
          </w:p>
        </w:tc>
        <w:tc>
          <w:tcPr>
            <w:tcW w:w="4508" w:type="dxa"/>
          </w:tcPr>
          <w:p w14:paraId="7B84DFEC"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$2 million per annum</w:t>
            </w:r>
          </w:p>
        </w:tc>
      </w:tr>
      <w:tr w:rsidR="00AD71ED" w:rsidRPr="00AD71ED" w14:paraId="18CB7518" w14:textId="77777777" w:rsidTr="00AD71ED">
        <w:tc>
          <w:tcPr>
            <w:cnfStyle w:val="001000000000" w:firstRow="0" w:lastRow="0" w:firstColumn="1" w:lastColumn="0" w:oddVBand="0" w:evenVBand="0" w:oddHBand="0" w:evenHBand="0" w:firstRowFirstColumn="0" w:firstRowLastColumn="0" w:lastRowFirstColumn="0" w:lastRowLastColumn="0"/>
            <w:tcW w:w="4508" w:type="dxa"/>
          </w:tcPr>
          <w:p w14:paraId="1D5BB663" w14:textId="77777777" w:rsidR="00AD71ED" w:rsidRPr="00AD71ED" w:rsidRDefault="00AD71ED" w:rsidP="00433D7C">
            <w:pPr>
              <w:jc w:val="center"/>
              <w:rPr>
                <w:rFonts w:cstheme="minorHAnsi"/>
              </w:rPr>
            </w:pPr>
            <w:r w:rsidRPr="00AD71ED">
              <w:rPr>
                <w:rFonts w:cstheme="minorHAnsi"/>
              </w:rPr>
              <w:t>2018-19</w:t>
            </w:r>
          </w:p>
        </w:tc>
        <w:tc>
          <w:tcPr>
            <w:tcW w:w="4508" w:type="dxa"/>
          </w:tcPr>
          <w:p w14:paraId="6270B48D"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$2 million per annum</w:t>
            </w:r>
          </w:p>
        </w:tc>
      </w:tr>
    </w:tbl>
    <w:p w14:paraId="4BC1F8B5" w14:textId="77777777" w:rsidR="00E109CF" w:rsidRDefault="00E109CF" w:rsidP="00E109CF"/>
    <w:p w14:paraId="6B6F20BA" w14:textId="77777777" w:rsidR="00E109CF" w:rsidRDefault="00E109CF" w:rsidP="00E109CF">
      <w:r>
        <w:t>Since payroll tax is a tax on employers whose total wages exceed the threshold and the tax rate applies to total wages that exceed the threshold, the increases to the threshold have resulted in forgone revenue and have reduced the payroll tax burden on the commercial sector. This paper estimates the revenue forgone and the reduced payroll tax burden on the commercial sector from increasing the threshold.</w:t>
      </w:r>
    </w:p>
    <w:p w14:paraId="1569D5EC" w14:textId="77777777" w:rsidR="00AD71ED" w:rsidRDefault="00AD71ED">
      <w:pPr>
        <w:spacing w:line="276" w:lineRule="auto"/>
        <w:rPr>
          <w:rFonts w:eastAsiaTheme="majorEastAsia" w:cstheme="majorBidi"/>
          <w:bCs/>
          <w:caps/>
          <w:color w:val="482D8C" w:themeColor="background2"/>
          <w:spacing w:val="-20"/>
          <w:kern w:val="36"/>
          <w:sz w:val="44"/>
          <w:szCs w:val="48"/>
        </w:rPr>
      </w:pPr>
      <w:bookmarkStart w:id="2" w:name="_Toc48112944"/>
      <w:r>
        <w:br w:type="page"/>
      </w:r>
    </w:p>
    <w:p w14:paraId="4BFE2322" w14:textId="70F5812F" w:rsidR="00E109CF" w:rsidRDefault="00E109CF" w:rsidP="00E90E15">
      <w:pPr>
        <w:pStyle w:val="Heading1"/>
      </w:pPr>
      <w:r w:rsidRPr="004A16AB">
        <w:lastRenderedPageBreak/>
        <w:t>Executive Summary</w:t>
      </w:r>
      <w:bookmarkEnd w:id="2"/>
    </w:p>
    <w:p w14:paraId="6F969C86" w14:textId="77777777" w:rsidR="00E109CF" w:rsidRDefault="00E109CF" w:rsidP="00E109CF">
      <w:r>
        <w:t>The ACT’s Government’s analysis on the whether the tax reform program has been revenue neutral to date finds that over the first seven years of tax reform, t</w:t>
      </w:r>
      <w:r w:rsidRPr="00EB6351">
        <w:t xml:space="preserve">he Government has raised approximately $62 million </w:t>
      </w:r>
      <w:r w:rsidRPr="00EB6351">
        <w:rPr>
          <w:b/>
          <w:bCs/>
        </w:rPr>
        <w:t>less</w:t>
      </w:r>
      <w:r w:rsidRPr="00EB6351">
        <w:t xml:space="preserve"> in revenue due to tax reform.</w:t>
      </w:r>
      <w:r>
        <w:t xml:space="preserve"> It also finds that during the first seven years of tax reform, </w:t>
      </w:r>
      <w:r w:rsidRPr="00EB6351">
        <w:t>the Government has</w:t>
      </w:r>
      <w:r w:rsidRPr="00EB6351">
        <w:rPr>
          <w:b/>
          <w:bCs/>
        </w:rPr>
        <w:t xml:space="preserve"> forgone</w:t>
      </w:r>
      <w:r w:rsidRPr="00EB6351">
        <w:t xml:space="preserve"> approximately $128 million in revenue from the residential sector</w:t>
      </w:r>
      <w:r>
        <w:t xml:space="preserve"> and </w:t>
      </w:r>
      <w:r w:rsidRPr="00EB6351">
        <w:t xml:space="preserve">has raised an </w:t>
      </w:r>
      <w:r w:rsidRPr="00EB6351">
        <w:rPr>
          <w:b/>
          <w:bCs/>
        </w:rPr>
        <w:t>additional</w:t>
      </w:r>
      <w:r w:rsidRPr="00EB6351">
        <w:t xml:space="preserve"> $66 million from the commercial sector.</w:t>
      </w:r>
      <w:r>
        <w:t xml:space="preserve"> Since the revenue neutrality commitment primarily relates to replacing inefficient taxes, such as stamp duty and insurance duty, with broad based land taxes such as general rates, the conclusions from the revenue neutrality analysis do not take into account the progressive increases in the payroll-tax free threshold which have occurred during the same period.</w:t>
      </w:r>
    </w:p>
    <w:p w14:paraId="7FFFC453" w14:textId="77777777" w:rsidR="00E109CF" w:rsidRDefault="00E109CF" w:rsidP="00E109CF">
      <w:r>
        <w:t>This paper finds that o</w:t>
      </w:r>
      <w:r w:rsidRPr="00EB6351">
        <w:t xml:space="preserve">ver </w:t>
      </w:r>
      <w:r>
        <w:t>seven years</w:t>
      </w:r>
      <w:r w:rsidRPr="00EB6351">
        <w:t>, the Government has raised approximately $62</w:t>
      </w:r>
      <w:r>
        <w:t xml:space="preserve"> million to $65 </w:t>
      </w:r>
      <w:r w:rsidRPr="00EB6351">
        <w:t xml:space="preserve">million </w:t>
      </w:r>
      <w:r w:rsidRPr="00EB6351">
        <w:rPr>
          <w:b/>
          <w:bCs/>
        </w:rPr>
        <w:t>less</w:t>
      </w:r>
      <w:r w:rsidRPr="00EB6351">
        <w:t xml:space="preserve"> in revenue due to </w:t>
      </w:r>
      <w:r>
        <w:t>progressive increases in the payroll-tax free threshold</w:t>
      </w:r>
      <w:r w:rsidRPr="00EB6351">
        <w:t xml:space="preserve">. </w:t>
      </w:r>
    </w:p>
    <w:p w14:paraId="121BA9E7" w14:textId="77777777" w:rsidR="00E109CF" w:rsidRDefault="00E109CF" w:rsidP="00E109CF">
      <w:bookmarkStart w:id="3" w:name="_Hlk45697942"/>
      <w:r>
        <w:t xml:space="preserve">Combining the main results from the revenue neutrality analysis with the revenue forgone from payroll tax, the Government has </w:t>
      </w:r>
      <w:r w:rsidRPr="00D74495">
        <w:rPr>
          <w:b/>
          <w:bCs/>
        </w:rPr>
        <w:t>forgone</w:t>
      </w:r>
      <w:r>
        <w:t xml:space="preserve"> approximately $124 million to $127 million in revenue from tax reform and increases in the payroll tax-free threshold over these seven years. Furthermore, </w:t>
      </w:r>
      <w:r w:rsidRPr="00EB6351">
        <w:t>the Government</w:t>
      </w:r>
      <w:r>
        <w:t xml:space="preserve"> has raised an </w:t>
      </w:r>
      <w:r w:rsidRPr="008E7A15">
        <w:rPr>
          <w:b/>
          <w:bCs/>
        </w:rPr>
        <w:t>additional</w:t>
      </w:r>
      <w:r>
        <w:rPr>
          <w:b/>
          <w:bCs/>
        </w:rPr>
        <w:t xml:space="preserve"> </w:t>
      </w:r>
      <w:r w:rsidRPr="00A86D9C">
        <w:t>$1 million to</w:t>
      </w:r>
      <w:r>
        <w:t xml:space="preserve"> $4 million from these taxes from the commercial sector over these seven years. This additional revenue is 0.023 per cent to 0.091 per cent of the total revenue raised from the relevant tax lines for the commercial sector over this period to date. Given this, this paper concludes that the total tax burden on the commercial sector has remained largely unchanged over the reform period to date.</w:t>
      </w:r>
    </w:p>
    <w:bookmarkEnd w:id="3"/>
    <w:p w14:paraId="4A51BF3C" w14:textId="77777777" w:rsidR="00E109CF" w:rsidRPr="00A86D9C" w:rsidRDefault="00E109CF" w:rsidP="00E109CF"/>
    <w:p w14:paraId="4590959B" w14:textId="77777777" w:rsidR="00E90E15" w:rsidRDefault="00E90E15">
      <w:pPr>
        <w:spacing w:line="276" w:lineRule="auto"/>
        <w:rPr>
          <w:caps/>
          <w:color w:val="AB4399"/>
          <w:w w:val="110"/>
          <w:sz w:val="40"/>
          <w:szCs w:val="40"/>
        </w:rPr>
      </w:pPr>
      <w:r>
        <w:rPr>
          <w:sz w:val="40"/>
          <w:szCs w:val="40"/>
        </w:rPr>
        <w:br w:type="page"/>
      </w:r>
    </w:p>
    <w:p w14:paraId="66752245" w14:textId="56C83A64" w:rsidR="00E109CF" w:rsidRDefault="00E109CF" w:rsidP="00E90E15">
      <w:pPr>
        <w:pStyle w:val="Heading1"/>
      </w:pPr>
      <w:bookmarkStart w:id="4" w:name="_Toc48112945"/>
      <w:r w:rsidRPr="00A56FEF">
        <w:lastRenderedPageBreak/>
        <w:t>Methodology</w:t>
      </w:r>
      <w:bookmarkEnd w:id="4"/>
    </w:p>
    <w:p w14:paraId="36B0AB80" w14:textId="77777777" w:rsidR="00E109CF" w:rsidRDefault="00E109CF" w:rsidP="00E109CF">
      <w:r>
        <w:t>To estimate the revenue forgone from increasing the payroll tax threshold, the revenue that has been raised from payroll tax since 2012-13 is compared to the revenue that would have been raised from payroll tax without the threshold increase (the counterfactual).</w:t>
      </w:r>
    </w:p>
    <w:p w14:paraId="32B01FB3" w14:textId="77777777" w:rsidR="00E109CF" w:rsidRDefault="00E109CF" w:rsidP="00E109CF">
      <w:r>
        <w:t>The Government’s ACT Taxation Review “recommended retaining a form of payroll tax to maintain a diversified tax system”, but to support businesses in the ACT, the Government increased the payroll tax threshold on 1 July 2012 and 1 July 2016. Given this, the counterfactual is defined as the amount of revenue that would have been raised from payroll tax if the threshold was kept constant from 2011</w:t>
      </w:r>
      <w:r>
        <w:noBreakHyphen/>
        <w:t xml:space="preserve">12 onwards </w:t>
      </w:r>
      <w:r w:rsidRPr="00060DE1">
        <w:t>(ACT Government Treasury, 2012, ACT Budget 2012-13 - Chapter 3.2 2012-13 Taxation Reform).</w:t>
      </w:r>
    </w:p>
    <w:p w14:paraId="29BCD378" w14:textId="09E3EFBC" w:rsidR="00E109CF" w:rsidRDefault="00E109CF" w:rsidP="00E109CF">
      <w:r>
        <w:t xml:space="preserve">The effect that the increased threshold has on </w:t>
      </w:r>
      <w:r w:rsidR="00DA4B10">
        <w:t>the labour market</w:t>
      </w:r>
      <w:r w:rsidR="001F73EE">
        <w:t xml:space="preserve"> also</w:t>
      </w:r>
      <w:r w:rsidR="00D46169">
        <w:t xml:space="preserve"> </w:t>
      </w:r>
      <w:r>
        <w:t xml:space="preserve">needs to be </w:t>
      </w:r>
      <w:r w:rsidR="00D46169">
        <w:t>acknowledged</w:t>
      </w:r>
      <w:r>
        <w:t xml:space="preserve">. </w:t>
      </w:r>
      <w:r w:rsidR="00EF35E4">
        <w:t xml:space="preserve">Increases in the threshold would reduce </w:t>
      </w:r>
      <w:r w:rsidR="00EF35E4">
        <w:rPr>
          <w:i/>
          <w:iCs/>
        </w:rPr>
        <w:t>effective</w:t>
      </w:r>
      <w:r w:rsidR="00EF35E4">
        <w:t xml:space="preserve"> payroll tax rates, and the effect of this reduction in the labour market depends on </w:t>
      </w:r>
      <w:r w:rsidR="00D46169">
        <w:t>the elasticity of labour supply.</w:t>
      </w:r>
      <w:r w:rsidR="00EF35E4">
        <w:rPr>
          <w:rStyle w:val="FootnoteReference"/>
        </w:rPr>
        <w:footnoteReference w:id="1"/>
      </w:r>
      <w:r w:rsidR="00D46169">
        <w:t xml:space="preserve"> If labour supply is</w:t>
      </w:r>
      <w:r w:rsidR="00EF35E4">
        <w:t xml:space="preserve"> </w:t>
      </w:r>
      <w:r w:rsidR="000034F1">
        <w:t xml:space="preserve">relatively inelastic, this reduction would increase wages but would lead to a minimal effect on employment. Alternatively, if labour </w:t>
      </w:r>
      <w:r w:rsidR="001F73EE">
        <w:t>supply</w:t>
      </w:r>
      <w:r w:rsidR="000034F1">
        <w:t xml:space="preserve"> is relatively elastic</w:t>
      </w:r>
      <w:r w:rsidR="001F73EE">
        <w:t>, this reduction would</w:t>
      </w:r>
      <w:r w:rsidR="005518D7">
        <w:t xml:space="preserve"> have a minimal effect on wages but</w:t>
      </w:r>
      <w:r w:rsidR="001F73EE">
        <w:t xml:space="preserve"> </w:t>
      </w:r>
      <w:r w:rsidR="005518D7">
        <w:t xml:space="preserve">would </w:t>
      </w:r>
      <w:r w:rsidR="001F73EE">
        <w:t>reduce labour costs</w:t>
      </w:r>
      <w:r w:rsidR="005518D7">
        <w:t xml:space="preserve"> for employers</w:t>
      </w:r>
      <w:r w:rsidR="001F73EE">
        <w:t xml:space="preserve"> and increase employment.</w:t>
      </w:r>
    </w:p>
    <w:p w14:paraId="4C097A56" w14:textId="0870C5F5" w:rsidR="00E109CF" w:rsidRDefault="00E109CF" w:rsidP="00E109CF">
      <w:r>
        <w:t xml:space="preserve">For simplicity of analysis, it is assumed that the increased threshold has not had a significant effect on </w:t>
      </w:r>
      <w:r w:rsidR="001F73EE">
        <w:t>the labour market</w:t>
      </w:r>
      <w:r>
        <w:t xml:space="preserve">. </w:t>
      </w:r>
      <w:r w:rsidRPr="00885976">
        <w:t>This means</w:t>
      </w:r>
      <w:r>
        <w:t xml:space="preserve"> that all variables are held constant at their observed values except for the threshold. Some examples of the variables held constant </w:t>
      </w:r>
      <w:proofErr w:type="gramStart"/>
      <w:r>
        <w:t>are:</w:t>
      </w:r>
      <w:proofErr w:type="gramEnd"/>
      <w:r>
        <w:t xml:space="preserve"> employer’s total ACT wages, employer’s total Australia-wide wages, group’s total ACT wages and group’s total Australia</w:t>
      </w:r>
      <w:r>
        <w:noBreakHyphen/>
        <w:t>wide wages. The observed values of these variables and the different thresholds are used to estimate actual and counterfactual payroll tax revenue.</w:t>
      </w:r>
    </w:p>
    <w:p w14:paraId="22A7039F" w14:textId="77777777" w:rsidR="00E109CF" w:rsidRPr="00A86D9C" w:rsidRDefault="00E109CF" w:rsidP="00E90E15">
      <w:pPr>
        <w:pStyle w:val="Heading2"/>
      </w:pPr>
      <w:bookmarkStart w:id="5" w:name="_Toc48112946"/>
      <w:r>
        <w:t>Employers no longer in the data</w:t>
      </w:r>
      <w:bookmarkEnd w:id="5"/>
    </w:p>
    <w:p w14:paraId="7C429E16" w14:textId="77777777" w:rsidR="00E109CF" w:rsidRDefault="00E109CF" w:rsidP="00E109CF">
      <w:r>
        <w:t xml:space="preserve">Payroll tax is a self-assessed tax. Therefore, payroll tax data only contains employers in the ACT that lodge a return with the ACT Revenue Office because they may be liable to pay payroll tax. </w:t>
      </w:r>
    </w:p>
    <w:p w14:paraId="22B79C18" w14:textId="77777777" w:rsidR="00E109CF" w:rsidRDefault="00E109CF" w:rsidP="00E109CF">
      <w:r>
        <w:t xml:space="preserve">Therefore, increases in the threshold over this time period could result in some employers that are not liable for payroll tax under the actual but would have been liable for payroll tax under the counterfactual no longer being in the data. For these employers their payroll tax liability in the actual is zero but their payroll tax liability in the counterfactual would be greater than zero. This means there would be additional foregone revenue from these employers, and not correcting for </w:t>
      </w:r>
      <w:proofErr w:type="spellStart"/>
      <w:r>
        <w:t>thiswould</w:t>
      </w:r>
      <w:proofErr w:type="spellEnd"/>
      <w:r>
        <w:t xml:space="preserve"> result in an underestimate of revenue forgone from increasing the threshold.</w:t>
      </w:r>
    </w:p>
    <w:p w14:paraId="78EBFFFC" w14:textId="77777777" w:rsidR="00E109CF" w:rsidRDefault="00E109CF" w:rsidP="00E109CF">
      <w:r>
        <w:t>The sensitivity analysis section later in the paper will discuss the methodology used to correct for employers that are no longer in the data.</w:t>
      </w:r>
    </w:p>
    <w:p w14:paraId="10C85A64" w14:textId="77777777" w:rsidR="00E109CF" w:rsidRDefault="00E109CF" w:rsidP="00E109CF"/>
    <w:p w14:paraId="54DE4A0E" w14:textId="77777777" w:rsidR="00E90E15" w:rsidRDefault="00E90E15">
      <w:pPr>
        <w:spacing w:line="276" w:lineRule="auto"/>
        <w:rPr>
          <w:caps/>
          <w:color w:val="AB4399"/>
          <w:w w:val="110"/>
          <w:sz w:val="40"/>
          <w:szCs w:val="40"/>
        </w:rPr>
      </w:pPr>
      <w:r>
        <w:rPr>
          <w:sz w:val="40"/>
          <w:szCs w:val="40"/>
        </w:rPr>
        <w:br w:type="page"/>
      </w:r>
    </w:p>
    <w:p w14:paraId="4CEC7968" w14:textId="6ECBE389" w:rsidR="00E109CF" w:rsidRPr="00E90E15" w:rsidRDefault="00E109CF" w:rsidP="00E90E15">
      <w:pPr>
        <w:pStyle w:val="Heading1"/>
      </w:pPr>
      <w:bookmarkStart w:id="6" w:name="_Toc48112947"/>
      <w:r w:rsidRPr="00C312CF">
        <w:lastRenderedPageBreak/>
        <w:t>Payroll tax</w:t>
      </w:r>
      <w:bookmarkEnd w:id="6"/>
    </w:p>
    <w:p w14:paraId="26FA5FD4" w14:textId="77777777" w:rsidR="00E109CF" w:rsidRDefault="00E109CF" w:rsidP="00E109CF">
      <w:r w:rsidRPr="00A23303">
        <w:t>Not all ACT employers are liable for payroll tax. Independent</w:t>
      </w:r>
      <w:r>
        <w:t xml:space="preserve"> employers are only liable for payroll tax if their total Australia-wide wages exceed the threshold, and employers that are part of a group are only liable for payroll tax if their group’s total Australia-wide wages exceeds the threshold.</w:t>
      </w:r>
    </w:p>
    <w:p w14:paraId="6E3B01B5" w14:textId="77777777" w:rsidR="00E109CF" w:rsidRDefault="00E109CF" w:rsidP="00E109CF">
      <w:r>
        <w:t>Employers that are liable to pay payroll tax can be separated into those that can claim the ACT proportion of the threshold and those that cannot.</w:t>
      </w:r>
    </w:p>
    <w:p w14:paraId="68BD77B6" w14:textId="77777777" w:rsidR="00E109CF" w:rsidRDefault="00E109CF" w:rsidP="00E109CF">
      <w:r>
        <w:t>Employers who cannot claim the ACT proportion of the threshold include employers that are ordinary group employers (</w:t>
      </w:r>
      <w:proofErr w:type="spellStart"/>
      <w:r>
        <w:t>OGE</w:t>
      </w:r>
      <w:proofErr w:type="spellEnd"/>
      <w:r>
        <w:t>) (i.e. are part of a group but are not the designated group employer (</w:t>
      </w:r>
      <w:proofErr w:type="spellStart"/>
      <w:r>
        <w:t>DGE</w:t>
      </w:r>
      <w:proofErr w:type="spellEnd"/>
      <w:r>
        <w:t>)). These employers are liable to pay a flat rate of 6.85 per cent on their total ACT taxable wages.</w:t>
      </w:r>
    </w:p>
    <w:p w14:paraId="47A65DCE" w14:textId="77777777" w:rsidR="00E109CF" w:rsidRDefault="00E109CF" w:rsidP="00E109CF">
      <w:r>
        <w:t xml:space="preserve">Employers who can claim the ACT proportion of the threshold include independent employers and </w:t>
      </w:r>
      <w:proofErr w:type="spellStart"/>
      <w:r>
        <w:t>DGEs</w:t>
      </w:r>
      <w:proofErr w:type="spellEnd"/>
      <w:r>
        <w:t xml:space="preserve">. For independent employers, the employer’s total ACT wages and the employer’s total Australia-wide wages must be declared to claim the threshold. For </w:t>
      </w:r>
      <w:proofErr w:type="spellStart"/>
      <w:r>
        <w:t>DGEs</w:t>
      </w:r>
      <w:proofErr w:type="spellEnd"/>
      <w:r>
        <w:t>, the group’s total ACT wages and the group’s Australia-wide wages must be declared to claim the threshold. For these employers, the amount they are liable to pay is calculated by:</w:t>
      </w:r>
    </w:p>
    <w:p w14:paraId="546975C3" w14:textId="77777777" w:rsidR="00E109CF" w:rsidRDefault="00E109CF" w:rsidP="00E109CF">
      <w:pPr>
        <w:pStyle w:val="ListParagraph"/>
        <w:numPr>
          <w:ilvl w:val="0"/>
          <w:numId w:val="33"/>
        </w:numPr>
        <w:spacing w:after="160" w:line="259" w:lineRule="auto"/>
      </w:pPr>
      <w:r>
        <w:t>multiplying the annual threshold by the proportion of days in the financial year for which the independent employer/at least one member of the group was liable to pay ACT or interstate wages;</w:t>
      </w:r>
    </w:p>
    <w:p w14:paraId="6CD79014" w14:textId="77777777" w:rsidR="00E109CF" w:rsidRDefault="00E109CF" w:rsidP="00E109CF">
      <w:pPr>
        <w:pStyle w:val="ListParagraph"/>
        <w:numPr>
          <w:ilvl w:val="0"/>
          <w:numId w:val="33"/>
        </w:numPr>
        <w:spacing w:after="160" w:line="259" w:lineRule="auto"/>
      </w:pPr>
      <w:r>
        <w:t xml:space="preserve">this is then multiplied by the ratio of employer’s/group’s total ACT wages to employer’s/group’s total Australia-wide wages to obtain the final threshold amount; and </w:t>
      </w:r>
    </w:p>
    <w:p w14:paraId="24BF5218" w14:textId="77777777" w:rsidR="00E109CF" w:rsidRDefault="00E109CF" w:rsidP="00E109CF">
      <w:pPr>
        <w:pStyle w:val="ListParagraph"/>
        <w:numPr>
          <w:ilvl w:val="0"/>
          <w:numId w:val="33"/>
        </w:numPr>
        <w:spacing w:after="160" w:line="259" w:lineRule="auto"/>
      </w:pPr>
      <w:r>
        <w:t>the final threshold amount is subtracted from the employer’s total ACT wages, and this is multiplied by the payroll tax rate (6.85 per cent) to obtain payroll tax liability.</w:t>
      </w:r>
    </w:p>
    <w:p w14:paraId="5ABD1BE3" w14:textId="1EE4E08E" w:rsidR="00E109CF" w:rsidRPr="001A5DD6" w:rsidRDefault="00E109CF" w:rsidP="00E90E15">
      <w:pPr>
        <w:pStyle w:val="Heading2"/>
      </w:pPr>
      <w:bookmarkStart w:id="7" w:name="_Toc48112948"/>
      <w:r w:rsidRPr="001A5DD6">
        <w:t>Joint payroll tax return</w:t>
      </w:r>
      <w:bookmarkEnd w:id="7"/>
    </w:p>
    <w:p w14:paraId="23E3C402" w14:textId="77777777" w:rsidR="00E109CF" w:rsidRDefault="00E109CF" w:rsidP="00E109CF">
      <w:r>
        <w:t xml:space="preserve">For employers that are part of a group, each employer must lodge a separate payroll tax return. However, the </w:t>
      </w:r>
      <w:proofErr w:type="spellStart"/>
      <w:r>
        <w:t>DGE</w:t>
      </w:r>
      <w:proofErr w:type="spellEnd"/>
      <w:r>
        <w:t xml:space="preserve"> may be approved to lodge a joint payroll tax return on behalf of all stated members of the group, including itself. Lodging separately or jointly does not affect the group’s total payroll tax liability. </w:t>
      </w:r>
    </w:p>
    <w:p w14:paraId="73E353D2" w14:textId="77777777" w:rsidR="00E109CF" w:rsidRDefault="00E109CF" w:rsidP="00E109CF">
      <w:r>
        <w:t xml:space="preserve">The following example demonstrates why lodging separately or jointly does not affect the group’s total payroll tax liability: company A and B form part of a business group, where company A is the </w:t>
      </w:r>
      <w:proofErr w:type="spellStart"/>
      <w:r>
        <w:t>DGE</w:t>
      </w:r>
      <w:proofErr w:type="spellEnd"/>
      <w:r>
        <w:t xml:space="preserve"> and company B is the </w:t>
      </w:r>
      <w:proofErr w:type="spellStart"/>
      <w:r>
        <w:t>OGE</w:t>
      </w:r>
      <w:proofErr w:type="spellEnd"/>
      <w:r>
        <w:t xml:space="preserve">, and the proportion of days in the financial year for which at least one member of the group was liable to pay ACT or interstate ways is equal to one. Table 2 provides each company’s/employer’s total ACT wages and their Australia-wide wages. The table also presents the group’s total ACT wages as the sum of company A’s and B’s total ACT wages at $600,000, and the group’s total Australia-wide wages as the sum of company A’s and B’s total Australia-wide wages at $2 million. </w:t>
      </w:r>
    </w:p>
    <w:p w14:paraId="731389FC" w14:textId="77777777" w:rsidR="00E109CF" w:rsidRDefault="00E109CF" w:rsidP="00E109CF">
      <w:r>
        <w:t xml:space="preserve">Assuming an annual threshold of $1.5 million, the group’s total Australia-wide wages of $2 million exceeds the threshold. Therefore, employers that are part of the group (Company A and Company B) are liable for payroll tax. </w:t>
      </w:r>
    </w:p>
    <w:p w14:paraId="4FA17B90" w14:textId="77777777" w:rsidR="00E109CF" w:rsidRDefault="00E109CF" w:rsidP="00E109CF">
      <w:r>
        <w:t xml:space="preserve">Case 1 in Table 2 presents the calculation for payroll tax liability when the </w:t>
      </w:r>
      <w:proofErr w:type="spellStart"/>
      <w:r>
        <w:t>DGE</w:t>
      </w:r>
      <w:proofErr w:type="spellEnd"/>
      <w:r>
        <w:t xml:space="preserve"> (company A) and the </w:t>
      </w:r>
      <w:proofErr w:type="spellStart"/>
      <w:r>
        <w:t>OGE</w:t>
      </w:r>
      <w:proofErr w:type="spellEnd"/>
      <w:r>
        <w:t xml:space="preserve"> (company B) lodge separate payroll tax returns. Company A can claim the ACT proportion of the threshold since it is the </w:t>
      </w:r>
      <w:proofErr w:type="spellStart"/>
      <w:r>
        <w:t>DGE</w:t>
      </w:r>
      <w:proofErr w:type="spellEnd"/>
      <w:r>
        <w:t xml:space="preserve">. Table 2 presents the threshold calculation for Company A, where </w:t>
      </w:r>
      <w:bookmarkStart w:id="8" w:name="_Hlk36200087"/>
      <w:r>
        <w:t>the annual threshold of $1.5 million is multiplied by the ratio of the group’s total ACT wages to group’s total Australia-wide wages to obtain the final threshold amount of $450,000</w:t>
      </w:r>
      <w:bookmarkEnd w:id="8"/>
      <w:r>
        <w:t xml:space="preserve">. Table 2 also presents the payroll tax liability calculation for Company A, where the final threshold amount of $450,000 is subtracted from </w:t>
      </w:r>
      <w:r w:rsidRPr="00F54883">
        <w:rPr>
          <w:b/>
          <w:bCs/>
        </w:rPr>
        <w:t>company A’s total ACT wages</w:t>
      </w:r>
      <w:r>
        <w:t xml:space="preserve"> of $500,000, and this is multiplied by the payroll tax rate (6.85 per cent) to obtain company A’s payroll tax liability of $3,425.</w:t>
      </w:r>
    </w:p>
    <w:p w14:paraId="010E1643" w14:textId="77777777" w:rsidR="00E109CF" w:rsidRDefault="00E109CF" w:rsidP="00E109CF">
      <w:r>
        <w:t xml:space="preserve">Company B cannot claim the ACT proportion of the threshold since it is the </w:t>
      </w:r>
      <w:proofErr w:type="spellStart"/>
      <w:r>
        <w:t>OGE</w:t>
      </w:r>
      <w:proofErr w:type="spellEnd"/>
      <w:r>
        <w:t xml:space="preserve">. Therefore, there is no threshold calculation for Company B in Table 2 Case 1. Table 2 presents the payroll tax liability calculation </w:t>
      </w:r>
      <w:r>
        <w:lastRenderedPageBreak/>
        <w:t>for Company B, where company B’s total ACT wages of $100,000 is multiplied by the payroll tax rate (6.85 per cent) to obtain company B’s payroll tax liability of $6,850.</w:t>
      </w:r>
    </w:p>
    <w:p w14:paraId="1478BEBE" w14:textId="77777777" w:rsidR="00E109CF" w:rsidRDefault="00E109CF" w:rsidP="00E109CF">
      <w:r>
        <w:t>The sum of company A’s and B’s payroll tax liability provides the group’s total payroll tax liability in Table 2 Case 1 as $10,275.</w:t>
      </w:r>
    </w:p>
    <w:p w14:paraId="773A2D8D" w14:textId="77777777" w:rsidR="00E109CF" w:rsidRDefault="00E109CF" w:rsidP="00E109CF">
      <w:r>
        <w:t xml:space="preserve">Case 2 in Table 2 presents the calculation for payroll tax liability when the </w:t>
      </w:r>
      <w:proofErr w:type="spellStart"/>
      <w:r>
        <w:t>DGE</w:t>
      </w:r>
      <w:proofErr w:type="spellEnd"/>
      <w:r>
        <w:t xml:space="preserve"> (company A) lodges a joint payroll tax return on behalf of itself and the </w:t>
      </w:r>
      <w:proofErr w:type="spellStart"/>
      <w:r>
        <w:t>OGE</w:t>
      </w:r>
      <w:proofErr w:type="spellEnd"/>
      <w:r>
        <w:t xml:space="preserve"> (company B). Table 2 presents the threshold calculation for Case 2, which is equivalent to the calculation for Case 1: the annual threshold of $1.5 million is multiplied by the ratio of the group’s total ACT wages to group’s total Australia-wide wages to obtain the final threshold amount of $450,000. Table 2 also presents the payroll tax liability calculation for the group, where the final threshold amount of $450,000 is subtracted from the </w:t>
      </w:r>
      <w:r w:rsidRPr="00897E8F">
        <w:rPr>
          <w:b/>
          <w:bCs/>
        </w:rPr>
        <w:t>group’s total ACT wages</w:t>
      </w:r>
      <w:r>
        <w:t xml:space="preserve"> of $600,000, and this is multiplied by the payroll tax rate (6.85% per cent) to obtain the group’s total payroll tax liability of $10,275.</w:t>
      </w:r>
    </w:p>
    <w:p w14:paraId="0DF27E36" w14:textId="77777777" w:rsidR="00E109CF" w:rsidRDefault="00E109CF" w:rsidP="00E109CF">
      <w:r>
        <w:t>Table 2 shows that the group’s total payroll tax liability in Case 1 (</w:t>
      </w:r>
      <w:proofErr w:type="spellStart"/>
      <w:r>
        <w:t>DGE</w:t>
      </w:r>
      <w:proofErr w:type="spellEnd"/>
      <w:r>
        <w:t xml:space="preserve"> and </w:t>
      </w:r>
      <w:proofErr w:type="spellStart"/>
      <w:r>
        <w:t>OGE</w:t>
      </w:r>
      <w:proofErr w:type="spellEnd"/>
      <w:r>
        <w:t xml:space="preserve"> lodge separate payroll tax returns) is equal to the group’s total payroll tax liability in Case 2 (</w:t>
      </w:r>
      <w:proofErr w:type="spellStart"/>
      <w:r>
        <w:t>DGE</w:t>
      </w:r>
      <w:proofErr w:type="spellEnd"/>
      <w:r>
        <w:t xml:space="preserve"> lodges a joint payroll tax return on behalf of itself and the </w:t>
      </w:r>
      <w:proofErr w:type="spellStart"/>
      <w:r>
        <w:t>OGE</w:t>
      </w:r>
      <w:proofErr w:type="spellEnd"/>
      <w:r>
        <w:t xml:space="preserve">). In summary, lodging separately or jointly does not affect the group’s total payroll tax liability since the </w:t>
      </w:r>
      <w:r w:rsidRPr="00423F3D">
        <w:rPr>
          <w:b/>
          <w:bCs/>
        </w:rPr>
        <w:t>employer’s ACT wage amoun</w:t>
      </w:r>
      <w:r>
        <w:t xml:space="preserve">t is used to calculate payroll tax liability for the </w:t>
      </w:r>
      <w:proofErr w:type="spellStart"/>
      <w:r>
        <w:t>DGE</w:t>
      </w:r>
      <w:proofErr w:type="spellEnd"/>
      <w:r>
        <w:t xml:space="preserve"> and </w:t>
      </w:r>
      <w:proofErr w:type="spellStart"/>
      <w:r>
        <w:t>OGE</w:t>
      </w:r>
      <w:proofErr w:type="spellEnd"/>
      <w:r>
        <w:t xml:space="preserve"> in Case 1, and the </w:t>
      </w:r>
      <w:r w:rsidRPr="00423F3D">
        <w:rPr>
          <w:b/>
          <w:bCs/>
        </w:rPr>
        <w:t>group’s ACT wage amount</w:t>
      </w:r>
      <w:r>
        <w:t xml:space="preserve"> is used to calculate payroll tax liability for the group in Case 2.</w:t>
      </w:r>
    </w:p>
    <w:p w14:paraId="2AE0A2C7" w14:textId="77777777" w:rsidR="00E109CF" w:rsidRPr="007E1961" w:rsidRDefault="00E109CF" w:rsidP="00E90E15">
      <w:pPr>
        <w:pStyle w:val="TableCaption"/>
        <w:rPr>
          <w:iCs/>
        </w:rPr>
      </w:pPr>
      <w:r w:rsidRPr="007E1961">
        <w:t xml:space="preserve">Table </w:t>
      </w:r>
      <w:r w:rsidR="002F4199">
        <w:fldChar w:fldCharType="begin"/>
      </w:r>
      <w:r w:rsidR="002F4199">
        <w:instrText xml:space="preserve"> SEQ Table \* ARABIC </w:instrText>
      </w:r>
      <w:r w:rsidR="002F4199">
        <w:fldChar w:fldCharType="separate"/>
      </w:r>
      <w:r>
        <w:rPr>
          <w:noProof/>
        </w:rPr>
        <w:t>2</w:t>
      </w:r>
      <w:r w:rsidR="002F4199">
        <w:rPr>
          <w:noProof/>
        </w:rPr>
        <w:fldChar w:fldCharType="end"/>
      </w:r>
      <w:r w:rsidRPr="007E1961">
        <w:t>: Example that lodging separately or jointly does not affect the group's</w:t>
      </w:r>
      <w:r>
        <w:t xml:space="preserve"> total</w:t>
      </w:r>
      <w:r w:rsidRPr="007E1961">
        <w:t xml:space="preserve"> payroll tax liability</w:t>
      </w:r>
    </w:p>
    <w:tbl>
      <w:tblPr>
        <w:tblStyle w:val="ColorfulList-Accent5"/>
        <w:tblW w:w="11340" w:type="dxa"/>
        <w:tblInd w:w="-1088" w:type="dxa"/>
        <w:tblLook w:val="04A0" w:firstRow="1" w:lastRow="0" w:firstColumn="1" w:lastColumn="0" w:noHBand="0" w:noVBand="1"/>
      </w:tblPr>
      <w:tblGrid>
        <w:gridCol w:w="2835"/>
        <w:gridCol w:w="4252"/>
        <w:gridCol w:w="4253"/>
      </w:tblGrid>
      <w:tr w:rsidR="00AD71ED" w14:paraId="2A28ABE6" w14:textId="77777777" w:rsidTr="00AD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53A2885" w14:textId="77777777" w:rsidR="00AD71ED" w:rsidRPr="00AD71ED" w:rsidRDefault="00AD71ED" w:rsidP="00433D7C">
            <w:pPr>
              <w:jc w:val="center"/>
              <w:rPr>
                <w:rFonts w:asciiTheme="minorHAnsi" w:hAnsiTheme="minorHAnsi" w:cstheme="minorHAnsi"/>
              </w:rPr>
            </w:pPr>
          </w:p>
        </w:tc>
        <w:tc>
          <w:tcPr>
            <w:tcW w:w="4252" w:type="dxa"/>
          </w:tcPr>
          <w:p w14:paraId="63313FF8"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Company A (</w:t>
            </w:r>
            <w:proofErr w:type="spellStart"/>
            <w:r w:rsidRPr="00AD71ED">
              <w:rPr>
                <w:rFonts w:asciiTheme="minorHAnsi" w:hAnsiTheme="minorHAnsi" w:cstheme="minorHAnsi"/>
              </w:rPr>
              <w:t>DGE</w:t>
            </w:r>
            <w:proofErr w:type="spellEnd"/>
            <w:r w:rsidRPr="00AD71ED">
              <w:rPr>
                <w:rFonts w:asciiTheme="minorHAnsi" w:hAnsiTheme="minorHAnsi" w:cstheme="minorHAnsi"/>
              </w:rPr>
              <w:t>)</w:t>
            </w:r>
          </w:p>
        </w:tc>
        <w:tc>
          <w:tcPr>
            <w:tcW w:w="4253" w:type="dxa"/>
          </w:tcPr>
          <w:p w14:paraId="736FFC22"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Company B (</w:t>
            </w:r>
            <w:proofErr w:type="spellStart"/>
            <w:r w:rsidRPr="00AD71ED">
              <w:rPr>
                <w:rFonts w:asciiTheme="minorHAnsi" w:hAnsiTheme="minorHAnsi" w:cstheme="minorHAnsi"/>
              </w:rPr>
              <w:t>OGE</w:t>
            </w:r>
            <w:proofErr w:type="spellEnd"/>
            <w:r w:rsidRPr="00AD71ED">
              <w:rPr>
                <w:rFonts w:asciiTheme="minorHAnsi" w:hAnsiTheme="minorHAnsi" w:cstheme="minorHAnsi"/>
              </w:rPr>
              <w:t>)</w:t>
            </w:r>
          </w:p>
        </w:tc>
      </w:tr>
      <w:tr w:rsidR="00AD71ED" w14:paraId="1B568AFF"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55760A8" w14:textId="77777777" w:rsidR="00AD71ED" w:rsidRPr="00AD71ED" w:rsidRDefault="00AD71ED" w:rsidP="00433D7C">
            <w:pPr>
              <w:jc w:val="center"/>
              <w:rPr>
                <w:rFonts w:cstheme="minorHAnsi"/>
              </w:rPr>
            </w:pPr>
            <w:r w:rsidRPr="00AD71ED">
              <w:rPr>
                <w:rFonts w:cstheme="minorHAnsi"/>
              </w:rPr>
              <w:t>Total ACT wages</w:t>
            </w:r>
          </w:p>
        </w:tc>
        <w:tc>
          <w:tcPr>
            <w:tcW w:w="4252" w:type="dxa"/>
          </w:tcPr>
          <w:p w14:paraId="3423FF86"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$500,000</w:t>
            </w:r>
          </w:p>
        </w:tc>
        <w:tc>
          <w:tcPr>
            <w:tcW w:w="4253" w:type="dxa"/>
          </w:tcPr>
          <w:p w14:paraId="640E8022"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$100,000</w:t>
            </w:r>
          </w:p>
        </w:tc>
      </w:tr>
      <w:tr w:rsidR="00AD71ED" w14:paraId="426FB6D7" w14:textId="77777777" w:rsidTr="00AD71ED">
        <w:tc>
          <w:tcPr>
            <w:cnfStyle w:val="001000000000" w:firstRow="0" w:lastRow="0" w:firstColumn="1" w:lastColumn="0" w:oddVBand="0" w:evenVBand="0" w:oddHBand="0" w:evenHBand="0" w:firstRowFirstColumn="0" w:firstRowLastColumn="0" w:lastRowFirstColumn="0" w:lastRowLastColumn="0"/>
            <w:tcW w:w="2835" w:type="dxa"/>
          </w:tcPr>
          <w:p w14:paraId="621F08AA" w14:textId="77777777" w:rsidR="00AD71ED" w:rsidRPr="00AD71ED" w:rsidRDefault="00AD71ED" w:rsidP="00433D7C">
            <w:pPr>
              <w:jc w:val="center"/>
              <w:rPr>
                <w:rFonts w:cstheme="minorHAnsi"/>
              </w:rPr>
            </w:pPr>
            <w:r w:rsidRPr="00AD71ED">
              <w:rPr>
                <w:rFonts w:cstheme="minorHAnsi"/>
              </w:rPr>
              <w:t>Total Australia-wide wages</w:t>
            </w:r>
          </w:p>
        </w:tc>
        <w:tc>
          <w:tcPr>
            <w:tcW w:w="4252" w:type="dxa"/>
          </w:tcPr>
          <w:p w14:paraId="5B9C4C28"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$1,300,000</w:t>
            </w:r>
          </w:p>
        </w:tc>
        <w:tc>
          <w:tcPr>
            <w:tcW w:w="4253" w:type="dxa"/>
          </w:tcPr>
          <w:p w14:paraId="162271AD"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$700,000</w:t>
            </w:r>
          </w:p>
        </w:tc>
      </w:tr>
      <w:tr w:rsidR="00AD71ED" w14:paraId="44093FF9"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2C62A66" w14:textId="77777777" w:rsidR="00AD71ED" w:rsidRPr="00AD71ED" w:rsidRDefault="00AD71ED" w:rsidP="00433D7C">
            <w:pPr>
              <w:jc w:val="center"/>
              <w:rPr>
                <w:rFonts w:cstheme="minorHAnsi"/>
              </w:rPr>
            </w:pPr>
            <w:r w:rsidRPr="00AD71ED">
              <w:rPr>
                <w:rFonts w:cstheme="minorHAnsi"/>
              </w:rPr>
              <w:t>Group’s total ACT wages</w:t>
            </w:r>
          </w:p>
        </w:tc>
        <w:tc>
          <w:tcPr>
            <w:tcW w:w="8505" w:type="dxa"/>
            <w:gridSpan w:val="2"/>
          </w:tcPr>
          <w:p w14:paraId="17557229"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m:oMathPara>
              <m:oMath>
                <m:r>
                  <w:rPr>
                    <w:rFonts w:ascii="Cambria Math" w:eastAsia="Calibri" w:hAnsi="Cambria Math" w:cstheme="minorHAnsi"/>
                  </w:rPr>
                  <m:t>$500,000+$100,000=$600,000</m:t>
                </m:r>
              </m:oMath>
            </m:oMathPara>
          </w:p>
        </w:tc>
      </w:tr>
      <w:tr w:rsidR="00AD71ED" w14:paraId="24F8B8F8" w14:textId="77777777" w:rsidTr="00AD71ED">
        <w:tc>
          <w:tcPr>
            <w:cnfStyle w:val="001000000000" w:firstRow="0" w:lastRow="0" w:firstColumn="1" w:lastColumn="0" w:oddVBand="0" w:evenVBand="0" w:oddHBand="0" w:evenHBand="0" w:firstRowFirstColumn="0" w:firstRowLastColumn="0" w:lastRowFirstColumn="0" w:lastRowLastColumn="0"/>
            <w:tcW w:w="2835" w:type="dxa"/>
          </w:tcPr>
          <w:p w14:paraId="31E80C53" w14:textId="77777777" w:rsidR="00AD71ED" w:rsidRPr="00AD71ED" w:rsidRDefault="00AD71ED" w:rsidP="00433D7C">
            <w:pPr>
              <w:jc w:val="center"/>
              <w:rPr>
                <w:rFonts w:cstheme="minorHAnsi"/>
              </w:rPr>
            </w:pPr>
            <w:r w:rsidRPr="00AD71ED">
              <w:rPr>
                <w:rFonts w:cstheme="minorHAnsi"/>
              </w:rPr>
              <w:t>Group’s total Australia-wide wages</w:t>
            </w:r>
          </w:p>
        </w:tc>
        <w:tc>
          <w:tcPr>
            <w:tcW w:w="8505" w:type="dxa"/>
            <w:gridSpan w:val="2"/>
          </w:tcPr>
          <w:p w14:paraId="2E2D8FF7"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$1,300,000+$700,000=$2,000,000</m:t>
                </m:r>
              </m:oMath>
            </m:oMathPara>
          </w:p>
        </w:tc>
      </w:tr>
      <w:tr w:rsidR="00AD71ED" w14:paraId="5575CDF2"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gridSpan w:val="3"/>
            <w:shd w:val="clear" w:color="auto" w:fill="482D8C" w:themeFill="background2"/>
          </w:tcPr>
          <w:p w14:paraId="74DCCB72" w14:textId="77777777" w:rsidR="00AD71ED" w:rsidRPr="00AD71ED" w:rsidRDefault="00AD71ED" w:rsidP="00433D7C">
            <w:pPr>
              <w:jc w:val="center"/>
              <w:rPr>
                <w:rFonts w:eastAsia="Calibri" w:cstheme="minorHAnsi"/>
                <w:color w:val="FFFFFF" w:themeColor="background1"/>
              </w:rPr>
            </w:pPr>
            <w:r w:rsidRPr="00AD71ED">
              <w:rPr>
                <w:rFonts w:eastAsia="Calibri" w:cstheme="minorHAnsi"/>
                <w:color w:val="FFFFFF" w:themeColor="background1"/>
              </w:rPr>
              <w:t xml:space="preserve">Case 1: </w:t>
            </w:r>
            <w:proofErr w:type="spellStart"/>
            <w:r w:rsidRPr="00AD71ED">
              <w:rPr>
                <w:rFonts w:eastAsia="Calibri" w:cstheme="minorHAnsi"/>
                <w:color w:val="FFFFFF" w:themeColor="background1"/>
              </w:rPr>
              <w:t>DGE</w:t>
            </w:r>
            <w:proofErr w:type="spellEnd"/>
            <w:r w:rsidRPr="00AD71ED">
              <w:rPr>
                <w:rFonts w:eastAsia="Calibri" w:cstheme="minorHAnsi"/>
                <w:color w:val="FFFFFF" w:themeColor="background1"/>
              </w:rPr>
              <w:t xml:space="preserve"> and </w:t>
            </w:r>
            <w:proofErr w:type="spellStart"/>
            <w:r w:rsidRPr="00AD71ED">
              <w:rPr>
                <w:rFonts w:eastAsia="Calibri" w:cstheme="minorHAnsi"/>
                <w:color w:val="FFFFFF" w:themeColor="background1"/>
              </w:rPr>
              <w:t>OGE</w:t>
            </w:r>
            <w:proofErr w:type="spellEnd"/>
            <w:r w:rsidRPr="00AD71ED">
              <w:rPr>
                <w:rFonts w:eastAsia="Calibri" w:cstheme="minorHAnsi"/>
                <w:color w:val="FFFFFF" w:themeColor="background1"/>
              </w:rPr>
              <w:t xml:space="preserve"> lodge separate payroll tax returns</w:t>
            </w:r>
          </w:p>
        </w:tc>
      </w:tr>
      <w:tr w:rsidR="00AD71ED" w14:paraId="39803641" w14:textId="77777777" w:rsidTr="00AD71ED">
        <w:tc>
          <w:tcPr>
            <w:cnfStyle w:val="001000000000" w:firstRow="0" w:lastRow="0" w:firstColumn="1" w:lastColumn="0" w:oddVBand="0" w:evenVBand="0" w:oddHBand="0" w:evenHBand="0" w:firstRowFirstColumn="0" w:firstRowLastColumn="0" w:lastRowFirstColumn="0" w:lastRowLastColumn="0"/>
            <w:tcW w:w="2835" w:type="dxa"/>
          </w:tcPr>
          <w:p w14:paraId="236AAEBB" w14:textId="77777777" w:rsidR="00AD71ED" w:rsidRPr="00AD71ED" w:rsidRDefault="00AD71ED" w:rsidP="00433D7C">
            <w:pPr>
              <w:jc w:val="center"/>
              <w:rPr>
                <w:rFonts w:eastAsia="Calibri" w:cstheme="minorHAnsi"/>
              </w:rPr>
            </w:pPr>
          </w:p>
        </w:tc>
        <w:tc>
          <w:tcPr>
            <w:tcW w:w="4252" w:type="dxa"/>
          </w:tcPr>
          <w:p w14:paraId="4EBE1266"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AD71ED">
              <w:rPr>
                <w:rFonts w:eastAsia="Calibri" w:cstheme="minorHAnsi"/>
              </w:rPr>
              <w:t>Company A (</w:t>
            </w:r>
            <w:proofErr w:type="spellStart"/>
            <w:r w:rsidRPr="00AD71ED">
              <w:rPr>
                <w:rFonts w:eastAsia="Calibri" w:cstheme="minorHAnsi"/>
              </w:rPr>
              <w:t>DGE</w:t>
            </w:r>
            <w:proofErr w:type="spellEnd"/>
            <w:r w:rsidRPr="00AD71ED">
              <w:rPr>
                <w:rFonts w:eastAsia="Calibri" w:cstheme="minorHAnsi"/>
              </w:rPr>
              <w:t>)</w:t>
            </w:r>
          </w:p>
        </w:tc>
        <w:tc>
          <w:tcPr>
            <w:tcW w:w="4253" w:type="dxa"/>
          </w:tcPr>
          <w:p w14:paraId="6CD4C46B"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AD71ED">
              <w:rPr>
                <w:rFonts w:eastAsia="Calibri" w:cstheme="minorHAnsi"/>
              </w:rPr>
              <w:t>Company B (</w:t>
            </w:r>
            <w:proofErr w:type="spellStart"/>
            <w:r w:rsidRPr="00AD71ED">
              <w:rPr>
                <w:rFonts w:eastAsia="Calibri" w:cstheme="minorHAnsi"/>
              </w:rPr>
              <w:t>OGE</w:t>
            </w:r>
            <w:proofErr w:type="spellEnd"/>
            <w:r w:rsidRPr="00AD71ED">
              <w:rPr>
                <w:rFonts w:eastAsia="Calibri" w:cstheme="minorHAnsi"/>
              </w:rPr>
              <w:t>)</w:t>
            </w:r>
          </w:p>
        </w:tc>
      </w:tr>
      <w:tr w:rsidR="00AD71ED" w14:paraId="434C41A2"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6AE3F59" w14:textId="77777777" w:rsidR="00AD71ED" w:rsidRPr="00AD71ED" w:rsidRDefault="00AD71ED" w:rsidP="00433D7C">
            <w:pPr>
              <w:jc w:val="center"/>
              <w:rPr>
                <w:rFonts w:cstheme="minorHAnsi"/>
              </w:rPr>
            </w:pPr>
            <w:r w:rsidRPr="00AD71ED">
              <w:rPr>
                <w:rFonts w:cstheme="minorHAnsi"/>
              </w:rPr>
              <w:t>Threshold calculation</w:t>
            </w:r>
          </w:p>
        </w:tc>
        <w:tc>
          <w:tcPr>
            <w:tcW w:w="4252" w:type="dxa"/>
          </w:tcPr>
          <w:p w14:paraId="65C0E3BD" w14:textId="77777777" w:rsidR="00AD71ED" w:rsidRPr="00AD71ED" w:rsidRDefault="002F4199" w:rsidP="00AD71E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m:oMathPara>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$500,000+$100,000</m:t>
                        </m:r>
                      </m:num>
                      <m:den>
                        <m:r>
                          <w:rPr>
                            <w:rFonts w:ascii="Cambria Math" w:hAnsi="Cambria Math" w:cstheme="minorHAnsi"/>
                          </w:rPr>
                          <m:t>$1,300,000+$700,000</m:t>
                        </m:r>
                      </m:den>
                    </m:f>
                  </m:e>
                </m:d>
                <m:r>
                  <w:rPr>
                    <w:rFonts w:ascii="Cambria Math" w:hAnsi="Cambria Math" w:cstheme="minorHAnsi"/>
                  </w:rPr>
                  <m:t xml:space="preserve"> ×$1,500,000 =$450,000</m:t>
                </m:r>
              </m:oMath>
            </m:oMathPara>
          </w:p>
        </w:tc>
        <w:tc>
          <w:tcPr>
            <w:tcW w:w="4253" w:type="dxa"/>
          </w:tcPr>
          <w:p w14:paraId="33EDC285"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Cannot claim the ACT proportion of the threshold</w:t>
            </w:r>
          </w:p>
        </w:tc>
      </w:tr>
      <w:tr w:rsidR="00AD71ED" w14:paraId="2ACE85C6" w14:textId="77777777" w:rsidTr="00AD71ED">
        <w:tc>
          <w:tcPr>
            <w:cnfStyle w:val="001000000000" w:firstRow="0" w:lastRow="0" w:firstColumn="1" w:lastColumn="0" w:oddVBand="0" w:evenVBand="0" w:oddHBand="0" w:evenHBand="0" w:firstRowFirstColumn="0" w:firstRowLastColumn="0" w:lastRowFirstColumn="0" w:lastRowLastColumn="0"/>
            <w:tcW w:w="2835" w:type="dxa"/>
          </w:tcPr>
          <w:p w14:paraId="5F7EAB1B" w14:textId="77777777" w:rsidR="00AD71ED" w:rsidRPr="00AD71ED" w:rsidRDefault="00AD71ED" w:rsidP="00433D7C">
            <w:pPr>
              <w:jc w:val="center"/>
              <w:rPr>
                <w:rFonts w:cstheme="minorHAnsi"/>
              </w:rPr>
            </w:pPr>
            <w:r w:rsidRPr="00AD71ED">
              <w:rPr>
                <w:rFonts w:cstheme="minorHAnsi"/>
              </w:rPr>
              <w:t>Payroll tax liability</w:t>
            </w:r>
          </w:p>
        </w:tc>
        <w:tc>
          <w:tcPr>
            <w:tcW w:w="4252" w:type="dxa"/>
          </w:tcPr>
          <w:p w14:paraId="1977210C"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m:oMathPara>
              <m:oMath>
                <m:d>
                  <m:dPr>
                    <m:ctrlPr>
                      <w:rPr>
                        <w:rFonts w:ascii="Cambria Math" w:eastAsia="Calibri" w:hAnsi="Cambria Math" w:cstheme="minorHAnsi"/>
                        <w:i/>
                      </w:rPr>
                    </m:ctrlPr>
                  </m:dPr>
                  <m:e>
                    <m:r>
                      <w:rPr>
                        <w:rFonts w:ascii="Cambria Math" w:eastAsia="Calibri" w:hAnsi="Cambria Math" w:cstheme="minorHAnsi"/>
                      </w:rPr>
                      <m:t>$500,000-$450,000</m:t>
                    </m:r>
                  </m:e>
                </m:d>
                <m:r>
                  <w:rPr>
                    <w:rFonts w:ascii="Cambria Math" w:eastAsia="Calibri" w:hAnsi="Cambria Math" w:cstheme="minorHAnsi"/>
                  </w:rPr>
                  <m:t>×0.0685=$3,425</m:t>
                </m:r>
              </m:oMath>
            </m:oMathPara>
          </w:p>
        </w:tc>
        <w:tc>
          <w:tcPr>
            <w:tcW w:w="4253" w:type="dxa"/>
          </w:tcPr>
          <w:p w14:paraId="0A3B94F7"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r>
                  <w:rPr>
                    <w:rFonts w:ascii="Cambria Math" w:hAnsi="Cambria Math" w:cstheme="minorHAnsi"/>
                  </w:rPr>
                  <m:t>$100,000×0.0685 =$6,850</m:t>
                </m:r>
              </m:oMath>
            </m:oMathPara>
          </w:p>
        </w:tc>
      </w:tr>
      <w:tr w:rsidR="00AD71ED" w14:paraId="562E3839"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FEEBFB1" w14:textId="77777777" w:rsidR="00AD71ED" w:rsidRPr="00AD71ED" w:rsidRDefault="00AD71ED" w:rsidP="00433D7C">
            <w:pPr>
              <w:jc w:val="center"/>
              <w:rPr>
                <w:rFonts w:cstheme="minorHAnsi"/>
              </w:rPr>
            </w:pPr>
            <w:r w:rsidRPr="00AD71ED">
              <w:rPr>
                <w:rFonts w:cstheme="minorHAnsi"/>
              </w:rPr>
              <w:t>Group’s total payroll tax liability</w:t>
            </w:r>
          </w:p>
        </w:tc>
        <w:tc>
          <w:tcPr>
            <w:tcW w:w="8505" w:type="dxa"/>
            <w:gridSpan w:val="2"/>
          </w:tcPr>
          <w:p w14:paraId="153CBD13"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m:oMathPara>
              <m:oMath>
                <m:r>
                  <w:rPr>
                    <w:rFonts w:ascii="Cambria Math" w:eastAsia="Calibri" w:hAnsi="Cambria Math" w:cstheme="minorHAnsi"/>
                  </w:rPr>
                  <m:t>$3,425+$6,850=$10,275</m:t>
                </m:r>
              </m:oMath>
            </m:oMathPara>
          </w:p>
        </w:tc>
      </w:tr>
      <w:tr w:rsidR="00AD71ED" w14:paraId="3457CAE1" w14:textId="77777777" w:rsidTr="00AD71ED">
        <w:tc>
          <w:tcPr>
            <w:cnfStyle w:val="001000000000" w:firstRow="0" w:lastRow="0" w:firstColumn="1" w:lastColumn="0" w:oddVBand="0" w:evenVBand="0" w:oddHBand="0" w:evenHBand="0" w:firstRowFirstColumn="0" w:firstRowLastColumn="0" w:lastRowFirstColumn="0" w:lastRowLastColumn="0"/>
            <w:tcW w:w="11340" w:type="dxa"/>
            <w:gridSpan w:val="3"/>
            <w:shd w:val="clear" w:color="auto" w:fill="482D8C" w:themeFill="background2"/>
          </w:tcPr>
          <w:p w14:paraId="462FD6FF" w14:textId="77777777" w:rsidR="00AD71ED" w:rsidRPr="00AD71ED" w:rsidRDefault="00AD71ED" w:rsidP="00433D7C">
            <w:pPr>
              <w:jc w:val="center"/>
              <w:rPr>
                <w:rFonts w:eastAsia="Calibri" w:cstheme="minorHAnsi"/>
                <w:color w:val="FFFFFF" w:themeColor="background1"/>
              </w:rPr>
            </w:pPr>
            <w:r w:rsidRPr="00AD71ED">
              <w:rPr>
                <w:rFonts w:eastAsia="Calibri" w:cstheme="minorHAnsi"/>
                <w:color w:val="FFFFFF" w:themeColor="background1"/>
              </w:rPr>
              <w:t xml:space="preserve">Case 2: </w:t>
            </w:r>
            <w:proofErr w:type="spellStart"/>
            <w:r w:rsidRPr="00AD71ED">
              <w:rPr>
                <w:rFonts w:eastAsia="Calibri" w:cstheme="minorHAnsi"/>
                <w:color w:val="FFFFFF" w:themeColor="background1"/>
              </w:rPr>
              <w:t>DGE</w:t>
            </w:r>
            <w:proofErr w:type="spellEnd"/>
            <w:r w:rsidRPr="00AD71ED">
              <w:rPr>
                <w:rFonts w:eastAsia="Calibri" w:cstheme="minorHAnsi"/>
                <w:color w:val="FFFFFF" w:themeColor="background1"/>
              </w:rPr>
              <w:t xml:space="preserve"> lodges a joint payroll tax return on behalf of itself and the </w:t>
            </w:r>
            <w:proofErr w:type="spellStart"/>
            <w:r w:rsidRPr="00AD71ED">
              <w:rPr>
                <w:rFonts w:eastAsia="Calibri" w:cstheme="minorHAnsi"/>
                <w:color w:val="FFFFFF" w:themeColor="background1"/>
              </w:rPr>
              <w:t>OGE</w:t>
            </w:r>
            <w:proofErr w:type="spellEnd"/>
          </w:p>
        </w:tc>
      </w:tr>
      <w:tr w:rsidR="00AD71ED" w14:paraId="3D728A40"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70EF634" w14:textId="77777777" w:rsidR="00AD71ED" w:rsidRPr="00AD71ED" w:rsidRDefault="00AD71ED" w:rsidP="00433D7C">
            <w:pPr>
              <w:jc w:val="center"/>
              <w:rPr>
                <w:rFonts w:eastAsia="Calibri" w:cstheme="minorHAnsi"/>
              </w:rPr>
            </w:pPr>
            <w:r w:rsidRPr="00AD71ED">
              <w:rPr>
                <w:rFonts w:eastAsia="Calibri" w:cstheme="minorHAnsi"/>
              </w:rPr>
              <w:t xml:space="preserve">Threshold calculation </w:t>
            </w:r>
          </w:p>
        </w:tc>
        <w:tc>
          <w:tcPr>
            <w:tcW w:w="8505" w:type="dxa"/>
            <w:gridSpan w:val="2"/>
          </w:tcPr>
          <w:p w14:paraId="0407E1EA" w14:textId="77777777" w:rsidR="00AD71ED" w:rsidRPr="00AD71ED" w:rsidRDefault="002F4199" w:rsidP="00AD71E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m:oMathPara>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$500,000+$100,000</m:t>
                        </m:r>
                      </m:num>
                      <m:den>
                        <m:r>
                          <w:rPr>
                            <w:rFonts w:ascii="Cambria Math" w:hAnsi="Cambria Math" w:cstheme="minorHAnsi"/>
                          </w:rPr>
                          <m:t>$1,300,000+$700,000</m:t>
                        </m:r>
                      </m:den>
                    </m:f>
                  </m:e>
                </m:d>
                <m:r>
                  <w:rPr>
                    <w:rFonts w:ascii="Cambria Math" w:hAnsi="Cambria Math" w:cstheme="minorHAnsi"/>
                  </w:rPr>
                  <m:t xml:space="preserve"> ×$1,500,000 =$450,000</m:t>
                </m:r>
              </m:oMath>
            </m:oMathPara>
          </w:p>
        </w:tc>
      </w:tr>
      <w:tr w:rsidR="00AD71ED" w14:paraId="09A74AE6" w14:textId="77777777" w:rsidTr="00AD71ED">
        <w:tc>
          <w:tcPr>
            <w:cnfStyle w:val="001000000000" w:firstRow="0" w:lastRow="0" w:firstColumn="1" w:lastColumn="0" w:oddVBand="0" w:evenVBand="0" w:oddHBand="0" w:evenHBand="0" w:firstRowFirstColumn="0" w:firstRowLastColumn="0" w:lastRowFirstColumn="0" w:lastRowLastColumn="0"/>
            <w:tcW w:w="2835" w:type="dxa"/>
          </w:tcPr>
          <w:p w14:paraId="6E2E9496" w14:textId="77777777" w:rsidR="00AD71ED" w:rsidRPr="00AD71ED" w:rsidRDefault="00AD71ED" w:rsidP="00433D7C">
            <w:pPr>
              <w:jc w:val="center"/>
              <w:rPr>
                <w:rFonts w:eastAsia="Calibri" w:cstheme="minorHAnsi"/>
              </w:rPr>
            </w:pPr>
            <w:r w:rsidRPr="00AD71ED">
              <w:rPr>
                <w:rFonts w:eastAsia="Calibri" w:cstheme="minorHAnsi"/>
              </w:rPr>
              <w:t xml:space="preserve">Group’s total payroll tax liability </w:t>
            </w:r>
          </w:p>
        </w:tc>
        <w:tc>
          <w:tcPr>
            <w:tcW w:w="8505" w:type="dxa"/>
            <w:gridSpan w:val="2"/>
          </w:tcPr>
          <w:p w14:paraId="0C072872"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m:oMathPara>
              <m:oMath>
                <m:d>
                  <m:dPr>
                    <m:ctrlPr>
                      <w:rPr>
                        <w:rFonts w:ascii="Cambria Math" w:eastAsia="Calibri" w:hAnsi="Cambria Math" w:cstheme="minorHAnsi"/>
                        <w:i/>
                      </w:rPr>
                    </m:ctrlPr>
                  </m:dPr>
                  <m:e>
                    <m:r>
                      <w:rPr>
                        <w:rFonts w:ascii="Cambria Math" w:eastAsia="Calibri" w:hAnsi="Cambria Math" w:cstheme="minorHAnsi"/>
                      </w:rPr>
                      <m:t>$600,000-$450,000</m:t>
                    </m:r>
                  </m:e>
                </m:d>
                <m:r>
                  <w:rPr>
                    <w:rFonts w:ascii="Cambria Math" w:eastAsia="Calibri" w:hAnsi="Cambria Math" w:cstheme="minorHAnsi"/>
                  </w:rPr>
                  <m:t>×0.0685=$10,275</m:t>
                </m:r>
              </m:oMath>
            </m:oMathPara>
          </w:p>
        </w:tc>
      </w:tr>
    </w:tbl>
    <w:p w14:paraId="047FE1E3" w14:textId="4FAC678B" w:rsidR="00E109CF" w:rsidRPr="00334D38" w:rsidRDefault="00E109CF" w:rsidP="00243125">
      <w:pPr>
        <w:pStyle w:val="Heading1"/>
      </w:pPr>
      <w:bookmarkStart w:id="9" w:name="_Toc48112949"/>
      <w:r w:rsidRPr="00334D38">
        <w:lastRenderedPageBreak/>
        <w:t>Data</w:t>
      </w:r>
      <w:bookmarkEnd w:id="9"/>
      <w:r w:rsidRPr="00334D38">
        <w:t xml:space="preserve"> </w:t>
      </w:r>
    </w:p>
    <w:p w14:paraId="3909776A" w14:textId="77777777" w:rsidR="00E109CF" w:rsidRDefault="00E109CF" w:rsidP="00E109CF">
      <w:r>
        <w:t>The data used for this analysis is ACT Government unit record payroll tax data from 2006-07 to 2018</w:t>
      </w:r>
      <w:r>
        <w:noBreakHyphen/>
        <w:t>19.</w:t>
      </w:r>
    </w:p>
    <w:p w14:paraId="3B36EEF5" w14:textId="77777777" w:rsidR="00E109CF" w:rsidRDefault="00E109CF" w:rsidP="00E109CF">
      <w:r>
        <w:t xml:space="preserve">Payroll tax is a self-assessed tax. Therefore, the unit record data only contains employers in the ACT that lodge a return with the ACT Revenue Office because they may be liable to pay payroll tax. </w:t>
      </w:r>
    </w:p>
    <w:p w14:paraId="4579F17D" w14:textId="77777777" w:rsidR="00E109CF" w:rsidRDefault="00E109CF" w:rsidP="00E109CF">
      <w:r>
        <w:t>For each of these employers, the data includes information on the financial year, client account identification (which is a unique identifier for employers), an indicator variable which denotes whether the data has been reconciled or not, an indicator variable which denotes whether the employer is a member of a group or an independent employer, a variable which has a unique identifier for all employers within a group (group ID), an indicator variable which denotes employer status code (</w:t>
      </w:r>
      <w:proofErr w:type="spellStart"/>
      <w:r>
        <w:t>DGE</w:t>
      </w:r>
      <w:proofErr w:type="spellEnd"/>
      <w:r>
        <w:t xml:space="preserve">, joint return lodger, independent employer, </w:t>
      </w:r>
      <w:proofErr w:type="spellStart"/>
      <w:r>
        <w:t>OGE</w:t>
      </w:r>
      <w:proofErr w:type="spellEnd"/>
      <w:r>
        <w:t>), employer’s total ACT wages, employer’s total Australia-wide wages, group’s total ACT wages and group’s total Australia-wide wages.</w:t>
      </w:r>
    </w:p>
    <w:p w14:paraId="087581A2" w14:textId="5F5195B4" w:rsidR="00E109CF" w:rsidRPr="00243125" w:rsidRDefault="00E109CF" w:rsidP="00116D7F">
      <w:pPr>
        <w:pStyle w:val="Heading2"/>
      </w:pPr>
      <w:bookmarkStart w:id="10" w:name="_Toc48112950"/>
      <w:r>
        <w:t>Number of employers</w:t>
      </w:r>
      <w:bookmarkEnd w:id="10"/>
    </w:p>
    <w:p w14:paraId="1EFAD408" w14:textId="77777777" w:rsidR="00E109CF" w:rsidRDefault="00E109CF" w:rsidP="00E109CF">
      <w:r>
        <w:t xml:space="preserve">Table 3 presents the number of employers in the 2012-13 to 2018-19 data, after deleting duplicated taxpayer data from the extracted data set. Table 3 shows that the number of employers in the data is gradually increasing from 2012-13 to 2015-16 and gradually declines from 2015-16 onwards. </w:t>
      </w:r>
      <w:r w:rsidRPr="001472E0">
        <w:t xml:space="preserve">The decline in the number of employers from 2015-16 onwards </w:t>
      </w:r>
      <w:r>
        <w:t xml:space="preserve">is due to </w:t>
      </w:r>
      <w:bookmarkStart w:id="11" w:name="_Hlk35856075"/>
      <w:r>
        <w:t xml:space="preserve">incomplete data </w:t>
      </w:r>
      <w:bookmarkStart w:id="12" w:name="_Hlk35856109"/>
      <w:bookmarkEnd w:id="11"/>
      <w:r>
        <w:t>from the current extraction of payroll tax data</w:t>
      </w:r>
      <w:bookmarkEnd w:id="12"/>
      <w:r w:rsidRPr="001472E0">
        <w:t xml:space="preserve">. Given the decline from 2015-16 is small, the data is suitable for analysis. </w:t>
      </w:r>
    </w:p>
    <w:p w14:paraId="17A508E1" w14:textId="32AD656F" w:rsidR="00E109CF" w:rsidRDefault="00E109CF" w:rsidP="00116D7F">
      <w:pPr>
        <w:pStyle w:val="TableCaption"/>
      </w:pPr>
      <w:r w:rsidRPr="00051774">
        <w:t xml:space="preserve">Table </w:t>
      </w:r>
      <w:r w:rsidR="002F4199">
        <w:fldChar w:fldCharType="begin"/>
      </w:r>
      <w:r w:rsidR="002F4199">
        <w:instrText xml:space="preserve"> SEQ Table \* ARABIC </w:instrText>
      </w:r>
      <w:r w:rsidR="002F4199">
        <w:fldChar w:fldCharType="separate"/>
      </w:r>
      <w:r>
        <w:rPr>
          <w:noProof/>
        </w:rPr>
        <w:t>3</w:t>
      </w:r>
      <w:r w:rsidR="002F4199">
        <w:rPr>
          <w:noProof/>
        </w:rPr>
        <w:fldChar w:fldCharType="end"/>
      </w:r>
      <w:r>
        <w:t>: Number of employers in the data by financial year</w:t>
      </w:r>
    </w:p>
    <w:tbl>
      <w:tblPr>
        <w:tblStyle w:val="ColorfulList-Accent5"/>
        <w:tblpPr w:leftFromText="180" w:rightFromText="180" w:vertAnchor="text" w:horzAnchor="margin" w:tblpX="-1139" w:tblpY="159"/>
        <w:tblW w:w="6286" w:type="pct"/>
        <w:tblLook w:val="04A0" w:firstRow="1" w:lastRow="0" w:firstColumn="1" w:lastColumn="0" w:noHBand="0" w:noVBand="1"/>
      </w:tblPr>
      <w:tblGrid>
        <w:gridCol w:w="2717"/>
        <w:gridCol w:w="1240"/>
        <w:gridCol w:w="1241"/>
        <w:gridCol w:w="1241"/>
        <w:gridCol w:w="1241"/>
        <w:gridCol w:w="1241"/>
        <w:gridCol w:w="1241"/>
        <w:gridCol w:w="1241"/>
      </w:tblGrid>
      <w:tr w:rsidR="00AD71ED" w:rsidRPr="00AD71ED" w14:paraId="3EF4C0AB" w14:textId="77777777" w:rsidTr="00AD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Pr>
          <w:p w14:paraId="51F4D439" w14:textId="77777777" w:rsidR="00AD71ED" w:rsidRPr="00AD71ED" w:rsidRDefault="00AD71ED" w:rsidP="00433D7C">
            <w:pPr>
              <w:jc w:val="center"/>
              <w:rPr>
                <w:rFonts w:asciiTheme="minorHAnsi" w:hAnsiTheme="minorHAnsi" w:cstheme="minorHAnsi"/>
              </w:rPr>
            </w:pPr>
            <w:r w:rsidRPr="00AD71ED">
              <w:rPr>
                <w:rFonts w:asciiTheme="minorHAnsi" w:hAnsiTheme="minorHAnsi" w:cstheme="minorHAnsi"/>
              </w:rPr>
              <w:t>Year</w:t>
            </w:r>
          </w:p>
        </w:tc>
        <w:tc>
          <w:tcPr>
            <w:tcW w:w="544" w:type="pct"/>
          </w:tcPr>
          <w:p w14:paraId="387E5FC8"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eastAsia="Times New Roman" w:hAnsiTheme="minorHAnsi" w:cstheme="minorHAnsi"/>
              </w:rPr>
              <w:t>2012-13</w:t>
            </w:r>
          </w:p>
        </w:tc>
        <w:tc>
          <w:tcPr>
            <w:tcW w:w="544" w:type="pct"/>
          </w:tcPr>
          <w:p w14:paraId="632D43A9"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eastAsia="Times New Roman" w:hAnsiTheme="minorHAnsi" w:cstheme="minorHAnsi"/>
              </w:rPr>
              <w:t>2013-14</w:t>
            </w:r>
          </w:p>
        </w:tc>
        <w:tc>
          <w:tcPr>
            <w:tcW w:w="544" w:type="pct"/>
          </w:tcPr>
          <w:p w14:paraId="5A899996"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eastAsia="Times New Roman" w:hAnsiTheme="minorHAnsi" w:cstheme="minorHAnsi"/>
              </w:rPr>
              <w:t>2014-15</w:t>
            </w:r>
          </w:p>
        </w:tc>
        <w:tc>
          <w:tcPr>
            <w:tcW w:w="544" w:type="pct"/>
          </w:tcPr>
          <w:p w14:paraId="6BD5FE9C"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eastAsia="Times New Roman" w:hAnsiTheme="minorHAnsi" w:cstheme="minorHAnsi"/>
              </w:rPr>
              <w:t>2015-16</w:t>
            </w:r>
          </w:p>
        </w:tc>
        <w:tc>
          <w:tcPr>
            <w:tcW w:w="544" w:type="pct"/>
          </w:tcPr>
          <w:p w14:paraId="0B958ED3"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AD71ED">
              <w:rPr>
                <w:rFonts w:asciiTheme="minorHAnsi" w:eastAsia="Times New Roman" w:hAnsiTheme="minorHAnsi" w:cstheme="minorHAnsi"/>
              </w:rPr>
              <w:t>2016-17</w:t>
            </w:r>
          </w:p>
        </w:tc>
        <w:tc>
          <w:tcPr>
            <w:tcW w:w="544" w:type="pct"/>
          </w:tcPr>
          <w:p w14:paraId="0394FAB7"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eastAsia="Times New Roman" w:hAnsiTheme="minorHAnsi" w:cstheme="minorHAnsi"/>
              </w:rPr>
              <w:t>2017-18</w:t>
            </w:r>
          </w:p>
        </w:tc>
        <w:tc>
          <w:tcPr>
            <w:tcW w:w="544" w:type="pct"/>
          </w:tcPr>
          <w:p w14:paraId="0562EB97"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eastAsia="Times New Roman" w:hAnsiTheme="minorHAnsi" w:cstheme="minorHAnsi"/>
              </w:rPr>
              <w:t>2018-19</w:t>
            </w:r>
          </w:p>
        </w:tc>
      </w:tr>
      <w:tr w:rsidR="00AD71ED" w:rsidRPr="00AD71ED" w14:paraId="74694AA9"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Pr>
          <w:p w14:paraId="4E903E88" w14:textId="77777777" w:rsidR="00AD71ED" w:rsidRPr="00AD71ED" w:rsidRDefault="00AD71ED" w:rsidP="00433D7C">
            <w:pPr>
              <w:jc w:val="center"/>
              <w:rPr>
                <w:rFonts w:cstheme="minorHAnsi"/>
              </w:rPr>
            </w:pPr>
            <w:r w:rsidRPr="00AD71ED">
              <w:rPr>
                <w:rFonts w:cstheme="minorHAnsi"/>
              </w:rPr>
              <w:t>Number of employers in the data</w:t>
            </w:r>
          </w:p>
        </w:tc>
        <w:tc>
          <w:tcPr>
            <w:tcW w:w="544" w:type="pct"/>
          </w:tcPr>
          <w:p w14:paraId="0EBBBC27"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eastAsia="Times New Roman" w:cstheme="minorHAnsi"/>
                <w:color w:val="000000"/>
                <w:bdr w:val="none" w:sz="0" w:space="0" w:color="auto" w:frame="1"/>
              </w:rPr>
              <w:t>3,355</w:t>
            </w:r>
          </w:p>
        </w:tc>
        <w:tc>
          <w:tcPr>
            <w:tcW w:w="544" w:type="pct"/>
          </w:tcPr>
          <w:p w14:paraId="532DE85A"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eastAsia="Times New Roman" w:cstheme="minorHAnsi"/>
                <w:color w:val="000000"/>
                <w:bdr w:val="none" w:sz="0" w:space="0" w:color="auto" w:frame="1"/>
              </w:rPr>
              <w:t>3,461</w:t>
            </w:r>
          </w:p>
        </w:tc>
        <w:tc>
          <w:tcPr>
            <w:tcW w:w="544" w:type="pct"/>
          </w:tcPr>
          <w:p w14:paraId="2337A9C7"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eastAsia="Times New Roman" w:cstheme="minorHAnsi"/>
                <w:color w:val="000000"/>
                <w:bdr w:val="none" w:sz="0" w:space="0" w:color="auto" w:frame="1"/>
              </w:rPr>
              <w:t>3,661</w:t>
            </w:r>
          </w:p>
        </w:tc>
        <w:tc>
          <w:tcPr>
            <w:tcW w:w="544" w:type="pct"/>
          </w:tcPr>
          <w:p w14:paraId="2978EC0B"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eastAsia="Times New Roman" w:cstheme="minorHAnsi"/>
                <w:color w:val="000000"/>
                <w:bdr w:val="none" w:sz="0" w:space="0" w:color="auto" w:frame="1"/>
              </w:rPr>
              <w:t>3,800</w:t>
            </w:r>
          </w:p>
        </w:tc>
        <w:tc>
          <w:tcPr>
            <w:tcW w:w="544" w:type="pct"/>
          </w:tcPr>
          <w:p w14:paraId="7FC05AB0" w14:textId="1296F271" w:rsidR="00AD71ED" w:rsidRPr="00AD71ED" w:rsidRDefault="00AD71ED" w:rsidP="00883A87">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3,797</w:t>
            </w:r>
          </w:p>
        </w:tc>
        <w:tc>
          <w:tcPr>
            <w:tcW w:w="544" w:type="pct"/>
          </w:tcPr>
          <w:p w14:paraId="11640CE6"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3,676</w:t>
            </w:r>
          </w:p>
        </w:tc>
        <w:tc>
          <w:tcPr>
            <w:tcW w:w="544" w:type="pct"/>
          </w:tcPr>
          <w:p w14:paraId="464F89E1"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3,615</w:t>
            </w:r>
          </w:p>
        </w:tc>
      </w:tr>
    </w:tbl>
    <w:p w14:paraId="75EA125C" w14:textId="77777777" w:rsidR="00E109CF" w:rsidRDefault="00E109CF" w:rsidP="00116D7F">
      <w:pPr>
        <w:pStyle w:val="Heading2"/>
      </w:pPr>
      <w:bookmarkStart w:id="13" w:name="_Toc48112951"/>
      <w:r w:rsidRPr="003D4EF0">
        <w:t>Reconciled data</w:t>
      </w:r>
      <w:bookmarkEnd w:id="13"/>
    </w:p>
    <w:p w14:paraId="2FCF458A" w14:textId="77777777" w:rsidR="00E109CF" w:rsidRPr="00673DB0" w:rsidRDefault="00E109CF" w:rsidP="00E109CF">
      <w:r w:rsidRPr="00673DB0">
        <w:t xml:space="preserve">Table 4 presents the percentage of employers in the 2012-13 to 2018-19 data for which the data can be reconciled.  This means that there is evidence to verify that the payroll tax and the figures for the wage amounts are accurate. </w:t>
      </w:r>
    </w:p>
    <w:p w14:paraId="3DAB8B2F" w14:textId="77777777" w:rsidR="00E109CF" w:rsidRPr="00673DB0" w:rsidRDefault="00E109CF" w:rsidP="00E109CF">
      <w:r>
        <w:t>Table 4 shows that a</w:t>
      </w:r>
      <w:r w:rsidRPr="00673DB0">
        <w:t xml:space="preserve"> high percentage of employers in the data for 2012-13 to 2015-16 and for 2017-18 to 2018-19 have data that can be reconciled. Therefore, the estimate for actual payroll tax revenue should be close to audited figures for these years. The table shows that for 2016-17 the percentage of employers in the data that have reconciled data is lower. </w:t>
      </w:r>
    </w:p>
    <w:p w14:paraId="790771EC" w14:textId="1C2F73A8" w:rsidR="00E109CF" w:rsidRDefault="00E109CF" w:rsidP="00E109CF">
      <w:pPr>
        <w:rPr>
          <w:i/>
          <w:iCs/>
        </w:rPr>
      </w:pPr>
      <w:r w:rsidRPr="00673DB0">
        <w:t>Given the high percentage of employers in the data with reconciled data for all years except one, the data is suitable for analysis</w:t>
      </w:r>
      <w:r>
        <w:rPr>
          <w:i/>
          <w:iCs/>
        </w:rPr>
        <w:t>.</w:t>
      </w:r>
    </w:p>
    <w:p w14:paraId="6374B1EC" w14:textId="1E7F6B63" w:rsidR="00C90897" w:rsidRDefault="00C90897" w:rsidP="00C90897">
      <w:pPr>
        <w:pStyle w:val="TableCaption"/>
        <w:spacing w:after="0" w:line="240" w:lineRule="auto"/>
      </w:pPr>
      <w:r>
        <w:t>Table 4: Reconciled data by financial year</w:t>
      </w:r>
    </w:p>
    <w:tbl>
      <w:tblPr>
        <w:tblStyle w:val="ColorfulList-Accent5"/>
        <w:tblpPr w:leftFromText="180" w:rightFromText="180" w:vertAnchor="text" w:horzAnchor="margin" w:tblpXSpec="center" w:tblpY="487"/>
        <w:tblW w:w="6448" w:type="pct"/>
        <w:tblLook w:val="04A0" w:firstRow="1" w:lastRow="0" w:firstColumn="1" w:lastColumn="0" w:noHBand="0" w:noVBand="1"/>
      </w:tblPr>
      <w:tblGrid>
        <w:gridCol w:w="2719"/>
        <w:gridCol w:w="1283"/>
        <w:gridCol w:w="1283"/>
        <w:gridCol w:w="1283"/>
        <w:gridCol w:w="1283"/>
        <w:gridCol w:w="1282"/>
        <w:gridCol w:w="1282"/>
        <w:gridCol w:w="1282"/>
      </w:tblGrid>
      <w:tr w:rsidR="00AD71ED" w:rsidRPr="00AD71ED" w14:paraId="0D841DF6" w14:textId="77777777" w:rsidTr="00AD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pct"/>
            <w:hideMark/>
          </w:tcPr>
          <w:p w14:paraId="1916140D" w14:textId="77777777" w:rsidR="00AD71ED" w:rsidRPr="00AD71ED" w:rsidRDefault="00AD71ED" w:rsidP="00433D7C">
            <w:pPr>
              <w:jc w:val="center"/>
              <w:rPr>
                <w:rFonts w:asciiTheme="minorHAnsi" w:hAnsiTheme="minorHAnsi" w:cstheme="minorHAnsi"/>
              </w:rPr>
            </w:pPr>
            <w:r w:rsidRPr="00AD71ED">
              <w:rPr>
                <w:rFonts w:asciiTheme="minorHAnsi" w:hAnsiTheme="minorHAnsi" w:cstheme="minorHAnsi"/>
              </w:rPr>
              <w:t>Year</w:t>
            </w:r>
          </w:p>
        </w:tc>
        <w:tc>
          <w:tcPr>
            <w:tcW w:w="548" w:type="pct"/>
            <w:hideMark/>
          </w:tcPr>
          <w:p w14:paraId="7F0BEAB8"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2012-13</w:t>
            </w:r>
          </w:p>
        </w:tc>
        <w:tc>
          <w:tcPr>
            <w:tcW w:w="548" w:type="pct"/>
            <w:hideMark/>
          </w:tcPr>
          <w:p w14:paraId="0738974C"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2013-14</w:t>
            </w:r>
          </w:p>
        </w:tc>
        <w:tc>
          <w:tcPr>
            <w:tcW w:w="548" w:type="pct"/>
            <w:hideMark/>
          </w:tcPr>
          <w:p w14:paraId="2110FB3B"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2014-15</w:t>
            </w:r>
          </w:p>
        </w:tc>
        <w:tc>
          <w:tcPr>
            <w:tcW w:w="548" w:type="pct"/>
            <w:hideMark/>
          </w:tcPr>
          <w:p w14:paraId="2382B7E3"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2015-16</w:t>
            </w:r>
          </w:p>
        </w:tc>
        <w:tc>
          <w:tcPr>
            <w:tcW w:w="548" w:type="pct"/>
            <w:hideMark/>
          </w:tcPr>
          <w:p w14:paraId="68D554CE"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AD71ED">
              <w:rPr>
                <w:rFonts w:asciiTheme="minorHAnsi" w:hAnsiTheme="minorHAnsi" w:cstheme="minorHAnsi"/>
              </w:rPr>
              <w:t>2016-17</w:t>
            </w:r>
          </w:p>
        </w:tc>
        <w:tc>
          <w:tcPr>
            <w:tcW w:w="548" w:type="pct"/>
            <w:hideMark/>
          </w:tcPr>
          <w:p w14:paraId="5B235EC4"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2017-18</w:t>
            </w:r>
          </w:p>
        </w:tc>
        <w:tc>
          <w:tcPr>
            <w:tcW w:w="548" w:type="pct"/>
            <w:hideMark/>
          </w:tcPr>
          <w:p w14:paraId="76F76FAC"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2018-19</w:t>
            </w:r>
          </w:p>
        </w:tc>
      </w:tr>
      <w:tr w:rsidR="00AD71ED" w:rsidRPr="00AD71ED" w14:paraId="415FE6B6"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pct"/>
            <w:hideMark/>
          </w:tcPr>
          <w:p w14:paraId="207E1F3D" w14:textId="77777777" w:rsidR="00AD71ED" w:rsidRPr="00AD71ED" w:rsidRDefault="00AD71ED" w:rsidP="00433D7C">
            <w:pPr>
              <w:jc w:val="center"/>
              <w:rPr>
                <w:rFonts w:cstheme="minorHAnsi"/>
              </w:rPr>
            </w:pPr>
            <w:r w:rsidRPr="00AD71ED">
              <w:rPr>
                <w:rFonts w:cstheme="minorHAnsi"/>
                <w:color w:val="000000"/>
              </w:rPr>
              <w:t>Percentage of employers in the data that have reconciled data</w:t>
            </w:r>
          </w:p>
        </w:tc>
        <w:tc>
          <w:tcPr>
            <w:tcW w:w="548" w:type="pct"/>
            <w:hideMark/>
          </w:tcPr>
          <w:p w14:paraId="21813BD5"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D71ED">
              <w:rPr>
                <w:rFonts w:cstheme="minorHAnsi"/>
                <w:color w:val="000000"/>
              </w:rPr>
              <w:t>87.57%</w:t>
            </w:r>
          </w:p>
        </w:tc>
        <w:tc>
          <w:tcPr>
            <w:tcW w:w="548" w:type="pct"/>
            <w:hideMark/>
          </w:tcPr>
          <w:p w14:paraId="75E11798"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D71ED">
              <w:rPr>
                <w:rFonts w:cstheme="minorHAnsi"/>
                <w:color w:val="000000"/>
              </w:rPr>
              <w:t>87.37%</w:t>
            </w:r>
          </w:p>
        </w:tc>
        <w:tc>
          <w:tcPr>
            <w:tcW w:w="548" w:type="pct"/>
            <w:hideMark/>
          </w:tcPr>
          <w:p w14:paraId="57530B6B"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D71ED">
              <w:rPr>
                <w:rFonts w:cstheme="minorHAnsi"/>
                <w:color w:val="000000"/>
              </w:rPr>
              <w:t>87.60%</w:t>
            </w:r>
          </w:p>
        </w:tc>
        <w:tc>
          <w:tcPr>
            <w:tcW w:w="548" w:type="pct"/>
            <w:hideMark/>
          </w:tcPr>
          <w:p w14:paraId="27E9E29C"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D71ED">
              <w:rPr>
                <w:rFonts w:cstheme="minorHAnsi"/>
                <w:color w:val="000000"/>
              </w:rPr>
              <w:t>86.39%</w:t>
            </w:r>
          </w:p>
        </w:tc>
        <w:tc>
          <w:tcPr>
            <w:tcW w:w="548" w:type="pct"/>
            <w:hideMark/>
          </w:tcPr>
          <w:p w14:paraId="52A7533C"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b/>
                <w:bCs/>
                <w:highlight w:val="yellow"/>
              </w:rPr>
            </w:pPr>
            <w:r w:rsidRPr="00AD71ED">
              <w:rPr>
                <w:rFonts w:cstheme="minorHAnsi"/>
                <w:color w:val="000000"/>
              </w:rPr>
              <w:t>59.47%</w:t>
            </w:r>
          </w:p>
        </w:tc>
        <w:tc>
          <w:tcPr>
            <w:tcW w:w="548" w:type="pct"/>
            <w:hideMark/>
          </w:tcPr>
          <w:p w14:paraId="78311975"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D71ED">
              <w:rPr>
                <w:rFonts w:cstheme="minorHAnsi"/>
                <w:color w:val="000000"/>
              </w:rPr>
              <w:t>78.86%</w:t>
            </w:r>
          </w:p>
        </w:tc>
        <w:tc>
          <w:tcPr>
            <w:tcW w:w="548" w:type="pct"/>
            <w:hideMark/>
          </w:tcPr>
          <w:p w14:paraId="0EAA9697"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D71ED">
              <w:rPr>
                <w:rFonts w:cstheme="minorHAnsi"/>
                <w:color w:val="000000"/>
              </w:rPr>
              <w:t>70.73%</w:t>
            </w:r>
          </w:p>
        </w:tc>
      </w:tr>
    </w:tbl>
    <w:p w14:paraId="19476F30" w14:textId="77777777" w:rsidR="00AD71ED" w:rsidRPr="00C90897" w:rsidRDefault="00AD71ED" w:rsidP="00C90897">
      <w:pPr>
        <w:pStyle w:val="TableCaption"/>
        <w:spacing w:after="0" w:line="240" w:lineRule="auto"/>
      </w:pPr>
    </w:p>
    <w:p w14:paraId="6EBD7B75" w14:textId="77777777" w:rsidR="00E109CF" w:rsidRPr="003D4EF0" w:rsidRDefault="00E109CF" w:rsidP="00456A5F">
      <w:pPr>
        <w:pStyle w:val="Heading2"/>
      </w:pPr>
      <w:bookmarkStart w:id="14" w:name="_Toc48112952"/>
      <w:r w:rsidRPr="003D4EF0">
        <w:t>Joint return lodger</w:t>
      </w:r>
      <w:bookmarkEnd w:id="14"/>
    </w:p>
    <w:p w14:paraId="76362DF6" w14:textId="77777777" w:rsidR="00E109CF" w:rsidRDefault="00E109CF" w:rsidP="00E109CF">
      <w:r>
        <w:t xml:space="preserve">As discussed above in the payroll tax section, if a </w:t>
      </w:r>
      <w:proofErr w:type="spellStart"/>
      <w:r>
        <w:t>DGE</w:t>
      </w:r>
      <w:proofErr w:type="spellEnd"/>
      <w:r>
        <w:t xml:space="preserve"> lodges a joint payroll tax return on behalf of all stated members of the group, including itself, it is a joint return lodger (</w:t>
      </w:r>
      <w:proofErr w:type="spellStart"/>
      <w:r>
        <w:t>JRL</w:t>
      </w:r>
      <w:proofErr w:type="spellEnd"/>
      <w:r>
        <w:t xml:space="preserve">). Instead of having the employer’s total ACT wages in the employer’s total ACT wages field, the </w:t>
      </w:r>
      <w:proofErr w:type="spellStart"/>
      <w:r>
        <w:t>JRL</w:t>
      </w:r>
      <w:proofErr w:type="spellEnd"/>
      <w:r>
        <w:t xml:space="preserve"> would have the group’s total ACT wages in the employer’s total ACT wages field, and this would be used to calculate payroll tax liability for the group.</w:t>
      </w:r>
    </w:p>
    <w:p w14:paraId="178E3D51" w14:textId="77777777" w:rsidR="00E109CF" w:rsidRDefault="00E109CF" w:rsidP="00E109CF">
      <w:r>
        <w:t xml:space="preserve">If a </w:t>
      </w:r>
      <w:proofErr w:type="spellStart"/>
      <w:r>
        <w:t>DGE</w:t>
      </w:r>
      <w:proofErr w:type="spellEnd"/>
      <w:r>
        <w:t xml:space="preserve"> is a </w:t>
      </w:r>
      <w:proofErr w:type="spellStart"/>
      <w:r>
        <w:t>JRL</w:t>
      </w:r>
      <w:proofErr w:type="spellEnd"/>
      <w:r>
        <w:t xml:space="preserve"> in a financial year, the </w:t>
      </w:r>
      <w:proofErr w:type="spellStart"/>
      <w:r>
        <w:t>OGEs</w:t>
      </w:r>
      <w:proofErr w:type="spellEnd"/>
      <w:r>
        <w:t xml:space="preserve"> of that group should not be included in the data for that financial year, or if they are included, their wage fields should be blank. This would ensure payroll tax liability is not double counted.</w:t>
      </w:r>
    </w:p>
    <w:p w14:paraId="46D30525" w14:textId="77777777" w:rsidR="00E109CF" w:rsidRDefault="00E109CF" w:rsidP="00E109CF">
      <w:r>
        <w:t xml:space="preserve">Of 2,386 </w:t>
      </w:r>
      <w:proofErr w:type="spellStart"/>
      <w:r>
        <w:t>JRLs</w:t>
      </w:r>
      <w:proofErr w:type="spellEnd"/>
      <w:r>
        <w:t xml:space="preserve"> in the data, approximately 54 per cent of them (1,280) have other members of their group included in the data for the same financial year. </w:t>
      </w:r>
    </w:p>
    <w:p w14:paraId="2879498A" w14:textId="77777777" w:rsidR="00E109CF" w:rsidRDefault="00E109CF" w:rsidP="00E109CF">
      <w:r>
        <w:t xml:space="preserve">Of the </w:t>
      </w:r>
      <w:proofErr w:type="spellStart"/>
      <w:r>
        <w:t>JRLs</w:t>
      </w:r>
      <w:proofErr w:type="spellEnd"/>
      <w:r>
        <w:t xml:space="preserve"> that have other members of their business group included in the data for the same financial year, approximately 95 per cent of the other members have the employer’s total ACT wage amount as blanks, and payroll tax liability will not be double counted for these employers. Given the small percentage of other members that have values for the employer’s total ACT wage amount, payroll tax liability will not be double counted to a significant degree.</w:t>
      </w:r>
    </w:p>
    <w:p w14:paraId="5006F897" w14:textId="77777777" w:rsidR="00E109CF" w:rsidRPr="00054BC9" w:rsidRDefault="00E109CF" w:rsidP="00456A5F">
      <w:pPr>
        <w:pStyle w:val="Heading2"/>
      </w:pPr>
      <w:bookmarkStart w:id="15" w:name="_Toc48112953"/>
      <w:r w:rsidRPr="00054BC9">
        <w:t>Employer status code</w:t>
      </w:r>
      <w:bookmarkEnd w:id="15"/>
    </w:p>
    <w:p w14:paraId="367BA14E" w14:textId="77777777" w:rsidR="00E109CF" w:rsidRPr="00054BC9" w:rsidRDefault="00E109CF" w:rsidP="00E109CF">
      <w:r w:rsidRPr="00054BC9">
        <w:t xml:space="preserve">As explained above in the payroll tax section, the calculation of payroll tax liability depends on whether an employer is a </w:t>
      </w:r>
      <w:proofErr w:type="spellStart"/>
      <w:r w:rsidRPr="00054BC9">
        <w:t>DGE</w:t>
      </w:r>
      <w:proofErr w:type="spellEnd"/>
      <w:r w:rsidRPr="00054BC9">
        <w:t>/</w:t>
      </w:r>
      <w:proofErr w:type="spellStart"/>
      <w:r w:rsidRPr="00054BC9">
        <w:t>JRL</w:t>
      </w:r>
      <w:proofErr w:type="spellEnd"/>
      <w:r w:rsidRPr="00054BC9">
        <w:t xml:space="preserve">, </w:t>
      </w:r>
      <w:proofErr w:type="spellStart"/>
      <w:r w:rsidRPr="00054BC9">
        <w:t>OGE</w:t>
      </w:r>
      <w:proofErr w:type="spellEnd"/>
      <w:r w:rsidRPr="00054BC9">
        <w:t xml:space="preserve"> or an independent employer. The data has an indicator variable </w:t>
      </w:r>
      <w:r>
        <w:t xml:space="preserve">called </w:t>
      </w:r>
      <w:r w:rsidRPr="00054BC9">
        <w:t xml:space="preserve">employer status code which denotes which one these categories an employer falls under. </w:t>
      </w:r>
    </w:p>
    <w:p w14:paraId="3FE80F1E" w14:textId="77777777" w:rsidR="00E109CF" w:rsidRDefault="00E109CF" w:rsidP="00E109CF">
      <w:r w:rsidRPr="00845F5D">
        <w:t xml:space="preserve">Table </w:t>
      </w:r>
      <w:r>
        <w:t xml:space="preserve">5 </w:t>
      </w:r>
      <w:r w:rsidRPr="00845F5D">
        <w:t>presents the number of employers in the data by financial year and employer status code</w:t>
      </w:r>
      <w:r>
        <w:t xml:space="preserve"> </w:t>
      </w:r>
      <w:r w:rsidRPr="00845F5D">
        <w:t>for 2012-13 to 2018-19. The table shows that due to data limitations, the information on employer status code is not available for</w:t>
      </w:r>
      <w:r>
        <w:t xml:space="preserve"> between</w:t>
      </w:r>
      <w:r w:rsidRPr="00845F5D">
        <w:t xml:space="preserve"> 12 </w:t>
      </w:r>
      <w:r>
        <w:t xml:space="preserve">per cent </w:t>
      </w:r>
      <w:r w:rsidRPr="00845F5D">
        <w:t>to 1</w:t>
      </w:r>
      <w:r>
        <w:t>9</w:t>
      </w:r>
      <w:r w:rsidRPr="00845F5D">
        <w:t xml:space="preserve"> per cent of employers in these financial years</w:t>
      </w:r>
      <w:r>
        <w:t xml:space="preserve">. Note, the 2017 system change for recording and storing payroll tax data rectified the missing information on employer status code, and therefore, information on employer status code is available for all employers in 2017-18 and 2018-19 data. </w:t>
      </w:r>
    </w:p>
    <w:p w14:paraId="4498CD50" w14:textId="77777777" w:rsidR="00E109CF" w:rsidRDefault="00E109CF" w:rsidP="00E109CF">
      <w:bookmarkStart w:id="16" w:name="_Hlk43374486"/>
      <w:r w:rsidRPr="00B60581">
        <w:t xml:space="preserve">Since payroll tax liability cannot be calculated for employers </w:t>
      </w:r>
      <w:r>
        <w:t xml:space="preserve">that are missing </w:t>
      </w:r>
      <w:r w:rsidRPr="00B60581">
        <w:t>information on</w:t>
      </w:r>
      <w:r>
        <w:t xml:space="preserve"> </w:t>
      </w:r>
      <w:r w:rsidRPr="00B60581">
        <w:t>employer status code, these employers are excluded from the analysis.</w:t>
      </w:r>
      <w:r>
        <w:t xml:space="preserve"> </w:t>
      </w:r>
    </w:p>
    <w:p w14:paraId="3509409E" w14:textId="77777777" w:rsidR="00E109CF" w:rsidRDefault="00E109CF" w:rsidP="00E109CF">
      <w:r>
        <w:t xml:space="preserve">The implications of excluding these employers depends on their employer status code. As noted in the payroll tax section earlier, if all these employers are </w:t>
      </w:r>
      <w:proofErr w:type="spellStart"/>
      <w:r>
        <w:t>OGEs</w:t>
      </w:r>
      <w:proofErr w:type="spellEnd"/>
      <w:r>
        <w:t xml:space="preserve">, they cannot claim the ACT proportion of the threshold and would be liable to pay a flat rate of 6.85 per cent on their ACT taxable wages. This means that the threshold change would not affect the payroll tax liability of these employers, and therefore, the additional payroll tax revenue forgone from them would be zero. Table 5 shows that the number of </w:t>
      </w:r>
      <w:proofErr w:type="spellStart"/>
      <w:r>
        <w:t>OGEs</w:t>
      </w:r>
      <w:proofErr w:type="spellEnd"/>
      <w:r>
        <w:t xml:space="preserve"> from 2012-13 to 2015-16 is much lower than the number of </w:t>
      </w:r>
      <w:proofErr w:type="spellStart"/>
      <w:r>
        <w:t>OGEs</w:t>
      </w:r>
      <w:proofErr w:type="spellEnd"/>
      <w:r>
        <w:t xml:space="preserve"> in 2017-18 and 2018-19. However, the number of </w:t>
      </w:r>
      <w:proofErr w:type="spellStart"/>
      <w:r>
        <w:t>DGE</w:t>
      </w:r>
      <w:proofErr w:type="spellEnd"/>
      <w:r>
        <w:t>/</w:t>
      </w:r>
      <w:proofErr w:type="spellStart"/>
      <w:r>
        <w:t>JRLs</w:t>
      </w:r>
      <w:proofErr w:type="spellEnd"/>
      <w:r>
        <w:t xml:space="preserve"> and independent employers from 2012-13 to 2015-16 is close to the numbers in 2017-18 and 2018-19. This implies that the employers for which employer status code is not available in 2012-13 to 2015-16 are likely </w:t>
      </w:r>
      <w:proofErr w:type="spellStart"/>
      <w:r>
        <w:t>OGEs</w:t>
      </w:r>
      <w:proofErr w:type="spellEnd"/>
      <w:r>
        <w:t xml:space="preserve"> and therefore excluding them from the analysis will not affect the resulting payroll tax revenue forgone in these years.</w:t>
      </w:r>
    </w:p>
    <w:p w14:paraId="3F00BCF9" w14:textId="77777777" w:rsidR="00E109CF" w:rsidRPr="004A16AB" w:rsidRDefault="00E109CF" w:rsidP="00E109CF">
      <w:r w:rsidRPr="00A86D9C">
        <w:t xml:space="preserve">For 2016-17, </w:t>
      </w:r>
      <w:r>
        <w:t>T</w:t>
      </w:r>
      <w:r w:rsidRPr="00A86D9C">
        <w:t xml:space="preserve">able 5 shows that the employers with missing information on employer status code are </w:t>
      </w:r>
      <w:r>
        <w:t>likely</w:t>
      </w:r>
      <w:r w:rsidRPr="00A86D9C">
        <w:t xml:space="preserve"> independent employers, given the much lower number of independent employers in this year. </w:t>
      </w:r>
      <w:r>
        <w:t>As noted in</w:t>
      </w:r>
      <w:r w:rsidRPr="00A86D9C">
        <w:t xml:space="preserve"> the </w:t>
      </w:r>
      <w:r>
        <w:t>p</w:t>
      </w:r>
      <w:r w:rsidRPr="00A86D9C">
        <w:t xml:space="preserve">ayroll </w:t>
      </w:r>
      <w:r>
        <w:t>t</w:t>
      </w:r>
      <w:r w:rsidRPr="00A86D9C">
        <w:t>ax section earlier, independent employers can claim the ACT proportion of the threshold. This means that the threshold change would reduce the payroll tax liability for these employers, and therefore, excluding them will result in an underestimate of payroll tax revenue forgone in 2016-17. However, given that revenue forgone will be underestimated for only one year out of seven, excluding these employers will not significantly affect total revenue forgone and will not affect the paper’s conclusion.</w:t>
      </w:r>
    </w:p>
    <w:p w14:paraId="1A5E728D" w14:textId="4DD3D022" w:rsidR="00E109CF" w:rsidRDefault="00E109CF" w:rsidP="00456A5F">
      <w:pPr>
        <w:pStyle w:val="TableCaption"/>
      </w:pPr>
      <w:r w:rsidRPr="009851A1">
        <w:lastRenderedPageBreak/>
        <w:t xml:space="preserve">Table </w:t>
      </w:r>
      <w:r w:rsidR="002F4199">
        <w:fldChar w:fldCharType="begin"/>
      </w:r>
      <w:r w:rsidR="002F4199">
        <w:instrText xml:space="preserve"> SEQ Table \* ARABIC </w:instrText>
      </w:r>
      <w:r w:rsidR="002F4199">
        <w:fldChar w:fldCharType="separate"/>
      </w:r>
      <w:r>
        <w:rPr>
          <w:noProof/>
        </w:rPr>
        <w:t>5</w:t>
      </w:r>
      <w:r w:rsidR="002F4199">
        <w:rPr>
          <w:noProof/>
        </w:rPr>
        <w:fldChar w:fldCharType="end"/>
      </w:r>
      <w:r w:rsidRPr="009851A1">
        <w:t>: Number of employers in the data by financial year and employer status code</w:t>
      </w:r>
    </w:p>
    <w:tbl>
      <w:tblPr>
        <w:tblStyle w:val="ColorfulList-Accent5"/>
        <w:tblpPr w:leftFromText="180" w:rightFromText="180" w:vertAnchor="text" w:horzAnchor="margin" w:tblpX="-1139" w:tblpY="159"/>
        <w:tblW w:w="6286" w:type="pct"/>
        <w:tblLook w:val="04A0" w:firstRow="1" w:lastRow="0" w:firstColumn="1" w:lastColumn="0" w:noHBand="0" w:noVBand="1"/>
      </w:tblPr>
      <w:tblGrid>
        <w:gridCol w:w="2717"/>
        <w:gridCol w:w="1240"/>
        <w:gridCol w:w="1241"/>
        <w:gridCol w:w="1241"/>
        <w:gridCol w:w="1241"/>
        <w:gridCol w:w="1241"/>
        <w:gridCol w:w="1241"/>
        <w:gridCol w:w="1241"/>
      </w:tblGrid>
      <w:tr w:rsidR="00AD71ED" w14:paraId="7136124F" w14:textId="77777777" w:rsidTr="00AD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Pr>
          <w:p w14:paraId="456F5782" w14:textId="77777777" w:rsidR="00AD71ED" w:rsidRPr="00AD71ED" w:rsidRDefault="00AD71ED" w:rsidP="00433D7C">
            <w:pPr>
              <w:jc w:val="center"/>
              <w:rPr>
                <w:rFonts w:asciiTheme="minorHAnsi" w:hAnsiTheme="minorHAnsi" w:cstheme="minorHAnsi"/>
              </w:rPr>
            </w:pPr>
            <w:r w:rsidRPr="00AD71ED">
              <w:rPr>
                <w:rFonts w:asciiTheme="minorHAnsi" w:hAnsiTheme="minorHAnsi" w:cstheme="minorHAnsi"/>
              </w:rPr>
              <w:t>Year</w:t>
            </w:r>
          </w:p>
        </w:tc>
        <w:tc>
          <w:tcPr>
            <w:tcW w:w="544" w:type="pct"/>
          </w:tcPr>
          <w:p w14:paraId="5B7CF2B0"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eastAsia="Times New Roman" w:hAnsiTheme="minorHAnsi" w:cstheme="minorHAnsi"/>
              </w:rPr>
              <w:t>2012-13</w:t>
            </w:r>
          </w:p>
        </w:tc>
        <w:tc>
          <w:tcPr>
            <w:tcW w:w="544" w:type="pct"/>
          </w:tcPr>
          <w:p w14:paraId="63772952"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eastAsia="Times New Roman" w:hAnsiTheme="minorHAnsi" w:cstheme="minorHAnsi"/>
              </w:rPr>
              <w:t>2013-14</w:t>
            </w:r>
          </w:p>
        </w:tc>
        <w:tc>
          <w:tcPr>
            <w:tcW w:w="544" w:type="pct"/>
          </w:tcPr>
          <w:p w14:paraId="6D791164"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eastAsia="Times New Roman" w:hAnsiTheme="minorHAnsi" w:cstheme="minorHAnsi"/>
              </w:rPr>
              <w:t>2014-15</w:t>
            </w:r>
          </w:p>
        </w:tc>
        <w:tc>
          <w:tcPr>
            <w:tcW w:w="544" w:type="pct"/>
          </w:tcPr>
          <w:p w14:paraId="589D2B07"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eastAsia="Times New Roman" w:hAnsiTheme="minorHAnsi" w:cstheme="minorHAnsi"/>
              </w:rPr>
              <w:t>2015-16</w:t>
            </w:r>
          </w:p>
        </w:tc>
        <w:tc>
          <w:tcPr>
            <w:tcW w:w="544" w:type="pct"/>
          </w:tcPr>
          <w:p w14:paraId="20889592"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AD71ED">
              <w:rPr>
                <w:rFonts w:asciiTheme="minorHAnsi" w:eastAsia="Times New Roman" w:hAnsiTheme="minorHAnsi" w:cstheme="minorHAnsi"/>
              </w:rPr>
              <w:t>2016-17</w:t>
            </w:r>
          </w:p>
        </w:tc>
        <w:tc>
          <w:tcPr>
            <w:tcW w:w="544" w:type="pct"/>
          </w:tcPr>
          <w:p w14:paraId="32DEB657"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eastAsia="Times New Roman" w:hAnsiTheme="minorHAnsi" w:cstheme="minorHAnsi"/>
              </w:rPr>
              <w:t>2017-18</w:t>
            </w:r>
          </w:p>
        </w:tc>
        <w:tc>
          <w:tcPr>
            <w:tcW w:w="544" w:type="pct"/>
          </w:tcPr>
          <w:p w14:paraId="2505F934"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eastAsia="Times New Roman" w:hAnsiTheme="minorHAnsi" w:cstheme="minorHAnsi"/>
              </w:rPr>
              <w:t>2018-19</w:t>
            </w:r>
          </w:p>
        </w:tc>
      </w:tr>
      <w:tr w:rsidR="00AD71ED" w14:paraId="00AF94F7" w14:textId="77777777" w:rsidTr="00AD71ED">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192" w:type="pct"/>
          </w:tcPr>
          <w:p w14:paraId="42695969" w14:textId="77777777" w:rsidR="00AD71ED" w:rsidRPr="00AD71ED" w:rsidRDefault="00AD71ED" w:rsidP="00433D7C">
            <w:pPr>
              <w:jc w:val="center"/>
              <w:rPr>
                <w:rFonts w:cstheme="minorHAnsi"/>
              </w:rPr>
            </w:pPr>
            <w:proofErr w:type="spellStart"/>
            <w:r w:rsidRPr="00AD71ED">
              <w:rPr>
                <w:rFonts w:cstheme="minorHAnsi"/>
              </w:rPr>
              <w:t>DGE</w:t>
            </w:r>
            <w:proofErr w:type="spellEnd"/>
            <w:r w:rsidRPr="00AD71ED">
              <w:rPr>
                <w:rFonts w:cstheme="minorHAnsi"/>
              </w:rPr>
              <w:t>/</w:t>
            </w:r>
            <w:proofErr w:type="spellStart"/>
            <w:r w:rsidRPr="00AD71ED">
              <w:rPr>
                <w:rFonts w:cstheme="minorHAnsi"/>
              </w:rPr>
              <w:t>JRL</w:t>
            </w:r>
            <w:proofErr w:type="spellEnd"/>
          </w:p>
        </w:tc>
        <w:tc>
          <w:tcPr>
            <w:tcW w:w="544" w:type="pct"/>
          </w:tcPr>
          <w:p w14:paraId="5E97DC99"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color w:val="000000"/>
              </w:rPr>
              <w:t>1,013</w:t>
            </w:r>
          </w:p>
        </w:tc>
        <w:tc>
          <w:tcPr>
            <w:tcW w:w="544" w:type="pct"/>
          </w:tcPr>
          <w:p w14:paraId="02F6B00E"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color w:val="000000"/>
              </w:rPr>
              <w:t>1,054</w:t>
            </w:r>
          </w:p>
        </w:tc>
        <w:tc>
          <w:tcPr>
            <w:tcW w:w="544" w:type="pct"/>
          </w:tcPr>
          <w:p w14:paraId="4CCCADBA"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color w:val="000000"/>
              </w:rPr>
              <w:t>1,107</w:t>
            </w:r>
          </w:p>
        </w:tc>
        <w:tc>
          <w:tcPr>
            <w:tcW w:w="544" w:type="pct"/>
          </w:tcPr>
          <w:p w14:paraId="63318B97"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color w:val="000000"/>
              </w:rPr>
              <w:t>1,128</w:t>
            </w:r>
          </w:p>
        </w:tc>
        <w:tc>
          <w:tcPr>
            <w:tcW w:w="544" w:type="pct"/>
          </w:tcPr>
          <w:p w14:paraId="7EC51A96"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1,106</w:t>
            </w:r>
          </w:p>
        </w:tc>
        <w:tc>
          <w:tcPr>
            <w:tcW w:w="544" w:type="pct"/>
          </w:tcPr>
          <w:p w14:paraId="6A99DA8F"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1,107</w:t>
            </w:r>
          </w:p>
        </w:tc>
        <w:tc>
          <w:tcPr>
            <w:tcW w:w="544" w:type="pct"/>
          </w:tcPr>
          <w:p w14:paraId="2B6299B6"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1,117</w:t>
            </w:r>
          </w:p>
        </w:tc>
      </w:tr>
      <w:tr w:rsidR="00AD71ED" w14:paraId="65E5F3FF" w14:textId="77777777" w:rsidTr="00AD71ED">
        <w:tc>
          <w:tcPr>
            <w:cnfStyle w:val="001000000000" w:firstRow="0" w:lastRow="0" w:firstColumn="1" w:lastColumn="0" w:oddVBand="0" w:evenVBand="0" w:oddHBand="0" w:evenHBand="0" w:firstRowFirstColumn="0" w:firstRowLastColumn="0" w:lastRowFirstColumn="0" w:lastRowLastColumn="0"/>
            <w:tcW w:w="1192" w:type="pct"/>
          </w:tcPr>
          <w:p w14:paraId="6AF283E5" w14:textId="77777777" w:rsidR="00AD71ED" w:rsidRPr="00AD71ED" w:rsidRDefault="00AD71ED" w:rsidP="00433D7C">
            <w:pPr>
              <w:jc w:val="center"/>
              <w:rPr>
                <w:rFonts w:cstheme="minorHAnsi"/>
              </w:rPr>
            </w:pPr>
            <w:proofErr w:type="spellStart"/>
            <w:r w:rsidRPr="00AD71ED">
              <w:rPr>
                <w:rFonts w:cstheme="minorHAnsi"/>
              </w:rPr>
              <w:t>OGE</w:t>
            </w:r>
            <w:proofErr w:type="spellEnd"/>
          </w:p>
        </w:tc>
        <w:tc>
          <w:tcPr>
            <w:tcW w:w="544" w:type="pct"/>
          </w:tcPr>
          <w:p w14:paraId="74BAE2EC"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color w:val="000000"/>
              </w:rPr>
              <w:t>650</w:t>
            </w:r>
          </w:p>
        </w:tc>
        <w:tc>
          <w:tcPr>
            <w:tcW w:w="544" w:type="pct"/>
          </w:tcPr>
          <w:p w14:paraId="40A07158"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color w:val="000000"/>
              </w:rPr>
              <w:t>681</w:t>
            </w:r>
          </w:p>
        </w:tc>
        <w:tc>
          <w:tcPr>
            <w:tcW w:w="544" w:type="pct"/>
          </w:tcPr>
          <w:p w14:paraId="66290F50"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color w:val="000000"/>
              </w:rPr>
              <w:t>726</w:t>
            </w:r>
          </w:p>
        </w:tc>
        <w:tc>
          <w:tcPr>
            <w:tcW w:w="544" w:type="pct"/>
          </w:tcPr>
          <w:p w14:paraId="503D61CE"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color w:val="000000"/>
              </w:rPr>
              <w:t>748</w:t>
            </w:r>
          </w:p>
        </w:tc>
        <w:tc>
          <w:tcPr>
            <w:tcW w:w="544" w:type="pct"/>
          </w:tcPr>
          <w:p w14:paraId="5DDDEB55"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D71ED">
              <w:rPr>
                <w:rFonts w:cstheme="minorHAnsi"/>
                <w:color w:val="000000"/>
              </w:rPr>
              <w:t>1,166</w:t>
            </w:r>
          </w:p>
        </w:tc>
        <w:tc>
          <w:tcPr>
            <w:tcW w:w="544" w:type="pct"/>
          </w:tcPr>
          <w:p w14:paraId="259A115E"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D71ED">
              <w:rPr>
                <w:rFonts w:cstheme="minorHAnsi"/>
                <w:color w:val="000000"/>
              </w:rPr>
              <w:t>1,249</w:t>
            </w:r>
          </w:p>
        </w:tc>
        <w:tc>
          <w:tcPr>
            <w:tcW w:w="544" w:type="pct"/>
          </w:tcPr>
          <w:p w14:paraId="229915CC"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D71ED">
              <w:rPr>
                <w:rFonts w:cstheme="minorHAnsi"/>
                <w:color w:val="000000"/>
              </w:rPr>
              <w:t>1,241</w:t>
            </w:r>
          </w:p>
        </w:tc>
      </w:tr>
      <w:tr w:rsidR="00AD71ED" w14:paraId="41EAF52B"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Pr>
          <w:p w14:paraId="41CE6304" w14:textId="77777777" w:rsidR="00AD71ED" w:rsidRPr="00AD71ED" w:rsidRDefault="00AD71ED" w:rsidP="00433D7C">
            <w:pPr>
              <w:jc w:val="center"/>
              <w:rPr>
                <w:rFonts w:cstheme="minorHAnsi"/>
              </w:rPr>
            </w:pPr>
            <w:r w:rsidRPr="00AD71ED">
              <w:rPr>
                <w:rFonts w:cstheme="minorHAnsi"/>
              </w:rPr>
              <w:t>Independent employer</w:t>
            </w:r>
          </w:p>
        </w:tc>
        <w:tc>
          <w:tcPr>
            <w:tcW w:w="544" w:type="pct"/>
          </w:tcPr>
          <w:p w14:paraId="25B96114"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1,265</w:t>
            </w:r>
          </w:p>
        </w:tc>
        <w:tc>
          <w:tcPr>
            <w:tcW w:w="544" w:type="pct"/>
          </w:tcPr>
          <w:p w14:paraId="53CE00D3"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1,289</w:t>
            </w:r>
          </w:p>
        </w:tc>
        <w:tc>
          <w:tcPr>
            <w:tcW w:w="544" w:type="pct"/>
          </w:tcPr>
          <w:p w14:paraId="21028036"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1,374</w:t>
            </w:r>
          </w:p>
        </w:tc>
        <w:tc>
          <w:tcPr>
            <w:tcW w:w="544" w:type="pct"/>
          </w:tcPr>
          <w:p w14:paraId="77FD5E1F"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1,407</w:t>
            </w:r>
          </w:p>
        </w:tc>
        <w:tc>
          <w:tcPr>
            <w:tcW w:w="544" w:type="pct"/>
          </w:tcPr>
          <w:p w14:paraId="4E10C88B"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823</w:t>
            </w:r>
          </w:p>
        </w:tc>
        <w:tc>
          <w:tcPr>
            <w:tcW w:w="544" w:type="pct"/>
          </w:tcPr>
          <w:p w14:paraId="74EA4AF1"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1,320</w:t>
            </w:r>
          </w:p>
        </w:tc>
        <w:tc>
          <w:tcPr>
            <w:tcW w:w="544" w:type="pct"/>
          </w:tcPr>
          <w:p w14:paraId="5B4A0692"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1,257</w:t>
            </w:r>
          </w:p>
        </w:tc>
      </w:tr>
      <w:tr w:rsidR="00AD71ED" w14:paraId="0F6660AA" w14:textId="77777777" w:rsidTr="00AD71ED">
        <w:tc>
          <w:tcPr>
            <w:cnfStyle w:val="001000000000" w:firstRow="0" w:lastRow="0" w:firstColumn="1" w:lastColumn="0" w:oddVBand="0" w:evenVBand="0" w:oddHBand="0" w:evenHBand="0" w:firstRowFirstColumn="0" w:firstRowLastColumn="0" w:lastRowFirstColumn="0" w:lastRowLastColumn="0"/>
            <w:tcW w:w="1192" w:type="pct"/>
          </w:tcPr>
          <w:p w14:paraId="6DCC3C33" w14:textId="77777777" w:rsidR="00AD71ED" w:rsidRPr="00AD71ED" w:rsidRDefault="00AD71ED" w:rsidP="00433D7C">
            <w:pPr>
              <w:jc w:val="center"/>
              <w:rPr>
                <w:rFonts w:cstheme="minorHAnsi"/>
              </w:rPr>
            </w:pPr>
            <w:r w:rsidRPr="00AD71ED">
              <w:rPr>
                <w:rFonts w:cstheme="minorHAnsi"/>
              </w:rPr>
              <w:t>Information on employer status code is not available</w:t>
            </w:r>
          </w:p>
        </w:tc>
        <w:tc>
          <w:tcPr>
            <w:tcW w:w="544" w:type="pct"/>
          </w:tcPr>
          <w:p w14:paraId="4F2E589A"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AD71ED">
              <w:rPr>
                <w:rFonts w:cstheme="minorHAnsi"/>
                <w:color w:val="000000"/>
              </w:rPr>
              <w:t>427</w:t>
            </w:r>
          </w:p>
        </w:tc>
        <w:tc>
          <w:tcPr>
            <w:tcW w:w="544" w:type="pct"/>
          </w:tcPr>
          <w:p w14:paraId="4009F153"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AD71ED">
              <w:rPr>
                <w:rFonts w:cstheme="minorHAnsi"/>
                <w:color w:val="000000"/>
              </w:rPr>
              <w:t>437</w:t>
            </w:r>
          </w:p>
        </w:tc>
        <w:tc>
          <w:tcPr>
            <w:tcW w:w="544" w:type="pct"/>
          </w:tcPr>
          <w:p w14:paraId="587BCDC6"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AD71ED">
              <w:rPr>
                <w:rFonts w:cstheme="minorHAnsi"/>
                <w:color w:val="000000"/>
              </w:rPr>
              <w:t>454</w:t>
            </w:r>
          </w:p>
        </w:tc>
        <w:tc>
          <w:tcPr>
            <w:tcW w:w="544" w:type="pct"/>
          </w:tcPr>
          <w:p w14:paraId="20920FDB"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AD71ED">
              <w:rPr>
                <w:rFonts w:cstheme="minorHAnsi"/>
                <w:color w:val="000000"/>
              </w:rPr>
              <w:t>517</w:t>
            </w:r>
          </w:p>
        </w:tc>
        <w:tc>
          <w:tcPr>
            <w:tcW w:w="544" w:type="pct"/>
          </w:tcPr>
          <w:p w14:paraId="1E76FFC1"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702</w:t>
            </w:r>
          </w:p>
        </w:tc>
        <w:tc>
          <w:tcPr>
            <w:tcW w:w="544" w:type="pct"/>
          </w:tcPr>
          <w:p w14:paraId="563E559F"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color w:val="000000"/>
              </w:rPr>
              <w:t>0</w:t>
            </w:r>
          </w:p>
        </w:tc>
        <w:tc>
          <w:tcPr>
            <w:tcW w:w="544" w:type="pct"/>
          </w:tcPr>
          <w:p w14:paraId="30678BAE"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color w:val="000000"/>
              </w:rPr>
              <w:t>0</w:t>
            </w:r>
          </w:p>
        </w:tc>
      </w:tr>
      <w:tr w:rsidR="00AD71ED" w14:paraId="4C1666C3"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Pr>
          <w:p w14:paraId="6597140D" w14:textId="77777777" w:rsidR="00AD71ED" w:rsidRPr="00AD71ED" w:rsidRDefault="00AD71ED" w:rsidP="00433D7C">
            <w:pPr>
              <w:jc w:val="center"/>
              <w:rPr>
                <w:rFonts w:cstheme="minorHAnsi"/>
              </w:rPr>
            </w:pPr>
            <w:r w:rsidRPr="00AD71ED">
              <w:rPr>
                <w:rFonts w:cstheme="minorHAnsi"/>
              </w:rPr>
              <w:t>Percentage of employers in the data that do not have information on employer status code</w:t>
            </w:r>
          </w:p>
        </w:tc>
        <w:tc>
          <w:tcPr>
            <w:tcW w:w="544" w:type="pct"/>
          </w:tcPr>
          <w:p w14:paraId="6FE91CB3"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12.73%</w:t>
            </w:r>
          </w:p>
        </w:tc>
        <w:tc>
          <w:tcPr>
            <w:tcW w:w="544" w:type="pct"/>
          </w:tcPr>
          <w:p w14:paraId="5CFEE108"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12.63%</w:t>
            </w:r>
          </w:p>
        </w:tc>
        <w:tc>
          <w:tcPr>
            <w:tcW w:w="544" w:type="pct"/>
          </w:tcPr>
          <w:p w14:paraId="390BE039"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12.40%</w:t>
            </w:r>
          </w:p>
        </w:tc>
        <w:tc>
          <w:tcPr>
            <w:tcW w:w="544" w:type="pct"/>
          </w:tcPr>
          <w:p w14:paraId="17A5CF43"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13.61%</w:t>
            </w:r>
          </w:p>
        </w:tc>
        <w:tc>
          <w:tcPr>
            <w:tcW w:w="544" w:type="pct"/>
          </w:tcPr>
          <w:p w14:paraId="4F0D0E09"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71ED">
              <w:rPr>
                <w:rFonts w:cstheme="minorHAnsi"/>
                <w:color w:val="000000"/>
              </w:rPr>
              <w:t>18.49%</w:t>
            </w:r>
          </w:p>
        </w:tc>
        <w:tc>
          <w:tcPr>
            <w:tcW w:w="544" w:type="pct"/>
          </w:tcPr>
          <w:p w14:paraId="42E06129"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color w:val="000000"/>
              </w:rPr>
              <w:t>0.00%</w:t>
            </w:r>
          </w:p>
        </w:tc>
        <w:tc>
          <w:tcPr>
            <w:tcW w:w="544" w:type="pct"/>
          </w:tcPr>
          <w:p w14:paraId="34FC3F55"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color w:val="000000"/>
              </w:rPr>
              <w:t>0.00%</w:t>
            </w:r>
          </w:p>
        </w:tc>
      </w:tr>
    </w:tbl>
    <w:p w14:paraId="48DE9E26" w14:textId="77777777" w:rsidR="00E109CF" w:rsidRDefault="00E109CF" w:rsidP="00456A5F">
      <w:pPr>
        <w:pStyle w:val="Heading2"/>
      </w:pPr>
      <w:bookmarkStart w:id="17" w:name="_Toc48112954"/>
      <w:bookmarkEnd w:id="16"/>
      <w:r w:rsidRPr="0039231D">
        <w:t>Number of days liable to pay wages</w:t>
      </w:r>
      <w:bookmarkEnd w:id="17"/>
      <w:r w:rsidRPr="0039231D">
        <w:t xml:space="preserve"> </w:t>
      </w:r>
    </w:p>
    <w:p w14:paraId="1F65EE59" w14:textId="77777777" w:rsidR="00E109CF" w:rsidRPr="00A86D9C" w:rsidRDefault="00E109CF" w:rsidP="00E109CF">
      <w:r>
        <w:t>As noted in</w:t>
      </w:r>
      <w:r w:rsidRPr="00360926">
        <w:t xml:space="preserve"> the </w:t>
      </w:r>
      <w:r>
        <w:t>p</w:t>
      </w:r>
      <w:r w:rsidRPr="00360926">
        <w:t xml:space="preserve">ayroll </w:t>
      </w:r>
      <w:r>
        <w:t>t</w:t>
      </w:r>
      <w:r w:rsidRPr="00360926">
        <w:t>ax section above, the annual threshold is mult</w:t>
      </w:r>
      <w:r w:rsidRPr="007E0455">
        <w:t>iplied by the proportion of days in the financial year for which the</w:t>
      </w:r>
      <w:r w:rsidRPr="000A14BF">
        <w:t xml:space="preserve"> independent employer/</w:t>
      </w:r>
      <w:r w:rsidRPr="00616EE1">
        <w:t>at least one member of the group was liable to pay ACT or interstate wages.</w:t>
      </w:r>
    </w:p>
    <w:p w14:paraId="24759E4E" w14:textId="77777777" w:rsidR="00E109CF" w:rsidRDefault="00E109CF" w:rsidP="00E109CF">
      <w:r w:rsidRPr="0007081E">
        <w:t>Due to data limitations,</w:t>
      </w:r>
      <w:r>
        <w:t xml:space="preserve"> the following information is not available: the number of days in the financial year for which the independent employer/at least one member of the group is liable to pay ACT or interstate wages; and the numbers of days in the financial year for which an employer is liable for payroll tax both as an independent employer and group employer, for different periods in the same financial year.</w:t>
      </w:r>
    </w:p>
    <w:p w14:paraId="4F46E53C" w14:textId="77777777" w:rsidR="00E109CF" w:rsidRDefault="00E109CF" w:rsidP="00E109CF">
      <w:r>
        <w:t xml:space="preserve">Therefore, analysis assumes: </w:t>
      </w:r>
      <w:r w:rsidRPr="0007081E">
        <w:t xml:space="preserve">the proportion of days in the financial year for which </w:t>
      </w:r>
      <w:r>
        <w:t>an</w:t>
      </w:r>
      <w:r w:rsidRPr="0007081E">
        <w:t xml:space="preserve"> independent employer</w:t>
      </w:r>
      <w:r>
        <w:t>/</w:t>
      </w:r>
      <w:r w:rsidRPr="0007081E">
        <w:t xml:space="preserve">at least one member of the group) </w:t>
      </w:r>
      <w:r>
        <w:t>is</w:t>
      </w:r>
      <w:r w:rsidRPr="0007081E">
        <w:t xml:space="preserve"> liable to pay</w:t>
      </w:r>
      <w:r>
        <w:t xml:space="preserve"> (as a member of the group)</w:t>
      </w:r>
      <w:r w:rsidRPr="0007081E">
        <w:t xml:space="preserve"> ACT or interstate wages is equal to 1; and employers are liable for payroll tax as an ind</w:t>
      </w:r>
      <w:r>
        <w:t>ependent</w:t>
      </w:r>
      <w:r w:rsidRPr="0007081E">
        <w:t xml:space="preserve"> employer or group employer for the entire financial year</w:t>
      </w:r>
      <w:r>
        <w:t xml:space="preserve"> based on their employer status code classification in the data.</w:t>
      </w:r>
    </w:p>
    <w:p w14:paraId="6DD512E6" w14:textId="77777777" w:rsidR="00E109CF" w:rsidRPr="00596156" w:rsidRDefault="00E109CF" w:rsidP="00E109CF">
      <w:r>
        <w:t xml:space="preserve">Since these assumptions are used to calculate both actual and counterfactual payroll tax revenue (i.e. the annual threshold is multiplied by 1 in both cases), the difference between actual and counterfactual payroll tax revenue will isolate the impact of the threshold increase. </w:t>
      </w:r>
    </w:p>
    <w:p w14:paraId="2242F52C" w14:textId="77777777" w:rsidR="00E109CF" w:rsidRDefault="00E109CF" w:rsidP="00456A5F">
      <w:pPr>
        <w:pStyle w:val="Heading2"/>
      </w:pPr>
      <w:bookmarkStart w:id="18" w:name="_Toc48112955"/>
      <w:r w:rsidRPr="005568CB">
        <w:t>Calculation of payroll tax liability</w:t>
      </w:r>
      <w:bookmarkEnd w:id="18"/>
    </w:p>
    <w:p w14:paraId="7DC456F2" w14:textId="77777777" w:rsidR="00E109CF" w:rsidRDefault="00E109CF" w:rsidP="00E109CF">
      <w:r w:rsidRPr="00F31F02">
        <w:t xml:space="preserve">As explained in the </w:t>
      </w:r>
      <w:r>
        <w:t>payroll</w:t>
      </w:r>
      <w:r w:rsidRPr="00F31F02">
        <w:t xml:space="preserve"> </w:t>
      </w:r>
      <w:r>
        <w:t>t</w:t>
      </w:r>
      <w:r w:rsidRPr="00F31F02">
        <w:t xml:space="preserve">ax section above, not all ACT employers are liable for payroll tax, and employers that are liable for payroll tax can be separated into those that can claim the ACT proportion of the threshold and those that cannot. </w:t>
      </w:r>
      <w:r>
        <w:t>Furthermore, for employers that can claim the ACT proportion of the threshold, employer’s/group’s total ACT wages and employer’s/group’s total Australia-wide wages must be declared to claim the threshold. If these wages types are not declared (wage fields are blank/missing) this indicates that the employer is not claiming the threshold.</w:t>
      </w:r>
    </w:p>
    <w:p w14:paraId="70488A6E" w14:textId="08527114" w:rsidR="00E109CF" w:rsidRDefault="00E109CF" w:rsidP="00E109CF">
      <w:r>
        <w:t>Given these complexities, T</w:t>
      </w:r>
      <w:r w:rsidRPr="00CF2388">
        <w:t xml:space="preserve">able 6 details how payroll tax liability is </w:t>
      </w:r>
      <w:r w:rsidRPr="002E2AFC">
        <w:t xml:space="preserve">calculated </w:t>
      </w:r>
      <w:r>
        <w:t>for each</w:t>
      </w:r>
      <w:r w:rsidRPr="002E2AFC">
        <w:t xml:space="preserve"> employer status code</w:t>
      </w:r>
      <w:r>
        <w:t xml:space="preserve"> classification</w:t>
      </w:r>
      <w:r w:rsidRPr="002E2AFC">
        <w:t>.</w:t>
      </w:r>
      <w:r>
        <w:t xml:space="preserve"> The columns of Table 6 denote the four wage types and the calculation of payroll tax liability. The rows of Table 6 denote three possible scenarios/cases which can occur in the data under each employer status code classification. </w:t>
      </w:r>
    </w:p>
    <w:p w14:paraId="5DC8CA28" w14:textId="7B003BB7" w:rsidR="00AD71ED" w:rsidRDefault="00AD71ED" w:rsidP="00E109CF"/>
    <w:p w14:paraId="52FFDDDB" w14:textId="77777777" w:rsidR="00AD71ED" w:rsidRDefault="00AD71ED" w:rsidP="00E109CF"/>
    <w:p w14:paraId="29F39C5E" w14:textId="3CEEF67F" w:rsidR="00E109CF" w:rsidRDefault="00E109CF" w:rsidP="00456A5F">
      <w:pPr>
        <w:pStyle w:val="TableCaption"/>
      </w:pPr>
      <w:r w:rsidRPr="00CF2388">
        <w:lastRenderedPageBreak/>
        <w:t xml:space="preserve">Table </w:t>
      </w:r>
      <w:r w:rsidR="002F4199">
        <w:fldChar w:fldCharType="begin"/>
      </w:r>
      <w:r w:rsidR="002F4199">
        <w:instrText xml:space="preserve"> SEQ Table \* ARABIC </w:instrText>
      </w:r>
      <w:r w:rsidR="002F4199">
        <w:fldChar w:fldCharType="separate"/>
      </w:r>
      <w:r w:rsidRPr="00CF2388">
        <w:rPr>
          <w:noProof/>
        </w:rPr>
        <w:t>6</w:t>
      </w:r>
      <w:r w:rsidR="002F4199">
        <w:rPr>
          <w:noProof/>
        </w:rPr>
        <w:fldChar w:fldCharType="end"/>
      </w:r>
      <w:r w:rsidRPr="00CF2388">
        <w:t>: Payroll tax liability calculation</w:t>
      </w:r>
    </w:p>
    <w:tbl>
      <w:tblPr>
        <w:tblStyle w:val="ColorfulList-Accent5"/>
        <w:tblW w:w="11340" w:type="dxa"/>
        <w:tblInd w:w="-1022" w:type="dxa"/>
        <w:tblLook w:val="04A0" w:firstRow="1" w:lastRow="0" w:firstColumn="1" w:lastColumn="0" w:noHBand="0" w:noVBand="1"/>
      </w:tblPr>
      <w:tblGrid>
        <w:gridCol w:w="997"/>
        <w:gridCol w:w="1769"/>
        <w:gridCol w:w="51"/>
        <w:gridCol w:w="1719"/>
        <w:gridCol w:w="102"/>
        <w:gridCol w:w="1668"/>
        <w:gridCol w:w="133"/>
        <w:gridCol w:w="1637"/>
        <w:gridCol w:w="3264"/>
      </w:tblGrid>
      <w:tr w:rsidR="00AD71ED" w:rsidRPr="00AD71ED" w14:paraId="5A27AAE9" w14:textId="77777777" w:rsidTr="00AD71ED">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997" w:type="dxa"/>
          </w:tcPr>
          <w:p w14:paraId="7DAF53E5" w14:textId="77777777" w:rsidR="00AD71ED" w:rsidRPr="00AD71ED" w:rsidRDefault="00AD71ED" w:rsidP="00433D7C">
            <w:pPr>
              <w:jc w:val="center"/>
              <w:rPr>
                <w:rFonts w:asciiTheme="minorHAnsi" w:hAnsiTheme="minorHAnsi" w:cstheme="minorHAnsi"/>
              </w:rPr>
            </w:pPr>
          </w:p>
        </w:tc>
        <w:tc>
          <w:tcPr>
            <w:tcW w:w="1769" w:type="dxa"/>
          </w:tcPr>
          <w:p w14:paraId="4A327745"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 xml:space="preserve">Employer’s total ACT wages </w:t>
            </w:r>
          </w:p>
        </w:tc>
        <w:tc>
          <w:tcPr>
            <w:tcW w:w="1770" w:type="dxa"/>
            <w:gridSpan w:val="2"/>
          </w:tcPr>
          <w:p w14:paraId="0D166E4E"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 xml:space="preserve">Employer’s total Australia-wide wages </w:t>
            </w:r>
          </w:p>
        </w:tc>
        <w:tc>
          <w:tcPr>
            <w:tcW w:w="1770" w:type="dxa"/>
            <w:gridSpan w:val="2"/>
          </w:tcPr>
          <w:p w14:paraId="309270D1"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 xml:space="preserve">Group’s total ACT wages </w:t>
            </w:r>
          </w:p>
        </w:tc>
        <w:tc>
          <w:tcPr>
            <w:tcW w:w="1770" w:type="dxa"/>
            <w:gridSpan w:val="2"/>
          </w:tcPr>
          <w:p w14:paraId="7CFECA87"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 xml:space="preserve">Group’s total Australia-wide wages </w:t>
            </w:r>
          </w:p>
        </w:tc>
        <w:tc>
          <w:tcPr>
            <w:tcW w:w="3264" w:type="dxa"/>
          </w:tcPr>
          <w:p w14:paraId="55AC9D9E" w14:textId="77777777" w:rsidR="00AD71ED" w:rsidRPr="00AD71ED" w:rsidRDefault="00AD71ED" w:rsidP="00433D7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71ED">
              <w:rPr>
                <w:rFonts w:asciiTheme="minorHAnsi" w:hAnsiTheme="minorHAnsi" w:cstheme="minorHAnsi"/>
              </w:rPr>
              <w:t>Payroll tax liability calculation</w:t>
            </w:r>
          </w:p>
        </w:tc>
      </w:tr>
      <w:tr w:rsidR="00AD71ED" w:rsidRPr="00AD71ED" w14:paraId="7CD016D7"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gridSpan w:val="9"/>
            <w:shd w:val="clear" w:color="auto" w:fill="482D8C" w:themeFill="background2"/>
          </w:tcPr>
          <w:p w14:paraId="3ED497CB" w14:textId="77777777" w:rsidR="00AD71ED" w:rsidRPr="00AD71ED" w:rsidRDefault="00AD71ED" w:rsidP="00433D7C">
            <w:pPr>
              <w:jc w:val="center"/>
              <w:rPr>
                <w:rFonts w:cstheme="minorHAnsi"/>
              </w:rPr>
            </w:pPr>
            <w:proofErr w:type="spellStart"/>
            <w:r w:rsidRPr="00AD71ED">
              <w:rPr>
                <w:rFonts w:cstheme="minorHAnsi"/>
                <w:color w:val="FFFFFF" w:themeColor="background1"/>
              </w:rPr>
              <w:t>DGE</w:t>
            </w:r>
            <w:proofErr w:type="spellEnd"/>
            <w:r w:rsidRPr="00AD71ED">
              <w:rPr>
                <w:rFonts w:cstheme="minorHAnsi"/>
                <w:color w:val="FFFFFF" w:themeColor="background1"/>
              </w:rPr>
              <w:t>/</w:t>
            </w:r>
            <w:proofErr w:type="spellStart"/>
            <w:r w:rsidRPr="00AD71ED">
              <w:rPr>
                <w:rFonts w:cstheme="minorHAnsi"/>
                <w:color w:val="FFFFFF" w:themeColor="background1"/>
              </w:rPr>
              <w:t>JRL</w:t>
            </w:r>
            <w:proofErr w:type="spellEnd"/>
          </w:p>
        </w:tc>
      </w:tr>
      <w:tr w:rsidR="00AD71ED" w:rsidRPr="00AD71ED" w14:paraId="27672132" w14:textId="77777777" w:rsidTr="00AD71ED">
        <w:tc>
          <w:tcPr>
            <w:cnfStyle w:val="001000000000" w:firstRow="0" w:lastRow="0" w:firstColumn="1" w:lastColumn="0" w:oddVBand="0" w:evenVBand="0" w:oddHBand="0" w:evenHBand="0" w:firstRowFirstColumn="0" w:firstRowLastColumn="0" w:lastRowFirstColumn="0" w:lastRowLastColumn="0"/>
            <w:tcW w:w="997" w:type="dxa"/>
          </w:tcPr>
          <w:p w14:paraId="56093CFA" w14:textId="77777777" w:rsidR="00AD71ED" w:rsidRPr="00AD71ED" w:rsidRDefault="00AD71ED" w:rsidP="00433D7C">
            <w:pPr>
              <w:jc w:val="center"/>
              <w:rPr>
                <w:rFonts w:cstheme="minorHAnsi"/>
              </w:rPr>
            </w:pPr>
            <w:r w:rsidRPr="00AD71ED">
              <w:rPr>
                <w:rFonts w:cstheme="minorHAnsi"/>
              </w:rPr>
              <w:t>Case 1</w:t>
            </w:r>
          </w:p>
        </w:tc>
        <w:tc>
          <w:tcPr>
            <w:tcW w:w="1769" w:type="dxa"/>
          </w:tcPr>
          <w:p w14:paraId="3B751ADD"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ACT</m:t>
                    </m:r>
                  </m:sub>
                </m:sSub>
              </m:oMath>
            </m:oMathPara>
          </w:p>
        </w:tc>
        <w:tc>
          <w:tcPr>
            <w:tcW w:w="1770" w:type="dxa"/>
            <w:gridSpan w:val="2"/>
          </w:tcPr>
          <w:p w14:paraId="1694542C"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N/A</w:t>
            </w:r>
          </w:p>
        </w:tc>
        <w:tc>
          <w:tcPr>
            <w:tcW w:w="1770" w:type="dxa"/>
            <w:gridSpan w:val="2"/>
          </w:tcPr>
          <w:p w14:paraId="536DE530"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ACT</m:t>
                    </m:r>
                  </m:sub>
                </m:sSub>
              </m:oMath>
            </m:oMathPara>
          </w:p>
        </w:tc>
        <w:tc>
          <w:tcPr>
            <w:tcW w:w="1770" w:type="dxa"/>
            <w:gridSpan w:val="2"/>
          </w:tcPr>
          <w:p w14:paraId="39FE4E09"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AUS</m:t>
                    </m:r>
                  </m:sub>
                </m:sSub>
                <m:r>
                  <w:rPr>
                    <w:rFonts w:ascii="Cambria Math" w:hAnsi="Cambria Math" w:cstheme="minorHAnsi"/>
                  </w:rPr>
                  <m:t>&gt;t</m:t>
                </m:r>
              </m:oMath>
            </m:oMathPara>
          </w:p>
        </w:tc>
        <w:tc>
          <w:tcPr>
            <w:tcW w:w="3264" w:type="dxa"/>
          </w:tcPr>
          <w:p w14:paraId="6C0482D0" w14:textId="77777777" w:rsidR="00AD71ED" w:rsidRPr="00AD71ED" w:rsidRDefault="00AD71ED" w:rsidP="00AD71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m:oMathPara>
              <m:oMath>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ACT</m:t>
                    </m:r>
                  </m:sub>
                </m:sSub>
                <m:r>
                  <w:rPr>
                    <w:rFonts w:ascii="Cambria Math" w:eastAsiaTheme="minorEastAsia" w:hAnsi="Cambria Math" w:cstheme="minorHAnsi"/>
                  </w:rPr>
                  <m: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G</m:t>
                            </m:r>
                          </m:e>
                          <m:sub>
                            <m:r>
                              <w:rPr>
                                <w:rFonts w:ascii="Cambria Math" w:eastAsiaTheme="minorEastAsia" w:hAnsi="Cambria Math" w:cstheme="minorHAnsi"/>
                              </w:rPr>
                              <m:t>ACT</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G</m:t>
                            </m:r>
                          </m:e>
                          <m:sub>
                            <m:r>
                              <w:rPr>
                                <w:rFonts w:ascii="Cambria Math" w:eastAsiaTheme="minorEastAsia" w:hAnsi="Cambria Math" w:cstheme="minorHAnsi"/>
                              </w:rPr>
                              <m:t>AUS</m:t>
                            </m:r>
                          </m:sub>
                        </m:sSub>
                      </m:den>
                    </m:f>
                    <m:r>
                      <w:rPr>
                        <w:rFonts w:ascii="Cambria Math" w:eastAsiaTheme="minorEastAsia" w:hAnsi="Cambria Math" w:cstheme="minorHAnsi"/>
                      </w:rPr>
                      <m:t>× t</m:t>
                    </m:r>
                  </m:e>
                </m:d>
                <m:r>
                  <w:rPr>
                    <w:rFonts w:ascii="Cambria Math" w:eastAsiaTheme="minorEastAsia" w:hAnsi="Cambria Math" w:cstheme="minorHAnsi"/>
                  </w:rPr>
                  <m:t>] × r</m:t>
                </m:r>
              </m:oMath>
            </m:oMathPara>
          </w:p>
          <w:p w14:paraId="041B53B6"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AD71ED" w:rsidRPr="00AD71ED" w14:paraId="64F22942"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14:paraId="3A7137DB" w14:textId="77777777" w:rsidR="00AD71ED" w:rsidRPr="00AD71ED" w:rsidRDefault="00AD71ED" w:rsidP="00433D7C">
            <w:pPr>
              <w:jc w:val="center"/>
              <w:rPr>
                <w:rFonts w:cstheme="minorHAnsi"/>
              </w:rPr>
            </w:pPr>
            <w:r w:rsidRPr="00AD71ED">
              <w:rPr>
                <w:rFonts w:cstheme="minorHAnsi"/>
              </w:rPr>
              <w:t>Case 2</w:t>
            </w:r>
          </w:p>
        </w:tc>
        <w:tc>
          <w:tcPr>
            <w:tcW w:w="1769" w:type="dxa"/>
          </w:tcPr>
          <w:p w14:paraId="2478AB58" w14:textId="77777777" w:rsidR="00AD71ED" w:rsidRPr="00AD71ED" w:rsidRDefault="002F4199"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ACT</m:t>
                    </m:r>
                  </m:sub>
                </m:sSub>
              </m:oMath>
            </m:oMathPara>
          </w:p>
        </w:tc>
        <w:tc>
          <w:tcPr>
            <w:tcW w:w="1770" w:type="dxa"/>
            <w:gridSpan w:val="2"/>
          </w:tcPr>
          <w:p w14:paraId="44522031"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N/A</w:t>
            </w:r>
          </w:p>
        </w:tc>
        <w:tc>
          <w:tcPr>
            <w:tcW w:w="1770" w:type="dxa"/>
            <w:gridSpan w:val="2"/>
          </w:tcPr>
          <w:p w14:paraId="1DA9CDBF" w14:textId="77777777" w:rsidR="00AD71ED" w:rsidRPr="00AD71ED" w:rsidRDefault="002F4199"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ACT</m:t>
                    </m:r>
                  </m:sub>
                </m:sSub>
              </m:oMath>
            </m:oMathPara>
          </w:p>
        </w:tc>
        <w:tc>
          <w:tcPr>
            <w:tcW w:w="1770" w:type="dxa"/>
            <w:gridSpan w:val="2"/>
          </w:tcPr>
          <w:p w14:paraId="1646D8FA" w14:textId="77777777" w:rsidR="00AD71ED" w:rsidRPr="00AD71ED" w:rsidRDefault="002F4199"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AUS</m:t>
                    </m:r>
                  </m:sub>
                </m:sSub>
                <m:r>
                  <w:rPr>
                    <w:rFonts w:ascii="Cambria Math" w:hAnsi="Cambria Math" w:cstheme="minorHAnsi"/>
                  </w:rPr>
                  <m:t>≤t</m:t>
                </m:r>
              </m:oMath>
            </m:oMathPara>
          </w:p>
        </w:tc>
        <w:tc>
          <w:tcPr>
            <w:tcW w:w="3264" w:type="dxa"/>
          </w:tcPr>
          <w:p w14:paraId="36FEB853"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0</w:t>
            </w:r>
          </w:p>
        </w:tc>
      </w:tr>
      <w:tr w:rsidR="00AD71ED" w:rsidRPr="00AD71ED" w14:paraId="652FF2EC" w14:textId="77777777" w:rsidTr="00AD71ED">
        <w:tc>
          <w:tcPr>
            <w:cnfStyle w:val="001000000000" w:firstRow="0" w:lastRow="0" w:firstColumn="1" w:lastColumn="0" w:oddVBand="0" w:evenVBand="0" w:oddHBand="0" w:evenHBand="0" w:firstRowFirstColumn="0" w:firstRowLastColumn="0" w:lastRowFirstColumn="0" w:lastRowLastColumn="0"/>
            <w:tcW w:w="997" w:type="dxa"/>
          </w:tcPr>
          <w:p w14:paraId="3925B267" w14:textId="77777777" w:rsidR="00AD71ED" w:rsidRPr="00AD71ED" w:rsidRDefault="00AD71ED" w:rsidP="00433D7C">
            <w:pPr>
              <w:jc w:val="center"/>
              <w:rPr>
                <w:rFonts w:cstheme="minorHAnsi"/>
              </w:rPr>
            </w:pPr>
            <w:r w:rsidRPr="00AD71ED">
              <w:rPr>
                <w:rFonts w:cstheme="minorHAnsi"/>
              </w:rPr>
              <w:t>Case 3</w:t>
            </w:r>
          </w:p>
        </w:tc>
        <w:tc>
          <w:tcPr>
            <w:tcW w:w="1769" w:type="dxa"/>
          </w:tcPr>
          <w:p w14:paraId="7639E2B2"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ACT</m:t>
                    </m:r>
                  </m:sub>
                </m:sSub>
              </m:oMath>
            </m:oMathPara>
          </w:p>
        </w:tc>
        <w:tc>
          <w:tcPr>
            <w:tcW w:w="1770" w:type="dxa"/>
            <w:gridSpan w:val="2"/>
          </w:tcPr>
          <w:p w14:paraId="25BAB93B"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N/A</w:t>
            </w:r>
          </w:p>
        </w:tc>
        <w:tc>
          <w:tcPr>
            <w:tcW w:w="3540" w:type="dxa"/>
            <w:gridSpan w:val="4"/>
          </w:tcPr>
          <w:p w14:paraId="0760DBF0"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ACT</m:t>
                  </m:r>
                </m:sub>
              </m:sSub>
            </m:oMath>
            <w:r w:rsidR="00AD71ED" w:rsidRPr="00AD71ED">
              <w:rPr>
                <w:rFonts w:eastAsiaTheme="minorEastAsia" w:cstheme="minorHAnsi"/>
              </w:rPr>
              <w:t xml:space="preserve"> or </w:t>
            </w: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AUS</m:t>
                  </m:r>
                </m:sub>
              </m:sSub>
            </m:oMath>
            <w:r w:rsidR="00AD71ED" w:rsidRPr="00AD71ED">
              <w:rPr>
                <w:rFonts w:eastAsiaTheme="minorEastAsia" w:cstheme="minorHAnsi"/>
              </w:rPr>
              <w:t xml:space="preserve"> is missing</w:t>
            </w:r>
          </w:p>
        </w:tc>
        <w:tc>
          <w:tcPr>
            <w:tcW w:w="3264" w:type="dxa"/>
          </w:tcPr>
          <w:p w14:paraId="29E22EF3"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ACT</m:t>
                    </m:r>
                  </m:sub>
                </m:sSub>
                <m:r>
                  <w:rPr>
                    <w:rFonts w:ascii="Cambria Math" w:eastAsiaTheme="minorEastAsia" w:hAnsi="Cambria Math" w:cstheme="minorHAnsi"/>
                  </w:rPr>
                  <m:t xml:space="preserve"> × r</m:t>
                </m:r>
              </m:oMath>
            </m:oMathPara>
          </w:p>
        </w:tc>
      </w:tr>
      <w:tr w:rsidR="00AD71ED" w:rsidRPr="00AD71ED" w14:paraId="0C225EEE"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gridSpan w:val="9"/>
            <w:shd w:val="clear" w:color="auto" w:fill="482D8C" w:themeFill="background2"/>
          </w:tcPr>
          <w:p w14:paraId="7B872EFB" w14:textId="77777777" w:rsidR="00AD71ED" w:rsidRPr="00AD71ED" w:rsidRDefault="00AD71ED" w:rsidP="00433D7C">
            <w:pPr>
              <w:jc w:val="center"/>
              <w:rPr>
                <w:rFonts w:cstheme="minorHAnsi"/>
              </w:rPr>
            </w:pPr>
            <w:proofErr w:type="spellStart"/>
            <w:r w:rsidRPr="00AD71ED">
              <w:rPr>
                <w:rFonts w:cstheme="minorHAnsi"/>
                <w:color w:val="FFFFFF" w:themeColor="background1"/>
              </w:rPr>
              <w:t>OGE</w:t>
            </w:r>
            <w:proofErr w:type="spellEnd"/>
          </w:p>
        </w:tc>
      </w:tr>
      <w:tr w:rsidR="00AD71ED" w:rsidRPr="00AD71ED" w14:paraId="1F7F57D7" w14:textId="77777777" w:rsidTr="00AD71ED">
        <w:tc>
          <w:tcPr>
            <w:cnfStyle w:val="001000000000" w:firstRow="0" w:lastRow="0" w:firstColumn="1" w:lastColumn="0" w:oddVBand="0" w:evenVBand="0" w:oddHBand="0" w:evenHBand="0" w:firstRowFirstColumn="0" w:firstRowLastColumn="0" w:lastRowFirstColumn="0" w:lastRowLastColumn="0"/>
            <w:tcW w:w="997" w:type="dxa"/>
          </w:tcPr>
          <w:p w14:paraId="1DA07ACC" w14:textId="77777777" w:rsidR="00AD71ED" w:rsidRPr="00AD71ED" w:rsidRDefault="00AD71ED" w:rsidP="00433D7C">
            <w:pPr>
              <w:jc w:val="center"/>
              <w:rPr>
                <w:rFonts w:cstheme="minorHAnsi"/>
              </w:rPr>
            </w:pPr>
            <w:r w:rsidRPr="00AD71ED">
              <w:rPr>
                <w:rFonts w:cstheme="minorHAnsi"/>
              </w:rPr>
              <w:t>Case 1</w:t>
            </w:r>
          </w:p>
        </w:tc>
        <w:tc>
          <w:tcPr>
            <w:tcW w:w="1820" w:type="dxa"/>
            <w:gridSpan w:val="2"/>
          </w:tcPr>
          <w:p w14:paraId="3093AFA3"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ACT</m:t>
                    </m:r>
                  </m:sub>
                </m:sSub>
              </m:oMath>
            </m:oMathPara>
          </w:p>
        </w:tc>
        <w:tc>
          <w:tcPr>
            <w:tcW w:w="1821" w:type="dxa"/>
            <w:gridSpan w:val="2"/>
          </w:tcPr>
          <w:p w14:paraId="2CC5DDA7"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N/A</w:t>
            </w:r>
          </w:p>
        </w:tc>
        <w:tc>
          <w:tcPr>
            <w:tcW w:w="1801" w:type="dxa"/>
            <w:gridSpan w:val="2"/>
          </w:tcPr>
          <w:p w14:paraId="3DD5168D"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N/A</w:t>
            </w:r>
          </w:p>
        </w:tc>
        <w:tc>
          <w:tcPr>
            <w:tcW w:w="1637" w:type="dxa"/>
          </w:tcPr>
          <w:p w14:paraId="32CEF29E"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AUS</m:t>
                    </m:r>
                  </m:sub>
                </m:sSub>
                <m:r>
                  <w:rPr>
                    <w:rFonts w:ascii="Cambria Math" w:hAnsi="Cambria Math" w:cstheme="minorHAnsi"/>
                  </w:rPr>
                  <m:t>&gt;t</m:t>
                </m:r>
              </m:oMath>
            </m:oMathPara>
          </w:p>
        </w:tc>
        <w:tc>
          <w:tcPr>
            <w:tcW w:w="3264" w:type="dxa"/>
          </w:tcPr>
          <w:p w14:paraId="483E779B"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iCs/>
              </w:rPr>
            </w:pPr>
            <m:oMathPara>
              <m:oMath>
                <m:sSub>
                  <m:sSubPr>
                    <m:ctrlPr>
                      <w:rPr>
                        <w:rFonts w:ascii="Cambria Math" w:hAnsi="Cambria Math" w:cstheme="minorHAnsi"/>
                        <w:i/>
                        <w:iCs/>
                      </w:rPr>
                    </m:ctrlPr>
                  </m:sSubPr>
                  <m:e>
                    <m:r>
                      <w:rPr>
                        <w:rFonts w:ascii="Cambria Math" w:hAnsi="Cambria Math" w:cstheme="minorHAnsi"/>
                      </w:rPr>
                      <m:t>E</m:t>
                    </m:r>
                  </m:e>
                  <m:sub>
                    <m:r>
                      <w:rPr>
                        <w:rFonts w:ascii="Cambria Math" w:hAnsi="Cambria Math" w:cstheme="minorHAnsi"/>
                      </w:rPr>
                      <m:t>ACT</m:t>
                    </m:r>
                  </m:sub>
                </m:sSub>
                <m:r>
                  <w:rPr>
                    <w:rFonts w:ascii="Cambria Math" w:hAnsi="Cambria Math" w:cstheme="minorHAnsi"/>
                  </w:rPr>
                  <m:t>×r</m:t>
                </m:r>
              </m:oMath>
            </m:oMathPara>
          </w:p>
        </w:tc>
      </w:tr>
      <w:tr w:rsidR="00AD71ED" w:rsidRPr="00AD71ED" w14:paraId="6B8997F8"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14:paraId="7359A779" w14:textId="77777777" w:rsidR="00AD71ED" w:rsidRPr="00AD71ED" w:rsidRDefault="00AD71ED" w:rsidP="00433D7C">
            <w:pPr>
              <w:jc w:val="center"/>
              <w:rPr>
                <w:rFonts w:cstheme="minorHAnsi"/>
              </w:rPr>
            </w:pPr>
            <w:r w:rsidRPr="00AD71ED">
              <w:rPr>
                <w:rFonts w:cstheme="minorHAnsi"/>
              </w:rPr>
              <w:t>Case 2</w:t>
            </w:r>
          </w:p>
        </w:tc>
        <w:tc>
          <w:tcPr>
            <w:tcW w:w="1820" w:type="dxa"/>
            <w:gridSpan w:val="2"/>
          </w:tcPr>
          <w:p w14:paraId="517ABB07" w14:textId="77777777" w:rsidR="00AD71ED" w:rsidRPr="00AD71ED" w:rsidRDefault="002F4199"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ACT</m:t>
                    </m:r>
                  </m:sub>
                </m:sSub>
              </m:oMath>
            </m:oMathPara>
          </w:p>
        </w:tc>
        <w:tc>
          <w:tcPr>
            <w:tcW w:w="1821" w:type="dxa"/>
            <w:gridSpan w:val="2"/>
          </w:tcPr>
          <w:p w14:paraId="6C65CEF0"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N/A</w:t>
            </w:r>
          </w:p>
        </w:tc>
        <w:tc>
          <w:tcPr>
            <w:tcW w:w="1801" w:type="dxa"/>
            <w:gridSpan w:val="2"/>
          </w:tcPr>
          <w:p w14:paraId="18C0AD66"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N/A</w:t>
            </w:r>
          </w:p>
        </w:tc>
        <w:tc>
          <w:tcPr>
            <w:tcW w:w="1637" w:type="dxa"/>
          </w:tcPr>
          <w:p w14:paraId="32C8DE39" w14:textId="77777777" w:rsidR="00AD71ED" w:rsidRPr="00AD71ED" w:rsidRDefault="002F4199"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AUS</m:t>
                    </m:r>
                  </m:sub>
                </m:sSub>
                <m:r>
                  <w:rPr>
                    <w:rFonts w:ascii="Cambria Math" w:hAnsi="Cambria Math" w:cstheme="minorHAnsi"/>
                  </w:rPr>
                  <m:t>≤t</m:t>
                </m:r>
              </m:oMath>
            </m:oMathPara>
          </w:p>
        </w:tc>
        <w:tc>
          <w:tcPr>
            <w:tcW w:w="3264" w:type="dxa"/>
          </w:tcPr>
          <w:p w14:paraId="5F020513"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0</w:t>
            </w:r>
          </w:p>
        </w:tc>
      </w:tr>
      <w:tr w:rsidR="00AD71ED" w:rsidRPr="00AD71ED" w14:paraId="17B74C55" w14:textId="77777777" w:rsidTr="00AD71ED">
        <w:tc>
          <w:tcPr>
            <w:cnfStyle w:val="001000000000" w:firstRow="0" w:lastRow="0" w:firstColumn="1" w:lastColumn="0" w:oddVBand="0" w:evenVBand="0" w:oddHBand="0" w:evenHBand="0" w:firstRowFirstColumn="0" w:firstRowLastColumn="0" w:lastRowFirstColumn="0" w:lastRowLastColumn="0"/>
            <w:tcW w:w="997" w:type="dxa"/>
          </w:tcPr>
          <w:p w14:paraId="1897FEC8" w14:textId="77777777" w:rsidR="00AD71ED" w:rsidRPr="00AD71ED" w:rsidRDefault="00AD71ED" w:rsidP="00433D7C">
            <w:pPr>
              <w:jc w:val="center"/>
              <w:rPr>
                <w:rFonts w:cstheme="minorHAnsi"/>
              </w:rPr>
            </w:pPr>
            <w:r w:rsidRPr="00AD71ED">
              <w:rPr>
                <w:rFonts w:cstheme="minorHAnsi"/>
              </w:rPr>
              <w:t>Case 3</w:t>
            </w:r>
          </w:p>
        </w:tc>
        <w:tc>
          <w:tcPr>
            <w:tcW w:w="1820" w:type="dxa"/>
            <w:gridSpan w:val="2"/>
          </w:tcPr>
          <w:p w14:paraId="1A15F189"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ACT</m:t>
                    </m:r>
                  </m:sub>
                </m:sSub>
              </m:oMath>
            </m:oMathPara>
          </w:p>
        </w:tc>
        <w:tc>
          <w:tcPr>
            <w:tcW w:w="1821" w:type="dxa"/>
            <w:gridSpan w:val="2"/>
          </w:tcPr>
          <w:p w14:paraId="56DFD50F"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N/A</w:t>
            </w:r>
          </w:p>
        </w:tc>
        <w:tc>
          <w:tcPr>
            <w:tcW w:w="1801" w:type="dxa"/>
            <w:gridSpan w:val="2"/>
          </w:tcPr>
          <w:p w14:paraId="63FD7471"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N/A</w:t>
            </w:r>
          </w:p>
        </w:tc>
        <w:tc>
          <w:tcPr>
            <w:tcW w:w="1637" w:type="dxa"/>
          </w:tcPr>
          <w:p w14:paraId="0D6904A5"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AUS</m:t>
                  </m:r>
                </m:sub>
              </m:sSub>
            </m:oMath>
            <w:r w:rsidR="00AD71ED" w:rsidRPr="00AD71ED">
              <w:rPr>
                <w:rFonts w:eastAsiaTheme="minorEastAsia" w:cstheme="minorHAnsi"/>
              </w:rPr>
              <w:t xml:space="preserve"> is m</w:t>
            </w:r>
            <w:r w:rsidR="00AD71ED" w:rsidRPr="00AD71ED">
              <w:rPr>
                <w:rFonts w:cstheme="minorHAnsi"/>
              </w:rPr>
              <w:t xml:space="preserve">issing </w:t>
            </w:r>
          </w:p>
        </w:tc>
        <w:tc>
          <w:tcPr>
            <w:tcW w:w="3264" w:type="dxa"/>
          </w:tcPr>
          <w:p w14:paraId="10E3EF82"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m:oMathPara>
              <m:oMath>
                <m:sSub>
                  <m:sSubPr>
                    <m:ctrlPr>
                      <w:rPr>
                        <w:rFonts w:ascii="Cambria Math" w:hAnsi="Cambria Math" w:cstheme="minorHAnsi"/>
                        <w:i/>
                        <w:iCs/>
                      </w:rPr>
                    </m:ctrlPr>
                  </m:sSubPr>
                  <m:e>
                    <m:r>
                      <w:rPr>
                        <w:rFonts w:ascii="Cambria Math" w:hAnsi="Cambria Math" w:cstheme="minorHAnsi"/>
                      </w:rPr>
                      <m:t>E</m:t>
                    </m:r>
                  </m:e>
                  <m:sub>
                    <m:r>
                      <w:rPr>
                        <w:rFonts w:ascii="Cambria Math" w:hAnsi="Cambria Math" w:cstheme="minorHAnsi"/>
                      </w:rPr>
                      <m:t>ACT</m:t>
                    </m:r>
                  </m:sub>
                </m:sSub>
                <m:r>
                  <w:rPr>
                    <w:rFonts w:ascii="Cambria Math" w:hAnsi="Cambria Math" w:cstheme="minorHAnsi"/>
                  </w:rPr>
                  <m:t>×r</m:t>
                </m:r>
              </m:oMath>
            </m:oMathPara>
          </w:p>
          <w:p w14:paraId="1367FF3C"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AD71ED" w:rsidRPr="00AD71ED" w14:paraId="630F8D6C"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gridSpan w:val="9"/>
            <w:shd w:val="clear" w:color="auto" w:fill="482D8C" w:themeFill="background2"/>
          </w:tcPr>
          <w:p w14:paraId="6DF820CF" w14:textId="77777777" w:rsidR="00AD71ED" w:rsidRPr="00AD71ED" w:rsidRDefault="00AD71ED" w:rsidP="00433D7C">
            <w:pPr>
              <w:jc w:val="center"/>
              <w:rPr>
                <w:rFonts w:cstheme="minorHAnsi"/>
              </w:rPr>
            </w:pPr>
            <w:r w:rsidRPr="00AD71ED">
              <w:rPr>
                <w:rFonts w:cstheme="minorHAnsi"/>
                <w:color w:val="FFFFFF" w:themeColor="background1"/>
              </w:rPr>
              <w:t>Independent employer</w:t>
            </w:r>
          </w:p>
        </w:tc>
      </w:tr>
      <w:tr w:rsidR="00AD71ED" w:rsidRPr="00AD71ED" w14:paraId="3F301FE5" w14:textId="77777777" w:rsidTr="00AD71ED">
        <w:trPr>
          <w:trHeight w:val="638"/>
        </w:trPr>
        <w:tc>
          <w:tcPr>
            <w:cnfStyle w:val="001000000000" w:firstRow="0" w:lastRow="0" w:firstColumn="1" w:lastColumn="0" w:oddVBand="0" w:evenVBand="0" w:oddHBand="0" w:evenHBand="0" w:firstRowFirstColumn="0" w:firstRowLastColumn="0" w:lastRowFirstColumn="0" w:lastRowLastColumn="0"/>
            <w:tcW w:w="997" w:type="dxa"/>
          </w:tcPr>
          <w:p w14:paraId="66B15B8C" w14:textId="77777777" w:rsidR="00AD71ED" w:rsidRPr="00AD71ED" w:rsidRDefault="00AD71ED" w:rsidP="00433D7C">
            <w:pPr>
              <w:jc w:val="center"/>
              <w:rPr>
                <w:rFonts w:cstheme="minorHAnsi"/>
              </w:rPr>
            </w:pPr>
            <w:r w:rsidRPr="00AD71ED">
              <w:rPr>
                <w:rFonts w:cstheme="minorHAnsi"/>
              </w:rPr>
              <w:t>Case 1</w:t>
            </w:r>
          </w:p>
        </w:tc>
        <w:tc>
          <w:tcPr>
            <w:tcW w:w="1820" w:type="dxa"/>
            <w:gridSpan w:val="2"/>
          </w:tcPr>
          <w:p w14:paraId="3D11F89B"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ACT</m:t>
                    </m:r>
                  </m:sub>
                </m:sSub>
              </m:oMath>
            </m:oMathPara>
          </w:p>
        </w:tc>
        <w:tc>
          <w:tcPr>
            <w:tcW w:w="1821" w:type="dxa"/>
            <w:gridSpan w:val="2"/>
          </w:tcPr>
          <w:p w14:paraId="757B179D"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AUS</m:t>
                    </m:r>
                  </m:sub>
                </m:sSub>
                <m:r>
                  <w:rPr>
                    <w:rFonts w:ascii="Cambria Math" w:hAnsi="Cambria Math" w:cstheme="minorHAnsi"/>
                  </w:rPr>
                  <m:t>&gt;t</m:t>
                </m:r>
              </m:oMath>
            </m:oMathPara>
          </w:p>
        </w:tc>
        <w:tc>
          <w:tcPr>
            <w:tcW w:w="1801" w:type="dxa"/>
            <w:gridSpan w:val="2"/>
          </w:tcPr>
          <w:p w14:paraId="0E45E2EA"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N/A</w:t>
            </w:r>
          </w:p>
        </w:tc>
        <w:tc>
          <w:tcPr>
            <w:tcW w:w="1637" w:type="dxa"/>
          </w:tcPr>
          <w:p w14:paraId="2A1EEEAB"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N/A</w:t>
            </w:r>
          </w:p>
        </w:tc>
        <w:tc>
          <w:tcPr>
            <w:tcW w:w="3264" w:type="dxa"/>
          </w:tcPr>
          <w:p w14:paraId="7FB6F0C8" w14:textId="77777777" w:rsidR="00AD71ED" w:rsidRPr="00AD71ED" w:rsidRDefault="00AD71ED" w:rsidP="00AD71E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m:oMathPara>
              <m:oMath>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ACT</m:t>
                    </m:r>
                  </m:sub>
                </m:sSub>
                <m:r>
                  <w:rPr>
                    <w:rFonts w:ascii="Cambria Math" w:eastAsiaTheme="minorEastAsia" w:hAnsi="Cambria Math" w:cstheme="minorHAnsi"/>
                  </w:rPr>
                  <m:t xml:space="preserve">- </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ACT</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AUS</m:t>
                            </m:r>
                          </m:sub>
                        </m:sSub>
                      </m:den>
                    </m:f>
                    <m:r>
                      <w:rPr>
                        <w:rFonts w:ascii="Cambria Math" w:eastAsiaTheme="minorEastAsia" w:hAnsi="Cambria Math" w:cstheme="minorHAnsi"/>
                      </w:rPr>
                      <m:t>× t</m:t>
                    </m:r>
                  </m:e>
                </m:d>
                <m:r>
                  <w:rPr>
                    <w:rFonts w:ascii="Cambria Math" w:eastAsiaTheme="minorEastAsia" w:hAnsi="Cambria Math" w:cstheme="minorHAnsi"/>
                  </w:rPr>
                  <m:t>] × r</m:t>
                </m:r>
              </m:oMath>
            </m:oMathPara>
          </w:p>
          <w:p w14:paraId="2840209E"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AD71ED" w:rsidRPr="00AD71ED" w14:paraId="0C7F05F3" w14:textId="77777777" w:rsidTr="00AD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14:paraId="34446D82" w14:textId="77777777" w:rsidR="00AD71ED" w:rsidRPr="00AD71ED" w:rsidRDefault="00AD71ED" w:rsidP="00433D7C">
            <w:pPr>
              <w:jc w:val="center"/>
              <w:rPr>
                <w:rFonts w:cstheme="minorHAnsi"/>
              </w:rPr>
            </w:pPr>
            <w:r w:rsidRPr="00AD71ED">
              <w:rPr>
                <w:rFonts w:cstheme="minorHAnsi"/>
              </w:rPr>
              <w:t>Case 2</w:t>
            </w:r>
          </w:p>
        </w:tc>
        <w:tc>
          <w:tcPr>
            <w:tcW w:w="1820" w:type="dxa"/>
            <w:gridSpan w:val="2"/>
          </w:tcPr>
          <w:p w14:paraId="4029DB7C" w14:textId="77777777" w:rsidR="00AD71ED" w:rsidRPr="00AD71ED" w:rsidRDefault="002F4199"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ACT</m:t>
                    </m:r>
                  </m:sub>
                </m:sSub>
              </m:oMath>
            </m:oMathPara>
          </w:p>
        </w:tc>
        <w:tc>
          <w:tcPr>
            <w:tcW w:w="1821" w:type="dxa"/>
            <w:gridSpan w:val="2"/>
          </w:tcPr>
          <w:p w14:paraId="20D5F3EC" w14:textId="77777777" w:rsidR="00AD71ED" w:rsidRPr="00AD71ED" w:rsidRDefault="002F4199"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AUS</m:t>
                    </m:r>
                  </m:sub>
                </m:sSub>
                <m:r>
                  <w:rPr>
                    <w:rFonts w:ascii="Cambria Math" w:hAnsi="Cambria Math" w:cstheme="minorHAnsi"/>
                  </w:rPr>
                  <m:t>≤t</m:t>
                </m:r>
              </m:oMath>
            </m:oMathPara>
          </w:p>
        </w:tc>
        <w:tc>
          <w:tcPr>
            <w:tcW w:w="1801" w:type="dxa"/>
            <w:gridSpan w:val="2"/>
          </w:tcPr>
          <w:p w14:paraId="4AFB7056"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N/A</w:t>
            </w:r>
          </w:p>
        </w:tc>
        <w:tc>
          <w:tcPr>
            <w:tcW w:w="1637" w:type="dxa"/>
          </w:tcPr>
          <w:p w14:paraId="2B1177A6"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N/A</w:t>
            </w:r>
          </w:p>
        </w:tc>
        <w:tc>
          <w:tcPr>
            <w:tcW w:w="3264" w:type="dxa"/>
          </w:tcPr>
          <w:p w14:paraId="5827DE11" w14:textId="77777777" w:rsidR="00AD71ED" w:rsidRPr="00AD71ED" w:rsidRDefault="00AD71ED" w:rsidP="00433D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1ED">
              <w:rPr>
                <w:rFonts w:cstheme="minorHAnsi"/>
              </w:rPr>
              <w:t>0</w:t>
            </w:r>
          </w:p>
        </w:tc>
      </w:tr>
      <w:tr w:rsidR="00AD71ED" w:rsidRPr="00AD71ED" w14:paraId="47423C44" w14:textId="77777777" w:rsidTr="00AD71ED">
        <w:tc>
          <w:tcPr>
            <w:cnfStyle w:val="001000000000" w:firstRow="0" w:lastRow="0" w:firstColumn="1" w:lastColumn="0" w:oddVBand="0" w:evenVBand="0" w:oddHBand="0" w:evenHBand="0" w:firstRowFirstColumn="0" w:firstRowLastColumn="0" w:lastRowFirstColumn="0" w:lastRowLastColumn="0"/>
            <w:tcW w:w="997" w:type="dxa"/>
          </w:tcPr>
          <w:p w14:paraId="0013F19B" w14:textId="77777777" w:rsidR="00AD71ED" w:rsidRPr="00AD71ED" w:rsidRDefault="00AD71ED" w:rsidP="00433D7C">
            <w:pPr>
              <w:jc w:val="center"/>
              <w:rPr>
                <w:rFonts w:cstheme="minorHAnsi"/>
              </w:rPr>
            </w:pPr>
            <w:r w:rsidRPr="00AD71ED">
              <w:rPr>
                <w:rFonts w:cstheme="minorHAnsi"/>
              </w:rPr>
              <w:t>Case 3</w:t>
            </w:r>
          </w:p>
        </w:tc>
        <w:tc>
          <w:tcPr>
            <w:tcW w:w="1820" w:type="dxa"/>
            <w:gridSpan w:val="2"/>
          </w:tcPr>
          <w:p w14:paraId="18286EE0"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ACT</m:t>
                    </m:r>
                  </m:sub>
                </m:sSub>
              </m:oMath>
            </m:oMathPara>
          </w:p>
        </w:tc>
        <w:tc>
          <w:tcPr>
            <w:tcW w:w="1821" w:type="dxa"/>
            <w:gridSpan w:val="2"/>
          </w:tcPr>
          <w:p w14:paraId="62323741"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AUS</m:t>
                  </m:r>
                </m:sub>
              </m:sSub>
            </m:oMath>
            <w:r w:rsidR="00AD71ED" w:rsidRPr="00AD71ED">
              <w:rPr>
                <w:rFonts w:eastAsiaTheme="minorEastAsia" w:cstheme="minorHAnsi"/>
              </w:rPr>
              <w:t xml:space="preserve"> is m</w:t>
            </w:r>
            <w:r w:rsidR="00AD71ED" w:rsidRPr="00AD71ED">
              <w:rPr>
                <w:rFonts w:cstheme="minorHAnsi"/>
              </w:rPr>
              <w:t>issing</w:t>
            </w:r>
          </w:p>
        </w:tc>
        <w:tc>
          <w:tcPr>
            <w:tcW w:w="1801" w:type="dxa"/>
            <w:gridSpan w:val="2"/>
          </w:tcPr>
          <w:p w14:paraId="3B7EA2BB"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N/A</w:t>
            </w:r>
          </w:p>
        </w:tc>
        <w:tc>
          <w:tcPr>
            <w:tcW w:w="1637" w:type="dxa"/>
          </w:tcPr>
          <w:p w14:paraId="0435B9B4"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D71ED">
              <w:rPr>
                <w:rFonts w:cstheme="minorHAnsi"/>
              </w:rPr>
              <w:t>N/A</w:t>
            </w:r>
          </w:p>
        </w:tc>
        <w:tc>
          <w:tcPr>
            <w:tcW w:w="3264" w:type="dxa"/>
          </w:tcPr>
          <w:p w14:paraId="1C21D2BC" w14:textId="77777777" w:rsidR="00AD71ED" w:rsidRPr="00AD71ED" w:rsidRDefault="002F4199" w:rsidP="00433D7C">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ACT</m:t>
                    </m:r>
                  </m:sub>
                </m:sSub>
                <m:r>
                  <w:rPr>
                    <w:rFonts w:ascii="Cambria Math" w:eastAsiaTheme="minorEastAsia" w:hAnsi="Cambria Math" w:cstheme="minorHAnsi"/>
                  </w:rPr>
                  <m:t>× r</m:t>
                </m:r>
              </m:oMath>
            </m:oMathPara>
          </w:p>
          <w:p w14:paraId="589E2D71" w14:textId="77777777" w:rsidR="00AD71ED" w:rsidRPr="00AD71ED" w:rsidRDefault="00AD71ED" w:rsidP="00433D7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36733B1B" w14:textId="77777777" w:rsidR="00AD71ED" w:rsidRPr="00CF2388" w:rsidRDefault="00AD71ED" w:rsidP="00456A5F">
      <w:pPr>
        <w:pStyle w:val="TableCaption"/>
        <w:rPr>
          <w:iCs/>
        </w:rPr>
      </w:pPr>
    </w:p>
    <w:p w14:paraId="0480FBA0" w14:textId="77777777" w:rsidR="00E109CF" w:rsidRPr="00A86D9C" w:rsidRDefault="00E109CF" w:rsidP="008D0223">
      <w:pPr>
        <w:spacing w:line="240" w:lineRule="auto"/>
        <w:rPr>
          <w:rFonts w:eastAsiaTheme="minorEastAsia"/>
        </w:rPr>
      </w:pPr>
      <w:r w:rsidRPr="00216239">
        <w:t>Table 6 shows</w:t>
      </w:r>
      <w:r>
        <w:t xml:space="preserve"> that for a </w:t>
      </w:r>
      <w:proofErr w:type="spellStart"/>
      <w:r>
        <w:t>DGE</w:t>
      </w:r>
      <w:proofErr w:type="spellEnd"/>
      <w:r>
        <w:t xml:space="preserve"> under Case 1, employer’s total ACT wages is </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rsidRPr="00EC6EEE">
        <w:rPr>
          <w:rFonts w:eastAsiaTheme="minorEastAsia"/>
        </w:rPr>
        <w:t xml:space="preserve">, group’s total ACT wages is </w:t>
      </w:r>
      <m:oMath>
        <m:sSub>
          <m:sSubPr>
            <m:ctrlPr>
              <w:rPr>
                <w:rFonts w:ascii="Cambria Math" w:hAnsi="Cambria Math"/>
                <w:i/>
              </w:rPr>
            </m:ctrlPr>
          </m:sSubPr>
          <m:e>
            <m:r>
              <w:rPr>
                <w:rFonts w:ascii="Cambria Math" w:hAnsi="Cambria Math"/>
              </w:rPr>
              <m:t>G</m:t>
            </m:r>
          </m:e>
          <m:sub>
            <m:r>
              <w:rPr>
                <w:rFonts w:ascii="Cambria Math" w:hAnsi="Cambria Math"/>
              </w:rPr>
              <m:t>ACT</m:t>
            </m:r>
          </m:sub>
        </m:sSub>
      </m:oMath>
      <w:r w:rsidRPr="00EC6EEE">
        <w:rPr>
          <w:rFonts w:eastAsiaTheme="minorEastAsia"/>
        </w:rPr>
        <w:t xml:space="preserve"> and group’s total Australia-wide wages is </w:t>
      </w:r>
      <m:oMath>
        <m:sSub>
          <m:sSubPr>
            <m:ctrlPr>
              <w:rPr>
                <w:rFonts w:ascii="Cambria Math" w:hAnsi="Cambria Math"/>
                <w:i/>
              </w:rPr>
            </m:ctrlPr>
          </m:sSubPr>
          <m:e>
            <m:r>
              <w:rPr>
                <w:rFonts w:ascii="Cambria Math" w:hAnsi="Cambria Math"/>
              </w:rPr>
              <m:t>G</m:t>
            </m:r>
          </m:e>
          <m:sub>
            <m:r>
              <w:rPr>
                <w:rFonts w:ascii="Cambria Math" w:hAnsi="Cambria Math"/>
              </w:rPr>
              <m:t>AUS</m:t>
            </m:r>
          </m:sub>
        </m:sSub>
      </m:oMath>
      <w:r w:rsidRPr="00EC6EEE">
        <w:rPr>
          <w:rFonts w:eastAsiaTheme="minorEastAsia"/>
        </w:rPr>
        <w:t>. In this case</w:t>
      </w:r>
      <w:r>
        <w:rPr>
          <w:rFonts w:eastAsiaTheme="minorEastAsia"/>
        </w:rPr>
        <w:t xml:space="preserve"> group’s total Australia-wide wages</w:t>
      </w:r>
      <w:r w:rsidRPr="00EC6EEE">
        <w:rPr>
          <w:rFonts w:eastAsiaTheme="minorEastAsia"/>
        </w:rPr>
        <w:t xml:space="preserve"> </w:t>
      </w:r>
      <m:oMath>
        <m:sSub>
          <m:sSubPr>
            <m:ctrlPr>
              <w:rPr>
                <w:rFonts w:ascii="Cambria Math" w:hAnsi="Cambria Math"/>
                <w:i/>
              </w:rPr>
            </m:ctrlPr>
          </m:sSubPr>
          <m:e>
            <m:r>
              <w:rPr>
                <w:rFonts w:ascii="Cambria Math" w:hAnsi="Cambria Math"/>
              </w:rPr>
              <m:t>G</m:t>
            </m:r>
          </m:e>
          <m:sub>
            <m:r>
              <w:rPr>
                <w:rFonts w:ascii="Cambria Math" w:hAnsi="Cambria Math"/>
              </w:rPr>
              <m:t>AUS</m:t>
            </m:r>
          </m:sub>
        </m:sSub>
      </m:oMath>
      <w:r w:rsidRPr="00EC6EEE">
        <w:rPr>
          <w:rFonts w:eastAsiaTheme="minorEastAsia"/>
        </w:rPr>
        <w:t xml:space="preserve"> is greater than the threshold </w:t>
      </w:r>
      <m:oMath>
        <m:r>
          <w:rPr>
            <w:rFonts w:ascii="Cambria Math" w:hAnsi="Cambria Math"/>
          </w:rPr>
          <m:t>t (</m:t>
        </m:r>
        <m:sSub>
          <m:sSubPr>
            <m:ctrlPr>
              <w:rPr>
                <w:rFonts w:ascii="Cambria Math" w:hAnsi="Cambria Math"/>
                <w:i/>
              </w:rPr>
            </m:ctrlPr>
          </m:sSubPr>
          <m:e>
            <m:r>
              <w:rPr>
                <w:rFonts w:ascii="Cambria Math" w:hAnsi="Cambria Math"/>
              </w:rPr>
              <m:t>G</m:t>
            </m:r>
          </m:e>
          <m:sub>
            <m:r>
              <w:rPr>
                <w:rFonts w:ascii="Cambria Math" w:hAnsi="Cambria Math"/>
              </w:rPr>
              <m:t>AUS</m:t>
            </m:r>
          </m:sub>
        </m:sSub>
        <m:r>
          <w:rPr>
            <w:rFonts w:ascii="Cambria Math" w:hAnsi="Cambria Math"/>
          </w:rPr>
          <m:t>&gt;t)</m:t>
        </m:r>
      </m:oMath>
      <w:r w:rsidRPr="00EC6EEE">
        <w:rPr>
          <w:rFonts w:eastAsiaTheme="minorEastAsia"/>
        </w:rPr>
        <w:t>, therefore, th</w:t>
      </w:r>
      <w:r>
        <w:rPr>
          <w:rFonts w:eastAsiaTheme="minorEastAsia"/>
        </w:rPr>
        <w:t>is</w:t>
      </w:r>
      <w:r w:rsidRPr="00EC6EEE">
        <w:rPr>
          <w:rFonts w:eastAsiaTheme="minorEastAsia"/>
        </w:rPr>
        <w:t xml:space="preserve"> </w:t>
      </w:r>
      <w:proofErr w:type="spellStart"/>
      <w:r w:rsidRPr="00EC6EEE">
        <w:rPr>
          <w:rFonts w:eastAsiaTheme="minorEastAsia"/>
        </w:rPr>
        <w:t>DGE</w:t>
      </w:r>
      <w:proofErr w:type="spellEnd"/>
      <w:r w:rsidRPr="00EC6EEE">
        <w:rPr>
          <w:rFonts w:eastAsiaTheme="minorEastAsia"/>
        </w:rPr>
        <w:t xml:space="preserve"> is liable for payroll tax. To calculate payroll tax liability for </w:t>
      </w:r>
      <w:r>
        <w:rPr>
          <w:rFonts w:eastAsiaTheme="minorEastAsia"/>
        </w:rPr>
        <w:t>a</w:t>
      </w:r>
      <w:r w:rsidRPr="00EC6EEE">
        <w:rPr>
          <w:rFonts w:eastAsiaTheme="minorEastAsia"/>
        </w:rPr>
        <w:t xml:space="preserve"> </w:t>
      </w:r>
      <w:proofErr w:type="spellStart"/>
      <w:r w:rsidRPr="00EC6EEE">
        <w:rPr>
          <w:rFonts w:eastAsiaTheme="minorEastAsia"/>
        </w:rPr>
        <w:t>DGE</w:t>
      </w:r>
      <w:proofErr w:type="spellEnd"/>
      <w:r w:rsidRPr="00EC6EEE">
        <w:rPr>
          <w:rFonts w:eastAsiaTheme="minorEastAsia"/>
        </w:rPr>
        <w:t xml:space="preserve"> in this case, the annual threshold </w:t>
      </w:r>
      <m:oMath>
        <m:r>
          <w:rPr>
            <w:rFonts w:ascii="Cambria Math" w:eastAsiaTheme="minorEastAsia" w:hAnsi="Cambria Math"/>
          </w:rPr>
          <m:t>t</m:t>
        </m:r>
      </m:oMath>
      <w:r w:rsidRPr="00EC6EEE">
        <w:rPr>
          <w:rFonts w:eastAsiaTheme="minorEastAsia"/>
        </w:rPr>
        <w:t xml:space="preserve"> is multiplied by the ratio of group’s total ACT wages to group’s total Australia-wide wages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ACT</m:t>
                </m:r>
              </m:sub>
            </m:sSub>
          </m:num>
          <m:den>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AUS</m:t>
                </m:r>
              </m:sub>
            </m:sSub>
          </m:den>
        </m:f>
      </m:oMath>
      <w:r w:rsidRPr="00EC6EEE">
        <w:rPr>
          <w:rFonts w:eastAsiaTheme="minorEastAsia"/>
        </w:rPr>
        <w:t xml:space="preserve">  to obtain the final threshold amount. The final threshold amount is then subtracted from the employer’s total ACT wages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ACT</m:t>
            </m:r>
          </m:sub>
        </m:sSub>
      </m:oMath>
      <w:r w:rsidRPr="00EC6EEE">
        <w:rPr>
          <w:rFonts w:eastAsiaTheme="minorEastAsia"/>
        </w:rPr>
        <w:t xml:space="preserve">, </w:t>
      </w:r>
      <w:r>
        <w:t xml:space="preserve">and this is multiplied by the payroll tax rate </w:t>
      </w:r>
      <m:oMath>
        <m:r>
          <w:rPr>
            <w:rFonts w:ascii="Cambria Math" w:eastAsiaTheme="minorEastAsia" w:hAnsi="Cambria Math"/>
          </w:rPr>
          <m:t>r</m:t>
        </m:r>
      </m:oMath>
      <w:r>
        <w:t xml:space="preserve">  to obtain payroll tax liability for a DGE under Case 1 as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ACT</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ACT</m:t>
                    </m:r>
                  </m:sub>
                </m:sSub>
              </m:num>
              <m:den>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AUS</m:t>
                    </m:r>
                  </m:sub>
                </m:sSub>
              </m:den>
            </m:f>
            <m:r>
              <w:rPr>
                <w:rFonts w:ascii="Cambria Math" w:eastAsiaTheme="minorEastAsia" w:hAnsi="Cambria Math"/>
              </w:rPr>
              <m:t>× t</m:t>
            </m:r>
          </m:e>
        </m:d>
        <m:r>
          <w:rPr>
            <w:rFonts w:ascii="Cambria Math" w:eastAsiaTheme="minorEastAsia" w:hAnsi="Cambria Math"/>
          </w:rPr>
          <m:t>] × r</m:t>
        </m:r>
      </m:oMath>
      <w:r>
        <w:t>.</w:t>
      </w:r>
    </w:p>
    <w:p w14:paraId="6341CA04" w14:textId="77777777" w:rsidR="00E109CF" w:rsidRDefault="00E109CF" w:rsidP="00E109CF">
      <w:pPr>
        <w:rPr>
          <w:rFonts w:eastAsiaTheme="minorEastAsia"/>
        </w:rPr>
      </w:pPr>
      <w:r>
        <w:t xml:space="preserve">Case 2 for a </w:t>
      </w:r>
      <w:proofErr w:type="spellStart"/>
      <w:r>
        <w:t>DGE</w:t>
      </w:r>
      <w:proofErr w:type="spellEnd"/>
      <w:r>
        <w:t xml:space="preserve"> is equivalent to Case 1, except under Case 2 </w:t>
      </w:r>
      <w:r>
        <w:rPr>
          <w:rFonts w:eastAsiaTheme="minorEastAsia"/>
        </w:rPr>
        <w:t xml:space="preserve">group’s total Australia-wide wages </w:t>
      </w:r>
      <m:oMath>
        <m:sSub>
          <m:sSubPr>
            <m:ctrlPr>
              <w:rPr>
                <w:rFonts w:ascii="Cambria Math" w:hAnsi="Cambria Math"/>
                <w:i/>
              </w:rPr>
            </m:ctrlPr>
          </m:sSubPr>
          <m:e>
            <m:r>
              <w:rPr>
                <w:rFonts w:ascii="Cambria Math" w:hAnsi="Cambria Math"/>
              </w:rPr>
              <m:t>G</m:t>
            </m:r>
          </m:e>
          <m:sub>
            <m:r>
              <w:rPr>
                <w:rFonts w:ascii="Cambria Math" w:hAnsi="Cambria Math"/>
              </w:rPr>
              <m:t>AUS</m:t>
            </m:r>
          </m:sub>
        </m:sSub>
      </m:oMath>
      <w:r w:rsidRPr="00EC6EEE">
        <w:rPr>
          <w:rFonts w:eastAsiaTheme="minorEastAsia"/>
        </w:rPr>
        <w:t xml:space="preserve"> is </w:t>
      </w:r>
      <w:r>
        <w:rPr>
          <w:rFonts w:eastAsiaTheme="minorEastAsia"/>
        </w:rPr>
        <w:t>less</w:t>
      </w:r>
      <w:r w:rsidRPr="00EC6EEE">
        <w:rPr>
          <w:rFonts w:eastAsiaTheme="minorEastAsia"/>
        </w:rPr>
        <w:t xml:space="preserve"> than</w:t>
      </w:r>
      <w:r>
        <w:rPr>
          <w:rFonts w:eastAsiaTheme="minorEastAsia"/>
        </w:rPr>
        <w:t xml:space="preserve"> or equal to</w:t>
      </w:r>
      <w:r w:rsidRPr="00EC6EEE">
        <w:rPr>
          <w:rFonts w:eastAsiaTheme="minorEastAsia"/>
        </w:rPr>
        <w:t xml:space="preserve"> the threshold </w:t>
      </w:r>
      <m:oMath>
        <m:r>
          <w:rPr>
            <w:rFonts w:ascii="Cambria Math" w:hAnsi="Cambria Math"/>
          </w:rPr>
          <m:t>t (</m:t>
        </m:r>
        <m:sSub>
          <m:sSubPr>
            <m:ctrlPr>
              <w:rPr>
                <w:rFonts w:ascii="Cambria Math" w:hAnsi="Cambria Math"/>
                <w:i/>
              </w:rPr>
            </m:ctrlPr>
          </m:sSubPr>
          <m:e>
            <m:r>
              <w:rPr>
                <w:rFonts w:ascii="Cambria Math" w:hAnsi="Cambria Math"/>
              </w:rPr>
              <m:t>G</m:t>
            </m:r>
          </m:e>
          <m:sub>
            <m:r>
              <w:rPr>
                <w:rFonts w:ascii="Cambria Math" w:hAnsi="Cambria Math"/>
              </w:rPr>
              <m:t>AUS</m:t>
            </m:r>
          </m:sub>
        </m:sSub>
        <m:r>
          <w:rPr>
            <w:rFonts w:ascii="Cambria Math" w:hAnsi="Cambria Math"/>
          </w:rPr>
          <m:t>≤t)</m:t>
        </m:r>
      </m:oMath>
      <w:r w:rsidRPr="00EC6EEE">
        <w:rPr>
          <w:rFonts w:eastAsiaTheme="minorEastAsia"/>
        </w:rPr>
        <w:t>, therefore, th</w:t>
      </w:r>
      <w:r>
        <w:rPr>
          <w:rFonts w:eastAsiaTheme="minorEastAsia"/>
        </w:rPr>
        <w:t>is</w:t>
      </w:r>
      <w:r w:rsidRPr="00EC6EEE">
        <w:rPr>
          <w:rFonts w:eastAsiaTheme="minorEastAsia"/>
        </w:rPr>
        <w:t xml:space="preserve"> </w:t>
      </w:r>
      <w:proofErr w:type="spellStart"/>
      <w:r w:rsidRPr="00EC6EEE">
        <w:rPr>
          <w:rFonts w:eastAsiaTheme="minorEastAsia"/>
        </w:rPr>
        <w:t>DGE</w:t>
      </w:r>
      <w:proofErr w:type="spellEnd"/>
      <w:r w:rsidRPr="00EC6EEE">
        <w:rPr>
          <w:rFonts w:eastAsiaTheme="minorEastAsia"/>
        </w:rPr>
        <w:t xml:space="preserve"> is</w:t>
      </w:r>
      <w:r>
        <w:rPr>
          <w:rFonts w:eastAsiaTheme="minorEastAsia"/>
        </w:rPr>
        <w:t xml:space="preserve"> not</w:t>
      </w:r>
      <w:r w:rsidRPr="00EC6EEE">
        <w:rPr>
          <w:rFonts w:eastAsiaTheme="minorEastAsia"/>
        </w:rPr>
        <w:t xml:space="preserve"> liable for payroll tax</w:t>
      </w:r>
      <w:r>
        <w:rPr>
          <w:rFonts w:eastAsiaTheme="minorEastAsia"/>
        </w:rPr>
        <w:t xml:space="preserve"> and payroll tax liability is zero, as shown in Table 6.</w:t>
      </w:r>
    </w:p>
    <w:p w14:paraId="6DEFF1B0" w14:textId="77777777" w:rsidR="00E109CF" w:rsidRDefault="00E109CF" w:rsidP="00E109CF">
      <w:pPr>
        <w:rPr>
          <w:rFonts w:eastAsiaTheme="minorEastAsia"/>
        </w:rPr>
      </w:pPr>
      <w:r>
        <w:rPr>
          <w:rFonts w:eastAsiaTheme="minorEastAsia"/>
        </w:rPr>
        <w:t xml:space="preserve">For a </w:t>
      </w:r>
      <w:proofErr w:type="spellStart"/>
      <w:r>
        <w:rPr>
          <w:rFonts w:eastAsiaTheme="minorEastAsia"/>
        </w:rPr>
        <w:t>DGE</w:t>
      </w:r>
      <w:proofErr w:type="spellEnd"/>
      <w:r>
        <w:rPr>
          <w:rFonts w:eastAsiaTheme="minorEastAsia"/>
        </w:rPr>
        <w:t xml:space="preserve"> under Case 3, </w:t>
      </w:r>
      <w:r>
        <w:t xml:space="preserve">employer’s total ACT wages is </w:t>
      </w:r>
      <m:oMath>
        <m:sSub>
          <m:sSubPr>
            <m:ctrlPr>
              <w:rPr>
                <w:rFonts w:ascii="Cambria Math" w:hAnsi="Cambria Math"/>
                <w:i/>
              </w:rPr>
            </m:ctrlPr>
          </m:sSubPr>
          <m:e>
            <m:r>
              <w:rPr>
                <w:rFonts w:ascii="Cambria Math" w:hAnsi="Cambria Math"/>
              </w:rPr>
              <m:t>E</m:t>
            </m:r>
          </m:e>
          <m:sub>
            <m:r>
              <w:rPr>
                <w:rFonts w:ascii="Cambria Math" w:hAnsi="Cambria Math"/>
              </w:rPr>
              <m:t>ACT</m:t>
            </m:r>
          </m:sub>
        </m:sSub>
      </m:oMath>
      <w:r>
        <w:rPr>
          <w:rFonts w:eastAsiaTheme="minorEastAsia"/>
        </w:rPr>
        <w:t xml:space="preserve"> but either</w:t>
      </w:r>
      <w:r w:rsidRPr="00EC6EEE">
        <w:rPr>
          <w:rFonts w:eastAsiaTheme="minorEastAsia"/>
        </w:rPr>
        <w:t xml:space="preserve"> group’s total ACT wages </w:t>
      </w:r>
      <m:oMath>
        <m:sSub>
          <m:sSubPr>
            <m:ctrlPr>
              <w:rPr>
                <w:rFonts w:ascii="Cambria Math" w:hAnsi="Cambria Math"/>
                <w:i/>
              </w:rPr>
            </m:ctrlPr>
          </m:sSubPr>
          <m:e>
            <m:r>
              <w:rPr>
                <w:rFonts w:ascii="Cambria Math" w:hAnsi="Cambria Math"/>
              </w:rPr>
              <m:t>G</m:t>
            </m:r>
          </m:e>
          <m:sub>
            <m:r>
              <w:rPr>
                <w:rFonts w:ascii="Cambria Math" w:hAnsi="Cambria Math"/>
              </w:rPr>
              <m:t>ACT</m:t>
            </m:r>
          </m:sub>
        </m:sSub>
      </m:oMath>
      <w:r w:rsidRPr="00EC6EEE">
        <w:rPr>
          <w:rFonts w:eastAsiaTheme="minorEastAsia"/>
        </w:rPr>
        <w:t xml:space="preserve"> </w:t>
      </w:r>
      <w:r>
        <w:rPr>
          <w:rFonts w:eastAsiaTheme="minorEastAsia"/>
        </w:rPr>
        <w:t>or</w:t>
      </w:r>
      <w:r w:rsidRPr="00EC6EEE">
        <w:rPr>
          <w:rFonts w:eastAsiaTheme="minorEastAsia"/>
        </w:rPr>
        <w:t xml:space="preserve"> group’s total Australia-wide wages </w:t>
      </w:r>
      <m:oMath>
        <m:sSub>
          <m:sSubPr>
            <m:ctrlPr>
              <w:rPr>
                <w:rFonts w:ascii="Cambria Math" w:hAnsi="Cambria Math"/>
                <w:i/>
              </w:rPr>
            </m:ctrlPr>
          </m:sSubPr>
          <m:e>
            <m:r>
              <w:rPr>
                <w:rFonts w:ascii="Cambria Math" w:hAnsi="Cambria Math"/>
              </w:rPr>
              <m:t>G</m:t>
            </m:r>
          </m:e>
          <m:sub>
            <m:r>
              <w:rPr>
                <w:rFonts w:ascii="Cambria Math" w:hAnsi="Cambria Math"/>
              </w:rPr>
              <m:t>AUS</m:t>
            </m:r>
          </m:sub>
        </m:sSub>
      </m:oMath>
      <w:r>
        <w:rPr>
          <w:rFonts w:eastAsiaTheme="minorEastAsia"/>
        </w:rPr>
        <w:t xml:space="preserve"> is missing (i.e. is a blank field in the data). As mentioned above, for a DGE to claim the ACT proportion of the threshold, </w:t>
      </w:r>
      <w:r>
        <w:t xml:space="preserve">group’s total ACT wages </w:t>
      </w:r>
      <m:oMath>
        <m:sSub>
          <m:sSubPr>
            <m:ctrlPr>
              <w:rPr>
                <w:rFonts w:ascii="Cambria Math" w:hAnsi="Cambria Math"/>
                <w:i/>
              </w:rPr>
            </m:ctrlPr>
          </m:sSubPr>
          <m:e>
            <m:r>
              <w:rPr>
                <w:rFonts w:ascii="Cambria Math" w:hAnsi="Cambria Math"/>
              </w:rPr>
              <m:t>G</m:t>
            </m:r>
          </m:e>
          <m:sub>
            <m:r>
              <w:rPr>
                <w:rFonts w:ascii="Cambria Math" w:hAnsi="Cambria Math"/>
              </w:rPr>
              <m:t>ACT</m:t>
            </m:r>
          </m:sub>
        </m:sSub>
      </m:oMath>
      <w:r>
        <w:t xml:space="preserve"> and group’s total Australia-wide wages </w:t>
      </w:r>
      <m:oMath>
        <m:sSub>
          <m:sSubPr>
            <m:ctrlPr>
              <w:rPr>
                <w:rFonts w:ascii="Cambria Math" w:hAnsi="Cambria Math"/>
                <w:i/>
              </w:rPr>
            </m:ctrlPr>
          </m:sSubPr>
          <m:e>
            <m:r>
              <w:rPr>
                <w:rFonts w:ascii="Cambria Math" w:hAnsi="Cambria Math"/>
              </w:rPr>
              <m:t>G</m:t>
            </m:r>
          </m:e>
          <m:sub>
            <m:r>
              <w:rPr>
                <w:rFonts w:ascii="Cambria Math" w:hAnsi="Cambria Math"/>
              </w:rPr>
              <m:t>AUS</m:t>
            </m:r>
          </m:sub>
        </m:sSub>
      </m:oMath>
      <w:r>
        <w:t xml:space="preserve"> must be declared. Since one or </w:t>
      </w:r>
      <w:proofErr w:type="gramStart"/>
      <w:r>
        <w:t>both of these</w:t>
      </w:r>
      <w:proofErr w:type="gramEnd"/>
      <w:r>
        <w:t xml:space="preserve"> wage types are not declared under Case 3, this indicates that this </w:t>
      </w:r>
      <w:proofErr w:type="spellStart"/>
      <w:r>
        <w:t>DGE</w:t>
      </w:r>
      <w:proofErr w:type="spellEnd"/>
      <w:r>
        <w:t xml:space="preserve"> is not claiming the threshold. Therefore, for a </w:t>
      </w:r>
      <w:proofErr w:type="spellStart"/>
      <w:r>
        <w:t>DGE</w:t>
      </w:r>
      <w:proofErr w:type="spellEnd"/>
      <w:r>
        <w:t xml:space="preserve"> under Case 3, </w:t>
      </w:r>
      <w:r>
        <w:lastRenderedPageBreak/>
        <w:t xml:space="preserve">the employer’s total ACT wages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ACT</m:t>
            </m:r>
          </m:sub>
        </m:sSub>
      </m:oMath>
      <w:r>
        <w:rPr>
          <w:rFonts w:eastAsiaTheme="minorEastAsia"/>
        </w:rPr>
        <w:t xml:space="preserve"> is multiplied by </w:t>
      </w:r>
      <w:r>
        <w:t xml:space="preserve">the payroll tax rate </w:t>
      </w:r>
      <m:oMath>
        <m:r>
          <w:rPr>
            <w:rFonts w:ascii="Cambria Math" w:eastAsiaTheme="minorEastAsia" w:hAnsi="Cambria Math"/>
          </w:rPr>
          <m:t>r</m:t>
        </m:r>
      </m:oMath>
      <w:r>
        <w:rPr>
          <w:rFonts w:eastAsiaTheme="minorEastAsia"/>
        </w:rPr>
        <w:t xml:space="preserve"> to obtain a payroll tax liability of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ACT</m:t>
            </m:r>
          </m:sub>
        </m:sSub>
        <m:r>
          <w:rPr>
            <w:rFonts w:ascii="Cambria Math" w:eastAsiaTheme="minorEastAsia" w:hAnsi="Cambria Math"/>
          </w:rPr>
          <m:t xml:space="preserve"> × r</m:t>
        </m:r>
      </m:oMath>
      <w:r>
        <w:rPr>
          <w:rFonts w:eastAsiaTheme="minorEastAsia"/>
        </w:rPr>
        <w:t>.</w:t>
      </w:r>
    </w:p>
    <w:p w14:paraId="2917DEE8" w14:textId="77777777" w:rsidR="00E109CF" w:rsidRDefault="00E109CF" w:rsidP="00E109CF">
      <w:r>
        <w:rPr>
          <w:rFonts w:eastAsiaTheme="minorEastAsia"/>
        </w:rPr>
        <w:t xml:space="preserve">Note, as mentioned in the data section for </w:t>
      </w:r>
      <w:proofErr w:type="spellStart"/>
      <w:r>
        <w:rPr>
          <w:rFonts w:eastAsiaTheme="minorEastAsia"/>
        </w:rPr>
        <w:t>JRLs</w:t>
      </w:r>
      <w:proofErr w:type="spellEnd"/>
      <w:r>
        <w:rPr>
          <w:rFonts w:eastAsiaTheme="minorEastAsia"/>
        </w:rPr>
        <w:t xml:space="preserve">, if a </w:t>
      </w:r>
      <w:proofErr w:type="spellStart"/>
      <w:r>
        <w:rPr>
          <w:rFonts w:eastAsiaTheme="minorEastAsia"/>
        </w:rPr>
        <w:t>DGE</w:t>
      </w:r>
      <w:proofErr w:type="spellEnd"/>
      <w:r>
        <w:rPr>
          <w:rFonts w:eastAsiaTheme="minorEastAsia"/>
        </w:rPr>
        <w:t xml:space="preserve"> is a </w:t>
      </w:r>
      <w:proofErr w:type="spellStart"/>
      <w:r>
        <w:rPr>
          <w:rFonts w:eastAsiaTheme="minorEastAsia"/>
        </w:rPr>
        <w:t>JRL</w:t>
      </w:r>
      <w:proofErr w:type="spellEnd"/>
      <w:r>
        <w:rPr>
          <w:rFonts w:eastAsiaTheme="minorEastAsia"/>
        </w:rPr>
        <w:t xml:space="preserve">, </w:t>
      </w:r>
      <w:r>
        <w:t xml:space="preserve">instead of having the employer’s total ACT wages in the employer’s total ACT wages field, the </w:t>
      </w:r>
      <w:proofErr w:type="spellStart"/>
      <w:r>
        <w:t>JRL</w:t>
      </w:r>
      <w:proofErr w:type="spellEnd"/>
      <w:r>
        <w:t xml:space="preserve"> would have the group’s total ACT wages in the employer’s total ACT wages field, and this would be used to calculate payroll tax liability for the group (refer to Table 2 for an example on how payroll tax liability for a group is calculated when a joint payroll tax return is lodged). Therefore, the calculation of payroll tax liability for a </w:t>
      </w:r>
      <w:proofErr w:type="spellStart"/>
      <w:r>
        <w:t>JRL</w:t>
      </w:r>
      <w:proofErr w:type="spellEnd"/>
      <w:r>
        <w:t xml:space="preserve"> is equivalent to the calculation for a </w:t>
      </w:r>
      <w:proofErr w:type="spellStart"/>
      <w:r>
        <w:t>DGE</w:t>
      </w:r>
      <w:proofErr w:type="spellEnd"/>
      <w:r>
        <w:t xml:space="preserve">, the only difference being that the resulting payroll tax liability for a </w:t>
      </w:r>
      <w:proofErr w:type="spellStart"/>
      <w:r>
        <w:t>JRL</w:t>
      </w:r>
      <w:proofErr w:type="spellEnd"/>
      <w:r>
        <w:t xml:space="preserve"> is the payroll tax liability for the group instead of the payroll tax liability for the employer.</w:t>
      </w:r>
    </w:p>
    <w:p w14:paraId="13CF2866" w14:textId="77777777" w:rsidR="00E109CF" w:rsidRDefault="00E109CF" w:rsidP="00E109CF">
      <w:r>
        <w:t>Table 6</w:t>
      </w:r>
      <w:r>
        <w:rPr>
          <w:rFonts w:eastAsiaTheme="minorEastAsia"/>
        </w:rPr>
        <w:t xml:space="preserve"> also provides the </w:t>
      </w:r>
      <w:r>
        <w:t xml:space="preserve">three possible cases in the data for </w:t>
      </w:r>
      <w:proofErr w:type="spellStart"/>
      <w:r>
        <w:t>OGEs</w:t>
      </w:r>
      <w:proofErr w:type="spellEnd"/>
      <w:r>
        <w:t xml:space="preserve"> and independent employers. The three cases for </w:t>
      </w:r>
      <w:proofErr w:type="spellStart"/>
      <w:r>
        <w:t>OGEs</w:t>
      </w:r>
      <w:proofErr w:type="spellEnd"/>
      <w:r>
        <w:t xml:space="preserve"> and independent employers are not discussed in detail, since they are </w:t>
      </w:r>
      <w:proofErr w:type="gramStart"/>
      <w:r>
        <w:t>similar to</w:t>
      </w:r>
      <w:proofErr w:type="gramEnd"/>
      <w:r>
        <w:t xml:space="preserve"> the three cases discussed above for </w:t>
      </w:r>
      <w:proofErr w:type="spellStart"/>
      <w:r>
        <w:t>DGEs</w:t>
      </w:r>
      <w:proofErr w:type="spellEnd"/>
      <w:r>
        <w:t>.</w:t>
      </w:r>
    </w:p>
    <w:p w14:paraId="0D4D9ACA" w14:textId="77777777" w:rsidR="00E109CF" w:rsidRPr="00240CFC" w:rsidRDefault="00E109CF" w:rsidP="00E109CF"/>
    <w:p w14:paraId="1631DE42" w14:textId="77777777" w:rsidR="00456A5F" w:rsidRDefault="00456A5F">
      <w:pPr>
        <w:spacing w:line="276" w:lineRule="auto"/>
        <w:rPr>
          <w:caps/>
          <w:color w:val="AB4399"/>
          <w:w w:val="110"/>
          <w:sz w:val="40"/>
          <w:szCs w:val="40"/>
        </w:rPr>
      </w:pPr>
      <w:r>
        <w:rPr>
          <w:sz w:val="40"/>
          <w:szCs w:val="40"/>
        </w:rPr>
        <w:br w:type="page"/>
      </w:r>
    </w:p>
    <w:p w14:paraId="7537E0AA" w14:textId="24D18D99" w:rsidR="00E109CF" w:rsidRDefault="00E109CF" w:rsidP="00456A5F">
      <w:pPr>
        <w:pStyle w:val="Heading1"/>
      </w:pPr>
      <w:bookmarkStart w:id="19" w:name="_Toc48112956"/>
      <w:r w:rsidRPr="00334D38">
        <w:lastRenderedPageBreak/>
        <w:t>Analysis</w:t>
      </w:r>
      <w:bookmarkEnd w:id="19"/>
    </w:p>
    <w:p w14:paraId="17DC1EA1" w14:textId="77777777" w:rsidR="00E109CF" w:rsidRDefault="00E109CF" w:rsidP="00E109CF">
      <w:r>
        <w:t>Table 7 presents the estimates for actual and counterfactual payroll tax revenue.</w:t>
      </w:r>
    </w:p>
    <w:p w14:paraId="728FD622" w14:textId="77777777" w:rsidR="00E109CF" w:rsidRDefault="00E109CF" w:rsidP="00E109CF">
      <w:r>
        <w:t>The actual estimates in Table 7 apply the threshold changes that have occurred since 2012-13. Table 1 provides the annual threshold threshold amounts by financial year.</w:t>
      </w:r>
    </w:p>
    <w:p w14:paraId="1316D9C7" w14:textId="77777777" w:rsidR="00E109CF" w:rsidRDefault="00E109CF" w:rsidP="00E109CF">
      <w:r>
        <w:t xml:space="preserve">Actual payroll tax revenue is estimated using the unit record data rather than using figures from the consolidated annual financial reports. This maintains consistency with the counterfactual, so the difference between actual and counterfactual payroll tax revenue fully reflects the difference due to the threshold increases, as opposed to difference in data and/or methodology. </w:t>
      </w:r>
    </w:p>
    <w:p w14:paraId="6EAD71D8" w14:textId="77777777" w:rsidR="00E109CF" w:rsidRDefault="00E109CF" w:rsidP="00E109CF">
      <w:r>
        <w:t>Table 7 also presents total territory payroll tax revenue figures from consolidated annual financial statements. Total territory figures are presented instead of general government sector figures, since the general government sector figures includes payroll tax payments made by ACT Government internal agencies (e.g. Chief Minister, Treasury and Economic Development Directorate). ACT Government internal agencies are not included in the payroll tax data, therefore, comparison between estimated actual payroll tax revenue and audited figures uses total territory figures.</w:t>
      </w:r>
    </w:p>
    <w:p w14:paraId="0EF56169" w14:textId="77777777" w:rsidR="00E109CF" w:rsidRDefault="00E109CF" w:rsidP="00E109CF">
      <w:r>
        <w:t>Table 7 shows that estimated actual payroll tax revenue is close to audited figures for all years except 2016-17. As explained above in the data section, this is because 2016-17 data has a lower percentage of employers with reconciled data, 60 per cent instead of 71 to 88 per cent for other years. Therefore, estimated actual payroll tax revenue for 2016-17 will not be close to audited figures.</w:t>
      </w:r>
    </w:p>
    <w:p w14:paraId="76A6A905" w14:textId="77777777" w:rsidR="00E109CF" w:rsidRDefault="00E109CF" w:rsidP="00E109CF">
      <w:r>
        <w:t xml:space="preserve">The counterfactual estimates in Table 7 apply settings that would have occurred without the progressive increases to the threshold, where the threshold would have been frozen at the 2011-12 level ($1.5 million per annum) for all employers in the payroll tax data. </w:t>
      </w:r>
    </w:p>
    <w:p w14:paraId="72AF27A3" w14:textId="4A3015CD" w:rsidR="00E109CF" w:rsidRDefault="00E109CF" w:rsidP="00E109CF">
      <w:r>
        <w:t xml:space="preserve">The ACT threshold was $1.25 million per annum from 2001-02 to 2007-08 and increased to $1.5 million per annum in 2008-09. </w:t>
      </w:r>
      <w:r w:rsidRPr="00473457">
        <w:t>The increase to the threshold on 2008-09 coincides with changes to the threshold in NSW. From 1 July 2008 to 1 July 2013, NSW’s threshold of $600,000 was indexed annually in line with movements in the Sydney Consumer Price Index (CPI).</w:t>
      </w:r>
      <w:r w:rsidRPr="00473457">
        <w:rPr>
          <w:rStyle w:val="FootnoteReference"/>
        </w:rPr>
        <w:footnoteReference w:id="2"/>
      </w:r>
      <w:r w:rsidRPr="00473457">
        <w:t xml:space="preserve"> NSW introduced this measure to provide tax relief to businesses by allowing for the impact of inflation on their wage bill (NSW Government Treasury, 2008). The next threshold </w:t>
      </w:r>
      <w:proofErr w:type="gramStart"/>
      <w:r w:rsidRPr="00473457">
        <w:t>increase</w:t>
      </w:r>
      <w:proofErr w:type="gramEnd"/>
      <w:r w:rsidRPr="00473457">
        <w:t xml:space="preserve"> in NSW occurred on 1 July 2018, where the threshold was increased to $850,000. Given this, the assumption that the ACT threshold would have been frozen at the 2011-12 level for the majority of 2012-13 to 2018-19 is an appropriate assumption.</w:t>
      </w:r>
      <w:r>
        <w:t xml:space="preserve"> </w:t>
      </w:r>
    </w:p>
    <w:p w14:paraId="1D008E19" w14:textId="02F0D4BE" w:rsidR="00AD71ED" w:rsidRDefault="00AD71ED" w:rsidP="00E109CF">
      <w:r>
        <w:t xml:space="preserve">The difference in payroll tax revenue in Table 7 is the difference between estimated actual and counterfactual payroll tax revenue. Table 7 shows that the changes to the threshold have resulted in a </w:t>
      </w:r>
      <w:r>
        <w:rPr>
          <w:b/>
          <w:bCs/>
        </w:rPr>
        <w:t>decrease</w:t>
      </w:r>
      <w:r>
        <w:t xml:space="preserve"> in tax </w:t>
      </w:r>
      <w:r w:rsidRPr="00AA686A">
        <w:t>revenue by approximately $</w:t>
      </w:r>
      <w:r>
        <w:t>62</w:t>
      </w:r>
      <w:r w:rsidRPr="00AA686A">
        <w:t xml:space="preserve"> million over</w:t>
      </w:r>
      <w:r>
        <w:t xml:space="preserve"> 7 years.</w:t>
      </w:r>
    </w:p>
    <w:p w14:paraId="6C1E3C30" w14:textId="5EF7DBFF" w:rsidR="00AD71ED" w:rsidRDefault="00AD71ED" w:rsidP="00E109CF"/>
    <w:p w14:paraId="65BFBF65" w14:textId="081E65E7" w:rsidR="00AD71ED" w:rsidRDefault="00AD71ED" w:rsidP="00E109CF"/>
    <w:p w14:paraId="11380B17" w14:textId="2E0E1F5D" w:rsidR="00AD71ED" w:rsidRDefault="00AD71ED" w:rsidP="00E109CF"/>
    <w:p w14:paraId="6ED5FA7D" w14:textId="21F78719" w:rsidR="00AD71ED" w:rsidRDefault="00AD71ED" w:rsidP="00E109CF"/>
    <w:p w14:paraId="30067CF6" w14:textId="03F4A9A9" w:rsidR="00AD71ED" w:rsidRDefault="00AD71ED" w:rsidP="00E109CF"/>
    <w:p w14:paraId="5C1D6606" w14:textId="77777777" w:rsidR="00AD71ED" w:rsidRDefault="00AD71ED" w:rsidP="00E109CF"/>
    <w:p w14:paraId="44909E1D" w14:textId="77777777" w:rsidR="00E109CF" w:rsidRPr="001E5DF4" w:rsidRDefault="00E109CF" w:rsidP="00456A5F">
      <w:pPr>
        <w:pStyle w:val="TableCaption"/>
        <w:rPr>
          <w:iCs/>
        </w:rPr>
      </w:pPr>
      <w:r w:rsidRPr="001E5DF4">
        <w:lastRenderedPageBreak/>
        <w:t xml:space="preserve">Table </w:t>
      </w:r>
      <w:r w:rsidR="002F4199">
        <w:fldChar w:fldCharType="begin"/>
      </w:r>
      <w:r w:rsidR="002F4199">
        <w:instrText xml:space="preserve"> SEQ Table \* ARABIC </w:instrText>
      </w:r>
      <w:r w:rsidR="002F4199">
        <w:fldChar w:fldCharType="separate"/>
      </w:r>
      <w:r>
        <w:rPr>
          <w:noProof/>
        </w:rPr>
        <w:t>7</w:t>
      </w:r>
      <w:r w:rsidR="002F4199">
        <w:rPr>
          <w:noProof/>
        </w:rPr>
        <w:fldChar w:fldCharType="end"/>
      </w:r>
      <w:r w:rsidRPr="001E5DF4">
        <w:t>: Estimates of payroll tax revenue with and without the threshold increase ($'000)</w:t>
      </w:r>
      <w:r>
        <w:rPr>
          <w:rStyle w:val="FootnoteReference"/>
          <w:b/>
          <w:i w:val="0"/>
          <w:color w:val="auto"/>
          <w:szCs w:val="22"/>
        </w:rPr>
        <w:footnoteReference w:id="3"/>
      </w:r>
    </w:p>
    <w:tbl>
      <w:tblPr>
        <w:tblStyle w:val="ColorfulList-Accent5"/>
        <w:tblW w:w="11482" w:type="dxa"/>
        <w:tblInd w:w="-1142" w:type="dxa"/>
        <w:tblLook w:val="04A0" w:firstRow="1" w:lastRow="0" w:firstColumn="1" w:lastColumn="0" w:noHBand="0" w:noVBand="1"/>
      </w:tblPr>
      <w:tblGrid>
        <w:gridCol w:w="2552"/>
        <w:gridCol w:w="1116"/>
        <w:gridCol w:w="1116"/>
        <w:gridCol w:w="1116"/>
        <w:gridCol w:w="1117"/>
        <w:gridCol w:w="1116"/>
        <w:gridCol w:w="1116"/>
        <w:gridCol w:w="1116"/>
        <w:gridCol w:w="1117"/>
      </w:tblGrid>
      <w:tr w:rsidR="00771996" w:rsidRPr="00771996" w14:paraId="7221152F" w14:textId="77777777" w:rsidTr="00771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1D9A15B" w14:textId="77777777" w:rsidR="00AD71ED" w:rsidRPr="00771996" w:rsidRDefault="00AD71ED" w:rsidP="00771996">
            <w:pPr>
              <w:jc w:val="center"/>
              <w:rPr>
                <w:rFonts w:asciiTheme="minorHAnsi" w:hAnsiTheme="minorHAnsi" w:cstheme="minorHAnsi"/>
              </w:rPr>
            </w:pPr>
            <w:bookmarkStart w:id="20" w:name="_Hlk35855560"/>
            <w:r w:rsidRPr="00771996">
              <w:rPr>
                <w:rFonts w:asciiTheme="minorHAnsi" w:hAnsiTheme="minorHAnsi" w:cstheme="minorHAnsi"/>
              </w:rPr>
              <w:t>Year</w:t>
            </w:r>
          </w:p>
        </w:tc>
        <w:tc>
          <w:tcPr>
            <w:tcW w:w="1116" w:type="dxa"/>
          </w:tcPr>
          <w:p w14:paraId="350FDA5B" w14:textId="77777777" w:rsidR="00AD71ED" w:rsidRPr="00771996" w:rsidRDefault="00AD71ED" w:rsidP="007719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1996">
              <w:rPr>
                <w:rFonts w:asciiTheme="minorHAnsi" w:eastAsia="Times New Roman" w:hAnsiTheme="minorHAnsi" w:cstheme="minorHAnsi"/>
              </w:rPr>
              <w:t>2012-13</w:t>
            </w:r>
          </w:p>
        </w:tc>
        <w:tc>
          <w:tcPr>
            <w:tcW w:w="1116" w:type="dxa"/>
          </w:tcPr>
          <w:p w14:paraId="3C3894AC" w14:textId="77777777" w:rsidR="00AD71ED" w:rsidRPr="00771996" w:rsidRDefault="00AD71ED" w:rsidP="007719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1996">
              <w:rPr>
                <w:rFonts w:asciiTheme="minorHAnsi" w:eastAsia="Times New Roman" w:hAnsiTheme="minorHAnsi" w:cstheme="minorHAnsi"/>
              </w:rPr>
              <w:t>2013-14</w:t>
            </w:r>
          </w:p>
        </w:tc>
        <w:tc>
          <w:tcPr>
            <w:tcW w:w="1116" w:type="dxa"/>
          </w:tcPr>
          <w:p w14:paraId="61AC6C7D" w14:textId="77777777" w:rsidR="00AD71ED" w:rsidRPr="00771996" w:rsidRDefault="00AD71ED" w:rsidP="007719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1996">
              <w:rPr>
                <w:rFonts w:asciiTheme="minorHAnsi" w:eastAsia="Times New Roman" w:hAnsiTheme="minorHAnsi" w:cstheme="minorHAnsi"/>
              </w:rPr>
              <w:t>2014-15</w:t>
            </w:r>
          </w:p>
        </w:tc>
        <w:tc>
          <w:tcPr>
            <w:tcW w:w="1117" w:type="dxa"/>
          </w:tcPr>
          <w:p w14:paraId="2ECAE7BB" w14:textId="77777777" w:rsidR="00AD71ED" w:rsidRPr="00771996" w:rsidRDefault="00AD71ED" w:rsidP="007719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1996">
              <w:rPr>
                <w:rFonts w:asciiTheme="minorHAnsi" w:eastAsia="Times New Roman" w:hAnsiTheme="minorHAnsi" w:cstheme="minorHAnsi"/>
              </w:rPr>
              <w:t>2015-16</w:t>
            </w:r>
          </w:p>
        </w:tc>
        <w:tc>
          <w:tcPr>
            <w:tcW w:w="1116" w:type="dxa"/>
          </w:tcPr>
          <w:p w14:paraId="3928AF20" w14:textId="77777777" w:rsidR="00AD71ED" w:rsidRPr="00771996" w:rsidRDefault="00AD71ED" w:rsidP="007719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1996">
              <w:rPr>
                <w:rFonts w:asciiTheme="minorHAnsi" w:eastAsia="Times New Roman" w:hAnsiTheme="minorHAnsi" w:cstheme="minorHAnsi"/>
              </w:rPr>
              <w:t>2016-17</w:t>
            </w:r>
          </w:p>
        </w:tc>
        <w:tc>
          <w:tcPr>
            <w:tcW w:w="1116" w:type="dxa"/>
          </w:tcPr>
          <w:p w14:paraId="68D32F52" w14:textId="77777777" w:rsidR="00AD71ED" w:rsidRPr="00771996" w:rsidRDefault="00AD71ED" w:rsidP="007719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1996">
              <w:rPr>
                <w:rFonts w:asciiTheme="minorHAnsi" w:eastAsia="Times New Roman" w:hAnsiTheme="minorHAnsi" w:cstheme="minorHAnsi"/>
              </w:rPr>
              <w:t>2017-18</w:t>
            </w:r>
          </w:p>
        </w:tc>
        <w:tc>
          <w:tcPr>
            <w:tcW w:w="1116" w:type="dxa"/>
          </w:tcPr>
          <w:p w14:paraId="08CB4EAF" w14:textId="77777777" w:rsidR="00AD71ED" w:rsidRPr="00771996" w:rsidRDefault="00AD71ED" w:rsidP="007719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1996">
              <w:rPr>
                <w:rFonts w:asciiTheme="minorHAnsi" w:eastAsia="Times New Roman" w:hAnsiTheme="minorHAnsi" w:cstheme="minorHAnsi"/>
              </w:rPr>
              <w:t>2018-19</w:t>
            </w:r>
          </w:p>
        </w:tc>
        <w:tc>
          <w:tcPr>
            <w:tcW w:w="1117" w:type="dxa"/>
          </w:tcPr>
          <w:p w14:paraId="7A9646A5" w14:textId="77777777" w:rsidR="00AD71ED" w:rsidRPr="00771996" w:rsidRDefault="00AD71ED" w:rsidP="0077199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val="0"/>
              </w:rPr>
            </w:pPr>
            <w:r w:rsidRPr="00771996">
              <w:rPr>
                <w:rFonts w:asciiTheme="minorHAnsi" w:eastAsia="Times New Roman" w:hAnsiTheme="minorHAnsi" w:cstheme="minorHAnsi"/>
                <w:b/>
              </w:rPr>
              <w:t>Total</w:t>
            </w:r>
          </w:p>
        </w:tc>
      </w:tr>
      <w:bookmarkEnd w:id="20"/>
      <w:tr w:rsidR="00771996" w:rsidRPr="00771996" w14:paraId="723C143E" w14:textId="77777777" w:rsidTr="00771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A36A5FB" w14:textId="77777777" w:rsidR="00AD71ED" w:rsidRPr="00771996" w:rsidRDefault="00AD71ED" w:rsidP="00771996">
            <w:pPr>
              <w:jc w:val="center"/>
              <w:rPr>
                <w:rFonts w:cstheme="minorHAnsi"/>
              </w:rPr>
            </w:pPr>
            <w:r w:rsidRPr="00771996">
              <w:rPr>
                <w:rFonts w:cstheme="minorHAnsi"/>
              </w:rPr>
              <w:t>Actual payroll tax revenue</w:t>
            </w:r>
          </w:p>
        </w:tc>
        <w:tc>
          <w:tcPr>
            <w:tcW w:w="1116" w:type="dxa"/>
          </w:tcPr>
          <w:p w14:paraId="64D35CBF" w14:textId="6DBDB486" w:rsidR="00AD71ED" w:rsidRPr="00771996" w:rsidRDefault="00AD71ED" w:rsidP="00771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73"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71996">
              <w:rPr>
                <w:rFonts w:eastAsia="Times New Roman" w:cstheme="minorHAnsi"/>
                <w:color w:val="000000"/>
                <w:bdr w:val="none" w:sz="0" w:space="0" w:color="auto" w:frame="1"/>
              </w:rPr>
              <w:t>311,786</w:t>
            </w:r>
          </w:p>
        </w:tc>
        <w:tc>
          <w:tcPr>
            <w:tcW w:w="1116" w:type="dxa"/>
          </w:tcPr>
          <w:p w14:paraId="7F7394C2" w14:textId="21C3676D" w:rsidR="00AD71ED" w:rsidRPr="00771996" w:rsidRDefault="00AD71ED" w:rsidP="00771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73"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71996">
              <w:rPr>
                <w:rFonts w:eastAsia="Times New Roman" w:cstheme="minorHAnsi"/>
                <w:color w:val="000000"/>
                <w:bdr w:val="none" w:sz="0" w:space="0" w:color="auto" w:frame="1"/>
              </w:rPr>
              <w:t>313,385</w:t>
            </w:r>
          </w:p>
        </w:tc>
        <w:tc>
          <w:tcPr>
            <w:tcW w:w="1116" w:type="dxa"/>
          </w:tcPr>
          <w:p w14:paraId="101ECA2B" w14:textId="77777777"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1996">
              <w:rPr>
                <w:rFonts w:cstheme="minorHAnsi"/>
              </w:rPr>
              <w:t>345,165</w:t>
            </w:r>
          </w:p>
        </w:tc>
        <w:tc>
          <w:tcPr>
            <w:tcW w:w="1117" w:type="dxa"/>
          </w:tcPr>
          <w:p w14:paraId="083E987C" w14:textId="77777777"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1996">
              <w:rPr>
                <w:rFonts w:cstheme="minorHAnsi"/>
              </w:rPr>
              <w:t>399,567</w:t>
            </w:r>
          </w:p>
        </w:tc>
        <w:tc>
          <w:tcPr>
            <w:tcW w:w="1116" w:type="dxa"/>
          </w:tcPr>
          <w:p w14:paraId="31210B23" w14:textId="6063860E"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1996">
              <w:rPr>
                <w:rFonts w:cstheme="minorHAnsi"/>
              </w:rPr>
              <w:t>292,850</w:t>
            </w:r>
          </w:p>
        </w:tc>
        <w:tc>
          <w:tcPr>
            <w:tcW w:w="1116" w:type="dxa"/>
          </w:tcPr>
          <w:p w14:paraId="4D1ED6B7" w14:textId="651AAF89"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1996">
              <w:rPr>
                <w:rFonts w:cstheme="minorHAnsi"/>
              </w:rPr>
              <w:t>472,044</w:t>
            </w:r>
          </w:p>
        </w:tc>
        <w:tc>
          <w:tcPr>
            <w:tcW w:w="1116" w:type="dxa"/>
          </w:tcPr>
          <w:p w14:paraId="6E7DAD85" w14:textId="4BCCFC8D"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1996">
              <w:rPr>
                <w:rFonts w:cstheme="minorHAnsi"/>
              </w:rPr>
              <w:t>496,580</w:t>
            </w:r>
          </w:p>
        </w:tc>
        <w:tc>
          <w:tcPr>
            <w:tcW w:w="1117" w:type="dxa"/>
          </w:tcPr>
          <w:p w14:paraId="6676AF9D" w14:textId="77777777"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771996">
              <w:rPr>
                <w:rFonts w:cstheme="minorHAnsi"/>
                <w:b/>
                <w:bCs/>
                <w:color w:val="000000"/>
              </w:rPr>
              <w:t>2,631,377</w:t>
            </w:r>
          </w:p>
        </w:tc>
      </w:tr>
      <w:tr w:rsidR="00771996" w:rsidRPr="00771996" w14:paraId="6DF1C3A8" w14:textId="77777777" w:rsidTr="00771996">
        <w:tc>
          <w:tcPr>
            <w:cnfStyle w:val="001000000000" w:firstRow="0" w:lastRow="0" w:firstColumn="1" w:lastColumn="0" w:oddVBand="0" w:evenVBand="0" w:oddHBand="0" w:evenHBand="0" w:firstRowFirstColumn="0" w:firstRowLastColumn="0" w:lastRowFirstColumn="0" w:lastRowLastColumn="0"/>
            <w:tcW w:w="2552" w:type="dxa"/>
          </w:tcPr>
          <w:p w14:paraId="05E1722F" w14:textId="77777777" w:rsidR="00AD71ED" w:rsidRPr="00771996" w:rsidRDefault="00AD71ED" w:rsidP="00771996">
            <w:pPr>
              <w:jc w:val="center"/>
              <w:rPr>
                <w:rFonts w:cstheme="minorHAnsi"/>
              </w:rPr>
            </w:pPr>
            <w:r w:rsidRPr="00771996">
              <w:rPr>
                <w:rFonts w:cstheme="minorHAnsi"/>
              </w:rPr>
              <w:t>Total territory payroll tax revenue from consolidated annual financial statements</w:t>
            </w:r>
          </w:p>
        </w:tc>
        <w:tc>
          <w:tcPr>
            <w:tcW w:w="1116" w:type="dxa"/>
          </w:tcPr>
          <w:p w14:paraId="7A4D164F" w14:textId="5FE39FC4" w:rsidR="00AD71ED" w:rsidRPr="00771996" w:rsidRDefault="00AD71ED" w:rsidP="00771996">
            <w:pPr>
              <w:pStyle w:val="Bullet2"/>
              <w:numPr>
                <w:ilvl w:val="0"/>
                <w:numId w:val="0"/>
              </w:num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bdr w:val="none" w:sz="0" w:space="0" w:color="auto" w:frame="1"/>
              </w:rPr>
            </w:pPr>
            <w:r w:rsidRPr="00771996">
              <w:rPr>
                <w:rFonts w:cstheme="minorHAnsi"/>
                <w:sz w:val="21"/>
                <w:szCs w:val="21"/>
                <w:bdr w:val="none" w:sz="0" w:space="0" w:color="auto" w:frame="1"/>
              </w:rPr>
              <w:t>310</w:t>
            </w:r>
            <w:r w:rsidR="00771996">
              <w:rPr>
                <w:rFonts w:cstheme="minorHAnsi"/>
                <w:sz w:val="21"/>
                <w:szCs w:val="21"/>
                <w:bdr w:val="none" w:sz="0" w:space="0" w:color="auto" w:frame="1"/>
              </w:rPr>
              <w:t>,</w:t>
            </w:r>
            <w:r w:rsidRPr="00771996">
              <w:rPr>
                <w:rFonts w:cstheme="minorHAnsi"/>
                <w:sz w:val="21"/>
                <w:szCs w:val="21"/>
                <w:bdr w:val="none" w:sz="0" w:space="0" w:color="auto" w:frame="1"/>
              </w:rPr>
              <w:t>000</w:t>
            </w:r>
          </w:p>
        </w:tc>
        <w:tc>
          <w:tcPr>
            <w:tcW w:w="1116" w:type="dxa"/>
          </w:tcPr>
          <w:p w14:paraId="7B5EC370" w14:textId="1CFB9692" w:rsidR="00AD71ED" w:rsidRPr="00771996" w:rsidRDefault="00AD71ED" w:rsidP="00771996">
            <w:pPr>
              <w:pStyle w:val="Bullet1"/>
              <w:numPr>
                <w:ilvl w:val="0"/>
                <w:numId w:val="0"/>
              </w:numPr>
              <w:ind w:left="357" w:hanging="357"/>
              <w:jc w:val="center"/>
              <w:cnfStyle w:val="000000000000" w:firstRow="0" w:lastRow="0" w:firstColumn="0" w:lastColumn="0" w:oddVBand="0" w:evenVBand="0" w:oddHBand="0" w:evenHBand="0" w:firstRowFirstColumn="0" w:firstRowLastColumn="0" w:lastRowFirstColumn="0" w:lastRowLastColumn="0"/>
              <w:rPr>
                <w:rFonts w:cstheme="minorHAnsi"/>
                <w:sz w:val="21"/>
                <w:szCs w:val="21"/>
                <w:bdr w:val="none" w:sz="0" w:space="0" w:color="auto" w:frame="1"/>
              </w:rPr>
            </w:pPr>
            <w:r w:rsidRPr="00771996">
              <w:rPr>
                <w:rFonts w:cstheme="minorHAnsi"/>
                <w:sz w:val="21"/>
                <w:szCs w:val="21"/>
                <w:bdr w:val="none" w:sz="0" w:space="0" w:color="auto" w:frame="1"/>
              </w:rPr>
              <w:t>318,000</w:t>
            </w:r>
          </w:p>
        </w:tc>
        <w:tc>
          <w:tcPr>
            <w:tcW w:w="1116" w:type="dxa"/>
          </w:tcPr>
          <w:p w14:paraId="32A6ED36" w14:textId="0C6A86B0"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71996">
              <w:rPr>
                <w:rFonts w:cstheme="minorHAnsi"/>
              </w:rPr>
              <w:t>346,000</w:t>
            </w:r>
          </w:p>
        </w:tc>
        <w:tc>
          <w:tcPr>
            <w:tcW w:w="1117" w:type="dxa"/>
          </w:tcPr>
          <w:p w14:paraId="6210419B" w14:textId="12DA02F0"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71996">
              <w:rPr>
                <w:rFonts w:cstheme="minorHAnsi"/>
              </w:rPr>
              <w:t>411,000</w:t>
            </w:r>
          </w:p>
        </w:tc>
        <w:tc>
          <w:tcPr>
            <w:tcW w:w="1116" w:type="dxa"/>
          </w:tcPr>
          <w:p w14:paraId="52C5AF5E" w14:textId="50AF6D5B"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71996">
              <w:rPr>
                <w:rFonts w:cstheme="minorHAnsi"/>
              </w:rPr>
              <w:t>437,000</w:t>
            </w:r>
          </w:p>
        </w:tc>
        <w:tc>
          <w:tcPr>
            <w:tcW w:w="1116" w:type="dxa"/>
          </w:tcPr>
          <w:p w14:paraId="76AD953F" w14:textId="7503106D"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71996">
              <w:rPr>
                <w:rFonts w:cstheme="minorHAnsi"/>
              </w:rPr>
              <w:t>473,000</w:t>
            </w:r>
          </w:p>
        </w:tc>
        <w:tc>
          <w:tcPr>
            <w:tcW w:w="1116" w:type="dxa"/>
          </w:tcPr>
          <w:p w14:paraId="480BC54F" w14:textId="119A13AC"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71996">
              <w:rPr>
                <w:rFonts w:cstheme="minorHAnsi"/>
              </w:rPr>
              <w:t>536,000</w:t>
            </w:r>
          </w:p>
        </w:tc>
        <w:tc>
          <w:tcPr>
            <w:tcW w:w="1117" w:type="dxa"/>
          </w:tcPr>
          <w:p w14:paraId="5924A599" w14:textId="5EF15A84"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771996">
              <w:rPr>
                <w:rFonts w:cstheme="minorHAnsi"/>
                <w:b/>
                <w:bCs/>
                <w:color w:val="000000"/>
              </w:rPr>
              <w:t>2,831,000</w:t>
            </w:r>
          </w:p>
        </w:tc>
      </w:tr>
      <w:tr w:rsidR="00771996" w:rsidRPr="00771996" w14:paraId="3731E150" w14:textId="77777777" w:rsidTr="00771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EEC0581" w14:textId="77777777" w:rsidR="00AD71ED" w:rsidRPr="00771996" w:rsidRDefault="00AD71ED" w:rsidP="00771996">
            <w:pPr>
              <w:jc w:val="center"/>
              <w:rPr>
                <w:rFonts w:cstheme="minorHAnsi"/>
              </w:rPr>
            </w:pPr>
            <w:r w:rsidRPr="00771996">
              <w:rPr>
                <w:rFonts w:cstheme="minorHAnsi"/>
              </w:rPr>
              <w:t>Counterfactual payroll tax revenue</w:t>
            </w:r>
          </w:p>
        </w:tc>
        <w:tc>
          <w:tcPr>
            <w:tcW w:w="1116" w:type="dxa"/>
          </w:tcPr>
          <w:p w14:paraId="6F9C2145" w14:textId="77777777"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1996">
              <w:rPr>
                <w:rFonts w:eastAsia="Times New Roman" w:cstheme="minorHAnsi"/>
                <w:color w:val="000000"/>
                <w:bdr w:val="none" w:sz="0" w:space="0" w:color="auto" w:frame="1"/>
              </w:rPr>
              <w:t>317,949</w:t>
            </w:r>
          </w:p>
        </w:tc>
        <w:tc>
          <w:tcPr>
            <w:tcW w:w="1116" w:type="dxa"/>
          </w:tcPr>
          <w:p w14:paraId="53B53433" w14:textId="77777777"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1996">
              <w:rPr>
                <w:rFonts w:eastAsia="Times New Roman" w:cstheme="minorHAnsi"/>
                <w:color w:val="000000"/>
                <w:bdr w:val="none" w:sz="0" w:space="0" w:color="auto" w:frame="1"/>
              </w:rPr>
              <w:t>319,534</w:t>
            </w:r>
          </w:p>
        </w:tc>
        <w:tc>
          <w:tcPr>
            <w:tcW w:w="1116" w:type="dxa"/>
          </w:tcPr>
          <w:p w14:paraId="69A0642A" w14:textId="77777777"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1996">
              <w:rPr>
                <w:rFonts w:eastAsia="Times New Roman" w:cstheme="minorHAnsi"/>
                <w:color w:val="000000"/>
                <w:bdr w:val="none" w:sz="0" w:space="0" w:color="auto" w:frame="1"/>
              </w:rPr>
              <w:t>354,214</w:t>
            </w:r>
          </w:p>
        </w:tc>
        <w:tc>
          <w:tcPr>
            <w:tcW w:w="1117" w:type="dxa"/>
          </w:tcPr>
          <w:p w14:paraId="492F7EB7" w14:textId="77777777"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1996">
              <w:rPr>
                <w:rFonts w:eastAsia="Times New Roman" w:cstheme="minorHAnsi"/>
                <w:color w:val="000000"/>
                <w:bdr w:val="none" w:sz="0" w:space="0" w:color="auto" w:frame="1"/>
              </w:rPr>
              <w:t>409,409</w:t>
            </w:r>
          </w:p>
        </w:tc>
        <w:tc>
          <w:tcPr>
            <w:tcW w:w="1116" w:type="dxa"/>
          </w:tcPr>
          <w:p w14:paraId="3E1D1C0E" w14:textId="77777777"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1996">
              <w:rPr>
                <w:rFonts w:cstheme="minorHAnsi"/>
              </w:rPr>
              <w:t>298,179</w:t>
            </w:r>
          </w:p>
        </w:tc>
        <w:tc>
          <w:tcPr>
            <w:tcW w:w="1116" w:type="dxa"/>
          </w:tcPr>
          <w:p w14:paraId="7DCA1C4D" w14:textId="77777777"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1996">
              <w:rPr>
                <w:rFonts w:eastAsia="Times New Roman" w:cstheme="minorHAnsi"/>
                <w:color w:val="000000"/>
                <w:bdr w:val="none" w:sz="0" w:space="0" w:color="auto" w:frame="1"/>
              </w:rPr>
              <w:t>485,518</w:t>
            </w:r>
          </w:p>
        </w:tc>
        <w:tc>
          <w:tcPr>
            <w:tcW w:w="1116" w:type="dxa"/>
          </w:tcPr>
          <w:p w14:paraId="4DACA04C" w14:textId="77777777"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1996">
              <w:rPr>
                <w:rFonts w:eastAsia="Times New Roman" w:cstheme="minorHAnsi"/>
                <w:color w:val="000000"/>
                <w:bdr w:val="none" w:sz="0" w:space="0" w:color="auto" w:frame="1"/>
              </w:rPr>
              <w:t>509,052</w:t>
            </w:r>
          </w:p>
        </w:tc>
        <w:tc>
          <w:tcPr>
            <w:tcW w:w="1117" w:type="dxa"/>
          </w:tcPr>
          <w:p w14:paraId="5933E700" w14:textId="6C2A5A29" w:rsidR="00AD71ED" w:rsidRPr="00771996" w:rsidRDefault="00AD71ED" w:rsidP="00771996">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771996">
              <w:rPr>
                <w:rFonts w:cstheme="minorHAnsi"/>
                <w:b/>
                <w:bCs/>
                <w:color w:val="000000"/>
              </w:rPr>
              <w:t>2,693,855</w:t>
            </w:r>
          </w:p>
        </w:tc>
      </w:tr>
      <w:tr w:rsidR="00771996" w:rsidRPr="00771996" w14:paraId="71A780A3" w14:textId="77777777" w:rsidTr="00771996">
        <w:tc>
          <w:tcPr>
            <w:cnfStyle w:val="001000000000" w:firstRow="0" w:lastRow="0" w:firstColumn="1" w:lastColumn="0" w:oddVBand="0" w:evenVBand="0" w:oddHBand="0" w:evenHBand="0" w:firstRowFirstColumn="0" w:firstRowLastColumn="0" w:lastRowFirstColumn="0" w:lastRowLastColumn="0"/>
            <w:tcW w:w="2552" w:type="dxa"/>
          </w:tcPr>
          <w:p w14:paraId="0F9D8CA3" w14:textId="77777777" w:rsidR="00AD71ED" w:rsidRPr="00771996" w:rsidRDefault="00AD71ED" w:rsidP="00771996">
            <w:pPr>
              <w:jc w:val="center"/>
              <w:rPr>
                <w:rFonts w:cstheme="minorHAnsi"/>
                <w:b w:val="0"/>
                <w:bCs w:val="0"/>
              </w:rPr>
            </w:pPr>
            <w:r w:rsidRPr="00771996">
              <w:rPr>
                <w:rFonts w:cstheme="minorHAnsi"/>
              </w:rPr>
              <w:t>Difference in payroll tax revenue</w:t>
            </w:r>
          </w:p>
        </w:tc>
        <w:tc>
          <w:tcPr>
            <w:tcW w:w="1116" w:type="dxa"/>
          </w:tcPr>
          <w:p w14:paraId="2A290323" w14:textId="77777777"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771996">
              <w:rPr>
                <w:rFonts w:cstheme="minorHAnsi"/>
                <w:b/>
                <w:bCs/>
                <w:color w:val="000000"/>
              </w:rPr>
              <w:t>-6,163</w:t>
            </w:r>
          </w:p>
        </w:tc>
        <w:tc>
          <w:tcPr>
            <w:tcW w:w="1116" w:type="dxa"/>
          </w:tcPr>
          <w:p w14:paraId="026A18DB" w14:textId="77777777"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771996">
              <w:rPr>
                <w:rFonts w:cstheme="minorHAnsi"/>
                <w:b/>
                <w:bCs/>
                <w:color w:val="000000"/>
              </w:rPr>
              <w:t>-6,149</w:t>
            </w:r>
          </w:p>
        </w:tc>
        <w:tc>
          <w:tcPr>
            <w:tcW w:w="1116" w:type="dxa"/>
          </w:tcPr>
          <w:p w14:paraId="3B483372" w14:textId="77777777"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771996">
              <w:rPr>
                <w:rFonts w:cstheme="minorHAnsi"/>
                <w:b/>
                <w:bCs/>
                <w:color w:val="000000"/>
              </w:rPr>
              <w:t>-9,049</w:t>
            </w:r>
          </w:p>
        </w:tc>
        <w:tc>
          <w:tcPr>
            <w:tcW w:w="1117" w:type="dxa"/>
          </w:tcPr>
          <w:p w14:paraId="5BEA647F" w14:textId="77777777"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771996">
              <w:rPr>
                <w:rFonts w:cstheme="minorHAnsi"/>
                <w:b/>
                <w:bCs/>
                <w:color w:val="000000"/>
              </w:rPr>
              <w:t>-9,842</w:t>
            </w:r>
          </w:p>
        </w:tc>
        <w:tc>
          <w:tcPr>
            <w:tcW w:w="1116" w:type="dxa"/>
          </w:tcPr>
          <w:p w14:paraId="4A1E42F0" w14:textId="77777777"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771996">
              <w:rPr>
                <w:rFonts w:cstheme="minorHAnsi"/>
                <w:b/>
                <w:bCs/>
                <w:color w:val="000000"/>
              </w:rPr>
              <w:t>-5,329</w:t>
            </w:r>
          </w:p>
        </w:tc>
        <w:tc>
          <w:tcPr>
            <w:tcW w:w="1116" w:type="dxa"/>
          </w:tcPr>
          <w:p w14:paraId="05FAD31F" w14:textId="77777777"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771996">
              <w:rPr>
                <w:rFonts w:cstheme="minorHAnsi"/>
                <w:b/>
                <w:bCs/>
                <w:color w:val="000000"/>
              </w:rPr>
              <w:t>-13,474</w:t>
            </w:r>
          </w:p>
        </w:tc>
        <w:tc>
          <w:tcPr>
            <w:tcW w:w="1116" w:type="dxa"/>
          </w:tcPr>
          <w:p w14:paraId="02820F40" w14:textId="77777777"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771996">
              <w:rPr>
                <w:rFonts w:cstheme="minorHAnsi"/>
                <w:b/>
                <w:bCs/>
                <w:color w:val="000000"/>
              </w:rPr>
              <w:t>-12,472</w:t>
            </w:r>
          </w:p>
        </w:tc>
        <w:tc>
          <w:tcPr>
            <w:tcW w:w="1117" w:type="dxa"/>
          </w:tcPr>
          <w:p w14:paraId="528FCC90" w14:textId="77777777" w:rsidR="00AD71ED" w:rsidRPr="00771996" w:rsidRDefault="00AD71ED" w:rsidP="00771996">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771996">
              <w:rPr>
                <w:rFonts w:cstheme="minorHAnsi"/>
                <w:b/>
                <w:bCs/>
                <w:color w:val="000000"/>
              </w:rPr>
              <w:t>-62,478</w:t>
            </w:r>
          </w:p>
        </w:tc>
      </w:tr>
    </w:tbl>
    <w:p w14:paraId="5FFE0C20" w14:textId="77777777" w:rsidR="00E109CF" w:rsidRPr="00771996" w:rsidRDefault="00E109CF" w:rsidP="00E109CF">
      <w:pPr>
        <w:rPr>
          <w:rFonts w:cstheme="minorHAnsi"/>
        </w:rPr>
      </w:pPr>
    </w:p>
    <w:p w14:paraId="709E00CC" w14:textId="77777777" w:rsidR="00E109CF" w:rsidRDefault="00E109CF" w:rsidP="00E109CF"/>
    <w:p w14:paraId="1EE9975F" w14:textId="77777777" w:rsidR="00456A5F" w:rsidRDefault="00456A5F">
      <w:pPr>
        <w:spacing w:line="276" w:lineRule="auto"/>
        <w:rPr>
          <w:caps/>
          <w:color w:val="AB4399"/>
          <w:w w:val="110"/>
          <w:sz w:val="40"/>
          <w:szCs w:val="40"/>
        </w:rPr>
      </w:pPr>
      <w:r>
        <w:rPr>
          <w:sz w:val="40"/>
          <w:szCs w:val="40"/>
        </w:rPr>
        <w:br w:type="page"/>
      </w:r>
    </w:p>
    <w:p w14:paraId="78917BAE" w14:textId="3D812808" w:rsidR="00E109CF" w:rsidRPr="00CC6528" w:rsidRDefault="00E109CF" w:rsidP="00155C9E">
      <w:pPr>
        <w:pStyle w:val="Heading1"/>
      </w:pPr>
      <w:bookmarkStart w:id="21" w:name="_Toc48112957"/>
      <w:r w:rsidRPr="00CC6528">
        <w:lastRenderedPageBreak/>
        <w:t>Results</w:t>
      </w:r>
      <w:bookmarkEnd w:id="21"/>
    </w:p>
    <w:p w14:paraId="1BC772A7" w14:textId="77777777" w:rsidR="00E109CF" w:rsidRDefault="00E109CF" w:rsidP="00E109CF">
      <w:r>
        <w:t>T</w:t>
      </w:r>
      <w:r w:rsidRPr="00EB6351">
        <w:t>he estimates</w:t>
      </w:r>
      <w:r>
        <w:t xml:space="preserve"> in Table 7</w:t>
      </w:r>
      <w:r w:rsidRPr="00EB6351">
        <w:t xml:space="preserve"> show that over </w:t>
      </w:r>
      <w:r>
        <w:t>seven years</w:t>
      </w:r>
      <w:r w:rsidRPr="00EB6351">
        <w:t>, the Government has raised approximately $62</w:t>
      </w:r>
      <w:r>
        <w:t> </w:t>
      </w:r>
      <w:r w:rsidRPr="00EB6351">
        <w:t xml:space="preserve">million </w:t>
      </w:r>
      <w:r w:rsidRPr="00EB6351">
        <w:rPr>
          <w:b/>
          <w:bCs/>
        </w:rPr>
        <w:t>less</w:t>
      </w:r>
      <w:r w:rsidRPr="00EB6351">
        <w:t xml:space="preserve"> in revenue due to </w:t>
      </w:r>
      <w:r>
        <w:t>progressive increases in the threshold</w:t>
      </w:r>
      <w:r w:rsidRPr="00EB6351">
        <w:t xml:space="preserve">. </w:t>
      </w:r>
    </w:p>
    <w:p w14:paraId="4D8643B1" w14:textId="77777777" w:rsidR="00E109CF" w:rsidRDefault="00E109CF" w:rsidP="00E109CF">
      <w:r>
        <w:t>The ACT’s Government’s analysis on the whether the tax reform program has been revenue neutral to date finds that over the first seven years of tax reform, t</w:t>
      </w:r>
      <w:r w:rsidRPr="00EB6351">
        <w:t xml:space="preserve">he Government has raised approximately $62 million </w:t>
      </w:r>
      <w:r w:rsidRPr="00EB6351">
        <w:rPr>
          <w:b/>
          <w:bCs/>
        </w:rPr>
        <w:t>less</w:t>
      </w:r>
      <w:r w:rsidRPr="00EB6351">
        <w:t xml:space="preserve"> in revenue due to tax reform.</w:t>
      </w:r>
      <w:r>
        <w:rPr>
          <w:rStyle w:val="FootnoteReference"/>
        </w:rPr>
        <w:footnoteReference w:id="4"/>
      </w:r>
      <w:r>
        <w:t xml:space="preserve"> It also finds that during the first seven years of tax reform, </w:t>
      </w:r>
      <w:r w:rsidRPr="00EB6351">
        <w:t>the Government has</w:t>
      </w:r>
      <w:r w:rsidRPr="00EB6351">
        <w:rPr>
          <w:b/>
          <w:bCs/>
        </w:rPr>
        <w:t xml:space="preserve"> forgone</w:t>
      </w:r>
      <w:r w:rsidRPr="00EB6351">
        <w:t xml:space="preserve"> approximately $128 million in revenue from the residential sector</w:t>
      </w:r>
      <w:r>
        <w:t xml:space="preserve"> and </w:t>
      </w:r>
      <w:r w:rsidRPr="00EB6351">
        <w:t xml:space="preserve">has raised an </w:t>
      </w:r>
      <w:r w:rsidRPr="00EB6351">
        <w:rPr>
          <w:b/>
          <w:bCs/>
        </w:rPr>
        <w:t>additional</w:t>
      </w:r>
      <w:r w:rsidRPr="00EB6351">
        <w:t xml:space="preserve"> $66 million from the commercial sector.</w:t>
      </w:r>
      <w:r>
        <w:t xml:space="preserve"> As mentioned in the introduction, the revenue neutrality commitment primarily relates to replacing inefficient taxes, such as stamp duty and insurance duty, with broad based land taxes such as general rates. Therefore, the conclusions from the revenue neutrality analysis do not </w:t>
      </w:r>
      <w:proofErr w:type="gramStart"/>
      <w:r>
        <w:t>take into account</w:t>
      </w:r>
      <w:proofErr w:type="gramEnd"/>
      <w:r>
        <w:t xml:space="preserve"> the progressive increases in the payroll-tax free threshold, which have resulted in additional forgone revenue and have reduced the payroll tax burden on the commercial sector. </w:t>
      </w:r>
    </w:p>
    <w:p w14:paraId="32DFA90E" w14:textId="77777777" w:rsidR="00E109CF" w:rsidRDefault="00E109CF" w:rsidP="00E109CF">
      <w:r>
        <w:t xml:space="preserve">Analysis in this paper incorporates the changes made to the payroll-tax free threshold. Over 2012-13 to 2018-19, the Government has raised approximately $62 million </w:t>
      </w:r>
      <w:r w:rsidRPr="00DD5F49">
        <w:rPr>
          <w:b/>
          <w:bCs/>
        </w:rPr>
        <w:t>less</w:t>
      </w:r>
      <w:r>
        <w:t xml:space="preserve"> in revenue due to tax reform and approximately $62 million </w:t>
      </w:r>
      <w:r w:rsidRPr="00FB23A9">
        <w:rPr>
          <w:b/>
          <w:bCs/>
        </w:rPr>
        <w:t>less</w:t>
      </w:r>
      <w:r>
        <w:t xml:space="preserve"> in revenue due to increases in the payroll-tax free threshold. Therefore, the Government has </w:t>
      </w:r>
      <w:r w:rsidRPr="00D74495">
        <w:rPr>
          <w:b/>
          <w:bCs/>
        </w:rPr>
        <w:t>forgone</w:t>
      </w:r>
      <w:r>
        <w:t xml:space="preserve"> approximately $124 million in revenue over these seven years. </w:t>
      </w:r>
    </w:p>
    <w:p w14:paraId="49654A10" w14:textId="77777777" w:rsidR="00E109CF" w:rsidRDefault="00E109CF" w:rsidP="00E109CF">
      <w:r>
        <w:t xml:space="preserve">Furthermore, </w:t>
      </w:r>
      <w:r w:rsidRPr="00EB6351">
        <w:t xml:space="preserve">the Government has raised an </w:t>
      </w:r>
      <w:r w:rsidRPr="00EB6351">
        <w:rPr>
          <w:b/>
          <w:bCs/>
        </w:rPr>
        <w:t>additional</w:t>
      </w:r>
      <w:r w:rsidRPr="00EB6351">
        <w:t xml:space="preserve"> $66 million from the commercial sector</w:t>
      </w:r>
      <w:r>
        <w:t xml:space="preserve"> due to tax reform and has </w:t>
      </w:r>
      <w:r w:rsidRPr="00D74495">
        <w:rPr>
          <w:b/>
          <w:bCs/>
        </w:rPr>
        <w:t>forgone</w:t>
      </w:r>
      <w:r>
        <w:t xml:space="preserve"> $62 million from the commercial sector due to increases in the payroll-tax free threshold. Therefore, the Government has raised an </w:t>
      </w:r>
      <w:r w:rsidRPr="008E7A15">
        <w:rPr>
          <w:b/>
          <w:bCs/>
        </w:rPr>
        <w:t>additional</w:t>
      </w:r>
      <w:r>
        <w:t xml:space="preserve"> $4 million from the commercial sector over these seven years. This additional revenue is 0.091 per cent of the total revenue raised from the relevant tax lines for the commercial sector over this period to date. Given this, the total tax burden on the commercial sector has remained largely unchanged over the reform period to date.</w:t>
      </w:r>
    </w:p>
    <w:p w14:paraId="4DD728B2" w14:textId="77777777" w:rsidR="00E109CF" w:rsidRDefault="00E109CF" w:rsidP="00E109CF">
      <w:r>
        <w:t xml:space="preserve">Table 7 also presents the difference in payroll tax revenue by financial year. Excluding 2016-17 due to data limitations, the difference in payroll tax revenue is generally decreasing from 2012-13 to 2018-19. The reason behind this is the </w:t>
      </w:r>
      <w:r w:rsidRPr="00D102DA">
        <w:rPr>
          <w:b/>
          <w:bCs/>
        </w:rPr>
        <w:t>progressive</w:t>
      </w:r>
      <w:r>
        <w:t xml:space="preserve"> increases in the threshold, where large decreases in the difference in payroll tax revenue coincides with threshold increases. From Table 1, in 2012-13 and 2013-14 the threshold was $1.75 million per annum and the difference in payroll tax revenue is approximately the same for these two years at -$6 million. In 2014-15 the threshold was increased to $1.85 million per annum, and this coincides with a decrease in the difference in payroll tax revenue to approximately -$9 million in 2014-15. The threshold remained constant at $1.85 million in 2015-16, and therefore, the difference in payroll tax revenue remains constant at approximately   -$9 million in 2015-16. In 2016-17 the threshold was increased again to $2 million per annum and remained constant at $2 million for the remaining years; this threshold increase also coincides with a decrease in the difference in payroll tax revenue to approximately -$12 million to -$13 million in 2017-18 and 2018-19 (excluding 2016-17 due to a lower percentage of reconciled data in this year).</w:t>
      </w:r>
    </w:p>
    <w:p w14:paraId="5241092F" w14:textId="77777777" w:rsidR="00E109CF" w:rsidRDefault="00E109CF" w:rsidP="00E109CF">
      <w:r>
        <w:t xml:space="preserve"> </w:t>
      </w:r>
    </w:p>
    <w:p w14:paraId="0F25C863" w14:textId="77777777" w:rsidR="00155C9E" w:rsidRDefault="00155C9E">
      <w:pPr>
        <w:spacing w:line="276" w:lineRule="auto"/>
        <w:rPr>
          <w:caps/>
          <w:color w:val="AB4399"/>
          <w:w w:val="110"/>
          <w:sz w:val="40"/>
          <w:szCs w:val="40"/>
        </w:rPr>
      </w:pPr>
      <w:r>
        <w:rPr>
          <w:sz w:val="40"/>
          <w:szCs w:val="40"/>
        </w:rPr>
        <w:br w:type="page"/>
      </w:r>
    </w:p>
    <w:p w14:paraId="240A25B8" w14:textId="72E9D1E2" w:rsidR="00E109CF" w:rsidRDefault="00E109CF" w:rsidP="00155C9E">
      <w:pPr>
        <w:pStyle w:val="Heading1"/>
      </w:pPr>
      <w:bookmarkStart w:id="22" w:name="_Toc48112958"/>
      <w:r>
        <w:lastRenderedPageBreak/>
        <w:t>Sensitivity Analysis</w:t>
      </w:r>
      <w:bookmarkEnd w:id="22"/>
    </w:p>
    <w:p w14:paraId="5AF00DB9" w14:textId="77777777" w:rsidR="00E109CF" w:rsidRDefault="00E109CF" w:rsidP="00E109CF">
      <w:r>
        <w:t xml:space="preserve">As discussed in sections above, payroll tax is a self-assessed tax, and therefore, payroll tax data only contains employers in the ACT that lodge a return with the ACT Revenue Office because they may be liable to pay payroll tax. </w:t>
      </w:r>
    </w:p>
    <w:p w14:paraId="464B51D1" w14:textId="77777777" w:rsidR="00E109CF" w:rsidRDefault="00E109CF" w:rsidP="00E109CF">
      <w:r>
        <w:t>With increases in the threshold over this time period, some employers that are no longer liable for payroll tax but would have been in the counterfactual may no longer be in the data. For example, in 2011-12 the threshold was $1.5 million per annum there are 140 employers in the data with total Australia-wide wages greater than $1.5 million and less than or equal to $2 million.</w:t>
      </w:r>
      <w:r>
        <w:rPr>
          <w:rStyle w:val="FootnoteReference"/>
        </w:rPr>
        <w:footnoteReference w:id="5"/>
      </w:r>
      <w:r>
        <w:t xml:space="preserve"> However, in 2018-19 with a $2 million per annum threshold, there are 74 employers in the data with total Australia-wide wages greater than $1.5 million and less than or equal to $2 million.</w:t>
      </w:r>
      <w:r>
        <w:rPr>
          <w:rStyle w:val="FootnoteReference"/>
        </w:rPr>
        <w:footnoteReference w:id="6"/>
      </w:r>
      <w:r>
        <w:t xml:space="preserve"> This may indicate that some employers that are no longer liable for payroll tax due to the higher threshold but would have been liable for payroll tax in the counterfactual under the lower threshold are no longer in the data. </w:t>
      </w:r>
    </w:p>
    <w:p w14:paraId="528E9013" w14:textId="77777777" w:rsidR="00E109CF" w:rsidRDefault="00E109CF" w:rsidP="00E109CF">
      <w:r>
        <w:t>However, an alternative possibility is that this decrease in the data could be caused by structural change in the ACT economy over this time period (unrelated to the change in the threshold), which could have resulted in fewer ‘small’ employers (i.e. fewer employers with Australia-wide wages between threshold values). To examine whether such a structural change may have occurred in the ACT economy during this time, Table 8 uses data from the Australian Bureau of Statistics (ABS) to present the number of ACT businesses by Australia-wide employment size for June 2012 and June 2019 (ABS, 2019, 8165.0 - Counts of Australian Businesses including Entries and Exits). The table shows that from June 2012 to June 2019, the number of ACT businesses within each employment size increased, and these increases are higher in absolute and percentage terms for ACT businesses with smaller employment sizes. This shows that over this time period, changes in the ACT economy resulted in a higher number of small employers.</w:t>
      </w:r>
    </w:p>
    <w:p w14:paraId="4239F7E1" w14:textId="77777777" w:rsidR="00E109CF" w:rsidRPr="00533867" w:rsidRDefault="00E109CF" w:rsidP="00155C9E">
      <w:pPr>
        <w:pStyle w:val="TableCaption"/>
      </w:pPr>
      <w:r w:rsidRPr="00BE6CE8">
        <w:t xml:space="preserve">Table </w:t>
      </w:r>
      <w:r w:rsidRPr="00A86D9C">
        <w:rPr>
          <w:iCs/>
        </w:rPr>
        <w:fldChar w:fldCharType="begin"/>
      </w:r>
      <w:r w:rsidRPr="00BE6CE8">
        <w:instrText xml:space="preserve"> SEQ Table \* ARABIC </w:instrText>
      </w:r>
      <w:r w:rsidRPr="00A86D9C">
        <w:rPr>
          <w:iCs/>
        </w:rPr>
        <w:fldChar w:fldCharType="separate"/>
      </w:r>
      <w:r w:rsidRPr="00BE6CE8">
        <w:rPr>
          <w:noProof/>
        </w:rPr>
        <w:t>8</w:t>
      </w:r>
      <w:r w:rsidRPr="00A86D9C">
        <w:rPr>
          <w:iCs/>
        </w:rPr>
        <w:fldChar w:fldCharType="end"/>
      </w:r>
      <w:r w:rsidRPr="00BE6CE8">
        <w:t>: Count of ACT business by Australia-wide employment size</w:t>
      </w:r>
    </w:p>
    <w:tbl>
      <w:tblPr>
        <w:tblStyle w:val="ColorfulList-Accent5"/>
        <w:tblW w:w="6799" w:type="dxa"/>
        <w:tblLook w:val="04A0" w:firstRow="1" w:lastRow="0" w:firstColumn="1" w:lastColumn="0" w:noHBand="0" w:noVBand="1"/>
      </w:tblPr>
      <w:tblGrid>
        <w:gridCol w:w="2064"/>
        <w:gridCol w:w="1140"/>
        <w:gridCol w:w="1282"/>
        <w:gridCol w:w="968"/>
        <w:gridCol w:w="1345"/>
      </w:tblGrid>
      <w:tr w:rsidR="00771996" w:rsidRPr="00771996" w14:paraId="62E21C2B" w14:textId="77777777" w:rsidTr="00771996">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064" w:type="dxa"/>
            <w:hideMark/>
          </w:tcPr>
          <w:p w14:paraId="10645B37" w14:textId="77777777" w:rsidR="00771996" w:rsidRPr="00771996" w:rsidRDefault="00771996" w:rsidP="00433D7C">
            <w:pPr>
              <w:spacing w:line="240" w:lineRule="auto"/>
              <w:jc w:val="center"/>
              <w:rPr>
                <w:rFonts w:asciiTheme="minorHAnsi" w:eastAsia="Times New Roman" w:hAnsiTheme="minorHAnsi" w:cstheme="minorHAnsi"/>
              </w:rPr>
            </w:pPr>
            <w:r w:rsidRPr="00771996">
              <w:rPr>
                <w:rFonts w:asciiTheme="minorHAnsi" w:eastAsia="Times New Roman" w:hAnsiTheme="minorHAnsi" w:cstheme="minorHAnsi"/>
              </w:rPr>
              <w:t>Australia-wide employment size</w:t>
            </w:r>
          </w:p>
        </w:tc>
        <w:tc>
          <w:tcPr>
            <w:tcW w:w="1140" w:type="dxa"/>
            <w:hideMark/>
          </w:tcPr>
          <w:p w14:paraId="750C125C" w14:textId="77777777" w:rsidR="00771996" w:rsidRPr="00771996" w:rsidRDefault="00771996" w:rsidP="00433D7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1996">
              <w:rPr>
                <w:rFonts w:asciiTheme="minorHAnsi" w:eastAsia="Times New Roman" w:hAnsiTheme="minorHAnsi" w:cstheme="minorHAnsi"/>
              </w:rPr>
              <w:t>June 2012</w:t>
            </w:r>
          </w:p>
        </w:tc>
        <w:tc>
          <w:tcPr>
            <w:tcW w:w="1282" w:type="dxa"/>
            <w:hideMark/>
          </w:tcPr>
          <w:p w14:paraId="6B295B44" w14:textId="77777777" w:rsidR="00771996" w:rsidRPr="00771996" w:rsidRDefault="00771996" w:rsidP="00433D7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1996">
              <w:rPr>
                <w:rFonts w:asciiTheme="minorHAnsi" w:eastAsia="Times New Roman" w:hAnsiTheme="minorHAnsi" w:cstheme="minorHAnsi"/>
              </w:rPr>
              <w:t>June 2019</w:t>
            </w:r>
          </w:p>
        </w:tc>
        <w:tc>
          <w:tcPr>
            <w:tcW w:w="968" w:type="dxa"/>
          </w:tcPr>
          <w:p w14:paraId="2C9F25AF" w14:textId="77777777" w:rsidR="00771996" w:rsidRPr="00771996" w:rsidRDefault="00771996" w:rsidP="00433D7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1996">
              <w:rPr>
                <w:rFonts w:asciiTheme="minorHAnsi" w:eastAsia="Times New Roman" w:hAnsiTheme="minorHAnsi" w:cstheme="minorHAnsi"/>
              </w:rPr>
              <w:t>Increase</w:t>
            </w:r>
          </w:p>
        </w:tc>
        <w:tc>
          <w:tcPr>
            <w:tcW w:w="1345" w:type="dxa"/>
          </w:tcPr>
          <w:p w14:paraId="7075664A" w14:textId="77777777" w:rsidR="00771996" w:rsidRPr="00771996" w:rsidRDefault="00771996" w:rsidP="00433D7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1996">
              <w:rPr>
                <w:rFonts w:asciiTheme="minorHAnsi" w:eastAsia="Times New Roman" w:hAnsiTheme="minorHAnsi" w:cstheme="minorHAnsi"/>
              </w:rPr>
              <w:t>Percentage increase</w:t>
            </w:r>
          </w:p>
        </w:tc>
      </w:tr>
      <w:tr w:rsidR="00771996" w:rsidRPr="00771996" w14:paraId="27D34C03" w14:textId="77777777" w:rsidTr="007719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64" w:type="dxa"/>
            <w:hideMark/>
          </w:tcPr>
          <w:p w14:paraId="175F7E0E" w14:textId="77777777" w:rsidR="00771996" w:rsidRPr="00771996" w:rsidRDefault="00771996" w:rsidP="00433D7C">
            <w:pPr>
              <w:spacing w:line="240" w:lineRule="auto"/>
              <w:jc w:val="center"/>
              <w:rPr>
                <w:rFonts w:eastAsia="Times New Roman" w:cstheme="minorHAnsi"/>
              </w:rPr>
            </w:pPr>
            <w:r w:rsidRPr="00771996">
              <w:rPr>
                <w:rFonts w:eastAsia="Times New Roman" w:cstheme="minorHAnsi"/>
              </w:rPr>
              <w:t>Non- Employing</w:t>
            </w:r>
          </w:p>
        </w:tc>
        <w:tc>
          <w:tcPr>
            <w:tcW w:w="1140" w:type="dxa"/>
            <w:hideMark/>
          </w:tcPr>
          <w:p w14:paraId="4573B029" w14:textId="77777777" w:rsidR="00771996" w:rsidRPr="00771996" w:rsidRDefault="00771996" w:rsidP="00433D7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71996">
              <w:rPr>
                <w:rFonts w:eastAsia="Times New Roman" w:cstheme="minorHAnsi"/>
              </w:rPr>
              <w:t>15,158</w:t>
            </w:r>
          </w:p>
        </w:tc>
        <w:tc>
          <w:tcPr>
            <w:tcW w:w="1282" w:type="dxa"/>
            <w:hideMark/>
          </w:tcPr>
          <w:p w14:paraId="0239DCE8" w14:textId="77777777" w:rsidR="00771996" w:rsidRPr="00771996" w:rsidRDefault="00771996" w:rsidP="00433D7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71996">
              <w:rPr>
                <w:rFonts w:eastAsia="Times New Roman" w:cstheme="minorHAnsi"/>
              </w:rPr>
              <w:t>17,768</w:t>
            </w:r>
          </w:p>
        </w:tc>
        <w:tc>
          <w:tcPr>
            <w:tcW w:w="968" w:type="dxa"/>
          </w:tcPr>
          <w:p w14:paraId="00DC52C1" w14:textId="77777777" w:rsidR="00771996" w:rsidRPr="00771996" w:rsidRDefault="00771996" w:rsidP="00433D7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71996">
              <w:rPr>
                <w:rFonts w:cstheme="minorHAnsi"/>
                <w:color w:val="000000"/>
              </w:rPr>
              <w:t>2,610</w:t>
            </w:r>
          </w:p>
        </w:tc>
        <w:tc>
          <w:tcPr>
            <w:tcW w:w="1345" w:type="dxa"/>
          </w:tcPr>
          <w:p w14:paraId="1F5F5883" w14:textId="77777777" w:rsidR="00771996" w:rsidRPr="00771996" w:rsidRDefault="00771996" w:rsidP="00433D7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71996">
              <w:rPr>
                <w:rFonts w:cstheme="minorHAnsi"/>
                <w:color w:val="000000"/>
              </w:rPr>
              <w:t>17%</w:t>
            </w:r>
          </w:p>
        </w:tc>
      </w:tr>
      <w:tr w:rsidR="00771996" w:rsidRPr="00771996" w14:paraId="4BD66E27" w14:textId="77777777" w:rsidTr="00771996">
        <w:trPr>
          <w:trHeight w:val="274"/>
        </w:trPr>
        <w:tc>
          <w:tcPr>
            <w:cnfStyle w:val="001000000000" w:firstRow="0" w:lastRow="0" w:firstColumn="1" w:lastColumn="0" w:oddVBand="0" w:evenVBand="0" w:oddHBand="0" w:evenHBand="0" w:firstRowFirstColumn="0" w:firstRowLastColumn="0" w:lastRowFirstColumn="0" w:lastRowLastColumn="0"/>
            <w:tcW w:w="2064" w:type="dxa"/>
            <w:hideMark/>
          </w:tcPr>
          <w:p w14:paraId="7017DF26" w14:textId="77777777" w:rsidR="00771996" w:rsidRPr="00771996" w:rsidRDefault="00771996" w:rsidP="00433D7C">
            <w:pPr>
              <w:spacing w:line="240" w:lineRule="auto"/>
              <w:jc w:val="center"/>
              <w:rPr>
                <w:rFonts w:eastAsia="Times New Roman" w:cstheme="minorHAnsi"/>
              </w:rPr>
            </w:pPr>
            <w:r w:rsidRPr="00771996">
              <w:rPr>
                <w:rFonts w:eastAsia="Times New Roman" w:cstheme="minorHAnsi"/>
              </w:rPr>
              <w:t>1-19 Employees</w:t>
            </w:r>
          </w:p>
        </w:tc>
        <w:tc>
          <w:tcPr>
            <w:tcW w:w="1140" w:type="dxa"/>
            <w:hideMark/>
          </w:tcPr>
          <w:p w14:paraId="5ED8A502" w14:textId="77777777" w:rsidR="00771996" w:rsidRPr="00771996" w:rsidRDefault="00771996" w:rsidP="00433D7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1996">
              <w:rPr>
                <w:rFonts w:eastAsia="Times New Roman" w:cstheme="minorHAnsi"/>
              </w:rPr>
              <w:t>10,074</w:t>
            </w:r>
          </w:p>
        </w:tc>
        <w:tc>
          <w:tcPr>
            <w:tcW w:w="1282" w:type="dxa"/>
            <w:hideMark/>
          </w:tcPr>
          <w:p w14:paraId="383F2B0C" w14:textId="77777777" w:rsidR="00771996" w:rsidRPr="00771996" w:rsidRDefault="00771996" w:rsidP="00433D7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1996">
              <w:rPr>
                <w:rFonts w:eastAsia="Times New Roman" w:cstheme="minorHAnsi"/>
              </w:rPr>
              <w:t>11,433</w:t>
            </w:r>
          </w:p>
        </w:tc>
        <w:tc>
          <w:tcPr>
            <w:tcW w:w="968" w:type="dxa"/>
          </w:tcPr>
          <w:p w14:paraId="6A6345B8" w14:textId="77777777" w:rsidR="00771996" w:rsidRPr="00771996" w:rsidRDefault="00771996" w:rsidP="00433D7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1996">
              <w:rPr>
                <w:rFonts w:cstheme="minorHAnsi"/>
                <w:color w:val="000000"/>
              </w:rPr>
              <w:t>1,359</w:t>
            </w:r>
          </w:p>
        </w:tc>
        <w:tc>
          <w:tcPr>
            <w:tcW w:w="1345" w:type="dxa"/>
          </w:tcPr>
          <w:p w14:paraId="7D76A64A" w14:textId="77777777" w:rsidR="00771996" w:rsidRPr="00771996" w:rsidRDefault="00771996" w:rsidP="00433D7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1996">
              <w:rPr>
                <w:rFonts w:cstheme="minorHAnsi"/>
                <w:color w:val="000000"/>
              </w:rPr>
              <w:t>13%</w:t>
            </w:r>
          </w:p>
        </w:tc>
      </w:tr>
      <w:tr w:rsidR="00771996" w:rsidRPr="00771996" w14:paraId="05BA3A7E" w14:textId="77777777" w:rsidTr="0077199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64" w:type="dxa"/>
            <w:hideMark/>
          </w:tcPr>
          <w:p w14:paraId="7C4C9F03" w14:textId="77777777" w:rsidR="00771996" w:rsidRPr="00771996" w:rsidRDefault="00771996" w:rsidP="00433D7C">
            <w:pPr>
              <w:spacing w:line="240" w:lineRule="auto"/>
              <w:jc w:val="center"/>
              <w:rPr>
                <w:rFonts w:eastAsia="Times New Roman" w:cstheme="minorHAnsi"/>
              </w:rPr>
            </w:pPr>
            <w:r w:rsidRPr="00771996">
              <w:rPr>
                <w:rFonts w:eastAsia="Times New Roman" w:cstheme="minorHAnsi"/>
              </w:rPr>
              <w:t>20-199 Employees</w:t>
            </w:r>
          </w:p>
        </w:tc>
        <w:tc>
          <w:tcPr>
            <w:tcW w:w="1140" w:type="dxa"/>
            <w:hideMark/>
          </w:tcPr>
          <w:p w14:paraId="227D35EB" w14:textId="77777777" w:rsidR="00771996" w:rsidRPr="00771996" w:rsidRDefault="00771996" w:rsidP="00433D7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71996">
              <w:rPr>
                <w:rFonts w:eastAsia="Times New Roman" w:cstheme="minorHAnsi"/>
              </w:rPr>
              <w:t>770</w:t>
            </w:r>
          </w:p>
        </w:tc>
        <w:tc>
          <w:tcPr>
            <w:tcW w:w="1282" w:type="dxa"/>
            <w:hideMark/>
          </w:tcPr>
          <w:p w14:paraId="388A4DB7" w14:textId="77777777" w:rsidR="00771996" w:rsidRPr="00771996" w:rsidRDefault="00771996" w:rsidP="00433D7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71996">
              <w:rPr>
                <w:rFonts w:eastAsia="Times New Roman" w:cstheme="minorHAnsi"/>
              </w:rPr>
              <w:t>835</w:t>
            </w:r>
          </w:p>
        </w:tc>
        <w:tc>
          <w:tcPr>
            <w:tcW w:w="968" w:type="dxa"/>
          </w:tcPr>
          <w:p w14:paraId="2CD43B0D" w14:textId="77777777" w:rsidR="00771996" w:rsidRPr="00771996" w:rsidRDefault="00771996" w:rsidP="00433D7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71996">
              <w:rPr>
                <w:rFonts w:cstheme="minorHAnsi"/>
                <w:color w:val="000000"/>
              </w:rPr>
              <w:t>65</w:t>
            </w:r>
          </w:p>
        </w:tc>
        <w:tc>
          <w:tcPr>
            <w:tcW w:w="1345" w:type="dxa"/>
          </w:tcPr>
          <w:p w14:paraId="64EA25D5" w14:textId="77777777" w:rsidR="00771996" w:rsidRPr="00771996" w:rsidRDefault="00771996" w:rsidP="00433D7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71996">
              <w:rPr>
                <w:rFonts w:cstheme="minorHAnsi"/>
                <w:color w:val="000000"/>
              </w:rPr>
              <w:t>8%</w:t>
            </w:r>
          </w:p>
        </w:tc>
      </w:tr>
      <w:tr w:rsidR="00771996" w:rsidRPr="00771996" w14:paraId="39C69C85" w14:textId="77777777" w:rsidTr="00771996">
        <w:trPr>
          <w:trHeight w:val="126"/>
        </w:trPr>
        <w:tc>
          <w:tcPr>
            <w:cnfStyle w:val="001000000000" w:firstRow="0" w:lastRow="0" w:firstColumn="1" w:lastColumn="0" w:oddVBand="0" w:evenVBand="0" w:oddHBand="0" w:evenHBand="0" w:firstRowFirstColumn="0" w:firstRowLastColumn="0" w:lastRowFirstColumn="0" w:lastRowLastColumn="0"/>
            <w:tcW w:w="2064" w:type="dxa"/>
            <w:hideMark/>
          </w:tcPr>
          <w:p w14:paraId="5462ACA5" w14:textId="77777777" w:rsidR="00771996" w:rsidRPr="00771996" w:rsidRDefault="00771996" w:rsidP="00433D7C">
            <w:pPr>
              <w:spacing w:line="240" w:lineRule="auto"/>
              <w:jc w:val="center"/>
              <w:rPr>
                <w:rFonts w:eastAsia="Times New Roman" w:cstheme="minorHAnsi"/>
              </w:rPr>
            </w:pPr>
            <w:r w:rsidRPr="00771996">
              <w:rPr>
                <w:rFonts w:eastAsia="Times New Roman" w:cstheme="minorHAnsi"/>
              </w:rPr>
              <w:t>200+ Employees</w:t>
            </w:r>
          </w:p>
        </w:tc>
        <w:tc>
          <w:tcPr>
            <w:tcW w:w="1140" w:type="dxa"/>
            <w:hideMark/>
          </w:tcPr>
          <w:p w14:paraId="68860A9C" w14:textId="77777777" w:rsidR="00771996" w:rsidRPr="00771996" w:rsidRDefault="00771996" w:rsidP="00433D7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1996">
              <w:rPr>
                <w:rFonts w:eastAsia="Times New Roman" w:cstheme="minorHAnsi"/>
              </w:rPr>
              <w:t>30</w:t>
            </w:r>
          </w:p>
        </w:tc>
        <w:tc>
          <w:tcPr>
            <w:tcW w:w="1282" w:type="dxa"/>
            <w:hideMark/>
          </w:tcPr>
          <w:p w14:paraId="7951E640" w14:textId="77777777" w:rsidR="00771996" w:rsidRPr="00771996" w:rsidRDefault="00771996" w:rsidP="00433D7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1996">
              <w:rPr>
                <w:rFonts w:eastAsia="Times New Roman" w:cstheme="minorHAnsi"/>
              </w:rPr>
              <w:t>31</w:t>
            </w:r>
          </w:p>
        </w:tc>
        <w:tc>
          <w:tcPr>
            <w:tcW w:w="968" w:type="dxa"/>
          </w:tcPr>
          <w:p w14:paraId="55FB0E73" w14:textId="77777777" w:rsidR="00771996" w:rsidRPr="00771996" w:rsidRDefault="00771996" w:rsidP="00433D7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1996">
              <w:rPr>
                <w:rFonts w:cstheme="minorHAnsi"/>
                <w:color w:val="000000"/>
              </w:rPr>
              <w:t>1</w:t>
            </w:r>
          </w:p>
        </w:tc>
        <w:tc>
          <w:tcPr>
            <w:tcW w:w="1345" w:type="dxa"/>
          </w:tcPr>
          <w:p w14:paraId="1B662C85" w14:textId="77777777" w:rsidR="00771996" w:rsidRPr="00771996" w:rsidRDefault="00771996" w:rsidP="00433D7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1996">
              <w:rPr>
                <w:rFonts w:cstheme="minorHAnsi"/>
                <w:color w:val="000000"/>
              </w:rPr>
              <w:t>3%</w:t>
            </w:r>
          </w:p>
        </w:tc>
      </w:tr>
      <w:tr w:rsidR="00771996" w:rsidRPr="00771996" w14:paraId="42895E43" w14:textId="77777777" w:rsidTr="0077199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64" w:type="dxa"/>
            <w:hideMark/>
          </w:tcPr>
          <w:p w14:paraId="136F689F" w14:textId="77777777" w:rsidR="00771996" w:rsidRPr="00771996" w:rsidRDefault="00771996" w:rsidP="00433D7C">
            <w:pPr>
              <w:spacing w:line="240" w:lineRule="auto"/>
              <w:jc w:val="center"/>
              <w:rPr>
                <w:rFonts w:eastAsia="Times New Roman" w:cstheme="minorHAnsi"/>
              </w:rPr>
            </w:pPr>
            <w:r w:rsidRPr="00771996">
              <w:rPr>
                <w:rFonts w:eastAsia="Times New Roman" w:cstheme="minorHAnsi"/>
              </w:rPr>
              <w:t>Total</w:t>
            </w:r>
            <w:r w:rsidRPr="00771996">
              <w:rPr>
                <w:rStyle w:val="FootnoteReference"/>
                <w:rFonts w:eastAsia="Times New Roman" w:cstheme="minorHAnsi"/>
              </w:rPr>
              <w:footnoteReference w:id="7"/>
            </w:r>
          </w:p>
        </w:tc>
        <w:tc>
          <w:tcPr>
            <w:tcW w:w="1140" w:type="dxa"/>
            <w:hideMark/>
          </w:tcPr>
          <w:p w14:paraId="340D481F" w14:textId="77777777" w:rsidR="00771996" w:rsidRPr="00771996" w:rsidRDefault="00771996" w:rsidP="00433D7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71996">
              <w:rPr>
                <w:rFonts w:eastAsia="Times New Roman" w:cstheme="minorHAnsi"/>
              </w:rPr>
              <w:t>26,032</w:t>
            </w:r>
          </w:p>
        </w:tc>
        <w:tc>
          <w:tcPr>
            <w:tcW w:w="1282" w:type="dxa"/>
            <w:hideMark/>
          </w:tcPr>
          <w:p w14:paraId="7C94951D" w14:textId="77777777" w:rsidR="00771996" w:rsidRPr="00771996" w:rsidRDefault="00771996" w:rsidP="00433D7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71996">
              <w:rPr>
                <w:rFonts w:eastAsia="Times New Roman" w:cstheme="minorHAnsi"/>
              </w:rPr>
              <w:t>30,075</w:t>
            </w:r>
          </w:p>
        </w:tc>
        <w:tc>
          <w:tcPr>
            <w:tcW w:w="968" w:type="dxa"/>
          </w:tcPr>
          <w:p w14:paraId="6B298127" w14:textId="77777777" w:rsidR="00771996" w:rsidRPr="00771996" w:rsidRDefault="00771996" w:rsidP="00433D7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71996">
              <w:rPr>
                <w:rFonts w:cstheme="minorHAnsi"/>
                <w:color w:val="000000"/>
              </w:rPr>
              <w:t>4,043</w:t>
            </w:r>
          </w:p>
        </w:tc>
        <w:tc>
          <w:tcPr>
            <w:tcW w:w="1345" w:type="dxa"/>
          </w:tcPr>
          <w:p w14:paraId="324CACAE" w14:textId="77777777" w:rsidR="00771996" w:rsidRPr="00771996" w:rsidRDefault="00771996" w:rsidP="00433D7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71996">
              <w:rPr>
                <w:rFonts w:cstheme="minorHAnsi"/>
                <w:color w:val="000000"/>
              </w:rPr>
              <w:t>16%</w:t>
            </w:r>
          </w:p>
        </w:tc>
      </w:tr>
    </w:tbl>
    <w:p w14:paraId="01F4C15F" w14:textId="77777777" w:rsidR="00E109CF" w:rsidRDefault="00E109CF" w:rsidP="00E109CF">
      <w:pPr>
        <w:spacing w:after="0"/>
      </w:pPr>
    </w:p>
    <w:p w14:paraId="25AB1E00" w14:textId="77777777" w:rsidR="00E109CF" w:rsidRDefault="00E109CF" w:rsidP="00E109CF">
      <w:pPr>
        <w:spacing w:after="0"/>
      </w:pPr>
      <w:r>
        <w:t xml:space="preserve">This implies that the decrease in the number of employers with lower Australia-wide wages (i.e. Australia-wide wages between $1.5 million and $2 million) is probably being caused by the higher threshold, as opposed to changes in the ACT economy (unrelated to the change in the threshold). </w:t>
      </w:r>
      <w:r w:rsidRPr="007F1EEC">
        <w:t xml:space="preserve">Therefore, the </w:t>
      </w:r>
      <w:r>
        <w:t>exclusion</w:t>
      </w:r>
      <w:r w:rsidRPr="007F1EEC">
        <w:t xml:space="preserve"> of these employers </w:t>
      </w:r>
      <w:r>
        <w:t>from the data should be</w:t>
      </w:r>
      <w:r w:rsidRPr="007F1EEC">
        <w:t xml:space="preserve"> corrected</w:t>
      </w:r>
      <w:r>
        <w:t xml:space="preserve"> for</w:t>
      </w:r>
      <w:r w:rsidRPr="007F1EEC">
        <w:t xml:space="preserve"> to ensure revenue forgone from increasing in the threshold is n</w:t>
      </w:r>
      <w:r>
        <w:t>ot underestimated.</w:t>
      </w:r>
    </w:p>
    <w:p w14:paraId="30AA9A3B" w14:textId="77777777" w:rsidR="00E109CF" w:rsidRDefault="00E109CF" w:rsidP="00E109CF">
      <w:r>
        <w:lastRenderedPageBreak/>
        <w:t>To correct for this, an iterative method is used. Employers dropping out of the data set in 2012-13 due to the threshold increasing from $1.5 million to $1.75 million are identified as: all employers in the 2011-12 data with Australia-wide wages between $1.5 million and $1.75 million (2011-12 subsample) that are not employers in the 2012-13 data.</w:t>
      </w:r>
      <w:r>
        <w:rPr>
          <w:rStyle w:val="FootnoteReference"/>
        </w:rPr>
        <w:footnoteReference w:id="8"/>
      </w:r>
      <w:r>
        <w:t xml:space="preserve"> Therefore, the correction assumes that employers in the 2011-12 subsample that are not in 2012-13 data are dropping out of the data due to the threshold increase, and without this increase, they would be liable for payroll tax in 2012-13. While it could be argued that some of these employers would have not survived to 2012-13 assuming all would have survived allows for the entry of new employers and/or growth in the number of employers (as shown in Table 8). This method is repeated over the remaining years to generate a sequence of employers that are dropping out of the data set due to progressively higher thresholds.</w:t>
      </w:r>
      <w:r>
        <w:rPr>
          <w:rStyle w:val="FootnoteReference"/>
        </w:rPr>
        <w:footnoteReference w:id="9"/>
      </w:r>
      <w:r>
        <w:t xml:space="preserve"> </w:t>
      </w:r>
    </w:p>
    <w:p w14:paraId="1BEB84B4" w14:textId="77777777" w:rsidR="00E109CF" w:rsidRDefault="00E109CF" w:rsidP="00E109CF">
      <w:r>
        <w:t>For this sequence of employers, their 2011-12 ACT/Australia wage amounts are indexed by ACT’s/Australia’s wage price index (</w:t>
      </w:r>
      <w:proofErr w:type="spellStart"/>
      <w:r>
        <w:t>WPI</w:t>
      </w:r>
      <w:proofErr w:type="spellEnd"/>
      <w:r>
        <w:t>) to determine wage amounts from 2012-13 to 2018-19.</w:t>
      </w:r>
      <w:r>
        <w:rPr>
          <w:rStyle w:val="FootnoteReference"/>
        </w:rPr>
        <w:footnoteReference w:id="10"/>
      </w:r>
      <w:r>
        <w:t xml:space="preserve"> These wage amounts are then used to calculate actual and counterfactual payroll tax revenue from 2012-13 to 2018-19 for the sequence of employers, using the method described in the analysis section above. </w:t>
      </w:r>
    </w:p>
    <w:p w14:paraId="354EBADE" w14:textId="77777777" w:rsidR="00E109CF" w:rsidRDefault="00E109CF" w:rsidP="008D0223">
      <w:r>
        <w:t>Note that due the indexation of wages amounts, some of these employers will have Australia-wide wages above the actual threshold in a relevant year and will therefore be liable for payroll tax in the estimated actual but not in the true actual. To ensure revenue forgone is not overestimated, the estimated actual is used to calculate revenue forgone, as opposed to assuming actual payroll tax revenue from all these employers is zero.</w:t>
      </w:r>
    </w:p>
    <w:p w14:paraId="2863A972" w14:textId="77777777" w:rsidR="00E109CF" w:rsidRDefault="00E109CF" w:rsidP="00E109CF">
      <w:r>
        <w:t xml:space="preserve">Table 9 presents the estimates for actual and counterfactual payroll tax revenue from employers dropping out of the data set. As described in data section, there is a decline in the number of employers from 2015-16 onwards due to incomplete data from the current extraction of payroll tax data. This means that estimated actual and counterfactual revenue in Table 9 will not exhibit a consistent upward trend from 2015-16 onwards. </w:t>
      </w:r>
    </w:p>
    <w:p w14:paraId="1F42CA0D" w14:textId="77777777" w:rsidR="00AD2D06" w:rsidRPr="00A86D9C" w:rsidRDefault="00E109CF" w:rsidP="009D49A9">
      <w:pPr>
        <w:pStyle w:val="TableCaption"/>
      </w:pPr>
      <w:r w:rsidRPr="008D0223">
        <w:rPr>
          <w:i w:val="0"/>
          <w:iCs/>
          <w:color w:val="auto"/>
          <w:sz w:val="21"/>
          <w:szCs w:val="21"/>
        </w:rPr>
        <w:t>Table 9 shows that the changes to the threshold have resulted in an additional $3 million of forgone revenue over 7 years.</w:t>
      </w:r>
      <w:r>
        <w:rPr>
          <w:b/>
          <w:iCs/>
        </w:rPr>
        <w:br w:type="page"/>
      </w:r>
    </w:p>
    <w:tbl>
      <w:tblPr>
        <w:tblStyle w:val="ColorfulList-Accent5"/>
        <w:tblpPr w:leftFromText="180" w:rightFromText="180" w:vertAnchor="text" w:horzAnchor="page" w:tblpX="193" w:tblpY="261"/>
        <w:tblW w:w="11482" w:type="dxa"/>
        <w:tblLook w:val="04A0" w:firstRow="1" w:lastRow="0" w:firstColumn="1" w:lastColumn="0" w:noHBand="0" w:noVBand="1"/>
      </w:tblPr>
      <w:tblGrid>
        <w:gridCol w:w="2552"/>
        <w:gridCol w:w="1116"/>
        <w:gridCol w:w="1116"/>
        <w:gridCol w:w="1116"/>
        <w:gridCol w:w="1117"/>
        <w:gridCol w:w="1116"/>
        <w:gridCol w:w="1116"/>
        <w:gridCol w:w="1116"/>
        <w:gridCol w:w="1117"/>
      </w:tblGrid>
      <w:tr w:rsidR="00AD2D06" w14:paraId="30E4E575" w14:textId="77777777" w:rsidTr="00AD2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604E1B14" w14:textId="77777777" w:rsidR="00AD2D06" w:rsidRPr="00AD2D06" w:rsidRDefault="00AD2D06" w:rsidP="00AD2D06">
            <w:pPr>
              <w:jc w:val="center"/>
              <w:rPr>
                <w:rFonts w:asciiTheme="minorHAnsi" w:hAnsiTheme="minorHAnsi" w:cstheme="minorHAnsi"/>
              </w:rPr>
            </w:pPr>
            <w:r w:rsidRPr="00AD2D06">
              <w:rPr>
                <w:rFonts w:asciiTheme="minorHAnsi" w:hAnsiTheme="minorHAnsi" w:cstheme="minorHAnsi"/>
              </w:rPr>
              <w:lastRenderedPageBreak/>
              <w:t>Year</w:t>
            </w:r>
          </w:p>
        </w:tc>
        <w:tc>
          <w:tcPr>
            <w:tcW w:w="1116" w:type="dxa"/>
            <w:vAlign w:val="top"/>
          </w:tcPr>
          <w:p w14:paraId="2F71BD9C" w14:textId="77777777" w:rsidR="00AD2D06" w:rsidRPr="00AD2D06" w:rsidRDefault="00AD2D06" w:rsidP="00AD2D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2D06">
              <w:rPr>
                <w:rFonts w:asciiTheme="minorHAnsi" w:eastAsia="Times New Roman" w:hAnsiTheme="minorHAnsi" w:cstheme="minorHAnsi"/>
              </w:rPr>
              <w:t>2012-13</w:t>
            </w:r>
          </w:p>
        </w:tc>
        <w:tc>
          <w:tcPr>
            <w:tcW w:w="1116" w:type="dxa"/>
            <w:vAlign w:val="top"/>
          </w:tcPr>
          <w:p w14:paraId="3983E05D" w14:textId="77777777" w:rsidR="00AD2D06" w:rsidRPr="00AD2D06" w:rsidRDefault="00AD2D06" w:rsidP="00AD2D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2D06">
              <w:rPr>
                <w:rFonts w:asciiTheme="minorHAnsi" w:eastAsia="Times New Roman" w:hAnsiTheme="minorHAnsi" w:cstheme="minorHAnsi"/>
              </w:rPr>
              <w:t>2013-14</w:t>
            </w:r>
          </w:p>
        </w:tc>
        <w:tc>
          <w:tcPr>
            <w:tcW w:w="1116" w:type="dxa"/>
            <w:vAlign w:val="top"/>
          </w:tcPr>
          <w:p w14:paraId="13432FB2" w14:textId="77777777" w:rsidR="00AD2D06" w:rsidRPr="00AD2D06" w:rsidRDefault="00AD2D06" w:rsidP="00AD2D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2D06">
              <w:rPr>
                <w:rFonts w:asciiTheme="minorHAnsi" w:eastAsia="Times New Roman" w:hAnsiTheme="minorHAnsi" w:cstheme="minorHAnsi"/>
              </w:rPr>
              <w:t>2014-15</w:t>
            </w:r>
          </w:p>
        </w:tc>
        <w:tc>
          <w:tcPr>
            <w:tcW w:w="1117" w:type="dxa"/>
            <w:vAlign w:val="top"/>
          </w:tcPr>
          <w:p w14:paraId="13898653" w14:textId="77777777" w:rsidR="00AD2D06" w:rsidRPr="00AD2D06" w:rsidRDefault="00AD2D06" w:rsidP="00AD2D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2D06">
              <w:rPr>
                <w:rFonts w:asciiTheme="minorHAnsi" w:eastAsia="Times New Roman" w:hAnsiTheme="minorHAnsi" w:cstheme="minorHAnsi"/>
              </w:rPr>
              <w:t>2015-16</w:t>
            </w:r>
          </w:p>
        </w:tc>
        <w:tc>
          <w:tcPr>
            <w:tcW w:w="1116" w:type="dxa"/>
            <w:vAlign w:val="top"/>
          </w:tcPr>
          <w:p w14:paraId="1DF2DCA5" w14:textId="77777777" w:rsidR="00AD2D06" w:rsidRPr="00AD2D06" w:rsidRDefault="00AD2D06" w:rsidP="00AD2D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2D06">
              <w:rPr>
                <w:rFonts w:asciiTheme="minorHAnsi" w:eastAsia="Times New Roman" w:hAnsiTheme="minorHAnsi" w:cstheme="minorHAnsi"/>
              </w:rPr>
              <w:t>2016-17</w:t>
            </w:r>
          </w:p>
        </w:tc>
        <w:tc>
          <w:tcPr>
            <w:tcW w:w="1116" w:type="dxa"/>
            <w:vAlign w:val="top"/>
          </w:tcPr>
          <w:p w14:paraId="09076C27" w14:textId="77777777" w:rsidR="00AD2D06" w:rsidRPr="00AD2D06" w:rsidRDefault="00AD2D06" w:rsidP="00AD2D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2D06">
              <w:rPr>
                <w:rFonts w:asciiTheme="minorHAnsi" w:eastAsia="Times New Roman" w:hAnsiTheme="minorHAnsi" w:cstheme="minorHAnsi"/>
              </w:rPr>
              <w:t>2017-18</w:t>
            </w:r>
          </w:p>
        </w:tc>
        <w:tc>
          <w:tcPr>
            <w:tcW w:w="1116" w:type="dxa"/>
            <w:vAlign w:val="top"/>
          </w:tcPr>
          <w:p w14:paraId="7CCCCF35" w14:textId="77777777" w:rsidR="00AD2D06" w:rsidRPr="00AD2D06" w:rsidRDefault="00AD2D06" w:rsidP="00AD2D0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D2D06">
              <w:rPr>
                <w:rFonts w:asciiTheme="minorHAnsi" w:eastAsia="Times New Roman" w:hAnsiTheme="minorHAnsi" w:cstheme="minorHAnsi"/>
              </w:rPr>
              <w:t>2018-19</w:t>
            </w:r>
          </w:p>
        </w:tc>
        <w:tc>
          <w:tcPr>
            <w:tcW w:w="1117" w:type="dxa"/>
            <w:vAlign w:val="top"/>
          </w:tcPr>
          <w:p w14:paraId="5836298D" w14:textId="77777777" w:rsidR="00AD2D06" w:rsidRPr="00AD2D06" w:rsidRDefault="00AD2D06" w:rsidP="00AD2D0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val="0"/>
              </w:rPr>
            </w:pPr>
            <w:r w:rsidRPr="00AD2D06">
              <w:rPr>
                <w:rFonts w:asciiTheme="minorHAnsi" w:eastAsia="Times New Roman" w:hAnsiTheme="minorHAnsi" w:cstheme="minorHAnsi"/>
                <w:b/>
              </w:rPr>
              <w:t>Total</w:t>
            </w:r>
          </w:p>
        </w:tc>
      </w:tr>
      <w:tr w:rsidR="00AD2D06" w14:paraId="530919BD" w14:textId="77777777" w:rsidTr="00AD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58438E2C" w14:textId="77777777" w:rsidR="00AD2D06" w:rsidRPr="00AD2D06" w:rsidRDefault="00AD2D06" w:rsidP="00AD2D06">
            <w:pPr>
              <w:jc w:val="center"/>
              <w:rPr>
                <w:rFonts w:cstheme="minorHAnsi"/>
                <w:color w:val="auto"/>
              </w:rPr>
            </w:pPr>
            <w:r w:rsidRPr="00AD2D06">
              <w:rPr>
                <w:rFonts w:cstheme="minorHAnsi"/>
                <w:color w:val="auto"/>
              </w:rPr>
              <w:t>Actual payroll tax revenue from the attrition of employers</w:t>
            </w:r>
          </w:p>
        </w:tc>
        <w:tc>
          <w:tcPr>
            <w:tcW w:w="1116" w:type="dxa"/>
            <w:vAlign w:val="top"/>
          </w:tcPr>
          <w:p w14:paraId="7458AA82" w14:textId="030F79D0" w:rsidR="00AD2D06" w:rsidRPr="00AD2D06" w:rsidRDefault="00AD2D06" w:rsidP="00AD2D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61"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D2D06">
              <w:rPr>
                <w:rFonts w:eastAsia="Times New Roman" w:cstheme="minorHAnsi"/>
                <w:color w:val="auto"/>
                <w:bdr w:val="none" w:sz="0" w:space="0" w:color="auto" w:frame="1"/>
              </w:rPr>
              <w:t>126</w:t>
            </w:r>
          </w:p>
        </w:tc>
        <w:tc>
          <w:tcPr>
            <w:tcW w:w="1116" w:type="dxa"/>
            <w:vAlign w:val="top"/>
          </w:tcPr>
          <w:p w14:paraId="08923E55" w14:textId="77777777" w:rsidR="00AD2D06" w:rsidRPr="00AD2D06" w:rsidRDefault="00AD2D06" w:rsidP="00AD2D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61" w:lineRule="atLeast"/>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D2D06">
              <w:rPr>
                <w:rFonts w:eastAsia="Times New Roman" w:cstheme="minorHAnsi"/>
                <w:color w:val="auto"/>
                <w:bdr w:val="none" w:sz="0" w:space="0" w:color="auto" w:frame="1"/>
              </w:rPr>
              <w:t>140</w:t>
            </w:r>
          </w:p>
        </w:tc>
        <w:tc>
          <w:tcPr>
            <w:tcW w:w="1116" w:type="dxa"/>
            <w:vAlign w:val="top"/>
          </w:tcPr>
          <w:p w14:paraId="2E62D4CD" w14:textId="03C0DAF0" w:rsidR="00AD2D06" w:rsidRPr="00AD2D06" w:rsidRDefault="00AD2D06" w:rsidP="00AD2D06">
            <w:pPr>
              <w:pStyle w:val="HTMLPreformatted"/>
              <w:shd w:val="clear" w:color="auto" w:fill="FFFFFF"/>
              <w:wordWrap w:val="0"/>
              <w:spacing w:line="161"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AD2D06">
              <w:rPr>
                <w:rStyle w:val="gnkrckgcgsb"/>
                <w:rFonts w:asciiTheme="minorHAnsi" w:eastAsiaTheme="minorEastAsia" w:hAnsiTheme="minorHAnsi" w:cstheme="minorHAnsi"/>
                <w:color w:val="auto"/>
                <w:sz w:val="21"/>
                <w:szCs w:val="21"/>
                <w:bdr w:val="none" w:sz="0" w:space="0" w:color="auto" w:frame="1"/>
              </w:rPr>
              <w:t>141</w:t>
            </w:r>
          </w:p>
        </w:tc>
        <w:tc>
          <w:tcPr>
            <w:tcW w:w="1117" w:type="dxa"/>
            <w:vAlign w:val="top"/>
          </w:tcPr>
          <w:p w14:paraId="7E0BDFDF" w14:textId="189BC969" w:rsidR="00AD2D06" w:rsidRPr="00AD2D06" w:rsidRDefault="00AD2D06" w:rsidP="00AD2D06">
            <w:pPr>
              <w:pStyle w:val="HTMLPreformatted"/>
              <w:shd w:val="clear" w:color="auto" w:fill="FFFFFF"/>
              <w:wordWrap w:val="0"/>
              <w:spacing w:line="161"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AD2D06">
              <w:rPr>
                <w:rStyle w:val="gnkrckgcgsb"/>
                <w:rFonts w:asciiTheme="minorHAnsi" w:eastAsiaTheme="minorEastAsia" w:hAnsiTheme="minorHAnsi" w:cstheme="minorHAnsi"/>
                <w:color w:val="auto"/>
                <w:sz w:val="21"/>
                <w:szCs w:val="21"/>
                <w:bdr w:val="none" w:sz="0" w:space="0" w:color="auto" w:frame="1"/>
              </w:rPr>
              <w:t>285</w:t>
            </w:r>
          </w:p>
        </w:tc>
        <w:tc>
          <w:tcPr>
            <w:tcW w:w="1116" w:type="dxa"/>
            <w:vAlign w:val="top"/>
          </w:tcPr>
          <w:p w14:paraId="7A224D3A" w14:textId="2B8A8FA9" w:rsidR="00AD2D06" w:rsidRPr="00AD2D06" w:rsidRDefault="00AD2D06" w:rsidP="00AD2D06">
            <w:pPr>
              <w:pStyle w:val="HTMLPreformatted"/>
              <w:shd w:val="clear" w:color="auto" w:fill="FFFFFF"/>
              <w:wordWrap w:val="0"/>
              <w:spacing w:line="161"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AD2D06">
              <w:rPr>
                <w:rStyle w:val="gnkrckgcgsb"/>
                <w:rFonts w:asciiTheme="minorHAnsi" w:eastAsiaTheme="minorEastAsia" w:hAnsiTheme="minorHAnsi" w:cstheme="minorHAnsi"/>
                <w:color w:val="auto"/>
                <w:sz w:val="21"/>
                <w:szCs w:val="21"/>
                <w:bdr w:val="none" w:sz="0" w:space="0" w:color="auto" w:frame="1"/>
              </w:rPr>
              <w:t>244</w:t>
            </w:r>
          </w:p>
        </w:tc>
        <w:tc>
          <w:tcPr>
            <w:tcW w:w="1116" w:type="dxa"/>
            <w:vAlign w:val="top"/>
          </w:tcPr>
          <w:p w14:paraId="519398CE" w14:textId="7DB61EC5" w:rsidR="00AD2D06" w:rsidRPr="00AD2D06" w:rsidRDefault="00AD2D06" w:rsidP="00AD2D06">
            <w:pPr>
              <w:pStyle w:val="HTMLPreformatted"/>
              <w:shd w:val="clear" w:color="auto" w:fill="FFFFFF"/>
              <w:wordWrap w:val="0"/>
              <w:spacing w:line="161"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AD2D06">
              <w:rPr>
                <w:rStyle w:val="gnkrckgcgsb"/>
                <w:rFonts w:asciiTheme="minorHAnsi" w:eastAsiaTheme="minorEastAsia" w:hAnsiTheme="minorHAnsi" w:cstheme="minorHAnsi"/>
                <w:color w:val="auto"/>
                <w:sz w:val="21"/>
                <w:szCs w:val="21"/>
                <w:bdr w:val="none" w:sz="0" w:space="0" w:color="auto" w:frame="1"/>
              </w:rPr>
              <w:t>208</w:t>
            </w:r>
          </w:p>
        </w:tc>
        <w:tc>
          <w:tcPr>
            <w:tcW w:w="1116" w:type="dxa"/>
            <w:vAlign w:val="top"/>
          </w:tcPr>
          <w:p w14:paraId="634210B7" w14:textId="4EC761FD" w:rsidR="00AD2D06" w:rsidRPr="00AD2D06" w:rsidRDefault="00AD2D06" w:rsidP="00AD2D06">
            <w:pPr>
              <w:pStyle w:val="HTMLPreformatted"/>
              <w:shd w:val="clear" w:color="auto" w:fill="FFFFFF"/>
              <w:wordWrap w:val="0"/>
              <w:spacing w:line="161"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AD2D06">
              <w:rPr>
                <w:rStyle w:val="gnkrckgcgsb"/>
                <w:rFonts w:asciiTheme="minorHAnsi" w:eastAsiaTheme="minorEastAsia" w:hAnsiTheme="minorHAnsi" w:cstheme="minorHAnsi"/>
                <w:color w:val="auto"/>
                <w:sz w:val="21"/>
                <w:szCs w:val="21"/>
                <w:bdr w:val="none" w:sz="0" w:space="0" w:color="auto" w:frame="1"/>
              </w:rPr>
              <w:t>382</w:t>
            </w:r>
          </w:p>
        </w:tc>
        <w:tc>
          <w:tcPr>
            <w:tcW w:w="1117" w:type="dxa"/>
            <w:vAlign w:val="top"/>
          </w:tcPr>
          <w:p w14:paraId="1C7BC389" w14:textId="5207173A" w:rsidR="00AD2D06" w:rsidRPr="00AD2D06" w:rsidRDefault="00AD2D06" w:rsidP="00AD2D06">
            <w:pPr>
              <w:jc w:val="center"/>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AD2D06">
              <w:rPr>
                <w:rFonts w:cstheme="minorHAnsi"/>
                <w:b/>
                <w:bCs/>
                <w:color w:val="auto"/>
              </w:rPr>
              <w:t>1,526</w:t>
            </w:r>
          </w:p>
        </w:tc>
      </w:tr>
      <w:tr w:rsidR="00AD2D06" w14:paraId="44390F5F" w14:textId="77777777" w:rsidTr="00AD2D06">
        <w:tc>
          <w:tcPr>
            <w:cnfStyle w:val="001000000000" w:firstRow="0" w:lastRow="0" w:firstColumn="1" w:lastColumn="0" w:oddVBand="0" w:evenVBand="0" w:oddHBand="0" w:evenHBand="0" w:firstRowFirstColumn="0" w:firstRowLastColumn="0" w:lastRowFirstColumn="0" w:lastRowLastColumn="0"/>
            <w:tcW w:w="2552" w:type="dxa"/>
            <w:vAlign w:val="top"/>
          </w:tcPr>
          <w:p w14:paraId="1F2D3FA1" w14:textId="77777777" w:rsidR="00AD2D06" w:rsidRPr="00AD2D06" w:rsidRDefault="00AD2D06" w:rsidP="00AD2D06">
            <w:pPr>
              <w:jc w:val="center"/>
              <w:rPr>
                <w:rFonts w:cstheme="minorHAnsi"/>
                <w:color w:val="auto"/>
              </w:rPr>
            </w:pPr>
            <w:r w:rsidRPr="00AD2D06">
              <w:rPr>
                <w:rFonts w:cstheme="minorHAnsi"/>
                <w:color w:val="auto"/>
              </w:rPr>
              <w:t>Counterfactual payroll tax revenue from the attrition of employers</w:t>
            </w:r>
          </w:p>
        </w:tc>
        <w:tc>
          <w:tcPr>
            <w:tcW w:w="1116" w:type="dxa"/>
            <w:vAlign w:val="top"/>
          </w:tcPr>
          <w:p w14:paraId="5358231B" w14:textId="0E08EF74" w:rsidR="00AD2D06" w:rsidRPr="00AD2D06" w:rsidRDefault="00AD2D06" w:rsidP="00AD2D06">
            <w:pPr>
              <w:pStyle w:val="Bullet2"/>
              <w:numPr>
                <w:ilvl w:val="0"/>
                <w:numId w:val="0"/>
              </w:numPr>
              <w:ind w:left="630" w:hanging="273"/>
              <w:jc w:val="center"/>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AD2D06">
              <w:rPr>
                <w:rFonts w:cstheme="minorHAnsi"/>
                <w:color w:val="auto"/>
                <w:sz w:val="21"/>
                <w:szCs w:val="21"/>
                <w:bdr w:val="none" w:sz="0" w:space="0" w:color="auto" w:frame="1"/>
              </w:rPr>
              <w:t>210</w:t>
            </w:r>
          </w:p>
        </w:tc>
        <w:tc>
          <w:tcPr>
            <w:tcW w:w="1116" w:type="dxa"/>
            <w:vAlign w:val="top"/>
          </w:tcPr>
          <w:p w14:paraId="13EC3FFA" w14:textId="7512F09F" w:rsidR="00AD2D06" w:rsidRPr="00AD2D06" w:rsidRDefault="00AD2D06" w:rsidP="00AD2D06">
            <w:pPr>
              <w:pStyle w:val="Bullet2"/>
              <w:numPr>
                <w:ilvl w:val="0"/>
                <w:numId w:val="0"/>
              </w:numPr>
              <w:ind w:left="630" w:hanging="273"/>
              <w:jc w:val="center"/>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AD2D06">
              <w:rPr>
                <w:rFonts w:cstheme="minorHAnsi"/>
                <w:color w:val="auto"/>
                <w:sz w:val="21"/>
                <w:szCs w:val="21"/>
                <w:bdr w:val="none" w:sz="0" w:space="0" w:color="auto" w:frame="1"/>
              </w:rPr>
              <w:t>271</w:t>
            </w:r>
          </w:p>
        </w:tc>
        <w:tc>
          <w:tcPr>
            <w:tcW w:w="1116" w:type="dxa"/>
            <w:vAlign w:val="top"/>
          </w:tcPr>
          <w:p w14:paraId="7EF5699F" w14:textId="72A5FAD2" w:rsidR="00AD2D06" w:rsidRPr="00AD2D06" w:rsidRDefault="00AD2D06" w:rsidP="00AD2D06">
            <w:pPr>
              <w:pStyle w:val="bodytextrevers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rPr>
            </w:pPr>
            <w:r w:rsidRPr="00AD2D06">
              <w:rPr>
                <w:rStyle w:val="gnkrckgcgsb"/>
                <w:rFonts w:asciiTheme="minorHAnsi" w:eastAsiaTheme="minorEastAsia" w:hAnsiTheme="minorHAnsi" w:cstheme="minorHAnsi"/>
                <w:color w:val="auto"/>
                <w:sz w:val="21"/>
                <w:bdr w:val="none" w:sz="0" w:space="0" w:color="auto" w:frame="1"/>
              </w:rPr>
              <w:t>341</w:t>
            </w:r>
          </w:p>
        </w:tc>
        <w:tc>
          <w:tcPr>
            <w:tcW w:w="1117" w:type="dxa"/>
            <w:vAlign w:val="top"/>
          </w:tcPr>
          <w:p w14:paraId="23CB2576" w14:textId="64943C41" w:rsidR="00AD2D06" w:rsidRPr="00AD2D06" w:rsidRDefault="00AD2D06" w:rsidP="00AD2D06">
            <w:pPr>
              <w:pStyle w:val="bodytextrevers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rPr>
            </w:pPr>
            <w:r w:rsidRPr="00AD2D06">
              <w:rPr>
                <w:rStyle w:val="gnkrckgcgsb"/>
                <w:rFonts w:asciiTheme="minorHAnsi" w:eastAsiaTheme="minorEastAsia" w:hAnsiTheme="minorHAnsi" w:cstheme="minorHAnsi"/>
                <w:color w:val="auto"/>
                <w:sz w:val="21"/>
                <w:bdr w:val="none" w:sz="0" w:space="0" w:color="auto" w:frame="1"/>
              </w:rPr>
              <w:t>578</w:t>
            </w:r>
          </w:p>
        </w:tc>
        <w:tc>
          <w:tcPr>
            <w:tcW w:w="1116" w:type="dxa"/>
            <w:vAlign w:val="top"/>
          </w:tcPr>
          <w:p w14:paraId="2A6EE6E3" w14:textId="25D86E18" w:rsidR="00AD2D06" w:rsidRPr="00AD2D06" w:rsidRDefault="00AD2D06" w:rsidP="00AD2D06">
            <w:pPr>
              <w:pStyle w:val="bodytextrevers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rPr>
            </w:pPr>
            <w:r w:rsidRPr="00AD2D06">
              <w:rPr>
                <w:rStyle w:val="gnkrckgcgsb"/>
                <w:rFonts w:asciiTheme="minorHAnsi" w:eastAsiaTheme="minorEastAsia" w:hAnsiTheme="minorHAnsi" w:cstheme="minorHAnsi"/>
                <w:color w:val="auto"/>
                <w:sz w:val="21"/>
                <w:bdr w:val="none" w:sz="0" w:space="0" w:color="auto" w:frame="1"/>
              </w:rPr>
              <w:t>1,207</w:t>
            </w:r>
          </w:p>
        </w:tc>
        <w:tc>
          <w:tcPr>
            <w:tcW w:w="1116" w:type="dxa"/>
            <w:vAlign w:val="top"/>
          </w:tcPr>
          <w:p w14:paraId="3AABE13E" w14:textId="7B045872" w:rsidR="00AD2D06" w:rsidRPr="00AD2D06" w:rsidRDefault="00AD2D06" w:rsidP="00AD2D06">
            <w:pPr>
              <w:pStyle w:val="bodytextrevers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rPr>
            </w:pPr>
            <w:r w:rsidRPr="00AD2D06">
              <w:rPr>
                <w:rFonts w:asciiTheme="minorHAnsi" w:hAnsiTheme="minorHAnsi" w:cstheme="minorHAnsi"/>
                <w:color w:val="auto"/>
                <w:sz w:val="21"/>
                <w:bdr w:val="none" w:sz="0" w:space="0" w:color="auto" w:frame="1"/>
              </w:rPr>
              <w:t>924</w:t>
            </w:r>
          </w:p>
        </w:tc>
        <w:tc>
          <w:tcPr>
            <w:tcW w:w="1116" w:type="dxa"/>
            <w:vAlign w:val="top"/>
          </w:tcPr>
          <w:p w14:paraId="0EB153EE" w14:textId="70C2036C" w:rsidR="00AD2D06" w:rsidRPr="00AD2D06" w:rsidRDefault="00AD2D06" w:rsidP="00AD2D06">
            <w:pPr>
              <w:pStyle w:val="bodytextrevers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rPr>
            </w:pPr>
            <w:r w:rsidRPr="00AD2D06">
              <w:rPr>
                <w:rFonts w:asciiTheme="minorHAnsi" w:hAnsiTheme="minorHAnsi" w:cstheme="minorHAnsi"/>
                <w:color w:val="auto"/>
                <w:sz w:val="21"/>
                <w:bdr w:val="none" w:sz="0" w:space="0" w:color="auto" w:frame="1"/>
              </w:rPr>
              <w:t>1,150</w:t>
            </w:r>
          </w:p>
        </w:tc>
        <w:tc>
          <w:tcPr>
            <w:tcW w:w="1117" w:type="dxa"/>
            <w:vAlign w:val="top"/>
          </w:tcPr>
          <w:p w14:paraId="090948C3" w14:textId="5E0A49BB" w:rsidR="00AD2D06" w:rsidRPr="00AD2D06" w:rsidRDefault="00AD2D06" w:rsidP="00AD2D06">
            <w:pPr>
              <w:pStyle w:val="bodytextrevers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rPr>
            </w:pPr>
            <w:r w:rsidRPr="00AD2D06">
              <w:rPr>
                <w:rFonts w:asciiTheme="minorHAnsi" w:hAnsiTheme="minorHAnsi" w:cstheme="minorHAnsi"/>
                <w:color w:val="auto"/>
                <w:sz w:val="21"/>
              </w:rPr>
              <w:t>4,681</w:t>
            </w:r>
          </w:p>
        </w:tc>
      </w:tr>
      <w:tr w:rsidR="00AD2D06" w14:paraId="2A96D390" w14:textId="77777777" w:rsidTr="00AD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5C0F81A2" w14:textId="77777777" w:rsidR="00AD2D06" w:rsidRPr="00AD2D06" w:rsidRDefault="00AD2D06" w:rsidP="00AD2D06">
            <w:pPr>
              <w:jc w:val="center"/>
              <w:rPr>
                <w:rFonts w:cstheme="minorHAnsi"/>
                <w:b w:val="0"/>
                <w:bCs w:val="0"/>
                <w:color w:val="auto"/>
              </w:rPr>
            </w:pPr>
            <w:r w:rsidRPr="00AD2D06">
              <w:rPr>
                <w:rFonts w:cstheme="minorHAnsi"/>
                <w:color w:val="auto"/>
              </w:rPr>
              <w:t>Difference in payroll tax revenue from the attrition of employers</w:t>
            </w:r>
          </w:p>
        </w:tc>
        <w:tc>
          <w:tcPr>
            <w:tcW w:w="1116" w:type="dxa"/>
            <w:vAlign w:val="top"/>
          </w:tcPr>
          <w:p w14:paraId="59ED00B0" w14:textId="77777777" w:rsidR="00AD2D06" w:rsidRPr="00AD2D06" w:rsidRDefault="00AD2D06" w:rsidP="00AD2D06">
            <w:pPr>
              <w:jc w:val="center"/>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AD2D06">
              <w:rPr>
                <w:rFonts w:cstheme="minorHAnsi"/>
                <w:b/>
                <w:bCs/>
                <w:color w:val="auto"/>
              </w:rPr>
              <w:t>-84</w:t>
            </w:r>
          </w:p>
        </w:tc>
        <w:tc>
          <w:tcPr>
            <w:tcW w:w="1116" w:type="dxa"/>
            <w:vAlign w:val="top"/>
          </w:tcPr>
          <w:p w14:paraId="74403BCC" w14:textId="77777777" w:rsidR="00AD2D06" w:rsidRPr="00AD2D06" w:rsidRDefault="00AD2D06" w:rsidP="00AD2D06">
            <w:pPr>
              <w:jc w:val="center"/>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AD2D06">
              <w:rPr>
                <w:rFonts w:cstheme="minorHAnsi"/>
                <w:b/>
                <w:bCs/>
                <w:color w:val="auto"/>
              </w:rPr>
              <w:t>-131</w:t>
            </w:r>
          </w:p>
        </w:tc>
        <w:tc>
          <w:tcPr>
            <w:tcW w:w="1116" w:type="dxa"/>
            <w:vAlign w:val="top"/>
          </w:tcPr>
          <w:p w14:paraId="5F42F579" w14:textId="77777777" w:rsidR="00AD2D06" w:rsidRPr="00AD2D06" w:rsidRDefault="00AD2D06" w:rsidP="00AD2D06">
            <w:pPr>
              <w:jc w:val="center"/>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AD2D06">
              <w:rPr>
                <w:rFonts w:cstheme="minorHAnsi"/>
                <w:b/>
                <w:bCs/>
                <w:color w:val="auto"/>
              </w:rPr>
              <w:t>-200</w:t>
            </w:r>
          </w:p>
        </w:tc>
        <w:tc>
          <w:tcPr>
            <w:tcW w:w="1117" w:type="dxa"/>
            <w:vAlign w:val="top"/>
          </w:tcPr>
          <w:p w14:paraId="26D0003F" w14:textId="77777777" w:rsidR="00AD2D06" w:rsidRPr="00AD2D06" w:rsidRDefault="00AD2D06" w:rsidP="00AD2D06">
            <w:pPr>
              <w:jc w:val="center"/>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AD2D06">
              <w:rPr>
                <w:rFonts w:cstheme="minorHAnsi"/>
                <w:b/>
                <w:bCs/>
                <w:color w:val="auto"/>
              </w:rPr>
              <w:t>-293</w:t>
            </w:r>
          </w:p>
        </w:tc>
        <w:tc>
          <w:tcPr>
            <w:tcW w:w="1116" w:type="dxa"/>
            <w:vAlign w:val="top"/>
          </w:tcPr>
          <w:p w14:paraId="14A629D6" w14:textId="77777777" w:rsidR="00AD2D06" w:rsidRPr="00AD2D06" w:rsidRDefault="00AD2D06" w:rsidP="00AD2D06">
            <w:pPr>
              <w:jc w:val="center"/>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AD2D06">
              <w:rPr>
                <w:rFonts w:cstheme="minorHAnsi"/>
                <w:b/>
                <w:bCs/>
                <w:color w:val="auto"/>
              </w:rPr>
              <w:t>-963</w:t>
            </w:r>
          </w:p>
        </w:tc>
        <w:tc>
          <w:tcPr>
            <w:tcW w:w="1116" w:type="dxa"/>
            <w:vAlign w:val="top"/>
          </w:tcPr>
          <w:p w14:paraId="459FAC04" w14:textId="77777777" w:rsidR="00AD2D06" w:rsidRPr="00AD2D06" w:rsidRDefault="00AD2D06" w:rsidP="00AD2D06">
            <w:pPr>
              <w:jc w:val="center"/>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AD2D06">
              <w:rPr>
                <w:rFonts w:cstheme="minorHAnsi"/>
                <w:b/>
                <w:bCs/>
                <w:color w:val="auto"/>
              </w:rPr>
              <w:t>-716</w:t>
            </w:r>
          </w:p>
        </w:tc>
        <w:tc>
          <w:tcPr>
            <w:tcW w:w="1116" w:type="dxa"/>
            <w:vAlign w:val="top"/>
          </w:tcPr>
          <w:p w14:paraId="1996F4EA" w14:textId="77777777" w:rsidR="00AD2D06" w:rsidRPr="00AD2D06" w:rsidRDefault="00AD2D06" w:rsidP="00AD2D06">
            <w:pPr>
              <w:jc w:val="center"/>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AD2D06">
              <w:rPr>
                <w:rFonts w:cstheme="minorHAnsi"/>
                <w:b/>
                <w:bCs/>
                <w:color w:val="auto"/>
              </w:rPr>
              <w:t>-768</w:t>
            </w:r>
          </w:p>
        </w:tc>
        <w:tc>
          <w:tcPr>
            <w:tcW w:w="1117" w:type="dxa"/>
            <w:vAlign w:val="top"/>
          </w:tcPr>
          <w:p w14:paraId="4F3E7838" w14:textId="77777777" w:rsidR="00AD2D06" w:rsidRPr="00AD2D06" w:rsidRDefault="00AD2D06" w:rsidP="00AD2D06">
            <w:pPr>
              <w:jc w:val="center"/>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AD2D06">
              <w:rPr>
                <w:rFonts w:cstheme="minorHAnsi"/>
                <w:b/>
                <w:bCs/>
                <w:color w:val="auto"/>
              </w:rPr>
              <w:t>-3,155</w:t>
            </w:r>
          </w:p>
        </w:tc>
      </w:tr>
    </w:tbl>
    <w:p w14:paraId="1268493E" w14:textId="7BB664B7" w:rsidR="00E109CF" w:rsidRPr="0075528C" w:rsidRDefault="00E109CF" w:rsidP="009D49A9">
      <w:pPr>
        <w:pStyle w:val="TableCaption"/>
      </w:pPr>
      <w:r w:rsidRPr="00A86D9C">
        <w:t xml:space="preserve">Table </w:t>
      </w:r>
      <w:r>
        <w:t>9</w:t>
      </w:r>
      <w:r w:rsidRPr="00A86D9C">
        <w:t>: Additional payroll tax revenue forgone from the attrition of employers ($’000)</w:t>
      </w:r>
      <w:r w:rsidRPr="00A86D9C">
        <w:rPr>
          <w:rStyle w:val="FootnoteReference"/>
          <w:b/>
          <w:bCs w:val="0"/>
          <w:i w:val="0"/>
          <w:iCs/>
        </w:rPr>
        <w:footnoteReference w:id="11"/>
      </w:r>
    </w:p>
    <w:p w14:paraId="1F27A293" w14:textId="77777777" w:rsidR="00E109CF" w:rsidRPr="00EC03AC" w:rsidRDefault="00E109CF" w:rsidP="00E109CF">
      <w:pPr>
        <w:rPr>
          <w:rFonts w:cstheme="minorHAnsi"/>
        </w:rPr>
      </w:pPr>
    </w:p>
    <w:p w14:paraId="7ED6743F" w14:textId="77777777" w:rsidR="009D49A9" w:rsidRDefault="009D49A9">
      <w:pPr>
        <w:spacing w:line="276" w:lineRule="auto"/>
        <w:rPr>
          <w:caps/>
          <w:color w:val="AB4399"/>
          <w:w w:val="110"/>
          <w:sz w:val="40"/>
          <w:szCs w:val="40"/>
        </w:rPr>
      </w:pPr>
      <w:r>
        <w:rPr>
          <w:sz w:val="40"/>
          <w:szCs w:val="40"/>
        </w:rPr>
        <w:br w:type="page"/>
      </w:r>
    </w:p>
    <w:p w14:paraId="4E94A55D" w14:textId="5DC8E3C2" w:rsidR="00E109CF" w:rsidRDefault="00E109CF" w:rsidP="009D49A9">
      <w:pPr>
        <w:pStyle w:val="Heading1"/>
      </w:pPr>
      <w:bookmarkStart w:id="23" w:name="_Toc48112959"/>
      <w:r w:rsidRPr="00E3719C">
        <w:lastRenderedPageBreak/>
        <w:t>Conclusion</w:t>
      </w:r>
      <w:bookmarkEnd w:id="23"/>
    </w:p>
    <w:p w14:paraId="77C98E7A" w14:textId="77777777" w:rsidR="00E109CF" w:rsidRDefault="00E109CF" w:rsidP="00E109CF">
      <w:r>
        <w:t xml:space="preserve">The ACT Government’s analysis on the impact of the tax reform includes analysis on whether the tax reform program has been revenue neutral to date. The main analysis finds that over </w:t>
      </w:r>
      <w:r w:rsidRPr="00EB6351">
        <w:t xml:space="preserve">the first 7 years of tax reform, the Government </w:t>
      </w:r>
      <w:r>
        <w:t xml:space="preserve">has </w:t>
      </w:r>
      <w:r w:rsidRPr="00EB6351">
        <w:rPr>
          <w:b/>
          <w:bCs/>
        </w:rPr>
        <w:t>forgo</w:t>
      </w:r>
      <w:r>
        <w:rPr>
          <w:b/>
          <w:bCs/>
        </w:rPr>
        <w:t>ne</w:t>
      </w:r>
      <w:r w:rsidRPr="00EB6351">
        <w:t xml:space="preserve"> </w:t>
      </w:r>
      <w:r>
        <w:t xml:space="preserve">$62 million </w:t>
      </w:r>
      <w:r w:rsidRPr="00EB6351">
        <w:t>of revenue.</w:t>
      </w:r>
      <w:r>
        <w:t xml:space="preserve"> The analysis also finds that during this time period, the Government </w:t>
      </w:r>
      <w:r w:rsidRPr="005C1B75">
        <w:t>has</w:t>
      </w:r>
      <w:r>
        <w:rPr>
          <w:b/>
          <w:bCs/>
        </w:rPr>
        <w:t xml:space="preserve"> forgone</w:t>
      </w:r>
      <w:r>
        <w:t xml:space="preserve"> $128 million of revenue from the residential sector and has raised $66 million of </w:t>
      </w:r>
      <w:r w:rsidRPr="006F785C">
        <w:rPr>
          <w:b/>
          <w:bCs/>
        </w:rPr>
        <w:t xml:space="preserve">additional </w:t>
      </w:r>
      <w:r>
        <w:t>revenue from the commercial sector.</w:t>
      </w:r>
    </w:p>
    <w:p w14:paraId="0A6BD89B" w14:textId="77777777" w:rsidR="00E109CF" w:rsidRDefault="00E109CF" w:rsidP="00E109CF">
      <w:r>
        <w:t>However, since the revenue neutrality commitment primarily relates to replacing inefficient taxes, such as stamp duty and insurance duty, with broad based land taxes such as general rates, the conclusions from the revenue neutrality analysis does not take into account the revenue forgone and the lower payroll tax burden on the commercial sector from the progressive increases in the payroll tax-free threshold.</w:t>
      </w:r>
    </w:p>
    <w:p w14:paraId="66617691" w14:textId="77777777" w:rsidR="00E109CF" w:rsidRDefault="00E109CF" w:rsidP="00E109CF">
      <w:r>
        <w:t xml:space="preserve">This paper estimates the revenue forgone from increasing the threshold by comparing the revenue that has been raised from payroll tax since 2012-13 to the revenue that would have been raised from payroll tax without threshold increases. The results show that over the 7 years analysed, the Government has </w:t>
      </w:r>
      <w:r w:rsidRPr="0071290D">
        <w:rPr>
          <w:b/>
          <w:bCs/>
        </w:rPr>
        <w:t>forgone</w:t>
      </w:r>
      <w:r>
        <w:t xml:space="preserve"> $62 million to $65 million due to the progressive increases in the threshold. </w:t>
      </w:r>
    </w:p>
    <w:p w14:paraId="440E84B9" w14:textId="77777777" w:rsidR="00E109CF" w:rsidRDefault="00E109CF" w:rsidP="00E109CF">
      <w:r>
        <w:t xml:space="preserve">Therefore, the Government has </w:t>
      </w:r>
      <w:r w:rsidRPr="00BB74F9">
        <w:rPr>
          <w:b/>
          <w:bCs/>
        </w:rPr>
        <w:t>forgone</w:t>
      </w:r>
      <w:r>
        <w:t xml:space="preserve"> a total of $124 million to $127 million from 2012-13 to 2018-19 due to tax reform and the increases in the payroll tax-free threshold. Furthermore, the Government has </w:t>
      </w:r>
      <w:r w:rsidRPr="00EA6D22">
        <w:rPr>
          <w:b/>
          <w:bCs/>
        </w:rPr>
        <w:t>forgone</w:t>
      </w:r>
      <w:r>
        <w:t xml:space="preserve"> $128 million from the residential sector and raised an </w:t>
      </w:r>
      <w:r w:rsidRPr="00EA6D22">
        <w:rPr>
          <w:b/>
          <w:bCs/>
        </w:rPr>
        <w:t>additional</w:t>
      </w:r>
      <w:r>
        <w:rPr>
          <w:b/>
          <w:bCs/>
        </w:rPr>
        <w:t xml:space="preserve"> </w:t>
      </w:r>
      <w:r>
        <w:t>$1 million to $4 million from the commercial sector due to tax reform and the increases in the payroll tax-free threshold.</w:t>
      </w:r>
    </w:p>
    <w:p w14:paraId="7C068432" w14:textId="3CA37F7E" w:rsidR="00E109CF" w:rsidRDefault="00E109CF" w:rsidP="00E109CF">
      <w:r>
        <w:t xml:space="preserve">In conclusion, the paper finds that tax reform and increases in the payroll tax-free threshold has resulted in a small </w:t>
      </w:r>
      <w:r w:rsidRPr="00EA6D22">
        <w:rPr>
          <w:b/>
          <w:bCs/>
        </w:rPr>
        <w:t>increase</w:t>
      </w:r>
      <w:r>
        <w:t xml:space="preserve"> in the </w:t>
      </w:r>
      <w:r w:rsidRPr="00EA6D22">
        <w:rPr>
          <w:b/>
          <w:bCs/>
        </w:rPr>
        <w:t>total</w:t>
      </w:r>
      <w:r>
        <w:t xml:space="preserve"> tax burden for the commercial sector by approximately</w:t>
      </w:r>
      <w:r w:rsidR="00864794">
        <w:t xml:space="preserve"> </w:t>
      </w:r>
      <w:r>
        <w:t>$1 million to $4 million over 2012-13 to 2018-19. The increase in the total tax burden is a small proportion (0.023 to 0.091 per cent) of the total revenue raised from the relevant tax lines for the commercial sector over this period. On this basis, the paper concludes that the the total tax burden for the commercial sector has remained largely unchanged over the reform period to date.</w:t>
      </w:r>
    </w:p>
    <w:p w14:paraId="3C13CFC3" w14:textId="77777777" w:rsidR="009D49A9" w:rsidRDefault="009D49A9">
      <w:pPr>
        <w:spacing w:line="276" w:lineRule="auto"/>
        <w:rPr>
          <w:caps/>
          <w:color w:val="AB4399"/>
          <w:w w:val="110"/>
          <w:sz w:val="40"/>
          <w:szCs w:val="40"/>
        </w:rPr>
      </w:pPr>
      <w:r>
        <w:rPr>
          <w:sz w:val="40"/>
          <w:szCs w:val="40"/>
        </w:rPr>
        <w:br w:type="page"/>
      </w:r>
    </w:p>
    <w:p w14:paraId="210A6DF3" w14:textId="04368EE0" w:rsidR="00E109CF" w:rsidRPr="002F5014" w:rsidRDefault="00E109CF" w:rsidP="009D49A9">
      <w:pPr>
        <w:pStyle w:val="Heading1"/>
      </w:pPr>
      <w:bookmarkStart w:id="24" w:name="_Toc48112960"/>
      <w:r w:rsidRPr="002F5014">
        <w:lastRenderedPageBreak/>
        <w:t>References</w:t>
      </w:r>
      <w:bookmarkEnd w:id="24"/>
    </w:p>
    <w:p w14:paraId="2828B974" w14:textId="77777777" w:rsidR="00E109CF" w:rsidRDefault="00E109CF" w:rsidP="00E109CF">
      <w:pPr>
        <w:widowControl w:val="0"/>
        <w:spacing w:after="120" w:line="276" w:lineRule="auto"/>
        <w:contextualSpacing/>
        <w:rPr>
          <w:rFonts w:cstheme="minorHAnsi"/>
        </w:rPr>
      </w:pPr>
    </w:p>
    <w:p w14:paraId="3D5F5721" w14:textId="747A839C" w:rsidR="00E109CF" w:rsidRDefault="00E109CF" w:rsidP="00E109CF">
      <w:pPr>
        <w:widowControl w:val="0"/>
        <w:spacing w:after="120" w:line="276" w:lineRule="auto"/>
        <w:contextualSpacing/>
        <w:rPr>
          <w:rFonts w:cstheme="minorHAnsi"/>
        </w:rPr>
      </w:pPr>
      <w:r w:rsidRPr="00A86D9C">
        <w:rPr>
          <w:rFonts w:cstheme="minorHAnsi"/>
        </w:rPr>
        <w:t xml:space="preserve">ACT Government Treasury, 2012, </w:t>
      </w:r>
      <w:r w:rsidRPr="00A86D9C">
        <w:rPr>
          <w:rFonts w:cstheme="minorHAnsi"/>
          <w:i/>
          <w:iCs/>
        </w:rPr>
        <w:t>ACT Budget 2012-13 - Chapter 3.2 2012-13 Taxation Reform</w:t>
      </w:r>
      <w:r w:rsidRPr="00A86D9C">
        <w:rPr>
          <w:rFonts w:cstheme="minorHAnsi"/>
        </w:rPr>
        <w:t xml:space="preserve">, </w:t>
      </w:r>
      <w:proofErr w:type="spellStart"/>
      <w:r w:rsidRPr="00A86D9C">
        <w:rPr>
          <w:rFonts w:cstheme="minorHAnsi"/>
        </w:rPr>
        <w:t>ACTPS</w:t>
      </w:r>
      <w:proofErr w:type="spellEnd"/>
      <w:r w:rsidRPr="00A86D9C">
        <w:rPr>
          <w:rFonts w:cstheme="minorHAnsi"/>
        </w:rPr>
        <w:t>, Canberra.</w:t>
      </w:r>
      <w:r>
        <w:rPr>
          <w:rFonts w:cstheme="minorHAnsi"/>
        </w:rPr>
        <w:br/>
      </w:r>
      <w:r>
        <w:rPr>
          <w:rFonts w:cstheme="minorHAnsi"/>
        </w:rPr>
        <w:br/>
      </w:r>
      <w:r w:rsidRPr="00A86D9C">
        <w:rPr>
          <w:rFonts w:cstheme="minorHAnsi"/>
        </w:rPr>
        <w:t xml:space="preserve">Australian Bureau of Statistics, 2019, </w:t>
      </w:r>
      <w:r w:rsidRPr="00A86D9C">
        <w:rPr>
          <w:rFonts w:cstheme="minorHAnsi"/>
          <w:i/>
          <w:iCs/>
        </w:rPr>
        <w:t>Catalogue number 8165.0 - Counts of Australian Businesses including Entries and Exits</w:t>
      </w:r>
      <w:r w:rsidRPr="00A86D9C">
        <w:rPr>
          <w:rFonts w:cstheme="minorHAnsi"/>
        </w:rPr>
        <w:t>, Businesses by Main State by Industry Class by Employment Size Ranges (current and past releases).</w:t>
      </w:r>
    </w:p>
    <w:p w14:paraId="0D9E6B7A" w14:textId="77777777" w:rsidR="00E109CF" w:rsidRDefault="00E109CF" w:rsidP="00E109CF">
      <w:pPr>
        <w:widowControl w:val="0"/>
        <w:spacing w:after="120" w:line="276" w:lineRule="auto"/>
        <w:contextualSpacing/>
        <w:rPr>
          <w:rFonts w:cstheme="minorHAnsi"/>
        </w:rPr>
      </w:pPr>
    </w:p>
    <w:p w14:paraId="118DDCAC" w14:textId="77777777" w:rsidR="00E109CF" w:rsidRPr="00EE4FDB" w:rsidRDefault="00E109CF" w:rsidP="00E109CF">
      <w:pPr>
        <w:widowControl w:val="0"/>
        <w:spacing w:after="120" w:line="276" w:lineRule="auto"/>
        <w:contextualSpacing/>
        <w:rPr>
          <w:rFonts w:cstheme="minorHAnsi"/>
        </w:rPr>
      </w:pPr>
      <w:r w:rsidRPr="002F5014">
        <w:rPr>
          <w:rFonts w:cstheme="minorHAnsi"/>
        </w:rPr>
        <w:t xml:space="preserve">Australian Bureau of Statistics, 2020, </w:t>
      </w:r>
      <w:r w:rsidRPr="00A86D9C">
        <w:rPr>
          <w:rFonts w:cstheme="minorHAnsi"/>
          <w:i/>
          <w:iCs/>
        </w:rPr>
        <w:t>Cat</w:t>
      </w:r>
      <w:r>
        <w:rPr>
          <w:rFonts w:cstheme="minorHAnsi"/>
          <w:i/>
          <w:iCs/>
        </w:rPr>
        <w:t>a</w:t>
      </w:r>
      <w:r w:rsidRPr="00A86D9C">
        <w:rPr>
          <w:rFonts w:cstheme="minorHAnsi"/>
          <w:i/>
          <w:iCs/>
        </w:rPr>
        <w:t xml:space="preserve">logue number </w:t>
      </w:r>
      <w:r w:rsidRPr="00A86D9C">
        <w:rPr>
          <w:rFonts w:cstheme="minorHAnsi"/>
          <w:i/>
          <w:iCs/>
          <w:color w:val="000000"/>
          <w:shd w:val="clear" w:color="auto" w:fill="FFFFFF"/>
        </w:rPr>
        <w:t>6345.0 - Wage Price Index</w:t>
      </w:r>
      <w:r w:rsidRPr="00A86D9C">
        <w:rPr>
          <w:rFonts w:cstheme="minorHAnsi"/>
          <w:color w:val="000000"/>
          <w:shd w:val="clear" w:color="auto" w:fill="FFFFFF"/>
        </w:rPr>
        <w:t>,</w:t>
      </w:r>
      <w:r w:rsidRPr="002F5014">
        <w:rPr>
          <w:rFonts w:cstheme="minorHAnsi"/>
          <w:color w:val="000000"/>
          <w:shd w:val="clear" w:color="auto" w:fill="FFFFFF"/>
        </w:rPr>
        <w:t xml:space="preserve"> Table </w:t>
      </w:r>
      <w:proofErr w:type="spellStart"/>
      <w:r w:rsidRPr="002F5014">
        <w:rPr>
          <w:rFonts w:cstheme="minorHAnsi"/>
          <w:color w:val="000000"/>
          <w:shd w:val="clear" w:color="auto" w:fill="FFFFFF"/>
        </w:rPr>
        <w:t>8a</w:t>
      </w:r>
      <w:proofErr w:type="spellEnd"/>
      <w:r w:rsidRPr="002F5014">
        <w:rPr>
          <w:rFonts w:cstheme="minorHAnsi"/>
          <w:color w:val="000000"/>
          <w:shd w:val="clear" w:color="auto" w:fill="FFFFFF"/>
        </w:rPr>
        <w:t>. Ordinary Hourly Rates of Pay Excluding Bonuses: All Sectors by State, Original (Financial Year Index Numbers for ended June Quarter).</w:t>
      </w:r>
    </w:p>
    <w:p w14:paraId="0A57728D" w14:textId="77777777" w:rsidR="00E109CF" w:rsidRDefault="00E109CF" w:rsidP="00E109CF">
      <w:pPr>
        <w:widowControl w:val="0"/>
        <w:spacing w:after="120" w:line="276" w:lineRule="auto"/>
        <w:contextualSpacing/>
        <w:rPr>
          <w:rFonts w:cstheme="minorHAnsi"/>
          <w:color w:val="000000"/>
          <w:shd w:val="clear" w:color="auto" w:fill="FFFFFF"/>
        </w:rPr>
      </w:pPr>
    </w:p>
    <w:p w14:paraId="57D24A50" w14:textId="7555EBCC" w:rsidR="00E109CF" w:rsidRDefault="00E109CF" w:rsidP="00E109CF">
      <w:pPr>
        <w:widowControl w:val="0"/>
        <w:spacing w:after="120" w:line="276" w:lineRule="auto"/>
        <w:contextualSpacing/>
        <w:rPr>
          <w:rFonts w:cstheme="minorHAnsi"/>
        </w:rPr>
      </w:pPr>
      <w:r w:rsidRPr="00A86D9C">
        <w:rPr>
          <w:rFonts w:cstheme="minorHAnsi"/>
        </w:rPr>
        <w:t xml:space="preserve">NSW Government Treasury, 2008, </w:t>
      </w:r>
      <w:r w:rsidRPr="00A86D9C">
        <w:rPr>
          <w:rFonts w:cstheme="minorHAnsi"/>
          <w:i/>
          <w:iCs/>
        </w:rPr>
        <w:t>NSW Budget 2008-09 – Budget Paper No. 2 – Chapter 4 General Government Revenues</w:t>
      </w:r>
      <w:r w:rsidRPr="00A86D9C">
        <w:rPr>
          <w:rFonts w:cstheme="minorHAnsi"/>
        </w:rPr>
        <w:t xml:space="preserve">, </w:t>
      </w:r>
      <w:proofErr w:type="spellStart"/>
      <w:r w:rsidRPr="00A86D9C">
        <w:rPr>
          <w:rFonts w:cstheme="minorHAnsi"/>
        </w:rPr>
        <w:t>NSWPS</w:t>
      </w:r>
      <w:proofErr w:type="spellEnd"/>
      <w:r w:rsidRPr="00A86D9C">
        <w:rPr>
          <w:rFonts w:cstheme="minorHAnsi"/>
        </w:rPr>
        <w:t>.</w:t>
      </w:r>
    </w:p>
    <w:p w14:paraId="7C43F056" w14:textId="77777777" w:rsidR="00E109CF" w:rsidRDefault="00E109CF">
      <w:pPr>
        <w:spacing w:line="276" w:lineRule="auto"/>
        <w:rPr>
          <w:rFonts w:cstheme="minorHAnsi"/>
        </w:rPr>
      </w:pPr>
      <w:r>
        <w:rPr>
          <w:rFonts w:cstheme="minorHAnsi"/>
        </w:rPr>
        <w:br w:type="page"/>
      </w:r>
    </w:p>
    <w:p w14:paraId="375FE80C" w14:textId="77777777" w:rsidR="00E109CF" w:rsidRDefault="00E109CF" w:rsidP="00E109CF">
      <w:pPr>
        <w:widowControl w:val="0"/>
        <w:spacing w:after="120" w:line="276" w:lineRule="auto"/>
        <w:contextualSpacing/>
      </w:pPr>
    </w:p>
    <w:p w14:paraId="3979B6A8" w14:textId="77777777" w:rsidR="00E109CF" w:rsidRDefault="00E109CF" w:rsidP="00E109CF">
      <w:pPr>
        <w:widowControl w:val="0"/>
        <w:spacing w:after="120" w:line="276" w:lineRule="auto"/>
        <w:rPr>
          <w:rFonts w:cstheme="minorHAnsi"/>
        </w:rPr>
      </w:pPr>
    </w:p>
    <w:p w14:paraId="38606A43" w14:textId="77777777" w:rsidR="00E109CF" w:rsidRDefault="00E109CF" w:rsidP="00030790">
      <w:pPr>
        <w:spacing w:before="240"/>
      </w:pPr>
    </w:p>
    <w:p w14:paraId="463A4388" w14:textId="127D8596" w:rsidR="00A56436" w:rsidRDefault="006D2273" w:rsidP="00860B3E">
      <w:pPr>
        <w:spacing w:line="276" w:lineRule="auto"/>
      </w:pPr>
      <w:r>
        <w:rPr>
          <w:noProof/>
        </w:rPr>
        <w:drawing>
          <wp:anchor distT="0" distB="0" distL="114300" distR="114300" simplePos="0" relativeHeight="251681792" behindDoc="1" locked="0" layoutInCell="1" allowOverlap="1" wp14:anchorId="2471D6F5" wp14:editId="76F54876">
            <wp:simplePos x="0" y="0"/>
            <wp:positionH relativeFrom="page">
              <wp:posOffset>1834</wp:posOffset>
            </wp:positionH>
            <wp:positionV relativeFrom="page">
              <wp:posOffset>0</wp:posOffset>
            </wp:positionV>
            <wp:extent cx="7628332" cy="10790399"/>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14:paraId="443D9278" w14:textId="77777777" w:rsidR="00B70B52" w:rsidRDefault="00B70B52">
      <w:pPr>
        <w:spacing w:line="276" w:lineRule="auto"/>
        <w:rPr>
          <w:rFonts w:eastAsia="TimesNewRomanPS-ItalicMT"/>
        </w:rPr>
      </w:pPr>
    </w:p>
    <w:p w14:paraId="0928EC2D" w14:textId="77777777" w:rsidR="007903B1" w:rsidRDefault="007903B1">
      <w:pPr>
        <w:spacing w:line="276" w:lineRule="auto"/>
        <w:rPr>
          <w:rFonts w:eastAsia="TimesNewRomanPS-ItalicMT"/>
        </w:rPr>
      </w:pPr>
    </w:p>
    <w:p w14:paraId="01F92104" w14:textId="77777777" w:rsidR="007D5985" w:rsidRPr="003B2710" w:rsidRDefault="007D5985" w:rsidP="007D5985">
      <w:pPr>
        <w:rPr>
          <w:rFonts w:eastAsia="TimesNewRomanPS-ItalicMT"/>
        </w:rPr>
      </w:pPr>
    </w:p>
    <w:p w14:paraId="4D743F70" w14:textId="77777777" w:rsidR="00632F54" w:rsidRPr="00632F54" w:rsidRDefault="00496C0F" w:rsidP="00632F54">
      <w:pPr>
        <w:pStyle w:val="Heading2"/>
      </w:pPr>
      <w:bookmarkStart w:id="25" w:name="_Toc48112878"/>
      <w:bookmarkStart w:id="26" w:name="_Toc48112961"/>
      <w:r>
        <w:rPr>
          <w:noProof/>
        </w:rPr>
        <w:drawing>
          <wp:anchor distT="0" distB="0" distL="114300" distR="114300" simplePos="0" relativeHeight="251658240" behindDoc="0" locked="0" layoutInCell="1" allowOverlap="1" wp14:anchorId="25501B4C" wp14:editId="3AE9C277">
            <wp:simplePos x="0" y="0"/>
            <wp:positionH relativeFrom="margin">
              <wp:posOffset>5715</wp:posOffset>
            </wp:positionH>
            <wp:positionV relativeFrom="page">
              <wp:posOffset>7205980</wp:posOffset>
            </wp:positionV>
            <wp:extent cx="1413510" cy="721995"/>
            <wp:effectExtent l="19050" t="0" r="0" b="0"/>
            <wp:wrapSquare wrapText="bothSides"/>
            <wp:docPr id="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1BDAC27C" wp14:editId="45E0BBDD">
                <wp:simplePos x="0" y="0"/>
                <wp:positionH relativeFrom="column">
                  <wp:posOffset>0</wp:posOffset>
                </wp:positionH>
                <wp:positionV relativeFrom="page">
                  <wp:posOffset>9001125</wp:posOffset>
                </wp:positionV>
                <wp:extent cx="3439795" cy="916940"/>
                <wp:effectExtent l="0" t="0" r="3175" b="0"/>
                <wp:wrapNone/>
                <wp:docPr id="16"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8D0D" w14:textId="45681570" w:rsidR="00E90E15" w:rsidRPr="003D4DBC" w:rsidRDefault="000B6593" w:rsidP="000016B9">
                            <w:pPr>
                              <w:pStyle w:val="Intro"/>
                              <w:rPr>
                                <w:color w:val="FFFFFF" w:themeColor="background1"/>
                              </w:rPr>
                            </w:pPr>
                            <w:r>
                              <w:rPr>
                                <w:color w:val="FFFFFF" w:themeColor="background1"/>
                              </w:rPr>
                              <w:t>Chief Minister, Treasury and Economic Development</w:t>
                            </w:r>
                          </w:p>
                          <w:p w14:paraId="5A4EF646" w14:textId="49C77FF3" w:rsidR="00E90E15" w:rsidRPr="003D4DBC" w:rsidRDefault="000B6593" w:rsidP="000016B9">
                            <w:pPr>
                              <w:pStyle w:val="Intro"/>
                              <w:rPr>
                                <w:color w:val="FFFFFF" w:themeColor="background1"/>
                              </w:rPr>
                            </w:pPr>
                            <w:r>
                              <w:rPr>
                                <w:color w:val="FFFFFF" w:themeColor="background1"/>
                              </w:rPr>
                              <w:t>August</w:t>
                            </w:r>
                            <w:r w:rsidR="00E90E15" w:rsidRPr="003D4DBC">
                              <w:rPr>
                                <w:color w:val="FFFFFF" w:themeColor="background1"/>
                              </w:rPr>
                              <w:t xml:space="preserve"> 20</w:t>
                            </w:r>
                            <w:r>
                              <w:rPr>
                                <w:color w:val="FFFFFF" w:themeColor="background1"/>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DAC27C"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" filled="f" stroked="f">
                <v:textbox style="mso-fit-shape-to-text:t">
                  <w:txbxContent>
                    <w:p w14:paraId="12AB8D0D" w14:textId="45681570" w:rsidR="00E90E15" w:rsidRPr="003D4DBC" w:rsidRDefault="000B6593" w:rsidP="000016B9">
                      <w:pPr>
                        <w:pStyle w:val="Intro"/>
                        <w:rPr>
                          <w:color w:val="FFFFFF" w:themeColor="background1"/>
                        </w:rPr>
                      </w:pPr>
                      <w:r>
                        <w:rPr>
                          <w:color w:val="FFFFFF" w:themeColor="background1"/>
                        </w:rPr>
                        <w:t>Chief Minister, Treasury and Economic Development</w:t>
                      </w:r>
                    </w:p>
                    <w:p w14:paraId="5A4EF646" w14:textId="49C77FF3" w:rsidR="00E90E15" w:rsidRPr="003D4DBC" w:rsidRDefault="000B6593" w:rsidP="000016B9">
                      <w:pPr>
                        <w:pStyle w:val="Intro"/>
                        <w:rPr>
                          <w:color w:val="FFFFFF" w:themeColor="background1"/>
                        </w:rPr>
                      </w:pPr>
                      <w:r>
                        <w:rPr>
                          <w:color w:val="FFFFFF" w:themeColor="background1"/>
                        </w:rPr>
                        <w:t>August</w:t>
                      </w:r>
                      <w:r w:rsidR="00E90E15" w:rsidRPr="003D4DBC">
                        <w:rPr>
                          <w:color w:val="FFFFFF" w:themeColor="background1"/>
                        </w:rPr>
                        <w:t xml:space="preserve"> 20</w:t>
                      </w:r>
                      <w:r>
                        <w:rPr>
                          <w:color w:val="FFFFFF" w:themeColor="background1"/>
                        </w:rPr>
                        <w:t>20</w:t>
                      </w:r>
                    </w:p>
                  </w:txbxContent>
                </v:textbox>
                <w10:wrap anchory="page"/>
              </v:shape>
            </w:pict>
          </mc:Fallback>
        </mc:AlternateContent>
      </w:r>
      <w:bookmarkEnd w:id="25"/>
      <w:bookmarkEnd w:id="26"/>
      <w:r>
        <w:t xml:space="preserve"> </w:t>
      </w:r>
    </w:p>
    <w:sectPr w:rsidR="00632F54" w:rsidRPr="00632F54" w:rsidSect="005115E8">
      <w:headerReference w:type="default" r:id="rId14"/>
      <w:footerReference w:type="default" r:id="rId15"/>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AC9F" w14:textId="77777777" w:rsidR="00E90E15" w:rsidRDefault="00E90E15" w:rsidP="00665B9F">
      <w:pPr>
        <w:spacing w:after="0" w:line="240" w:lineRule="auto"/>
      </w:pPr>
      <w:r>
        <w:separator/>
      </w:r>
    </w:p>
  </w:endnote>
  <w:endnote w:type="continuationSeparator" w:id="0">
    <w:p w14:paraId="3FC6C360" w14:textId="77777777" w:rsidR="00E90E15" w:rsidRDefault="00E90E15"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3355" w14:textId="65C7DA15" w:rsidR="00E90E15" w:rsidRPr="000A6B63" w:rsidRDefault="00E90E15" w:rsidP="00731AE2">
    <w:pPr>
      <w:pStyle w:val="Intro"/>
      <w:tabs>
        <w:tab w:val="right" w:pos="8789"/>
        <w:tab w:val="right" w:pos="9070"/>
      </w:tabs>
    </w:pPr>
    <w:r>
      <w:rPr>
        <w:noProof/>
        <w:sz w:val="18"/>
        <w:szCs w:val="18"/>
      </w:rPr>
      <mc:AlternateContent>
        <mc:Choice Requires="wps">
          <w:drawing>
            <wp:anchor distT="0" distB="0" distL="114300" distR="114300" simplePos="0" relativeHeight="251658240" behindDoc="0" locked="0" layoutInCell="1" allowOverlap="1" wp14:anchorId="32CA1DC3" wp14:editId="55138EF2">
              <wp:simplePos x="0" y="0"/>
              <wp:positionH relativeFrom="column">
                <wp:posOffset>-900430</wp:posOffset>
              </wp:positionH>
              <wp:positionV relativeFrom="paragraph">
                <wp:posOffset>-179705</wp:posOffset>
              </wp:positionV>
              <wp:extent cx="7560945" cy="0"/>
              <wp:effectExtent l="9525" t="10160" r="11430" b="8890"/>
              <wp:wrapNone/>
              <wp:docPr id="15"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876AB"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rPr>
        <w:sz w:val="18"/>
        <w:szCs w:val="18"/>
      </w:rPr>
      <w:t>Revenue Forgone from Payroll Tax</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E286D" w14:textId="77777777" w:rsidR="00E90E15" w:rsidRDefault="00E90E15" w:rsidP="00665B9F">
      <w:pPr>
        <w:spacing w:after="0" w:line="240" w:lineRule="auto"/>
      </w:pPr>
      <w:r>
        <w:separator/>
      </w:r>
    </w:p>
  </w:footnote>
  <w:footnote w:type="continuationSeparator" w:id="0">
    <w:p w14:paraId="40B0ADBB" w14:textId="77777777" w:rsidR="00E90E15" w:rsidRDefault="00E90E15" w:rsidP="00665B9F">
      <w:pPr>
        <w:spacing w:after="0" w:line="240" w:lineRule="auto"/>
      </w:pPr>
      <w:r>
        <w:continuationSeparator/>
      </w:r>
    </w:p>
  </w:footnote>
  <w:footnote w:id="1">
    <w:p w14:paraId="0F88453D" w14:textId="692B167C" w:rsidR="00EF35E4" w:rsidRPr="00EF35E4" w:rsidRDefault="00EF35E4">
      <w:pPr>
        <w:pStyle w:val="FootnoteText"/>
      </w:pPr>
      <w:r>
        <w:rPr>
          <w:rStyle w:val="FootnoteReference"/>
        </w:rPr>
        <w:footnoteRef/>
      </w:r>
      <w:r>
        <w:t xml:space="preserve"> </w:t>
      </w:r>
      <w:r w:rsidRPr="00B800A2">
        <w:rPr>
          <w:i/>
          <w:iCs/>
        </w:rPr>
        <w:t xml:space="preserve">Effective </w:t>
      </w:r>
      <w:r>
        <w:t>payroll tax rate is payroll tax liability as a ratio of the tax base (i.e. employer’s total ACT wages), as opposed to the statutory payroll tax rate of 6.85 per cent.</w:t>
      </w:r>
    </w:p>
  </w:footnote>
  <w:footnote w:id="2">
    <w:p w14:paraId="0D610B79" w14:textId="77777777" w:rsidR="00E90E15" w:rsidRDefault="00E90E15" w:rsidP="00E109CF">
      <w:pPr>
        <w:pStyle w:val="FootnoteText"/>
      </w:pPr>
      <w:r>
        <w:rPr>
          <w:rStyle w:val="FootnoteReference"/>
        </w:rPr>
        <w:footnoteRef/>
      </w:r>
      <w:r>
        <w:t xml:space="preserve"> The threshold for 2008/09 was $623,000 and for 2013-14 was $750,000.</w:t>
      </w:r>
    </w:p>
  </w:footnote>
  <w:footnote w:id="3">
    <w:p w14:paraId="5F01DC86" w14:textId="77777777" w:rsidR="00E90E15" w:rsidRDefault="00E90E15" w:rsidP="00E109CF">
      <w:pPr>
        <w:pStyle w:val="FootnoteText"/>
      </w:pPr>
      <w:r>
        <w:rPr>
          <w:rStyle w:val="FootnoteReference"/>
        </w:rPr>
        <w:footnoteRef/>
      </w:r>
      <w:r>
        <w:t xml:space="preserve"> Numbers are rounded to the nearest thousand.</w:t>
      </w:r>
    </w:p>
  </w:footnote>
  <w:footnote w:id="4">
    <w:p w14:paraId="6575EA07" w14:textId="77777777" w:rsidR="00E90E15" w:rsidRDefault="00E90E15" w:rsidP="00E109CF">
      <w:pPr>
        <w:pStyle w:val="FootnoteText"/>
      </w:pPr>
      <w:r>
        <w:rPr>
          <w:rStyle w:val="FootnoteReference"/>
        </w:rPr>
        <w:footnoteRef/>
      </w:r>
      <w:r>
        <w:t xml:space="preserve"> From the main results.</w:t>
      </w:r>
    </w:p>
  </w:footnote>
  <w:footnote w:id="5">
    <w:p w14:paraId="779FF737" w14:textId="77777777" w:rsidR="00E90E15" w:rsidRDefault="00E90E15" w:rsidP="00E109CF">
      <w:pPr>
        <w:pStyle w:val="FootnoteText"/>
      </w:pPr>
      <w:r>
        <w:rPr>
          <w:rStyle w:val="FootnoteReference"/>
        </w:rPr>
        <w:footnoteRef/>
      </w:r>
      <w:r>
        <w:t xml:space="preserve"> Australia-wide wages here refers to group’s total Australia-wide wages for </w:t>
      </w:r>
      <w:r>
        <w:t>DGEs/JRLs and OGEs and employer’s total Australia-wide wages for independent employers.</w:t>
      </w:r>
    </w:p>
  </w:footnote>
  <w:footnote w:id="6">
    <w:p w14:paraId="4EDBEFAB" w14:textId="77777777" w:rsidR="00E90E15" w:rsidRDefault="00E90E15" w:rsidP="00E109CF">
      <w:pPr>
        <w:pStyle w:val="FootnoteText"/>
      </w:pPr>
      <w:r>
        <w:rPr>
          <w:rStyle w:val="FootnoteReference"/>
        </w:rPr>
        <w:footnoteRef/>
      </w:r>
      <w:r>
        <w:t xml:space="preserve"> Australia-wide wages here refers to group’s total Australia-wide wages for </w:t>
      </w:r>
      <w:r>
        <w:t>DGEs/JRLs and OGEs and employer’s total Australia-wide wages for independent employers.</w:t>
      </w:r>
    </w:p>
  </w:footnote>
  <w:footnote w:id="7">
    <w:p w14:paraId="2AF1FC05" w14:textId="77777777" w:rsidR="00771996" w:rsidRDefault="00771996" w:rsidP="00771996">
      <w:pPr>
        <w:pStyle w:val="FootnoteText"/>
      </w:pPr>
      <w:r>
        <w:rPr>
          <w:rStyle w:val="FootnoteReference"/>
        </w:rPr>
        <w:footnoteRef/>
      </w:r>
      <w:r>
        <w:t xml:space="preserve"> Counts presented by employment size ranges will not always sum to the total due to </w:t>
      </w:r>
      <w:r>
        <w:t>ABS’s data perturbation method.</w:t>
      </w:r>
    </w:p>
  </w:footnote>
  <w:footnote w:id="8">
    <w:p w14:paraId="47A55DA9" w14:textId="77777777" w:rsidR="00E90E15" w:rsidRDefault="00E90E15" w:rsidP="00E109CF">
      <w:pPr>
        <w:pStyle w:val="FootnoteText"/>
      </w:pPr>
      <w:r>
        <w:rPr>
          <w:rStyle w:val="FootnoteReference"/>
        </w:rPr>
        <w:footnoteRef/>
      </w:r>
      <w:r>
        <w:t xml:space="preserve"> Australia-wide wages between $1.5 million and $1.75 million means Australia-wide wages greater than $1.5 million and less than or equal to $1.75 million. Not employers in the 2012-13 data means they are either not in the 2012-13 data or have not declared wage amounts in that year.</w:t>
      </w:r>
    </w:p>
  </w:footnote>
  <w:footnote w:id="9">
    <w:p w14:paraId="2E0707C5" w14:textId="77777777" w:rsidR="00E90E15" w:rsidRDefault="00E90E15" w:rsidP="00E109CF">
      <w:pPr>
        <w:keepLines/>
        <w:spacing w:after="0"/>
        <w:contextualSpacing/>
      </w:pPr>
      <w:r>
        <w:rPr>
          <w:rStyle w:val="FootnoteReference"/>
        </w:rPr>
        <w:footnoteRef/>
      </w:r>
      <w:r>
        <w:t xml:space="preserve"> </w:t>
      </w:r>
      <w:r w:rsidRPr="003A5B26">
        <w:rPr>
          <w:sz w:val="20"/>
          <w:szCs w:val="20"/>
        </w:rPr>
        <w:t>For example, employers dropping out the data set in 2018-19 due to the threshold increasing from $1.5 million to $2 million are identified as: all employers in the 2011-12 data with Australia-wide wages between $1.5 million and $2 million that are not employers in the 2018-19 data.</w:t>
      </w:r>
    </w:p>
  </w:footnote>
  <w:footnote w:id="10">
    <w:p w14:paraId="5EC1CF34" w14:textId="77777777" w:rsidR="00E90E15" w:rsidRPr="00A86D9C" w:rsidRDefault="00E90E15" w:rsidP="00E109CF">
      <w:pPr>
        <w:pStyle w:val="FootnoteText"/>
        <w:rPr>
          <w:rFonts w:cstheme="minorHAnsi"/>
          <w:sz w:val="24"/>
          <w:szCs w:val="24"/>
        </w:rPr>
      </w:pPr>
      <w:r>
        <w:rPr>
          <w:rStyle w:val="FootnoteReference"/>
        </w:rPr>
        <w:footnoteRef/>
      </w:r>
      <w:r>
        <w:t xml:space="preserve"> Indexed using ABS, 2020, </w:t>
      </w:r>
      <w:r w:rsidRPr="00A86D9C">
        <w:rPr>
          <w:rFonts w:cstheme="minorHAnsi"/>
          <w:color w:val="000000"/>
          <w:shd w:val="clear" w:color="auto" w:fill="FFFFFF"/>
        </w:rPr>
        <w:t>6345.0 - Wage Price Index</w:t>
      </w:r>
      <w:r>
        <w:rPr>
          <w:rFonts w:cstheme="minorHAnsi"/>
          <w:color w:val="000000"/>
          <w:shd w:val="clear" w:color="auto" w:fill="FFFFFF"/>
        </w:rPr>
        <w:t>.</w:t>
      </w:r>
    </w:p>
  </w:footnote>
  <w:footnote w:id="11">
    <w:p w14:paraId="4C36F866" w14:textId="77777777" w:rsidR="00E90E15" w:rsidRDefault="00E90E15" w:rsidP="00E109CF">
      <w:pPr>
        <w:pStyle w:val="FootnoteText"/>
      </w:pPr>
      <w:r>
        <w:rPr>
          <w:rStyle w:val="FootnoteReference"/>
        </w:rPr>
        <w:footnoteRef/>
      </w:r>
      <w:r>
        <w:t xml:space="preserve"> Numbers are rounded to the nearest thousand.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E6F6" w14:textId="77777777" w:rsidR="00E90E15" w:rsidRPr="006046FF" w:rsidRDefault="00E90E15"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283F02D4" wp14:editId="4E3B5408">
          <wp:simplePos x="0" y="0"/>
          <wp:positionH relativeFrom="page">
            <wp:posOffset>534035</wp:posOffset>
          </wp:positionH>
          <wp:positionV relativeFrom="page">
            <wp:posOffset>-584200</wp:posOffset>
          </wp:positionV>
          <wp:extent cx="7632000" cy="903600"/>
          <wp:effectExtent l="38100" t="0" r="7620" b="640080"/>
          <wp:wrapNone/>
          <wp:docPr id="14"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D4FFB"/>
    <w:multiLevelType w:val="hybridMultilevel"/>
    <w:tmpl w:val="76E6D7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025B67"/>
    <w:multiLevelType w:val="hybridMultilevel"/>
    <w:tmpl w:val="7F8A6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86422D"/>
    <w:multiLevelType w:val="hybridMultilevel"/>
    <w:tmpl w:val="E33CF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8F767A"/>
    <w:multiLevelType w:val="hybridMultilevel"/>
    <w:tmpl w:val="E7706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1405CF"/>
    <w:multiLevelType w:val="hybridMultilevel"/>
    <w:tmpl w:val="E33CF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7AD5268"/>
    <w:multiLevelType w:val="hybridMultilevel"/>
    <w:tmpl w:val="E33CF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CC92990"/>
    <w:multiLevelType w:val="hybridMultilevel"/>
    <w:tmpl w:val="E33CF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9" w15:restartNumberingAfterBreak="0">
    <w:nsid w:val="4772359C"/>
    <w:multiLevelType w:val="hybridMultilevel"/>
    <w:tmpl w:val="ECA28F5E"/>
    <w:lvl w:ilvl="0" w:tplc="24D0847C">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F27B1C"/>
    <w:multiLevelType w:val="hybridMultilevel"/>
    <w:tmpl w:val="6024B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5"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6F9B66F6"/>
    <w:multiLevelType w:val="hybridMultilevel"/>
    <w:tmpl w:val="E33CF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86569F"/>
    <w:multiLevelType w:val="hybridMultilevel"/>
    <w:tmpl w:val="91025F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6"/>
  </w:num>
  <w:num w:numId="4">
    <w:abstractNumId w:val="34"/>
  </w:num>
  <w:num w:numId="5">
    <w:abstractNumId w:val="27"/>
  </w:num>
  <w:num w:numId="6">
    <w:abstractNumId w:val="20"/>
  </w:num>
  <w:num w:numId="7">
    <w:abstractNumId w:val="40"/>
  </w:num>
  <w:num w:numId="8">
    <w:abstractNumId w:val="25"/>
  </w:num>
  <w:num w:numId="9">
    <w:abstractNumId w:val="12"/>
  </w:num>
  <w:num w:numId="10">
    <w:abstractNumId w:val="28"/>
  </w:num>
  <w:num w:numId="11">
    <w:abstractNumId w:val="22"/>
  </w:num>
  <w:num w:numId="12">
    <w:abstractNumId w:val="35"/>
  </w:num>
  <w:num w:numId="13">
    <w:abstractNumId w:val="16"/>
  </w:num>
  <w:num w:numId="14">
    <w:abstractNumId w:val="23"/>
  </w:num>
  <w:num w:numId="15">
    <w:abstractNumId w:val="26"/>
  </w:num>
  <w:num w:numId="16">
    <w:abstractNumId w:val="15"/>
  </w:num>
  <w:num w:numId="17">
    <w:abstractNumId w:val="17"/>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30"/>
  </w:num>
  <w:num w:numId="31">
    <w:abstractNumId w:val="10"/>
  </w:num>
  <w:num w:numId="32">
    <w:abstractNumId w:val="39"/>
  </w:num>
  <w:num w:numId="33">
    <w:abstractNumId w:val="19"/>
  </w:num>
  <w:num w:numId="34">
    <w:abstractNumId w:val="38"/>
  </w:num>
  <w:num w:numId="35">
    <w:abstractNumId w:val="33"/>
  </w:num>
  <w:num w:numId="36">
    <w:abstractNumId w:val="13"/>
  </w:num>
  <w:num w:numId="37">
    <w:abstractNumId w:val="18"/>
  </w:num>
  <w:num w:numId="38">
    <w:abstractNumId w:val="24"/>
  </w:num>
  <w:num w:numId="39">
    <w:abstractNumId w:val="14"/>
  </w:num>
  <w:num w:numId="40">
    <w:abstractNumId w:val="2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CF"/>
    <w:rsid w:val="000016B9"/>
    <w:rsid w:val="000034F1"/>
    <w:rsid w:val="000068D5"/>
    <w:rsid w:val="00030790"/>
    <w:rsid w:val="00030CC1"/>
    <w:rsid w:val="00034546"/>
    <w:rsid w:val="00036B92"/>
    <w:rsid w:val="000419C1"/>
    <w:rsid w:val="00043B50"/>
    <w:rsid w:val="000446A5"/>
    <w:rsid w:val="0005196D"/>
    <w:rsid w:val="000650AF"/>
    <w:rsid w:val="00065CEA"/>
    <w:rsid w:val="00070067"/>
    <w:rsid w:val="0007453E"/>
    <w:rsid w:val="00076803"/>
    <w:rsid w:val="00090A83"/>
    <w:rsid w:val="000A2FFC"/>
    <w:rsid w:val="000A6B63"/>
    <w:rsid w:val="000B13CB"/>
    <w:rsid w:val="000B6593"/>
    <w:rsid w:val="000C3F1E"/>
    <w:rsid w:val="000C6C34"/>
    <w:rsid w:val="000F5CCD"/>
    <w:rsid w:val="000F5D86"/>
    <w:rsid w:val="00116D7F"/>
    <w:rsid w:val="0011798B"/>
    <w:rsid w:val="0015010B"/>
    <w:rsid w:val="00152EB7"/>
    <w:rsid w:val="00155C9E"/>
    <w:rsid w:val="0016080C"/>
    <w:rsid w:val="001623DE"/>
    <w:rsid w:val="001912A2"/>
    <w:rsid w:val="001966FA"/>
    <w:rsid w:val="00197666"/>
    <w:rsid w:val="001A0139"/>
    <w:rsid w:val="001A0956"/>
    <w:rsid w:val="001C1FF2"/>
    <w:rsid w:val="001E7690"/>
    <w:rsid w:val="001E76BA"/>
    <w:rsid w:val="001F73EE"/>
    <w:rsid w:val="002009BA"/>
    <w:rsid w:val="00203525"/>
    <w:rsid w:val="00214A8E"/>
    <w:rsid w:val="00215465"/>
    <w:rsid w:val="00243125"/>
    <w:rsid w:val="00246AAC"/>
    <w:rsid w:val="002479CE"/>
    <w:rsid w:val="002846D8"/>
    <w:rsid w:val="00286DE7"/>
    <w:rsid w:val="0029668D"/>
    <w:rsid w:val="002A0832"/>
    <w:rsid w:val="002A093C"/>
    <w:rsid w:val="002A5458"/>
    <w:rsid w:val="002C6B74"/>
    <w:rsid w:val="002D33BC"/>
    <w:rsid w:val="002D6623"/>
    <w:rsid w:val="002E7655"/>
    <w:rsid w:val="002F3300"/>
    <w:rsid w:val="002F4199"/>
    <w:rsid w:val="003010B0"/>
    <w:rsid w:val="003238CE"/>
    <w:rsid w:val="003439ED"/>
    <w:rsid w:val="00354F6D"/>
    <w:rsid w:val="003633F5"/>
    <w:rsid w:val="00376A58"/>
    <w:rsid w:val="003A641C"/>
    <w:rsid w:val="003B13F4"/>
    <w:rsid w:val="003D4DBC"/>
    <w:rsid w:val="00411A3D"/>
    <w:rsid w:val="004247C6"/>
    <w:rsid w:val="004439BD"/>
    <w:rsid w:val="004502A1"/>
    <w:rsid w:val="00452B15"/>
    <w:rsid w:val="004563B4"/>
    <w:rsid w:val="00456A5F"/>
    <w:rsid w:val="00462EA4"/>
    <w:rsid w:val="00481CE3"/>
    <w:rsid w:val="00482E0B"/>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3763A"/>
    <w:rsid w:val="005518D7"/>
    <w:rsid w:val="005638F1"/>
    <w:rsid w:val="005654E8"/>
    <w:rsid w:val="005663EB"/>
    <w:rsid w:val="00576D35"/>
    <w:rsid w:val="00577AA3"/>
    <w:rsid w:val="0058377A"/>
    <w:rsid w:val="00586AC8"/>
    <w:rsid w:val="005A60DB"/>
    <w:rsid w:val="005B369E"/>
    <w:rsid w:val="005C54B5"/>
    <w:rsid w:val="005C72CC"/>
    <w:rsid w:val="005E5305"/>
    <w:rsid w:val="006046FF"/>
    <w:rsid w:val="00622565"/>
    <w:rsid w:val="0063036E"/>
    <w:rsid w:val="00632F54"/>
    <w:rsid w:val="00633AF4"/>
    <w:rsid w:val="00635C80"/>
    <w:rsid w:val="006515F5"/>
    <w:rsid w:val="006610FF"/>
    <w:rsid w:val="00665B9F"/>
    <w:rsid w:val="00680C6F"/>
    <w:rsid w:val="00685229"/>
    <w:rsid w:val="006875BB"/>
    <w:rsid w:val="0069624A"/>
    <w:rsid w:val="006A2843"/>
    <w:rsid w:val="006A6360"/>
    <w:rsid w:val="006C1037"/>
    <w:rsid w:val="006D2273"/>
    <w:rsid w:val="006D5CDC"/>
    <w:rsid w:val="006F7929"/>
    <w:rsid w:val="0073089A"/>
    <w:rsid w:val="00731AE2"/>
    <w:rsid w:val="00752EAD"/>
    <w:rsid w:val="0076392F"/>
    <w:rsid w:val="00771996"/>
    <w:rsid w:val="007903B1"/>
    <w:rsid w:val="0079069F"/>
    <w:rsid w:val="007A6A50"/>
    <w:rsid w:val="007D1FEC"/>
    <w:rsid w:val="007D26DC"/>
    <w:rsid w:val="007D5985"/>
    <w:rsid w:val="007E76A2"/>
    <w:rsid w:val="00810221"/>
    <w:rsid w:val="00810457"/>
    <w:rsid w:val="00815AAF"/>
    <w:rsid w:val="008266EE"/>
    <w:rsid w:val="00826FDC"/>
    <w:rsid w:val="00832B4A"/>
    <w:rsid w:val="008459DC"/>
    <w:rsid w:val="008545F3"/>
    <w:rsid w:val="0086024E"/>
    <w:rsid w:val="00860B3E"/>
    <w:rsid w:val="00864794"/>
    <w:rsid w:val="00875C35"/>
    <w:rsid w:val="00883A87"/>
    <w:rsid w:val="00886A94"/>
    <w:rsid w:val="0089332C"/>
    <w:rsid w:val="008A2D11"/>
    <w:rsid w:val="008A593B"/>
    <w:rsid w:val="008D0223"/>
    <w:rsid w:val="008D2D94"/>
    <w:rsid w:val="008D37D2"/>
    <w:rsid w:val="008E6747"/>
    <w:rsid w:val="0092592D"/>
    <w:rsid w:val="00936F16"/>
    <w:rsid w:val="00937B2B"/>
    <w:rsid w:val="00941A30"/>
    <w:rsid w:val="00941B1C"/>
    <w:rsid w:val="00947539"/>
    <w:rsid w:val="0096313F"/>
    <w:rsid w:val="00966ABA"/>
    <w:rsid w:val="00975520"/>
    <w:rsid w:val="009972DF"/>
    <w:rsid w:val="009B7419"/>
    <w:rsid w:val="009C0369"/>
    <w:rsid w:val="009D49A9"/>
    <w:rsid w:val="009E391E"/>
    <w:rsid w:val="009E4EC4"/>
    <w:rsid w:val="00A53F9C"/>
    <w:rsid w:val="00A541B9"/>
    <w:rsid w:val="00A56436"/>
    <w:rsid w:val="00A71462"/>
    <w:rsid w:val="00A7771C"/>
    <w:rsid w:val="00A80C2F"/>
    <w:rsid w:val="00AA618D"/>
    <w:rsid w:val="00AA6E5F"/>
    <w:rsid w:val="00AB3779"/>
    <w:rsid w:val="00AB6DED"/>
    <w:rsid w:val="00AB7D32"/>
    <w:rsid w:val="00AC5820"/>
    <w:rsid w:val="00AD2D06"/>
    <w:rsid w:val="00AD606C"/>
    <w:rsid w:val="00AD71ED"/>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B52"/>
    <w:rsid w:val="00B71D00"/>
    <w:rsid w:val="00B800A2"/>
    <w:rsid w:val="00BB3989"/>
    <w:rsid w:val="00BC21E9"/>
    <w:rsid w:val="00BC6211"/>
    <w:rsid w:val="00C140C2"/>
    <w:rsid w:val="00C17AE1"/>
    <w:rsid w:val="00C30FA2"/>
    <w:rsid w:val="00C348AF"/>
    <w:rsid w:val="00C34A60"/>
    <w:rsid w:val="00C34F4D"/>
    <w:rsid w:val="00C777B3"/>
    <w:rsid w:val="00C82173"/>
    <w:rsid w:val="00C837F2"/>
    <w:rsid w:val="00C85938"/>
    <w:rsid w:val="00C90897"/>
    <w:rsid w:val="00C973B7"/>
    <w:rsid w:val="00CB5B48"/>
    <w:rsid w:val="00CB7CEE"/>
    <w:rsid w:val="00CE5298"/>
    <w:rsid w:val="00CF5A26"/>
    <w:rsid w:val="00D05E52"/>
    <w:rsid w:val="00D2026C"/>
    <w:rsid w:val="00D249CA"/>
    <w:rsid w:val="00D24F1A"/>
    <w:rsid w:val="00D46169"/>
    <w:rsid w:val="00D51B7A"/>
    <w:rsid w:val="00D5471F"/>
    <w:rsid w:val="00D63564"/>
    <w:rsid w:val="00D72E45"/>
    <w:rsid w:val="00D760F0"/>
    <w:rsid w:val="00DA4B10"/>
    <w:rsid w:val="00DB04F9"/>
    <w:rsid w:val="00DB064A"/>
    <w:rsid w:val="00DB76EC"/>
    <w:rsid w:val="00DD1627"/>
    <w:rsid w:val="00DD35A4"/>
    <w:rsid w:val="00DD6496"/>
    <w:rsid w:val="00DD7FA7"/>
    <w:rsid w:val="00E020B6"/>
    <w:rsid w:val="00E109CF"/>
    <w:rsid w:val="00E20794"/>
    <w:rsid w:val="00E25F01"/>
    <w:rsid w:val="00E27E63"/>
    <w:rsid w:val="00E30105"/>
    <w:rsid w:val="00E43F8B"/>
    <w:rsid w:val="00E561E7"/>
    <w:rsid w:val="00E666BB"/>
    <w:rsid w:val="00E670FD"/>
    <w:rsid w:val="00E73B61"/>
    <w:rsid w:val="00E753AA"/>
    <w:rsid w:val="00E81737"/>
    <w:rsid w:val="00E817B2"/>
    <w:rsid w:val="00E850F8"/>
    <w:rsid w:val="00E90E15"/>
    <w:rsid w:val="00E93F07"/>
    <w:rsid w:val="00EC7585"/>
    <w:rsid w:val="00EF35E4"/>
    <w:rsid w:val="00EF63A6"/>
    <w:rsid w:val="00F04053"/>
    <w:rsid w:val="00F05E53"/>
    <w:rsid w:val="00F11E01"/>
    <w:rsid w:val="00F141C9"/>
    <w:rsid w:val="00F15362"/>
    <w:rsid w:val="00F43E6B"/>
    <w:rsid w:val="00F47ECA"/>
    <w:rsid w:val="00F5066C"/>
    <w:rsid w:val="00F53D3C"/>
    <w:rsid w:val="00F65D04"/>
    <w:rsid w:val="00F826ED"/>
    <w:rsid w:val="00F875BD"/>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E929FC"/>
  <w15:docId w15:val="{F9987CDC-35F0-4036-8329-5EFBD5FA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styleId="FootnoteText">
    <w:name w:val="footnote text"/>
    <w:basedOn w:val="Normal"/>
    <w:link w:val="FootnoteTextChar"/>
    <w:uiPriority w:val="99"/>
    <w:semiHidden/>
    <w:unhideWhenUsed/>
    <w:rsid w:val="00E109CF"/>
    <w:pPr>
      <w:spacing w:after="0" w:line="240" w:lineRule="auto"/>
    </w:pPr>
    <w:rPr>
      <w:rFonts w:cstheme="minorBidi"/>
      <w:sz w:val="20"/>
      <w:szCs w:val="20"/>
      <w:lang w:eastAsia="en-US"/>
    </w:rPr>
  </w:style>
  <w:style w:type="character" w:customStyle="1" w:styleId="FootnoteTextChar">
    <w:name w:val="Footnote Text Char"/>
    <w:basedOn w:val="DefaultParagraphFont"/>
    <w:link w:val="FootnoteText"/>
    <w:uiPriority w:val="99"/>
    <w:semiHidden/>
    <w:rsid w:val="00E109CF"/>
    <w:rPr>
      <w:sz w:val="20"/>
      <w:szCs w:val="20"/>
    </w:rPr>
  </w:style>
  <w:style w:type="character" w:styleId="FootnoteReference">
    <w:name w:val="footnote reference"/>
    <w:basedOn w:val="DefaultParagraphFont"/>
    <w:uiPriority w:val="99"/>
    <w:semiHidden/>
    <w:unhideWhenUsed/>
    <w:rsid w:val="00E109CF"/>
    <w:rPr>
      <w:vertAlign w:val="superscript"/>
    </w:rPr>
  </w:style>
  <w:style w:type="paragraph" w:styleId="HTMLPreformatted">
    <w:name w:val="HTML Preformatted"/>
    <w:basedOn w:val="Normal"/>
    <w:link w:val="HTMLPreformattedChar"/>
    <w:uiPriority w:val="99"/>
    <w:unhideWhenUsed/>
    <w:rsid w:val="00E1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09CF"/>
    <w:rPr>
      <w:rFonts w:ascii="Courier New" w:eastAsia="Times New Roman" w:hAnsi="Courier New" w:cs="Courier New"/>
      <w:sz w:val="20"/>
      <w:szCs w:val="20"/>
      <w:lang w:eastAsia="en-AU"/>
    </w:rPr>
  </w:style>
  <w:style w:type="character" w:customStyle="1" w:styleId="gnkrckgcgsb">
    <w:name w:val="gnkrckgcgsb"/>
    <w:basedOn w:val="DefaultParagraphFont"/>
    <w:rsid w:val="00E109CF"/>
  </w:style>
  <w:style w:type="character" w:styleId="CommentReference">
    <w:name w:val="annotation reference"/>
    <w:basedOn w:val="DefaultParagraphFont"/>
    <w:uiPriority w:val="99"/>
    <w:semiHidden/>
    <w:unhideWhenUsed/>
    <w:rsid w:val="00E109CF"/>
    <w:rPr>
      <w:sz w:val="16"/>
      <w:szCs w:val="16"/>
    </w:rPr>
  </w:style>
  <w:style w:type="paragraph" w:styleId="CommentText">
    <w:name w:val="annotation text"/>
    <w:basedOn w:val="Normal"/>
    <w:link w:val="CommentTextChar"/>
    <w:uiPriority w:val="99"/>
    <w:unhideWhenUsed/>
    <w:rsid w:val="00E109CF"/>
    <w:pPr>
      <w:spacing w:after="160" w:line="240" w:lineRule="auto"/>
    </w:pPr>
    <w:rPr>
      <w:rFonts w:cstheme="minorBidi"/>
      <w:sz w:val="20"/>
      <w:szCs w:val="20"/>
      <w:lang w:eastAsia="en-US"/>
    </w:rPr>
  </w:style>
  <w:style w:type="character" w:customStyle="1" w:styleId="CommentTextChar">
    <w:name w:val="Comment Text Char"/>
    <w:basedOn w:val="DefaultParagraphFont"/>
    <w:link w:val="CommentText"/>
    <w:uiPriority w:val="99"/>
    <w:rsid w:val="00E109CF"/>
    <w:rPr>
      <w:sz w:val="20"/>
      <w:szCs w:val="20"/>
    </w:rPr>
  </w:style>
  <w:style w:type="paragraph" w:styleId="CommentSubject">
    <w:name w:val="annotation subject"/>
    <w:basedOn w:val="CommentText"/>
    <w:next w:val="CommentText"/>
    <w:link w:val="CommentSubjectChar"/>
    <w:uiPriority w:val="99"/>
    <w:semiHidden/>
    <w:unhideWhenUsed/>
    <w:rsid w:val="00E109CF"/>
    <w:rPr>
      <w:b/>
      <w:bCs/>
    </w:rPr>
  </w:style>
  <w:style w:type="character" w:customStyle="1" w:styleId="CommentSubjectChar">
    <w:name w:val="Comment Subject Char"/>
    <w:basedOn w:val="CommentTextChar"/>
    <w:link w:val="CommentSubject"/>
    <w:uiPriority w:val="99"/>
    <w:semiHidden/>
    <w:rsid w:val="00E109CF"/>
    <w:rPr>
      <w:b/>
      <w:bCs/>
      <w:sz w:val="20"/>
      <w:szCs w:val="20"/>
    </w:rPr>
  </w:style>
  <w:style w:type="character" w:styleId="PlaceholderText">
    <w:name w:val="Placeholder Text"/>
    <w:basedOn w:val="DefaultParagraphFont"/>
    <w:uiPriority w:val="99"/>
    <w:semiHidden/>
    <w:rsid w:val="00E109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hrish%20hussein\Downloads\Publication-template-purple%20(12).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0768B9F4-ACED-42E7-9C6F-59C95F7D1CC4}">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A94932-B50D-4932-BC6E-0B776B81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 (12)</Template>
  <TotalTime>176</TotalTime>
  <Pages>21</Pages>
  <Words>6470</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Revenue forgone from payroll tax</vt:lpstr>
    </vt:vector>
  </TitlesOfParts>
  <Company/>
  <LinksUpToDate>false</LinksUpToDate>
  <CharactersWithSpaces>43269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forgone from payroll tax</dc:title>
  <dc:subject>Revenue forgone from payroll tax</dc:subject>
  <dc:creator>ACT Government</dc:creator>
  <cp:keywords>revenue forgone, payroll tax</cp:keywords>
  <cp:lastModifiedBy>Hussein, Sehrish</cp:lastModifiedBy>
  <cp:revision>21</cp:revision>
  <cp:lastPrinted>2016-09-21T00:45:00Z</cp:lastPrinted>
  <dcterms:created xsi:type="dcterms:W3CDTF">2020-08-11T21:43:00Z</dcterms:created>
  <dcterms:modified xsi:type="dcterms:W3CDTF">2020-08-21T06:14:00Z</dcterms:modified>
</cp:coreProperties>
</file>